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1CCD9" w14:textId="16783E4A" w:rsidR="00893245" w:rsidRDefault="00893245">
      <w:pPr>
        <w:pStyle w:val="Title"/>
      </w:pPr>
      <w:r>
        <w:t xml:space="preserve">Marian Raducanu </w:t>
      </w:r>
    </w:p>
    <w:p w14:paraId="28EF13D1" w14:textId="148D95A8" w:rsidR="00893245" w:rsidRDefault="00893245">
      <w:pPr>
        <w:pStyle w:val="Title"/>
      </w:pPr>
      <w:r>
        <w:t>Academic Skills</w:t>
      </w:r>
    </w:p>
    <w:p w14:paraId="6DEE7725" w14:textId="0D56F10A" w:rsidR="00893245" w:rsidRDefault="00893245">
      <w:pPr>
        <w:pStyle w:val="Title"/>
      </w:pPr>
      <w:r>
        <w:t>Mini Research Project</w:t>
      </w:r>
    </w:p>
    <w:p w14:paraId="584157F0" w14:textId="77777777" w:rsidR="00893245" w:rsidRDefault="00893245">
      <w:pPr>
        <w:pStyle w:val="Title"/>
      </w:pPr>
    </w:p>
    <w:p w14:paraId="661D71B9" w14:textId="3D25D87F" w:rsidR="00737968" w:rsidRDefault="00000000" w:rsidP="00893245">
      <w:pPr>
        <w:pStyle w:val="Title"/>
      </w:pPr>
      <w:r>
        <w:t>The Influence of Orthodox Christianity in Eastern Europe</w:t>
      </w:r>
    </w:p>
    <w:p w14:paraId="13C7C253" w14:textId="77777777" w:rsidR="00737968" w:rsidRDefault="00000000">
      <w:pPr>
        <w:pStyle w:val="Heading1"/>
      </w:pPr>
      <w:r>
        <w:t>Introduction</w:t>
      </w:r>
    </w:p>
    <w:p w14:paraId="7176B84D" w14:textId="029FC7FC" w:rsidR="00737968" w:rsidRDefault="00000000">
      <w:pPr>
        <w:spacing w:after="240"/>
      </w:pPr>
      <w:r>
        <w:t xml:space="preserve">Orthodox Christianity has profoundly shaped the cultural, political, and social landscape of Eastern Europe for over a millennium. From the conversion of Kievan Rus in 988 CE to the present day, the Eastern Orthodox Church has served as more than a religious institution; it has been a vehicle for cultural identity, literacy, and political legitimacy. This research project examines the multifaceted influence of Orthodox Christianity across Eastern Europe, exploring its historical development, cultural contributions, and </w:t>
      </w:r>
      <w:r w:rsidR="00893245">
        <w:t>legacy</w:t>
      </w:r>
      <w:r>
        <w:t xml:space="preserve"> in shaping the region's distinct identity separate from Western Christianity.</w:t>
      </w:r>
    </w:p>
    <w:p w14:paraId="72894D1E" w14:textId="77777777" w:rsidR="00737968" w:rsidRDefault="00000000">
      <w:pPr>
        <w:pStyle w:val="Heading1"/>
      </w:pPr>
      <w:r>
        <w:t>1. Historical Origins and Missionary Expansion</w:t>
      </w:r>
    </w:p>
    <w:p w14:paraId="18606E83" w14:textId="77777777" w:rsidR="00737968" w:rsidRDefault="00000000">
      <w:pPr>
        <w:pStyle w:val="Heading2"/>
      </w:pPr>
      <w:r>
        <w:t>The Byzantine Foundation</w:t>
      </w:r>
    </w:p>
    <w:p w14:paraId="467C5FBF" w14:textId="77777777" w:rsidR="00737968" w:rsidRDefault="00000000">
      <w:pPr>
        <w:spacing w:after="240"/>
      </w:pPr>
      <w:r>
        <w:t>The spread of Orthodox Christianity in Eastern Europe originated from Constantinople (modern-day Istanbul), the capital of the Byzantine Empire. As the centre of Eastern Christianity from the 4th to the 11th century, Constantinople wielded both religious and political authority across the region. The Byzantine Empire's geographic position between East and West made it a natural bridge for cultural and religious transmission. The magnificent Hagia Sophia cathedral, built by Emperor Justinian in the 6th century, became the architectural and liturgical model for Orthodox worship throughout Eastern Europe (Britannica, 2025).</w:t>
      </w:r>
    </w:p>
    <w:p w14:paraId="2C71F928" w14:textId="77777777" w:rsidR="00737968" w:rsidRDefault="00000000">
      <w:pPr>
        <w:pStyle w:val="Heading2"/>
      </w:pPr>
      <w:r>
        <w:t>Saints Cyril and Methodius: Apostles to the Slavs</w:t>
      </w:r>
    </w:p>
    <w:p w14:paraId="2B70340C" w14:textId="77777777" w:rsidR="00737968" w:rsidRDefault="00000000">
      <w:pPr>
        <w:spacing w:after="240"/>
      </w:pPr>
      <w:r>
        <w:t xml:space="preserve">The most transformative moment in the Christianisation of Eastern Europe came in 863 CE when Byzantine missionaries Saints Cyril and Methodius were sent to Great Moravia (modern-day Czech Republic and Slovakia) at the request of Prince Rastislav. Unlike Western missionaries who insisted on Latin liturgy, the brothers made the revolutionary decision to translate the Bible and liturgical texts into the </w:t>
      </w:r>
      <w:r>
        <w:lastRenderedPageBreak/>
        <w:t>Slavonic language. To accomplish this, Cyril created the Glagolitic alphabet, specifically designed to represent Slavic sounds that could not be captured by Greek or Latin letters (</w:t>
      </w:r>
      <w:r>
        <w:rPr>
          <w:i/>
          <w:iCs/>
        </w:rPr>
        <w:t>Life of Constantine</w:t>
      </w:r>
      <w:r>
        <w:t>, 9th century).</w:t>
      </w:r>
    </w:p>
    <w:p w14:paraId="0A8972E6" w14:textId="77777777" w:rsidR="00737968" w:rsidRDefault="00000000">
      <w:pPr>
        <w:spacing w:after="240"/>
      </w:pPr>
      <w:r>
        <w:t>This decision to use vernacular language rather than imposing Greek or Latin had profound consequences. It allowed Slavic peoples to access scripture and worship in their own tongue, creating a more intimate connection to their faith. The Cyrillic alphabet, developed by Cyril's followers, became the foundation for written languages across Eastern Europe and Russia, directly influencing the development of Russian, Bulgarian, Serbian, Ukrainian, and other Slavic languages still used today. This linguistic gift united Slavic Orthodox communities and distinguished them from their Latin-using Catholic neighbours.</w:t>
      </w:r>
    </w:p>
    <w:p w14:paraId="7FA84235" w14:textId="413E6344" w:rsidR="00893245" w:rsidRDefault="00893245">
      <w:pPr>
        <w:spacing w:after="240"/>
      </w:pPr>
      <w:r>
        <w:rPr>
          <w:noProof/>
        </w:rPr>
        <w:drawing>
          <wp:inline distT="0" distB="0" distL="0" distR="0" wp14:anchorId="1172FE19" wp14:editId="26BE3119">
            <wp:extent cx="5994400" cy="2200275"/>
            <wp:effectExtent l="0" t="0" r="6350" b="9525"/>
            <wp:docPr id="604190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0247" name="Picture 604190247"/>
                    <pic:cNvPicPr/>
                  </pic:nvPicPr>
                  <pic:blipFill>
                    <a:blip r:embed="rId7">
                      <a:extLst>
                        <a:ext uri="{28A0092B-C50C-407E-A947-70E740481C1C}">
                          <a14:useLocalDpi xmlns:a14="http://schemas.microsoft.com/office/drawing/2010/main" val="0"/>
                        </a:ext>
                      </a:extLst>
                    </a:blip>
                    <a:stretch>
                      <a:fillRect/>
                    </a:stretch>
                  </pic:blipFill>
                  <pic:spPr>
                    <a:xfrm>
                      <a:off x="0" y="0"/>
                      <a:ext cx="5994400" cy="2200275"/>
                    </a:xfrm>
                    <a:prstGeom prst="rect">
                      <a:avLst/>
                    </a:prstGeom>
                  </pic:spPr>
                </pic:pic>
              </a:graphicData>
            </a:graphic>
          </wp:inline>
        </w:drawing>
      </w:r>
    </w:p>
    <w:p w14:paraId="2BB30394" w14:textId="77777777" w:rsidR="00737968" w:rsidRDefault="00000000">
      <w:pPr>
        <w:pStyle w:val="Heading1"/>
      </w:pPr>
      <w:r>
        <w:t>2. Political and Cultural Integration</w:t>
      </w:r>
    </w:p>
    <w:p w14:paraId="0D9D1252" w14:textId="77777777" w:rsidR="00737968" w:rsidRDefault="00000000">
      <w:pPr>
        <w:pStyle w:val="Heading2"/>
      </w:pPr>
      <w:r>
        <w:t>The Conversion of Kievan Rus</w:t>
      </w:r>
    </w:p>
    <w:p w14:paraId="5DD48730" w14:textId="4C64471C" w:rsidR="00737968" w:rsidRDefault="00000000">
      <w:pPr>
        <w:spacing w:after="240"/>
      </w:pPr>
      <w:r>
        <w:t xml:space="preserve">The conversion of Vladimir I, Prince of Kiev, in 988 CE marked a watershed moment in Eastern European history. According to </w:t>
      </w:r>
      <w:r>
        <w:rPr>
          <w:i/>
          <w:iCs/>
        </w:rPr>
        <w:t>The Russian Primary Chronicle</w:t>
      </w:r>
      <w:r>
        <w:t xml:space="preserve">, Vladimir sent envoys to investigate various religions before choosing Orthodox Christianity. The envoys' famous account of visiting Hagia Sophia in Constantinople captures the aesthetic power of Byzantine worship: 'We knew not whether we were in heaven or on earth, for surely there is no such </w:t>
      </w:r>
      <w:r w:rsidR="00893245">
        <w:t>splendour</w:t>
      </w:r>
      <w:r>
        <w:t xml:space="preserve"> or beauty anywhere upon earth' (</w:t>
      </w:r>
      <w:r>
        <w:rPr>
          <w:i/>
          <w:iCs/>
        </w:rPr>
        <w:t>Russian Primary Chronicle</w:t>
      </w:r>
      <w:r>
        <w:t>, 1113).</w:t>
      </w:r>
    </w:p>
    <w:p w14:paraId="3D532D81" w14:textId="77777777" w:rsidR="00737968" w:rsidRDefault="00000000">
      <w:pPr>
        <w:spacing w:after="240"/>
      </w:pPr>
      <w:r>
        <w:t>Vladimir's conversion was both personal and political. By adopting Orthodox Christianity, Kievan Rus aligned itself with the Byzantine Empire, gaining access to Byzantine culture, trade networks, and diplomatic recognition. The conversion also provided ideological justification for centralised rule, as the prince became God's representative on earth. Churches and monasteries were established throughout the realm, and Byzantine clergy brought with them not only religious doctrine but also literacy, art, architecture, and legal traditions (Meyendorff, 1981, p. 45).</w:t>
      </w:r>
    </w:p>
    <w:p w14:paraId="3B058B60" w14:textId="77777777" w:rsidR="00737968" w:rsidRDefault="00000000">
      <w:pPr>
        <w:pStyle w:val="Heading2"/>
      </w:pPr>
      <w:r>
        <w:t>The Concept of 'Symphony'</w:t>
      </w:r>
    </w:p>
    <w:p w14:paraId="5EC0AFB9" w14:textId="77777777" w:rsidR="00737968" w:rsidRDefault="00000000">
      <w:pPr>
        <w:spacing w:after="240"/>
      </w:pPr>
      <w:r>
        <w:t xml:space="preserve">A distinctive feature of Eastern Orthodox political theology was the concept of 'symphony' between church and state, inherited from Byzantium. Unlike the Western </w:t>
      </w:r>
      <w:r>
        <w:lastRenderedPageBreak/>
        <w:t>European model where the Pope claimed supremacy over secular rulers, Orthodox Christianity envisioned a harmonious relationship where emperor and patriarch worked in concert, each supreme in their respective spheres. This model was adopted throughout Orthodox Eastern Europe, leading to close identification between national churches and emerging states. In Russia, this culminated in the doctrine of Moscow as the 'Third Rome' after Constantinople's fall in 1453, positioning Russia as the protector and inheritor of Orthodox civilisation (Obolensky, 1971, pp. 89-92).</w:t>
      </w:r>
    </w:p>
    <w:p w14:paraId="212241D9" w14:textId="77777777" w:rsidR="00737968" w:rsidRDefault="00000000">
      <w:pPr>
        <w:pStyle w:val="Heading1"/>
      </w:pPr>
      <w:r>
        <w:t>3. Cultural and Artistic Achievements</w:t>
      </w:r>
    </w:p>
    <w:p w14:paraId="3A44DC0D" w14:textId="77777777" w:rsidR="00737968" w:rsidRDefault="00000000">
      <w:pPr>
        <w:pStyle w:val="Heading2"/>
      </w:pPr>
      <w:r>
        <w:t>Iconography and Sacred Art</w:t>
      </w:r>
    </w:p>
    <w:p w14:paraId="7EBABDBA" w14:textId="77777777" w:rsidR="00737968" w:rsidRDefault="00000000">
      <w:pPr>
        <w:spacing w:after="240"/>
      </w:pPr>
      <w:r>
        <w:t>Orthodox Christianity introduced a distinctive visual culture to Eastern Europe through iconography. Icons were not mere decorations but theological statements, believed to be windows into the divine realm. The tradition of icon painting flourished in Russia, producing masterpieces such as Andrei Rublev's Trinity icon (1410s), which exemplifies the spiritual depth and technical mastery of Orthodox sacred art. Icon veneration became a defining practice distinguishing Orthodox worship from Western Christianity, particularly after the iconoclastic controversies of the 8th and 9th centuries.</w:t>
      </w:r>
    </w:p>
    <w:p w14:paraId="5D0D950F" w14:textId="77777777" w:rsidR="00737968" w:rsidRDefault="00000000">
      <w:pPr>
        <w:pStyle w:val="Heading2"/>
      </w:pPr>
      <w:r>
        <w:t>Monastic Literature and Chronicle Writing</w:t>
      </w:r>
    </w:p>
    <w:p w14:paraId="6D1C5077" w14:textId="77777777" w:rsidR="00737968" w:rsidRDefault="00000000">
      <w:pPr>
        <w:spacing w:after="240"/>
      </w:pPr>
      <w:r>
        <w:t>Orthodox monasteries became centres of learning, literacy, and historical record-keeping throughout Eastern Europe. Monks preserved and copied religious texts, but also created historical chronicles that documented political events, natural phenomena, and social conditions. The Kiev-Pechersk Lavra (Monastery of the Caves) in Ukraine became a major intellectual centre, producing chronicles, saints' lives, and theological works. This monastic literary tradition established patterns of historical consciousness and cultural memory that shaped Eastern European identity for centuries.</w:t>
      </w:r>
    </w:p>
    <w:p w14:paraId="7247D445" w14:textId="77777777" w:rsidR="00737968" w:rsidRDefault="00000000">
      <w:pPr>
        <w:pStyle w:val="Heading1"/>
      </w:pPr>
      <w:r>
        <w:t>4. The Great Schism and Divergence from Western Christianity</w:t>
      </w:r>
    </w:p>
    <w:p w14:paraId="48A762C3" w14:textId="77777777" w:rsidR="00737968" w:rsidRDefault="00000000">
      <w:pPr>
        <w:spacing w:after="240"/>
      </w:pPr>
      <w:r>
        <w:t>The Great Schism of 1054 CE formalised the division between Eastern Orthodox and Roman Catholic Christianity, though the split had been developing for centuries. Theological disputes over the filioque clause (regarding the procession of the Holy Spirit), the use of leavened versus unleavened bread in the Eucharist, and clerical celibacy were exacerbated by linguistic differences between Greek and Latin, cultural misunderstandings, and political tensions between Constantinople and Rome. The schism solidified Eastern Europe's distinct religious identity and created a civilisational boundary that persists today (Britannica, 2025).</w:t>
      </w:r>
    </w:p>
    <w:p w14:paraId="5884AAE1" w14:textId="77777777" w:rsidR="00737968" w:rsidRDefault="00000000">
      <w:pPr>
        <w:spacing w:after="240"/>
      </w:pPr>
      <w:r>
        <w:t xml:space="preserve">This division had lasting consequences for Eastern European development. While Western Europe underwent the Renaissance, Reformation, and Scientific Revolution under Catholic and later Protestant influence, Orthodox Eastern Europe followed different trajectories. The lack of a centralised papal authority meant greater autocephaly (independence) for national Orthodox churches, strengthening the link </w:t>
      </w:r>
      <w:r>
        <w:lastRenderedPageBreak/>
        <w:t>between religious and ethnic identity. However, it also meant less institutional coordination in response to challenges like the Ottoman conquest.</w:t>
      </w:r>
    </w:p>
    <w:p w14:paraId="749C63FC" w14:textId="77777777" w:rsidR="00737968" w:rsidRDefault="00000000">
      <w:pPr>
        <w:pStyle w:val="Heading1"/>
      </w:pPr>
      <w:r>
        <w:t>5. Survival Under Ottoman Rule</w:t>
      </w:r>
    </w:p>
    <w:p w14:paraId="2EB4AA1E" w14:textId="77777777" w:rsidR="00737968" w:rsidRDefault="00000000">
      <w:pPr>
        <w:spacing w:after="240"/>
      </w:pPr>
      <w:r>
        <w:t>The Ottoman conquest of Constantinople in 1453 and subsequent expansion into the Balkans placed most of Orthodox Eastern Europe under Muslim rule for four centuries. The Ottoman millet system, which organised subjects by religious community rather than ethnicity, paradoxically helped preserve Orthodox identity. The Ecumenical Patriarch of Constantinople was given civil authority over all Orthodox Christians within the empire, and Orthodox churches were permitted to function, though with restricted rights and special taxes.</w:t>
      </w:r>
    </w:p>
    <w:p w14:paraId="63EF0635" w14:textId="77777777" w:rsidR="00737968" w:rsidRDefault="00000000">
      <w:pPr>
        <w:spacing w:after="240"/>
      </w:pPr>
      <w:r>
        <w:t>During this period, Orthodox Christianity became even more central to ethnic identity for Greeks, Serbs, Bulgarians, and Romanians. Churches and monasteries served as repositories of national culture, language, and history when political independence was lost. Orthodox clergy often led resistance movements and preserved national consciousness during centuries of foreign domination. This experience deepened the fusion of religious and national identity in ways that continue to influence Eastern European politics.</w:t>
      </w:r>
    </w:p>
    <w:p w14:paraId="63CDF9C4" w14:textId="77777777" w:rsidR="00737968" w:rsidRDefault="00000000">
      <w:pPr>
        <w:pStyle w:val="Heading1"/>
      </w:pPr>
      <w:r>
        <w:t>6. Modern Challenges and Continuity</w:t>
      </w:r>
    </w:p>
    <w:p w14:paraId="6FF3BE39" w14:textId="77777777" w:rsidR="00737968" w:rsidRDefault="00000000">
      <w:pPr>
        <w:spacing w:after="240"/>
      </w:pPr>
      <w:r>
        <w:t xml:space="preserve">The 20th century brought unprecedented challenges to Orthodox Christianity in Eastern Europe. Communist regimes in the Soviet Union and Eastern Bloc countries pursued aggressive atheist policies, closing churches, persecuting clergy, and attempting to eradicate religious belief. Despite decades of repression, Orthodox Christianity survived, often through underground networks and private devotion. The collapse of communism in 1989-1991 saw a remarkable revival, with churches reopening, monasteries rebuilding, and millions returning to religious practice (Pew Research </w:t>
      </w:r>
      <w:proofErr w:type="spellStart"/>
      <w:r>
        <w:t>Center</w:t>
      </w:r>
      <w:proofErr w:type="spellEnd"/>
      <w:r>
        <w:t>, 2017).</w:t>
      </w:r>
    </w:p>
    <w:p w14:paraId="74D591BB" w14:textId="77777777" w:rsidR="00737968" w:rsidRDefault="00000000">
      <w:pPr>
        <w:spacing w:after="240"/>
      </w:pPr>
      <w:r>
        <w:t>Today, Orthodox Christianity remains a powerful force in Eastern European society, with approximately 300 million adherents worldwide, most concentrated in Eastern Europe and Russia. In countries like Russia, Greece, Serbia, and Romania, the Orthodox Church enjoys high levels of public trust and influence on cultural and political discourse. Orthodox identity continues to shape debates about European integration, national sovereignty, and cultural values. The church's emphasis on tradition, community, and national identity provides continuity with the past while adapting to contemporary challenges.</w:t>
      </w:r>
    </w:p>
    <w:p w14:paraId="4044AB0B" w14:textId="77777777" w:rsidR="00737968" w:rsidRDefault="00000000">
      <w:pPr>
        <w:pStyle w:val="Heading1"/>
      </w:pPr>
      <w:r>
        <w:t>Conclusion</w:t>
      </w:r>
    </w:p>
    <w:p w14:paraId="2562A56E" w14:textId="77777777" w:rsidR="00737968" w:rsidRDefault="00000000">
      <w:pPr>
        <w:spacing w:after="360"/>
      </w:pPr>
      <w:r>
        <w:t xml:space="preserve">The influence of Orthodox Christianity in Eastern Europe extends far beyond religious belief and practice. From providing the first written alphabets for Slavic languages to shaping political structures through the concept of symphony, from inspiring magnificent artistic traditions to preserving national identities under foreign rule, Orthodox Christianity has been foundational to Eastern European civilisation. The distinctive path of Orthodox Eastern Europe, separate from Catholic and </w:t>
      </w:r>
      <w:r>
        <w:lastRenderedPageBreak/>
        <w:t>Protestant Western Europe, continues to define the region's cultural, political, and social character. Understanding this Orthodox heritage is essential for comprehending contemporary Eastern European identity and the region's place in the broader European context.</w:t>
      </w:r>
    </w:p>
    <w:p w14:paraId="54713E08" w14:textId="77777777" w:rsidR="00737968" w:rsidRDefault="00000000">
      <w:pPr>
        <w:pStyle w:val="Heading1"/>
        <w:pageBreakBefore/>
      </w:pPr>
      <w:r>
        <w:lastRenderedPageBreak/>
        <w:t>Bibliography</w:t>
      </w:r>
    </w:p>
    <w:p w14:paraId="1765A747" w14:textId="77777777" w:rsidR="00737968" w:rsidRDefault="00000000">
      <w:pPr>
        <w:pStyle w:val="Heading2"/>
      </w:pPr>
      <w:r>
        <w:t>Primary Sources</w:t>
      </w:r>
    </w:p>
    <w:p w14:paraId="31CF17A0" w14:textId="77777777" w:rsidR="00737968" w:rsidRDefault="00000000">
      <w:pPr>
        <w:spacing w:before="120" w:after="120"/>
        <w:ind w:left="720" w:hanging="360"/>
      </w:pPr>
      <w:r>
        <w:t xml:space="preserve">Saints Cyril and Methodius. </w:t>
      </w:r>
      <w:r>
        <w:rPr>
          <w:i/>
          <w:iCs/>
        </w:rPr>
        <w:t>Life of Constantine</w:t>
      </w:r>
      <w:r>
        <w:t xml:space="preserve">. 9th century CE. Translated in </w:t>
      </w:r>
      <w:r>
        <w:rPr>
          <w:i/>
          <w:iCs/>
        </w:rPr>
        <w:t>Constantine and Methodius: The Apostles of the Slavs</w:t>
      </w:r>
      <w:r>
        <w:t>, by Francis Dvornik. Cambridge: Cambridge University Press, 1970.</w:t>
      </w:r>
    </w:p>
    <w:p w14:paraId="70CA1DE1" w14:textId="77777777" w:rsidR="00737968" w:rsidRDefault="00000000">
      <w:pPr>
        <w:spacing w:after="240"/>
        <w:ind w:left="720" w:hanging="360"/>
      </w:pPr>
      <w:r>
        <w:rPr>
          <w:i/>
          <w:iCs/>
        </w:rPr>
        <w:t>The Russian Primary Chronicle</w:t>
      </w:r>
      <w:r>
        <w:t xml:space="preserve">. Compiled 1113 CE. Translated by Samuel Hazzard Cross and </w:t>
      </w:r>
      <w:proofErr w:type="spellStart"/>
      <w:r>
        <w:t>Olgerd</w:t>
      </w:r>
      <w:proofErr w:type="spellEnd"/>
      <w:r>
        <w:t xml:space="preserve"> P. </w:t>
      </w:r>
      <w:proofErr w:type="spellStart"/>
      <w:r>
        <w:t>Sherbowitz-Wetzor</w:t>
      </w:r>
      <w:proofErr w:type="spellEnd"/>
      <w:r>
        <w:t>. Cambridge, MA: Medieval Academy of America, 1953.</w:t>
      </w:r>
    </w:p>
    <w:p w14:paraId="14E928E4" w14:textId="77777777" w:rsidR="00737968" w:rsidRDefault="00000000">
      <w:pPr>
        <w:pStyle w:val="Heading2"/>
      </w:pPr>
      <w:r>
        <w:t>Secondary Sources</w:t>
      </w:r>
    </w:p>
    <w:p w14:paraId="4FD278E3" w14:textId="77777777" w:rsidR="00737968" w:rsidRDefault="00000000">
      <w:pPr>
        <w:spacing w:before="120" w:after="120"/>
        <w:ind w:left="720" w:hanging="360"/>
      </w:pPr>
      <w:r>
        <w:t xml:space="preserve">Meyendorff, John. </w:t>
      </w:r>
      <w:r>
        <w:rPr>
          <w:i/>
          <w:iCs/>
        </w:rPr>
        <w:t xml:space="preserve">Byzantium and the Rise of Russia: A Study of </w:t>
      </w:r>
      <w:proofErr w:type="spellStart"/>
      <w:r>
        <w:rPr>
          <w:i/>
          <w:iCs/>
        </w:rPr>
        <w:t>Byzantino</w:t>
      </w:r>
      <w:proofErr w:type="spellEnd"/>
      <w:r>
        <w:rPr>
          <w:i/>
          <w:iCs/>
        </w:rPr>
        <w:t>-Russian Relations in the Fourteenth Century</w:t>
      </w:r>
      <w:r>
        <w:t>. Cambridge: Cambridge University Press, 1981.</w:t>
      </w:r>
    </w:p>
    <w:p w14:paraId="58746FEF" w14:textId="77777777" w:rsidR="00737968" w:rsidRDefault="00000000">
      <w:pPr>
        <w:spacing w:after="120"/>
        <w:ind w:left="720" w:hanging="360"/>
      </w:pPr>
      <w:r>
        <w:t xml:space="preserve">Obolensky, Dimitri. </w:t>
      </w:r>
      <w:r>
        <w:rPr>
          <w:i/>
          <w:iCs/>
        </w:rPr>
        <w:t>The Byzantine Commonwealth: Eastern Europe, 500-1453</w:t>
      </w:r>
      <w:r>
        <w:t>. London: Weidenfeld and Nicolson, 1971.</w:t>
      </w:r>
    </w:p>
    <w:p w14:paraId="05F70B01" w14:textId="77777777" w:rsidR="00737968" w:rsidRDefault="00000000">
      <w:pPr>
        <w:spacing w:after="120"/>
        <w:ind w:left="720" w:hanging="360"/>
      </w:pPr>
      <w:r>
        <w:t xml:space="preserve">Ware, Timothy. </w:t>
      </w:r>
      <w:r>
        <w:rPr>
          <w:i/>
          <w:iCs/>
        </w:rPr>
        <w:t>The Orthodox Church</w:t>
      </w:r>
      <w:r>
        <w:t>. London: Penguin Books, 1997.</w:t>
      </w:r>
    </w:p>
    <w:p w14:paraId="716DDD68" w14:textId="77777777" w:rsidR="00737968" w:rsidRDefault="00000000">
      <w:pPr>
        <w:spacing w:after="240"/>
        <w:ind w:left="720" w:hanging="360"/>
      </w:pPr>
      <w:r>
        <w:t xml:space="preserve">Zernov, Nicolas. </w:t>
      </w:r>
      <w:r>
        <w:rPr>
          <w:i/>
          <w:iCs/>
        </w:rPr>
        <w:t>Eastern Christendom: A Study of the Origin and Development of the Eastern Orthodox Church</w:t>
      </w:r>
      <w:r>
        <w:t>. London: Weidenfeld and Nicolson, 1961.</w:t>
      </w:r>
    </w:p>
    <w:p w14:paraId="1ED3D9E4" w14:textId="77777777" w:rsidR="00737968" w:rsidRDefault="00000000">
      <w:pPr>
        <w:pStyle w:val="Heading2"/>
      </w:pPr>
      <w:r>
        <w:t>Credible Websites</w:t>
      </w:r>
    </w:p>
    <w:p w14:paraId="405AC417" w14:textId="113117AC" w:rsidR="00737968" w:rsidRDefault="00000000">
      <w:pPr>
        <w:spacing w:before="120" w:after="120"/>
        <w:ind w:left="720" w:hanging="360"/>
      </w:pPr>
      <w:r>
        <w:t xml:space="preserve">Britannica. 'Eastern Orthodoxy: History.' Encyclopaedia Britannica. </w:t>
      </w:r>
      <w:hyperlink r:id="rId8" w:history="1">
        <w:r>
          <w:rPr>
            <w:rStyle w:val="Hyperlink"/>
            <w:sz w:val="20"/>
            <w:szCs w:val="20"/>
          </w:rPr>
          <w:t>https://www.britannica.com/topic/Eastern-Orthodoxy/History</w:t>
        </w:r>
      </w:hyperlink>
    </w:p>
    <w:p w14:paraId="75216C09" w14:textId="0D573E8F" w:rsidR="00737968" w:rsidRDefault="00000000">
      <w:pPr>
        <w:spacing w:after="120"/>
        <w:ind w:left="720" w:hanging="360"/>
      </w:pPr>
      <w:r>
        <w:t xml:space="preserve">Orthodox Church in America. 'Church History: Nineteenth Century Eastern Europe and Greece.'  </w:t>
      </w:r>
      <w:hyperlink r:id="rId9" w:history="1">
        <w:r>
          <w:rPr>
            <w:rStyle w:val="Hyperlink"/>
            <w:sz w:val="20"/>
            <w:szCs w:val="20"/>
          </w:rPr>
          <w:t>https://www.oca.org/orthodoxy/the-orthodox-faith/church-history</w:t>
        </w:r>
      </w:hyperlink>
    </w:p>
    <w:p w14:paraId="1E3A92A1" w14:textId="1A8EA5B3" w:rsidR="00737968" w:rsidRDefault="00000000">
      <w:pPr>
        <w:spacing w:after="240"/>
        <w:ind w:left="720" w:hanging="360"/>
      </w:pPr>
      <w:r>
        <w:t xml:space="preserve">Pew Research </w:t>
      </w:r>
      <w:proofErr w:type="spellStart"/>
      <w:r>
        <w:t>Center</w:t>
      </w:r>
      <w:proofErr w:type="spellEnd"/>
      <w:r>
        <w:t xml:space="preserve">. 'Orthodox Christianity in the 21st Century.' November 8, 2017. </w:t>
      </w:r>
      <w:hyperlink r:id="rId10" w:history="1">
        <w:r w:rsidR="00893245" w:rsidRPr="00824ADA">
          <w:rPr>
            <w:rStyle w:val="Hyperlink"/>
            <w:sz w:val="20"/>
            <w:szCs w:val="20"/>
          </w:rPr>
          <w:t>https://www.pewresearch.org/religion/2017/11/08/orthodox-christianity-in-the-21st-century/</w:t>
        </w:r>
      </w:hyperlink>
    </w:p>
    <w:p w14:paraId="4817D99E" w14:textId="77777777" w:rsidR="00737968" w:rsidRDefault="00000000">
      <w:pPr>
        <w:pStyle w:val="Heading2"/>
      </w:pPr>
      <w:r>
        <w:t>Image Source</w:t>
      </w:r>
    </w:p>
    <w:p w14:paraId="560465E7" w14:textId="75F38B53" w:rsidR="00737968" w:rsidRDefault="00000000">
      <w:pPr>
        <w:spacing w:before="120" w:after="120"/>
        <w:ind w:left="720" w:hanging="360"/>
      </w:pPr>
      <w:r>
        <w:t xml:space="preserve">'Christ </w:t>
      </w:r>
      <w:proofErr w:type="spellStart"/>
      <w:r>
        <w:t>Pantocrator</w:t>
      </w:r>
      <w:proofErr w:type="spellEnd"/>
      <w:r>
        <w:t xml:space="preserve">.' Mosaic from Hagia Sophia, Constantinople, 13th century. Wikimedia Commons. </w:t>
      </w:r>
      <w:hyperlink r:id="rId11" w:history="1">
        <w:r>
          <w:rPr>
            <w:rStyle w:val="Hyperlink"/>
            <w:sz w:val="18"/>
            <w:szCs w:val="18"/>
          </w:rPr>
          <w:t>https://commons.wikimedia.org/wiki/File:Christ_Pantocrator_mosaic_from_Hagia_Sophia_2744_x_2900_pixels_3.1_MB.jpg</w:t>
        </w:r>
      </w:hyperlink>
    </w:p>
    <w:p w14:paraId="01C63127" w14:textId="77777777" w:rsidR="00737968" w:rsidRDefault="00737968">
      <w:pPr>
        <w:spacing w:after="120"/>
      </w:pPr>
    </w:p>
    <w:p w14:paraId="2B585DAA" w14:textId="3E08E2DA" w:rsidR="00737968" w:rsidRDefault="00737968">
      <w:pPr>
        <w:spacing w:before="360" w:after="120"/>
        <w:jc w:val="center"/>
      </w:pPr>
    </w:p>
    <w:sectPr w:rsidR="0073796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F83EF" w14:textId="77777777" w:rsidR="00E93C03" w:rsidRDefault="00E93C03" w:rsidP="00601E29">
      <w:r>
        <w:separator/>
      </w:r>
    </w:p>
  </w:endnote>
  <w:endnote w:type="continuationSeparator" w:id="0">
    <w:p w14:paraId="7E606E0F" w14:textId="77777777" w:rsidR="00E93C03" w:rsidRDefault="00E93C03" w:rsidP="0060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79ACE" w14:textId="77777777" w:rsidR="00E93C03" w:rsidRDefault="00E93C03" w:rsidP="00601E29">
      <w:r>
        <w:separator/>
      </w:r>
    </w:p>
  </w:footnote>
  <w:footnote w:type="continuationSeparator" w:id="0">
    <w:p w14:paraId="4DF37347" w14:textId="77777777" w:rsidR="00E93C03" w:rsidRDefault="00E93C03" w:rsidP="00601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3268D"/>
    <w:multiLevelType w:val="hybridMultilevel"/>
    <w:tmpl w:val="55E4A3DE"/>
    <w:lvl w:ilvl="0" w:tplc="E648FFB2">
      <w:start w:val="1"/>
      <w:numFmt w:val="bullet"/>
      <w:lvlText w:val="●"/>
      <w:lvlJc w:val="left"/>
      <w:pPr>
        <w:ind w:left="720" w:hanging="360"/>
      </w:pPr>
    </w:lvl>
    <w:lvl w:ilvl="1" w:tplc="099A946C">
      <w:start w:val="1"/>
      <w:numFmt w:val="bullet"/>
      <w:lvlText w:val="○"/>
      <w:lvlJc w:val="left"/>
      <w:pPr>
        <w:ind w:left="1440" w:hanging="360"/>
      </w:pPr>
    </w:lvl>
    <w:lvl w:ilvl="2" w:tplc="8EB09374">
      <w:start w:val="1"/>
      <w:numFmt w:val="bullet"/>
      <w:lvlText w:val="■"/>
      <w:lvlJc w:val="left"/>
      <w:pPr>
        <w:ind w:left="2160" w:hanging="360"/>
      </w:pPr>
    </w:lvl>
    <w:lvl w:ilvl="3" w:tplc="51A6D0D0">
      <w:start w:val="1"/>
      <w:numFmt w:val="bullet"/>
      <w:lvlText w:val="●"/>
      <w:lvlJc w:val="left"/>
      <w:pPr>
        <w:ind w:left="2880" w:hanging="360"/>
      </w:pPr>
    </w:lvl>
    <w:lvl w:ilvl="4" w:tplc="3A623642">
      <w:start w:val="1"/>
      <w:numFmt w:val="bullet"/>
      <w:lvlText w:val="○"/>
      <w:lvlJc w:val="left"/>
      <w:pPr>
        <w:ind w:left="3600" w:hanging="360"/>
      </w:pPr>
    </w:lvl>
    <w:lvl w:ilvl="5" w:tplc="CC80C27C">
      <w:start w:val="1"/>
      <w:numFmt w:val="bullet"/>
      <w:lvlText w:val="■"/>
      <w:lvlJc w:val="left"/>
      <w:pPr>
        <w:ind w:left="4320" w:hanging="360"/>
      </w:pPr>
    </w:lvl>
    <w:lvl w:ilvl="6" w:tplc="CBB2295E">
      <w:start w:val="1"/>
      <w:numFmt w:val="bullet"/>
      <w:lvlText w:val="●"/>
      <w:lvlJc w:val="left"/>
      <w:pPr>
        <w:ind w:left="5040" w:hanging="360"/>
      </w:pPr>
    </w:lvl>
    <w:lvl w:ilvl="7" w:tplc="5EFA0B30">
      <w:start w:val="1"/>
      <w:numFmt w:val="bullet"/>
      <w:lvlText w:val="●"/>
      <w:lvlJc w:val="left"/>
      <w:pPr>
        <w:ind w:left="5760" w:hanging="360"/>
      </w:pPr>
    </w:lvl>
    <w:lvl w:ilvl="8" w:tplc="B1104E08">
      <w:start w:val="1"/>
      <w:numFmt w:val="bullet"/>
      <w:lvlText w:val="●"/>
      <w:lvlJc w:val="left"/>
      <w:pPr>
        <w:ind w:left="6480" w:hanging="360"/>
      </w:pPr>
    </w:lvl>
  </w:abstractNum>
  <w:num w:numId="1" w16cid:durableId="126788372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968"/>
    <w:rsid w:val="002B5357"/>
    <w:rsid w:val="00601E29"/>
    <w:rsid w:val="00737968"/>
    <w:rsid w:val="00893245"/>
    <w:rsid w:val="00E93C03"/>
    <w:rsid w:val="00F56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B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000000"/>
      <w:sz w:val="32"/>
      <w:szCs w:val="32"/>
    </w:rPr>
  </w:style>
  <w:style w:type="paragraph" w:styleId="Heading2">
    <w:name w:val="heading 2"/>
    <w:uiPriority w:val="9"/>
    <w:unhideWhenUsed/>
    <w:qFormat/>
    <w:pPr>
      <w:spacing w:before="240" w:after="120"/>
      <w:outlineLvl w:val="1"/>
    </w:pPr>
    <w:rPr>
      <w:b/>
      <w:bCs/>
      <w:color w:val="000000"/>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before="240" w:after="240"/>
      <w:jc w:val="center"/>
    </w:pPr>
    <w:rPr>
      <w:b/>
      <w:bCs/>
      <w:color w:val="000000"/>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893245"/>
    <w:rPr>
      <w:color w:val="605E5C"/>
      <w:shd w:val="clear" w:color="auto" w:fill="E1DFDD"/>
    </w:rPr>
  </w:style>
  <w:style w:type="paragraph" w:styleId="Header">
    <w:name w:val="header"/>
    <w:basedOn w:val="Normal"/>
    <w:link w:val="HeaderChar"/>
    <w:uiPriority w:val="99"/>
    <w:unhideWhenUsed/>
    <w:rsid w:val="00601E29"/>
    <w:pPr>
      <w:tabs>
        <w:tab w:val="center" w:pos="4513"/>
        <w:tab w:val="right" w:pos="9026"/>
      </w:tabs>
    </w:pPr>
  </w:style>
  <w:style w:type="character" w:customStyle="1" w:styleId="HeaderChar">
    <w:name w:val="Header Char"/>
    <w:basedOn w:val="DefaultParagraphFont"/>
    <w:link w:val="Header"/>
    <w:uiPriority w:val="99"/>
    <w:rsid w:val="00601E29"/>
  </w:style>
  <w:style w:type="paragraph" w:styleId="Footer">
    <w:name w:val="footer"/>
    <w:basedOn w:val="Normal"/>
    <w:link w:val="FooterChar"/>
    <w:uiPriority w:val="99"/>
    <w:unhideWhenUsed/>
    <w:rsid w:val="00601E29"/>
    <w:pPr>
      <w:tabs>
        <w:tab w:val="center" w:pos="4513"/>
        <w:tab w:val="right" w:pos="9026"/>
      </w:tabs>
    </w:pPr>
  </w:style>
  <w:style w:type="character" w:customStyle="1" w:styleId="FooterChar">
    <w:name w:val="Footer Char"/>
    <w:basedOn w:val="DefaultParagraphFont"/>
    <w:link w:val="Footer"/>
    <w:uiPriority w:val="99"/>
    <w:rsid w:val="00601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ritannica.com/topic/Eastern-Orthodoxy/Hist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ons.wikimedia.org/wiki/File:Christ_Pantocrator_mosaic_from_Hagia_Sophia_2744_x_2900_pixels_3.1_MB.jpg" TargetMode="External"/><Relationship Id="rId5" Type="http://schemas.openxmlformats.org/officeDocument/2006/relationships/footnotes" Target="footnotes.xml"/><Relationship Id="rId10" Type="http://schemas.openxmlformats.org/officeDocument/2006/relationships/hyperlink" Target="https://www.pewresearch.org/religion/2017/11/08/orthodox-christianity-in-the-21st-century/" TargetMode="External"/><Relationship Id="rId4" Type="http://schemas.openxmlformats.org/officeDocument/2006/relationships/webSettings" Target="webSettings.xml"/><Relationship Id="rId9" Type="http://schemas.openxmlformats.org/officeDocument/2006/relationships/hyperlink" Target="https://www.oca.org/orthodoxy/the-orthodox-faith/church-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1564</Words>
  <Characters>10287</Characters>
  <Application>Microsoft Office Word</Application>
  <DocSecurity>0</DocSecurity>
  <Lines>180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2026-01-01T15:54:00Z</dcterms:created>
  <dcterms:modified xsi:type="dcterms:W3CDTF">2026-01-01T15:54:00Z</dcterms:modified>
</cp:coreProperties>
</file>