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D7181" w14:textId="2DA8BAFE" w:rsidR="00475682" w:rsidRPr="00475682" w:rsidRDefault="00475682" w:rsidP="00475682">
      <w:pPr>
        <w:rPr>
          <w:rFonts w:ascii="Arial" w:hAnsi="Arial" w:cs="Arial"/>
          <w:b/>
          <w:bCs/>
          <w:sz w:val="40"/>
          <w:szCs w:val="40"/>
          <w:u w:val="single"/>
        </w:rPr>
      </w:pPr>
      <w:r w:rsidRPr="00475682">
        <w:rPr>
          <w:rFonts w:ascii="Arial" w:hAnsi="Arial" w:cs="Arial"/>
          <w:b/>
          <w:bCs/>
          <w:sz w:val="40"/>
          <w:szCs w:val="40"/>
          <w:u w:val="single"/>
        </w:rPr>
        <w:t xml:space="preserve">Report Title: The Statistical Foundations of Modern Deep Learning: </w:t>
      </w:r>
      <w:r w:rsidRPr="00475682">
        <w:rPr>
          <w:rFonts w:ascii="Arial" w:hAnsi="Arial" w:cs="Arial"/>
          <w:b/>
          <w:bCs/>
          <w:sz w:val="40"/>
          <w:szCs w:val="40"/>
          <w:u w:val="single"/>
        </w:rPr>
        <w:t>Generalisation</w:t>
      </w:r>
      <w:r w:rsidRPr="00475682">
        <w:rPr>
          <w:rFonts w:ascii="Arial" w:hAnsi="Arial" w:cs="Arial"/>
          <w:b/>
          <w:bCs/>
          <w:sz w:val="40"/>
          <w:szCs w:val="40"/>
          <w:u w:val="single"/>
        </w:rPr>
        <w:t xml:space="preserve">, </w:t>
      </w:r>
      <w:r w:rsidRPr="00475682">
        <w:rPr>
          <w:rFonts w:ascii="Arial" w:hAnsi="Arial" w:cs="Arial"/>
          <w:b/>
          <w:bCs/>
          <w:sz w:val="40"/>
          <w:szCs w:val="40"/>
          <w:u w:val="single"/>
        </w:rPr>
        <w:t>Optimisation</w:t>
      </w:r>
      <w:r w:rsidRPr="00475682">
        <w:rPr>
          <w:rFonts w:ascii="Arial" w:hAnsi="Arial" w:cs="Arial"/>
          <w:b/>
          <w:bCs/>
          <w:sz w:val="40"/>
          <w:szCs w:val="40"/>
          <w:u w:val="single"/>
        </w:rPr>
        <w:t>, and Uncertainty</w:t>
      </w:r>
    </w:p>
    <w:p w14:paraId="50456DFB" w14:textId="4568F532" w:rsidR="00475682" w:rsidRPr="00475682" w:rsidRDefault="00475682" w:rsidP="00475682">
      <w:pPr>
        <w:jc w:val="both"/>
        <w:rPr>
          <w:rFonts w:ascii="Times New Roman" w:hAnsi="Times New Roman" w:cs="Times New Roman"/>
          <w:sz w:val="32"/>
          <w:szCs w:val="32"/>
        </w:rPr>
      </w:pPr>
      <w:r w:rsidRPr="00475682">
        <w:rPr>
          <w:rFonts w:ascii="Times New Roman" w:hAnsi="Times New Roman" w:cs="Times New Roman"/>
          <w:sz w:val="32"/>
          <w:szCs w:val="32"/>
        </w:rPr>
        <w:t xml:space="preserve">The relationship between statistics and machine learning (ML) has often been described as </w:t>
      </w:r>
      <w:r>
        <w:rPr>
          <w:rFonts w:ascii="Times New Roman" w:hAnsi="Times New Roman" w:cs="Times New Roman"/>
          <w:sz w:val="32"/>
          <w:szCs w:val="32"/>
        </w:rPr>
        <w:t xml:space="preserve">a "two cultures" phenomenon, both </w:t>
      </w:r>
      <w:r w:rsidRPr="00475682">
        <w:rPr>
          <w:rFonts w:ascii="Times New Roman" w:hAnsi="Times New Roman" w:cs="Times New Roman"/>
          <w:sz w:val="32"/>
          <w:szCs w:val="32"/>
        </w:rPr>
        <w:t xml:space="preserve">seeking the same goal: extracting value from data. However, over the last decade, statistical theory has moved from being a parallel discipline to becoming the essential framework for explaining, validating, and improving modern Artificial Intelligence (AI) systems. While deep learning is frequently </w:t>
      </w:r>
      <w:r>
        <w:rPr>
          <w:rFonts w:ascii="Times New Roman" w:hAnsi="Times New Roman" w:cs="Times New Roman"/>
          <w:sz w:val="32"/>
          <w:szCs w:val="32"/>
        </w:rPr>
        <w:t>criticised</w:t>
      </w:r>
      <w:r w:rsidRPr="00475682">
        <w:rPr>
          <w:rFonts w:ascii="Times New Roman" w:hAnsi="Times New Roman" w:cs="Times New Roman"/>
          <w:sz w:val="32"/>
          <w:szCs w:val="32"/>
        </w:rPr>
        <w:t xml:space="preserve"> as a "</w:t>
      </w:r>
      <w:r w:rsidRPr="00475682">
        <w:rPr>
          <w:rFonts w:ascii="Times New Roman" w:hAnsi="Times New Roman" w:cs="Times New Roman"/>
          <w:b/>
          <w:bCs/>
          <w:sz w:val="32"/>
          <w:szCs w:val="32"/>
        </w:rPr>
        <w:t>black box</w:t>
      </w:r>
      <w:r w:rsidRPr="00475682">
        <w:rPr>
          <w:rFonts w:ascii="Times New Roman" w:hAnsi="Times New Roman" w:cs="Times New Roman"/>
          <w:sz w:val="32"/>
          <w:szCs w:val="32"/>
        </w:rPr>
        <w:t xml:space="preserve">" engineering field, recent academic literature demonstrates that statistical methods underpin its three most critical challenges: </w:t>
      </w:r>
      <w:r>
        <w:rPr>
          <w:rFonts w:ascii="Times New Roman" w:hAnsi="Times New Roman" w:cs="Times New Roman"/>
          <w:sz w:val="32"/>
          <w:szCs w:val="32"/>
        </w:rPr>
        <w:t>generalisation</w:t>
      </w:r>
      <w:r w:rsidRPr="00475682">
        <w:rPr>
          <w:rFonts w:ascii="Times New Roman" w:hAnsi="Times New Roman" w:cs="Times New Roman"/>
          <w:sz w:val="32"/>
          <w:szCs w:val="32"/>
        </w:rPr>
        <w:t>, model capacity, and uncertainty quantification.</w:t>
      </w:r>
    </w:p>
    <w:p w14:paraId="129912CC" w14:textId="63CC02C1" w:rsidR="00475682" w:rsidRPr="00475682" w:rsidRDefault="00475682" w:rsidP="00475682">
      <w:pPr>
        <w:jc w:val="both"/>
        <w:rPr>
          <w:rFonts w:ascii="Times New Roman" w:hAnsi="Times New Roman" w:cs="Times New Roman"/>
          <w:sz w:val="32"/>
          <w:szCs w:val="32"/>
        </w:rPr>
      </w:pPr>
      <w:r w:rsidRPr="00475682">
        <w:rPr>
          <w:rFonts w:ascii="Times New Roman" w:hAnsi="Times New Roman" w:cs="Times New Roman"/>
          <w:sz w:val="32"/>
          <w:szCs w:val="32"/>
        </w:rPr>
        <w:t>A central paradox in modern AI is the phenomenon of "</w:t>
      </w:r>
      <w:r>
        <w:rPr>
          <w:rFonts w:ascii="Times New Roman" w:hAnsi="Times New Roman" w:cs="Times New Roman"/>
          <w:sz w:val="32"/>
          <w:szCs w:val="32"/>
        </w:rPr>
        <w:t>generalisation</w:t>
      </w:r>
      <w:r w:rsidRPr="00475682">
        <w:rPr>
          <w:rFonts w:ascii="Times New Roman" w:hAnsi="Times New Roman" w:cs="Times New Roman"/>
          <w:sz w:val="32"/>
          <w:szCs w:val="32"/>
        </w:rPr>
        <w:t>"</w:t>
      </w:r>
      <w:r>
        <w:rPr>
          <w:rFonts w:ascii="Times New Roman" w:hAnsi="Times New Roman" w:cs="Times New Roman"/>
          <w:sz w:val="32"/>
          <w:szCs w:val="32"/>
        </w:rPr>
        <w:t xml:space="preserve">, </w:t>
      </w:r>
      <w:r w:rsidRPr="00475682">
        <w:rPr>
          <w:rFonts w:ascii="Times New Roman" w:hAnsi="Times New Roman" w:cs="Times New Roman"/>
          <w:sz w:val="32"/>
          <w:szCs w:val="32"/>
        </w:rPr>
        <w:t>the ability of a model to perform accurately on unseen data. Classical statistical learning theory relies on the "bias-variance trade-off," which posits that increasing model complexity (adding more parameters) eventually leads to overfitting, where the model memorizes training data but fails on test data. However, deep neural networks with millions of parameters often defy this rule. This contradiction was rigorously addressed by Belkin et al. (2019), who introduced the "double descent" curve [1]. Their statistical analysis revealed that as model complexity increases beyond the point of fitting the training data perfectly (interpolation), the test error paradoxically decreases again. This finding extended classical statistical boundaries, proving that modern "</w:t>
      </w:r>
      <w:r w:rsidR="00E44B50">
        <w:rPr>
          <w:rFonts w:ascii="Times New Roman" w:hAnsi="Times New Roman" w:cs="Times New Roman"/>
          <w:sz w:val="32"/>
          <w:szCs w:val="32"/>
        </w:rPr>
        <w:t>over-parameterised</w:t>
      </w:r>
      <w:r w:rsidRPr="00475682">
        <w:rPr>
          <w:rFonts w:ascii="Times New Roman" w:hAnsi="Times New Roman" w:cs="Times New Roman"/>
          <w:sz w:val="32"/>
          <w:szCs w:val="32"/>
        </w:rPr>
        <w:t>" models operate in a new statistical regime that requires different validation techniques than traditional regression models.</w:t>
      </w:r>
    </w:p>
    <w:p w14:paraId="1572E312" w14:textId="2F6A0A2C" w:rsidR="00475682" w:rsidRPr="00475682" w:rsidRDefault="00475682" w:rsidP="00475682">
      <w:pPr>
        <w:jc w:val="both"/>
        <w:rPr>
          <w:rFonts w:ascii="Times New Roman" w:hAnsi="Times New Roman" w:cs="Times New Roman"/>
          <w:sz w:val="32"/>
          <w:szCs w:val="32"/>
        </w:rPr>
      </w:pPr>
      <w:r w:rsidRPr="00475682">
        <w:rPr>
          <w:rFonts w:ascii="Times New Roman" w:hAnsi="Times New Roman" w:cs="Times New Roman"/>
          <w:sz w:val="32"/>
          <w:szCs w:val="32"/>
        </w:rPr>
        <w:t xml:space="preserve">Furthermore, statistical methods are indispensable for probing the theoretical limits of these models. In a landmark study, Zhang et al. (2017) employed </w:t>
      </w:r>
      <w:r>
        <w:rPr>
          <w:rFonts w:ascii="Times New Roman" w:hAnsi="Times New Roman" w:cs="Times New Roman"/>
          <w:sz w:val="32"/>
          <w:szCs w:val="32"/>
        </w:rPr>
        <w:t xml:space="preserve">randomisation tests—a standard statistical tool—to </w:t>
      </w:r>
      <w:r>
        <w:rPr>
          <w:rFonts w:ascii="Times New Roman" w:hAnsi="Times New Roman" w:cs="Times New Roman"/>
          <w:sz w:val="32"/>
          <w:szCs w:val="32"/>
        </w:rPr>
        <w:lastRenderedPageBreak/>
        <w:t>demonstrate that deep neural networks are capable of memorising entire datasets, even when the labels are randomised</w:t>
      </w:r>
      <w:r w:rsidRPr="00475682">
        <w:rPr>
          <w:rFonts w:ascii="Times New Roman" w:hAnsi="Times New Roman" w:cs="Times New Roman"/>
          <w:sz w:val="32"/>
          <w:szCs w:val="32"/>
        </w:rPr>
        <w:t xml:space="preserve"> [2]. This shattered the assumption that model architecture alone enforces generalization. By applying statistical rigor, the authors demonstrated that traditional measures of capacity, such as Vapnik–Chervonenkis (VC) dimension, were insufficient for deep learning, prompting a shift toward norm-based capacity control in optimization.</w:t>
      </w:r>
    </w:p>
    <w:p w14:paraId="737DDD89" w14:textId="7247D4A1" w:rsidR="00475682" w:rsidRPr="00475682" w:rsidRDefault="00475682" w:rsidP="00475682">
      <w:pPr>
        <w:jc w:val="both"/>
        <w:rPr>
          <w:rFonts w:ascii="Times New Roman" w:hAnsi="Times New Roman" w:cs="Times New Roman"/>
          <w:sz w:val="32"/>
          <w:szCs w:val="32"/>
        </w:rPr>
      </w:pPr>
      <w:r w:rsidRPr="00475682">
        <w:rPr>
          <w:rFonts w:ascii="Times New Roman" w:hAnsi="Times New Roman" w:cs="Times New Roman"/>
          <w:sz w:val="32"/>
          <w:szCs w:val="32"/>
        </w:rPr>
        <w:t xml:space="preserve">Beyond </w:t>
      </w:r>
      <w:r>
        <w:rPr>
          <w:rFonts w:ascii="Times New Roman" w:hAnsi="Times New Roman" w:cs="Times New Roman"/>
          <w:sz w:val="32"/>
          <w:szCs w:val="32"/>
        </w:rPr>
        <w:t>generalisation</w:t>
      </w:r>
      <w:r w:rsidRPr="00475682">
        <w:rPr>
          <w:rFonts w:ascii="Times New Roman" w:hAnsi="Times New Roman" w:cs="Times New Roman"/>
          <w:sz w:val="32"/>
          <w:szCs w:val="32"/>
        </w:rPr>
        <w:t>, statistics provides the only viable path for assessing safety in AI through uncertainty estimation. Standard neural networks often output overconfident predictions, which is dangerous in safety-critical fields like autonomous driving. Gal and Ghahramani (2016) bridged this gap by proving that "dropout"</w:t>
      </w:r>
      <w:r>
        <w:rPr>
          <w:rFonts w:ascii="Times New Roman" w:hAnsi="Times New Roman" w:cs="Times New Roman"/>
          <w:sz w:val="32"/>
          <w:szCs w:val="32"/>
        </w:rPr>
        <w:t xml:space="preserve">, </w:t>
      </w:r>
      <w:r w:rsidRPr="00475682">
        <w:rPr>
          <w:rFonts w:ascii="Times New Roman" w:hAnsi="Times New Roman" w:cs="Times New Roman"/>
          <w:sz w:val="32"/>
          <w:szCs w:val="32"/>
        </w:rPr>
        <w:t xml:space="preserve">a common </w:t>
      </w:r>
      <w:r>
        <w:rPr>
          <w:rFonts w:ascii="Times New Roman" w:hAnsi="Times New Roman" w:cs="Times New Roman"/>
          <w:sz w:val="32"/>
          <w:szCs w:val="32"/>
        </w:rPr>
        <w:t>regularisation</w:t>
      </w:r>
      <w:r w:rsidRPr="00475682">
        <w:rPr>
          <w:rFonts w:ascii="Times New Roman" w:hAnsi="Times New Roman" w:cs="Times New Roman"/>
          <w:sz w:val="32"/>
          <w:szCs w:val="32"/>
        </w:rPr>
        <w:t xml:space="preserve"> technique</w:t>
      </w:r>
      <w:r>
        <w:rPr>
          <w:rFonts w:ascii="Times New Roman" w:hAnsi="Times New Roman" w:cs="Times New Roman"/>
          <w:sz w:val="32"/>
          <w:szCs w:val="32"/>
        </w:rPr>
        <w:t xml:space="preserve">, </w:t>
      </w:r>
      <w:r w:rsidRPr="00475682">
        <w:rPr>
          <w:rFonts w:ascii="Times New Roman" w:hAnsi="Times New Roman" w:cs="Times New Roman"/>
          <w:sz w:val="32"/>
          <w:szCs w:val="32"/>
        </w:rPr>
        <w:t xml:space="preserve">is mathematically equivalent to approximate Bayesian inference [3]. This insight allows engineers to use familiar tools to generate "error bars" for AI predictions, transforming a heuristic engineering trick into a statistically grounded method for risk assessment. Finally, Li et al. (2018) </w:t>
      </w:r>
      <w:r w:rsidR="00E44B50">
        <w:rPr>
          <w:rFonts w:ascii="Times New Roman" w:hAnsi="Times New Roman" w:cs="Times New Roman"/>
          <w:sz w:val="32"/>
          <w:szCs w:val="32"/>
        </w:rPr>
        <w:t>utilised visualisation</w:t>
      </w:r>
      <w:r w:rsidRPr="00475682">
        <w:rPr>
          <w:rFonts w:ascii="Times New Roman" w:hAnsi="Times New Roman" w:cs="Times New Roman"/>
          <w:sz w:val="32"/>
          <w:szCs w:val="32"/>
        </w:rPr>
        <w:t xml:space="preserve"> statistics to map the high-dimensional "loss landscapes" of neural networks, showing that the geometry of these statistical manifolds directly correlates with the ease of training [4].</w:t>
      </w:r>
    </w:p>
    <w:p w14:paraId="3EA8D338" w14:textId="52D50217" w:rsidR="00475682" w:rsidRPr="00475682" w:rsidRDefault="00475682" w:rsidP="00475682">
      <w:pPr>
        <w:jc w:val="both"/>
        <w:rPr>
          <w:rFonts w:ascii="Times New Roman" w:hAnsi="Times New Roman" w:cs="Times New Roman"/>
          <w:sz w:val="32"/>
          <w:szCs w:val="32"/>
        </w:rPr>
      </w:pPr>
      <w:r w:rsidRPr="00475682">
        <w:rPr>
          <w:rFonts w:ascii="Times New Roman" w:hAnsi="Times New Roman" w:cs="Times New Roman"/>
          <w:sz w:val="32"/>
          <w:szCs w:val="32"/>
        </w:rPr>
        <w:t xml:space="preserve">In conclusion, statistics is not merely a tool for data preprocessing but the governing logic of modern AI. From redefining the bias-variance trade-off to enabling Bayesian safety checks, statistical theory remains the primary lens through which we understand, evaluate, and trust the </w:t>
      </w:r>
      <w:r w:rsidRPr="00475682">
        <w:rPr>
          <w:rFonts w:ascii="Times New Roman" w:hAnsi="Times New Roman" w:cs="Times New Roman"/>
          <w:sz w:val="32"/>
          <w:szCs w:val="32"/>
        </w:rPr>
        <w:t>behaviour</w:t>
      </w:r>
      <w:r w:rsidRPr="00475682">
        <w:rPr>
          <w:rFonts w:ascii="Times New Roman" w:hAnsi="Times New Roman" w:cs="Times New Roman"/>
          <w:sz w:val="32"/>
          <w:szCs w:val="32"/>
        </w:rPr>
        <w:t xml:space="preserve"> of complex learning algorithms.</w:t>
      </w:r>
    </w:p>
    <w:p w14:paraId="5DB2BDF8" w14:textId="77777777" w:rsidR="00475682" w:rsidRPr="00475682" w:rsidRDefault="00475682" w:rsidP="00475682">
      <w:pPr>
        <w:rPr>
          <w:rFonts w:ascii="Arial" w:hAnsi="Arial" w:cs="Arial"/>
          <w:b/>
          <w:bCs/>
          <w:sz w:val="32"/>
          <w:szCs w:val="32"/>
        </w:rPr>
      </w:pPr>
      <w:r w:rsidRPr="00475682">
        <w:rPr>
          <w:rFonts w:ascii="Arial" w:hAnsi="Arial" w:cs="Arial"/>
          <w:b/>
          <w:bCs/>
          <w:sz w:val="32"/>
          <w:szCs w:val="32"/>
        </w:rPr>
        <w:t>References</w:t>
      </w:r>
    </w:p>
    <w:p w14:paraId="2D2EA870" w14:textId="77777777" w:rsidR="00475682" w:rsidRPr="00475682" w:rsidRDefault="00475682" w:rsidP="00475682">
      <w:pPr>
        <w:rPr>
          <w:rStyle w:val="SubtleReference"/>
        </w:rPr>
      </w:pPr>
      <w:r w:rsidRPr="00475682">
        <w:rPr>
          <w:rStyle w:val="SubtleReference"/>
        </w:rPr>
        <w:t>[1] M. Belkin, D. Hsu, S. Ma, and S. Mandal, "Reconciling modern machine-learning practice and the classical bias–variance trade-off," Proc. Nat. Acad. Sci. U.S.A., vol. 116, no. 32, pp. 15849–15854, 2019.</w:t>
      </w:r>
    </w:p>
    <w:p w14:paraId="7200A641" w14:textId="659E9AAE" w:rsidR="00475682" w:rsidRPr="00475682" w:rsidRDefault="00475682" w:rsidP="00475682">
      <w:pPr>
        <w:rPr>
          <w:rStyle w:val="SubtleReference"/>
        </w:rPr>
      </w:pPr>
      <w:r w:rsidRPr="00475682">
        <w:rPr>
          <w:rStyle w:val="SubtleReference"/>
        </w:rPr>
        <w:t xml:space="preserve">[2] C. Zhang, S. Bengio, M. Hardt, B. Recht, and O. Vinyals, "Understanding deep learning requires rethinking </w:t>
      </w:r>
      <w:r w:rsidRPr="00475682">
        <w:rPr>
          <w:rStyle w:val="SubtleReference"/>
        </w:rPr>
        <w:t>generalisation</w:t>
      </w:r>
      <w:r w:rsidRPr="00475682">
        <w:rPr>
          <w:rStyle w:val="SubtleReference"/>
        </w:rPr>
        <w:t>," in Proc. Int. Conf. Learn. Represent. (ICLR), Toulon, France, 2017.</w:t>
      </w:r>
    </w:p>
    <w:p w14:paraId="1DF6F617" w14:textId="77777777" w:rsidR="00475682" w:rsidRPr="00475682" w:rsidRDefault="00475682" w:rsidP="00475682">
      <w:pPr>
        <w:rPr>
          <w:rStyle w:val="SubtleReference"/>
        </w:rPr>
      </w:pPr>
      <w:r w:rsidRPr="00475682">
        <w:rPr>
          <w:rStyle w:val="SubtleReference"/>
        </w:rPr>
        <w:lastRenderedPageBreak/>
        <w:t>[3] Y. Gal and Z. Ghahramani, "Dropout as a Bayesian approximation: Representing model uncertainty in deep learning," in Proc. 33rd Int. Conf. Mach. Learn. (ICML), New York, NY, USA, 2016, pp. 1050–1059.</w:t>
      </w:r>
    </w:p>
    <w:p w14:paraId="264B882E" w14:textId="2B5B5ADB" w:rsidR="00475682" w:rsidRPr="00475682" w:rsidRDefault="00475682" w:rsidP="00475682">
      <w:pPr>
        <w:rPr>
          <w:rStyle w:val="SubtleReference"/>
        </w:rPr>
      </w:pPr>
      <w:r w:rsidRPr="00475682">
        <w:rPr>
          <w:rStyle w:val="SubtleReference"/>
        </w:rPr>
        <w:t>[4] H. Li, Z. Xu, G. Taylor, C. Studer, and T. Goldstein, "</w:t>
      </w:r>
      <w:r w:rsidRPr="00475682">
        <w:rPr>
          <w:rStyle w:val="SubtleReference"/>
        </w:rPr>
        <w:t>Visualising</w:t>
      </w:r>
      <w:r w:rsidRPr="00475682">
        <w:rPr>
          <w:rStyle w:val="SubtleReference"/>
        </w:rPr>
        <w:t xml:space="preserve"> the loss landscape of neural nets," in Adv. Neural Inf. Process. Syst. (NeurIPS), vol. 31, Montreal, QC, Canada, 2018, pp. 6389–6399.</w:t>
      </w:r>
    </w:p>
    <w:p w14:paraId="67A07548" w14:textId="77777777" w:rsidR="00541336" w:rsidRPr="00475682" w:rsidRDefault="00541336" w:rsidP="00475682"/>
    <w:sectPr w:rsidR="00541336" w:rsidRPr="00475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6ACC"/>
    <w:multiLevelType w:val="multilevel"/>
    <w:tmpl w:val="BE94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7496F"/>
    <w:multiLevelType w:val="multilevel"/>
    <w:tmpl w:val="D4D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F52704"/>
    <w:multiLevelType w:val="hybridMultilevel"/>
    <w:tmpl w:val="DDC6AD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EF35C2F"/>
    <w:multiLevelType w:val="multilevel"/>
    <w:tmpl w:val="A006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E12DED"/>
    <w:multiLevelType w:val="hybridMultilevel"/>
    <w:tmpl w:val="46385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D871A93"/>
    <w:multiLevelType w:val="multilevel"/>
    <w:tmpl w:val="53AA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3A0D9A"/>
    <w:multiLevelType w:val="hybridMultilevel"/>
    <w:tmpl w:val="FF807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9EF0F06"/>
    <w:multiLevelType w:val="hybridMultilevel"/>
    <w:tmpl w:val="F3802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0825724">
    <w:abstractNumId w:val="5"/>
  </w:num>
  <w:num w:numId="2" w16cid:durableId="1128426196">
    <w:abstractNumId w:val="3"/>
  </w:num>
  <w:num w:numId="3" w16cid:durableId="1657757456">
    <w:abstractNumId w:val="1"/>
  </w:num>
  <w:num w:numId="4" w16cid:durableId="875193386">
    <w:abstractNumId w:val="0"/>
  </w:num>
  <w:num w:numId="5" w16cid:durableId="1656449160">
    <w:abstractNumId w:val="6"/>
  </w:num>
  <w:num w:numId="6" w16cid:durableId="621837733">
    <w:abstractNumId w:val="4"/>
  </w:num>
  <w:num w:numId="7" w16cid:durableId="841703963">
    <w:abstractNumId w:val="7"/>
  </w:num>
  <w:num w:numId="8" w16cid:durableId="861017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93"/>
    <w:rsid w:val="000D7D9F"/>
    <w:rsid w:val="001F2AE3"/>
    <w:rsid w:val="0027031E"/>
    <w:rsid w:val="00291221"/>
    <w:rsid w:val="00316E5C"/>
    <w:rsid w:val="00475682"/>
    <w:rsid w:val="004D438E"/>
    <w:rsid w:val="0053248C"/>
    <w:rsid w:val="00541336"/>
    <w:rsid w:val="00662E97"/>
    <w:rsid w:val="008163C9"/>
    <w:rsid w:val="008245D2"/>
    <w:rsid w:val="00857D7A"/>
    <w:rsid w:val="0088313E"/>
    <w:rsid w:val="008C179A"/>
    <w:rsid w:val="009700A2"/>
    <w:rsid w:val="00B11D2D"/>
    <w:rsid w:val="00B82065"/>
    <w:rsid w:val="00C01593"/>
    <w:rsid w:val="00C87C4C"/>
    <w:rsid w:val="00CA639D"/>
    <w:rsid w:val="00E44B50"/>
    <w:rsid w:val="00FE4E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8664"/>
  <w15:chartTrackingRefBased/>
  <w15:docId w15:val="{452309BA-2062-43E9-95AE-3A8D0F59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5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5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5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5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5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5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5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5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5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5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593"/>
    <w:rPr>
      <w:rFonts w:eastAsiaTheme="majorEastAsia" w:cstheme="majorBidi"/>
      <w:color w:val="272727" w:themeColor="text1" w:themeTint="D8"/>
    </w:rPr>
  </w:style>
  <w:style w:type="paragraph" w:styleId="Title">
    <w:name w:val="Title"/>
    <w:basedOn w:val="Normal"/>
    <w:next w:val="Normal"/>
    <w:link w:val="TitleChar"/>
    <w:uiPriority w:val="10"/>
    <w:qFormat/>
    <w:rsid w:val="00C01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593"/>
    <w:pPr>
      <w:spacing w:before="160"/>
      <w:jc w:val="center"/>
    </w:pPr>
    <w:rPr>
      <w:i/>
      <w:iCs/>
      <w:color w:val="404040" w:themeColor="text1" w:themeTint="BF"/>
    </w:rPr>
  </w:style>
  <w:style w:type="character" w:customStyle="1" w:styleId="QuoteChar">
    <w:name w:val="Quote Char"/>
    <w:basedOn w:val="DefaultParagraphFont"/>
    <w:link w:val="Quote"/>
    <w:uiPriority w:val="29"/>
    <w:rsid w:val="00C01593"/>
    <w:rPr>
      <w:i/>
      <w:iCs/>
      <w:color w:val="404040" w:themeColor="text1" w:themeTint="BF"/>
    </w:rPr>
  </w:style>
  <w:style w:type="paragraph" w:styleId="ListParagraph">
    <w:name w:val="List Paragraph"/>
    <w:basedOn w:val="Normal"/>
    <w:uiPriority w:val="34"/>
    <w:qFormat/>
    <w:rsid w:val="00C01593"/>
    <w:pPr>
      <w:ind w:left="720"/>
      <w:contextualSpacing/>
    </w:pPr>
  </w:style>
  <w:style w:type="character" w:styleId="IntenseEmphasis">
    <w:name w:val="Intense Emphasis"/>
    <w:basedOn w:val="DefaultParagraphFont"/>
    <w:uiPriority w:val="21"/>
    <w:qFormat/>
    <w:rsid w:val="00C01593"/>
    <w:rPr>
      <w:i/>
      <w:iCs/>
      <w:color w:val="0F4761" w:themeColor="accent1" w:themeShade="BF"/>
    </w:rPr>
  </w:style>
  <w:style w:type="paragraph" w:styleId="IntenseQuote">
    <w:name w:val="Intense Quote"/>
    <w:basedOn w:val="Normal"/>
    <w:next w:val="Normal"/>
    <w:link w:val="IntenseQuoteChar"/>
    <w:uiPriority w:val="30"/>
    <w:qFormat/>
    <w:rsid w:val="00C015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593"/>
    <w:rPr>
      <w:i/>
      <w:iCs/>
      <w:color w:val="0F4761" w:themeColor="accent1" w:themeShade="BF"/>
    </w:rPr>
  </w:style>
  <w:style w:type="character" w:styleId="IntenseReference">
    <w:name w:val="Intense Reference"/>
    <w:basedOn w:val="DefaultParagraphFont"/>
    <w:uiPriority w:val="32"/>
    <w:qFormat/>
    <w:rsid w:val="00C01593"/>
    <w:rPr>
      <w:b/>
      <w:bCs/>
      <w:smallCaps/>
      <w:color w:val="0F4761" w:themeColor="accent1" w:themeShade="BF"/>
      <w:spacing w:val="5"/>
    </w:rPr>
  </w:style>
  <w:style w:type="table" w:styleId="TableGrid">
    <w:name w:val="Table Grid"/>
    <w:basedOn w:val="TableNormal"/>
    <w:uiPriority w:val="39"/>
    <w:rsid w:val="004D4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47568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59070">
      <w:bodyDiv w:val="1"/>
      <w:marLeft w:val="0"/>
      <w:marRight w:val="0"/>
      <w:marTop w:val="0"/>
      <w:marBottom w:val="0"/>
      <w:divBdr>
        <w:top w:val="none" w:sz="0" w:space="0" w:color="auto"/>
        <w:left w:val="none" w:sz="0" w:space="0" w:color="auto"/>
        <w:bottom w:val="none" w:sz="0" w:space="0" w:color="auto"/>
        <w:right w:val="none" w:sz="0" w:space="0" w:color="auto"/>
      </w:divBdr>
      <w:divsChild>
        <w:div w:id="913667841">
          <w:marLeft w:val="0"/>
          <w:marRight w:val="0"/>
          <w:marTop w:val="0"/>
          <w:marBottom w:val="0"/>
          <w:divBdr>
            <w:top w:val="none" w:sz="0" w:space="0" w:color="auto"/>
            <w:left w:val="none" w:sz="0" w:space="0" w:color="auto"/>
            <w:bottom w:val="none" w:sz="0" w:space="0" w:color="auto"/>
            <w:right w:val="none" w:sz="0" w:space="0" w:color="auto"/>
          </w:divBdr>
          <w:divsChild>
            <w:div w:id="146573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550">
      <w:bodyDiv w:val="1"/>
      <w:marLeft w:val="0"/>
      <w:marRight w:val="0"/>
      <w:marTop w:val="0"/>
      <w:marBottom w:val="0"/>
      <w:divBdr>
        <w:top w:val="none" w:sz="0" w:space="0" w:color="auto"/>
        <w:left w:val="none" w:sz="0" w:space="0" w:color="auto"/>
        <w:bottom w:val="none" w:sz="0" w:space="0" w:color="auto"/>
        <w:right w:val="none" w:sz="0" w:space="0" w:color="auto"/>
      </w:divBdr>
      <w:divsChild>
        <w:div w:id="1422869999">
          <w:marLeft w:val="0"/>
          <w:marRight w:val="0"/>
          <w:marTop w:val="0"/>
          <w:marBottom w:val="0"/>
          <w:divBdr>
            <w:top w:val="none" w:sz="0" w:space="0" w:color="auto"/>
            <w:left w:val="none" w:sz="0" w:space="0" w:color="auto"/>
            <w:bottom w:val="none" w:sz="0" w:space="0" w:color="auto"/>
            <w:right w:val="none" w:sz="0" w:space="0" w:color="auto"/>
          </w:divBdr>
          <w:divsChild>
            <w:div w:id="16931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3</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Aliyu Sambo</dc:creator>
  <cp:keywords/>
  <dc:description/>
  <cp:lastModifiedBy>khawja Redwanul islam</cp:lastModifiedBy>
  <cp:revision>14</cp:revision>
  <dcterms:created xsi:type="dcterms:W3CDTF">2025-05-20T12:00:00Z</dcterms:created>
  <dcterms:modified xsi:type="dcterms:W3CDTF">2026-01-28T14:38:00Z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da60a18d-41de-4a0b-898f-ad8fec45d5cd</vt:lpwstr>
  </property>
</Properties>
</file>