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290D5" w14:textId="77777777" w:rsidR="00F469F4" w:rsidRPr="00D718AB" w:rsidRDefault="00F469F4" w:rsidP="002F5784">
      <w:pPr>
        <w:jc w:val="center"/>
        <w:rPr>
          <w:rFonts w:ascii="Arial" w:hAnsi="Arial" w:cs="Arial"/>
        </w:rPr>
      </w:pPr>
    </w:p>
    <w:p w14:paraId="3615CEA0" w14:textId="77777777" w:rsidR="00F469F4" w:rsidRPr="00D718AB" w:rsidRDefault="00F469F4" w:rsidP="002F5784">
      <w:pPr>
        <w:jc w:val="center"/>
        <w:rPr>
          <w:rFonts w:ascii="Arial" w:hAnsi="Arial" w:cs="Arial"/>
        </w:rPr>
      </w:pPr>
    </w:p>
    <w:p w14:paraId="3221AE81" w14:textId="77777777" w:rsidR="00F469F4" w:rsidRPr="00D718AB" w:rsidRDefault="00F469F4" w:rsidP="002F5784">
      <w:pPr>
        <w:jc w:val="center"/>
        <w:rPr>
          <w:rFonts w:ascii="Arial" w:hAnsi="Arial" w:cs="Arial"/>
        </w:rPr>
      </w:pPr>
    </w:p>
    <w:p w14:paraId="492F5814" w14:textId="77777777" w:rsidR="00F469F4" w:rsidRPr="00D718AB" w:rsidRDefault="00F469F4" w:rsidP="002F5784">
      <w:pPr>
        <w:jc w:val="center"/>
        <w:rPr>
          <w:rFonts w:ascii="Arial" w:hAnsi="Arial" w:cs="Arial"/>
        </w:rPr>
      </w:pPr>
    </w:p>
    <w:p w14:paraId="5D40BE10" w14:textId="77777777" w:rsidR="00F469F4" w:rsidRPr="00D718AB" w:rsidRDefault="00F469F4" w:rsidP="002F5784">
      <w:pPr>
        <w:jc w:val="center"/>
        <w:rPr>
          <w:rFonts w:ascii="Arial" w:hAnsi="Arial" w:cs="Arial"/>
        </w:rPr>
      </w:pPr>
    </w:p>
    <w:p w14:paraId="7D077C97" w14:textId="77777777" w:rsidR="00F469F4" w:rsidRPr="00D718AB" w:rsidRDefault="00F469F4" w:rsidP="002F5784">
      <w:pPr>
        <w:jc w:val="center"/>
        <w:rPr>
          <w:rFonts w:ascii="Arial" w:hAnsi="Arial" w:cs="Arial"/>
        </w:rPr>
      </w:pPr>
    </w:p>
    <w:p w14:paraId="754A7617" w14:textId="77777777" w:rsidR="00F469F4" w:rsidRPr="00D718AB" w:rsidRDefault="00F469F4" w:rsidP="002F5784">
      <w:pPr>
        <w:jc w:val="center"/>
        <w:rPr>
          <w:rFonts w:ascii="Arial" w:hAnsi="Arial" w:cs="Arial"/>
        </w:rPr>
      </w:pPr>
    </w:p>
    <w:p w14:paraId="7BE9EC20" w14:textId="77777777" w:rsidR="00F469F4" w:rsidRPr="00D718AB" w:rsidRDefault="00F469F4" w:rsidP="002F5784">
      <w:pPr>
        <w:jc w:val="center"/>
        <w:rPr>
          <w:rFonts w:ascii="Arial" w:hAnsi="Arial" w:cs="Arial"/>
        </w:rPr>
      </w:pPr>
    </w:p>
    <w:p w14:paraId="272CFBDF" w14:textId="77777777" w:rsidR="00F469F4" w:rsidRPr="00D718AB" w:rsidRDefault="00F469F4" w:rsidP="002F5784">
      <w:pPr>
        <w:jc w:val="center"/>
        <w:rPr>
          <w:rFonts w:ascii="Arial" w:hAnsi="Arial" w:cs="Arial"/>
        </w:rPr>
      </w:pPr>
    </w:p>
    <w:p w14:paraId="10D79BDE" w14:textId="77777777" w:rsidR="00F469F4" w:rsidRPr="00D718AB" w:rsidRDefault="00F469F4" w:rsidP="002F5784">
      <w:pPr>
        <w:jc w:val="center"/>
        <w:rPr>
          <w:rFonts w:ascii="Arial" w:hAnsi="Arial" w:cs="Arial"/>
        </w:rPr>
      </w:pPr>
    </w:p>
    <w:p w14:paraId="5C2F270F" w14:textId="77777777" w:rsidR="00F469F4" w:rsidRPr="00D718AB" w:rsidRDefault="00F469F4" w:rsidP="002F5784">
      <w:pPr>
        <w:jc w:val="center"/>
        <w:rPr>
          <w:rFonts w:ascii="Arial" w:hAnsi="Arial" w:cs="Arial"/>
        </w:rPr>
      </w:pPr>
    </w:p>
    <w:p w14:paraId="794B2355" w14:textId="77777777" w:rsidR="00F469F4" w:rsidRPr="00D718AB" w:rsidRDefault="00F469F4" w:rsidP="002F5784">
      <w:pPr>
        <w:jc w:val="center"/>
        <w:rPr>
          <w:rFonts w:ascii="Arial" w:hAnsi="Arial" w:cs="Arial"/>
        </w:rPr>
      </w:pPr>
    </w:p>
    <w:p w14:paraId="17897896" w14:textId="77777777" w:rsidR="00F469F4" w:rsidRPr="00D718AB" w:rsidRDefault="00F469F4" w:rsidP="002F5784">
      <w:pPr>
        <w:jc w:val="center"/>
        <w:rPr>
          <w:rFonts w:ascii="Arial" w:hAnsi="Arial" w:cs="Arial"/>
        </w:rPr>
      </w:pPr>
    </w:p>
    <w:p w14:paraId="73DF5489" w14:textId="0F3760DF" w:rsidR="00F469F4" w:rsidRPr="00D718AB" w:rsidRDefault="00F469F4" w:rsidP="00F469F4">
      <w:pPr>
        <w:pStyle w:val="p1"/>
        <w:spacing w:line="360" w:lineRule="auto"/>
        <w:rPr>
          <w:rFonts w:ascii="Arial" w:hAnsi="Arial" w:cs="Arial"/>
          <w:sz w:val="24"/>
          <w:szCs w:val="24"/>
        </w:rPr>
      </w:pPr>
      <w:r w:rsidRPr="00D718AB">
        <w:rPr>
          <w:rFonts w:ascii="Arial" w:hAnsi="Arial" w:cs="Arial"/>
          <w:sz w:val="24"/>
          <w:szCs w:val="24"/>
        </w:rPr>
        <w:t xml:space="preserve">I acknowledge the use of Copilot (https://copilot.microsoft.com) on </w:t>
      </w:r>
      <w:r w:rsidR="002043CA" w:rsidRPr="00D718AB">
        <w:rPr>
          <w:rFonts w:ascii="Arial" w:hAnsi="Arial" w:cs="Arial"/>
          <w:sz w:val="24"/>
          <w:szCs w:val="24"/>
        </w:rPr>
        <w:t>31st</w:t>
      </w:r>
      <w:r w:rsidR="00EE0A46" w:rsidRPr="00D718AB">
        <w:rPr>
          <w:rFonts w:ascii="Arial" w:hAnsi="Arial" w:cs="Arial"/>
          <w:sz w:val="24"/>
          <w:szCs w:val="24"/>
        </w:rPr>
        <w:t xml:space="preserve"> of December 2025. </w:t>
      </w:r>
    </w:p>
    <w:p w14:paraId="59BB0EE5" w14:textId="77777777" w:rsidR="00F469F4" w:rsidRPr="00D718AB" w:rsidRDefault="00F469F4" w:rsidP="00F469F4">
      <w:pPr>
        <w:pStyle w:val="p1"/>
        <w:spacing w:line="360" w:lineRule="auto"/>
        <w:rPr>
          <w:rFonts w:ascii="Arial" w:hAnsi="Arial" w:cs="Arial"/>
          <w:sz w:val="24"/>
          <w:szCs w:val="24"/>
        </w:rPr>
      </w:pPr>
      <w:r w:rsidRPr="00D718AB">
        <w:rPr>
          <w:rFonts w:ascii="Arial" w:hAnsi="Arial" w:cs="Arial"/>
          <w:sz w:val="24"/>
          <w:szCs w:val="24"/>
        </w:rPr>
        <w:t>the prompt(s):</w:t>
      </w:r>
    </w:p>
    <w:p w14:paraId="78373C15" w14:textId="77777777" w:rsidR="00F469F4" w:rsidRPr="00D718AB" w:rsidRDefault="00F469F4" w:rsidP="00F469F4">
      <w:pPr>
        <w:pStyle w:val="p1"/>
        <w:spacing w:line="360" w:lineRule="auto"/>
        <w:rPr>
          <w:rFonts w:ascii="Arial" w:hAnsi="Arial" w:cs="Arial"/>
          <w:sz w:val="24"/>
          <w:szCs w:val="24"/>
        </w:rPr>
      </w:pPr>
    </w:p>
    <w:p w14:paraId="7A08EA1C" w14:textId="7603F157" w:rsidR="00F469F4" w:rsidRPr="00D718AB" w:rsidRDefault="00F469F4" w:rsidP="00F469F4">
      <w:pPr>
        <w:pStyle w:val="p1"/>
        <w:numPr>
          <w:ilvl w:val="0"/>
          <w:numId w:val="1"/>
        </w:numPr>
        <w:spacing w:line="360" w:lineRule="auto"/>
        <w:rPr>
          <w:rFonts w:ascii="Arial" w:hAnsi="Arial" w:cs="Arial"/>
          <w:sz w:val="24"/>
          <w:szCs w:val="24"/>
        </w:rPr>
      </w:pPr>
      <w:r w:rsidRPr="00D718AB">
        <w:rPr>
          <w:rFonts w:ascii="Arial" w:hAnsi="Arial" w:cs="Arial"/>
          <w:sz w:val="24"/>
          <w:szCs w:val="24"/>
        </w:rPr>
        <w:t>[</w:t>
      </w:r>
      <w:r w:rsidR="005374F4" w:rsidRPr="00D718AB">
        <w:rPr>
          <w:rFonts w:ascii="Arial" w:hAnsi="Arial" w:cs="Arial"/>
          <w:sz w:val="24"/>
          <w:szCs w:val="24"/>
        </w:rPr>
        <w:t>What is the purpose</w:t>
      </w:r>
      <w:r w:rsidR="002C4D38" w:rsidRPr="00D718AB">
        <w:rPr>
          <w:rFonts w:ascii="Arial" w:hAnsi="Arial" w:cs="Arial"/>
          <w:sz w:val="24"/>
          <w:szCs w:val="24"/>
        </w:rPr>
        <w:t xml:space="preserve"> of local searches?</w:t>
      </w:r>
      <w:r w:rsidRPr="00D718AB">
        <w:rPr>
          <w:rFonts w:ascii="Arial" w:hAnsi="Arial" w:cs="Arial"/>
          <w:sz w:val="24"/>
          <w:szCs w:val="24"/>
        </w:rPr>
        <w:t>.]</w:t>
      </w:r>
    </w:p>
    <w:p w14:paraId="430A375F" w14:textId="77777777" w:rsidR="00F469F4" w:rsidRPr="00D718AB" w:rsidRDefault="00F469F4" w:rsidP="00F469F4">
      <w:pPr>
        <w:pStyle w:val="p1"/>
        <w:spacing w:line="360" w:lineRule="auto"/>
        <w:ind w:left="360"/>
        <w:rPr>
          <w:rFonts w:ascii="Arial" w:hAnsi="Arial" w:cs="Arial"/>
          <w:sz w:val="24"/>
          <w:szCs w:val="24"/>
        </w:rPr>
      </w:pPr>
    </w:p>
    <w:p w14:paraId="79FB1372" w14:textId="5CC477E1" w:rsidR="00F469F4" w:rsidRPr="00D718AB" w:rsidRDefault="00F469F4" w:rsidP="00F469F4">
      <w:pPr>
        <w:pStyle w:val="p1"/>
        <w:numPr>
          <w:ilvl w:val="0"/>
          <w:numId w:val="1"/>
        </w:numPr>
        <w:spacing w:line="360" w:lineRule="auto"/>
        <w:rPr>
          <w:rFonts w:ascii="Arial" w:hAnsi="Arial" w:cs="Arial"/>
          <w:sz w:val="24"/>
          <w:szCs w:val="24"/>
        </w:rPr>
      </w:pPr>
      <w:r w:rsidRPr="00D718AB">
        <w:rPr>
          <w:rFonts w:ascii="Arial" w:hAnsi="Arial" w:cs="Arial"/>
          <w:sz w:val="24"/>
          <w:szCs w:val="24"/>
        </w:rPr>
        <w:t>[</w:t>
      </w:r>
      <w:r w:rsidR="00371FAE" w:rsidRPr="00D718AB">
        <w:rPr>
          <w:rFonts w:ascii="Arial" w:hAnsi="Arial" w:cs="Arial"/>
          <w:sz w:val="24"/>
          <w:szCs w:val="24"/>
        </w:rPr>
        <w:t xml:space="preserve">What is another word for </w:t>
      </w:r>
      <w:r w:rsidR="002043CA" w:rsidRPr="00D718AB">
        <w:rPr>
          <w:rFonts w:ascii="Arial" w:hAnsi="Arial" w:cs="Arial"/>
          <w:sz w:val="24"/>
          <w:szCs w:val="24"/>
        </w:rPr>
        <w:t>questions/checks in a legal context</w:t>
      </w:r>
      <w:r w:rsidRPr="00D718AB">
        <w:rPr>
          <w:rFonts w:ascii="Arial" w:hAnsi="Arial" w:cs="Arial"/>
          <w:sz w:val="24"/>
          <w:szCs w:val="24"/>
        </w:rPr>
        <w:t>]</w:t>
      </w:r>
    </w:p>
    <w:p w14:paraId="3025F7BF" w14:textId="77777777" w:rsidR="00F469F4" w:rsidRPr="00D718AB" w:rsidRDefault="00F469F4" w:rsidP="00F469F4">
      <w:pPr>
        <w:pStyle w:val="p1"/>
        <w:spacing w:line="360" w:lineRule="auto"/>
        <w:rPr>
          <w:rFonts w:ascii="Arial" w:hAnsi="Arial" w:cs="Arial"/>
          <w:sz w:val="24"/>
          <w:szCs w:val="24"/>
        </w:rPr>
      </w:pPr>
    </w:p>
    <w:p w14:paraId="3B9E337A" w14:textId="77777777" w:rsidR="00F469F4" w:rsidRPr="00D718AB" w:rsidRDefault="00F469F4" w:rsidP="00F469F4">
      <w:pPr>
        <w:pStyle w:val="p1"/>
        <w:spacing w:line="360" w:lineRule="auto"/>
        <w:rPr>
          <w:rFonts w:ascii="Arial" w:hAnsi="Arial" w:cs="Arial"/>
          <w:sz w:val="24"/>
          <w:szCs w:val="24"/>
        </w:rPr>
      </w:pPr>
      <w:r w:rsidRPr="00D718AB">
        <w:rPr>
          <w:rFonts w:ascii="Arial" w:hAnsi="Arial" w:cs="Arial"/>
          <w:sz w:val="24"/>
          <w:szCs w:val="24"/>
        </w:rPr>
        <w:t>I confirm that I have not presented any AI generated text as my own work. I confirm I</w:t>
      </w:r>
    </w:p>
    <w:p w14:paraId="3F29A809" w14:textId="77777777" w:rsidR="00F469F4" w:rsidRPr="00D718AB" w:rsidRDefault="00F469F4" w:rsidP="00F469F4">
      <w:pPr>
        <w:pStyle w:val="p1"/>
        <w:spacing w:line="360" w:lineRule="auto"/>
        <w:rPr>
          <w:rFonts w:ascii="Arial" w:hAnsi="Arial" w:cs="Arial"/>
          <w:sz w:val="24"/>
          <w:szCs w:val="24"/>
        </w:rPr>
      </w:pPr>
      <w:r w:rsidRPr="00D718AB">
        <w:rPr>
          <w:rFonts w:ascii="Arial" w:hAnsi="Arial" w:cs="Arial"/>
          <w:sz w:val="24"/>
          <w:szCs w:val="24"/>
        </w:rPr>
        <w:t>have copies of my drafts, notes, and other resources I used before, and after the use of</w:t>
      </w:r>
    </w:p>
    <w:p w14:paraId="3C203D82" w14:textId="77777777" w:rsidR="00F469F4" w:rsidRPr="00D718AB" w:rsidRDefault="00F469F4" w:rsidP="00F469F4">
      <w:pPr>
        <w:pStyle w:val="p1"/>
        <w:spacing w:line="360" w:lineRule="auto"/>
        <w:rPr>
          <w:rFonts w:ascii="Arial" w:hAnsi="Arial" w:cs="Arial"/>
          <w:sz w:val="24"/>
          <w:szCs w:val="24"/>
        </w:rPr>
      </w:pPr>
      <w:r w:rsidRPr="00D718AB">
        <w:rPr>
          <w:rFonts w:ascii="Arial" w:hAnsi="Arial" w:cs="Arial"/>
          <w:sz w:val="24"/>
          <w:szCs w:val="24"/>
        </w:rPr>
        <w:t>AI tools which I may be asked to provide in evidence.</w:t>
      </w:r>
    </w:p>
    <w:p w14:paraId="3BE46EB5" w14:textId="77777777" w:rsidR="00F469F4" w:rsidRPr="00D718AB" w:rsidRDefault="00F469F4" w:rsidP="00F469F4">
      <w:pPr>
        <w:spacing w:line="360" w:lineRule="auto"/>
        <w:jc w:val="both"/>
        <w:rPr>
          <w:rFonts w:ascii="Arial" w:hAnsi="Arial" w:cs="Arial"/>
        </w:rPr>
      </w:pPr>
    </w:p>
    <w:p w14:paraId="34647C45" w14:textId="77777777" w:rsidR="00F469F4" w:rsidRPr="00D718AB" w:rsidRDefault="00F469F4" w:rsidP="002F5784">
      <w:pPr>
        <w:jc w:val="center"/>
        <w:rPr>
          <w:rFonts w:ascii="Arial" w:hAnsi="Arial" w:cs="Arial"/>
        </w:rPr>
      </w:pPr>
    </w:p>
    <w:p w14:paraId="387B557B" w14:textId="77777777" w:rsidR="00F469F4" w:rsidRPr="00D718AB" w:rsidRDefault="00F469F4" w:rsidP="002F5784">
      <w:pPr>
        <w:jc w:val="center"/>
        <w:rPr>
          <w:rFonts w:ascii="Arial" w:hAnsi="Arial" w:cs="Arial"/>
        </w:rPr>
      </w:pPr>
    </w:p>
    <w:p w14:paraId="6CF85D83" w14:textId="77777777" w:rsidR="00F469F4" w:rsidRPr="00D718AB" w:rsidRDefault="00F469F4" w:rsidP="002F5784">
      <w:pPr>
        <w:jc w:val="center"/>
        <w:rPr>
          <w:rFonts w:ascii="Arial" w:hAnsi="Arial" w:cs="Arial"/>
        </w:rPr>
      </w:pPr>
    </w:p>
    <w:p w14:paraId="19B020DD" w14:textId="77777777" w:rsidR="00F469F4" w:rsidRPr="00D718AB" w:rsidRDefault="00F469F4" w:rsidP="002F5784">
      <w:pPr>
        <w:jc w:val="center"/>
        <w:rPr>
          <w:rFonts w:ascii="Arial" w:hAnsi="Arial" w:cs="Arial"/>
        </w:rPr>
      </w:pPr>
    </w:p>
    <w:p w14:paraId="5A147F24" w14:textId="77777777" w:rsidR="00F469F4" w:rsidRPr="00D718AB" w:rsidRDefault="00F469F4" w:rsidP="002F5784">
      <w:pPr>
        <w:jc w:val="center"/>
        <w:rPr>
          <w:rFonts w:ascii="Arial" w:hAnsi="Arial" w:cs="Arial"/>
        </w:rPr>
      </w:pPr>
    </w:p>
    <w:p w14:paraId="44BF5072" w14:textId="77777777" w:rsidR="00F469F4" w:rsidRPr="00D718AB" w:rsidRDefault="00F469F4" w:rsidP="002F5784">
      <w:pPr>
        <w:jc w:val="center"/>
        <w:rPr>
          <w:rFonts w:ascii="Arial" w:hAnsi="Arial" w:cs="Arial"/>
        </w:rPr>
      </w:pPr>
    </w:p>
    <w:p w14:paraId="4EFE0F0D" w14:textId="77777777" w:rsidR="00F469F4" w:rsidRPr="00D718AB" w:rsidRDefault="00F469F4" w:rsidP="002F5784">
      <w:pPr>
        <w:jc w:val="center"/>
        <w:rPr>
          <w:rFonts w:ascii="Arial" w:hAnsi="Arial" w:cs="Arial"/>
        </w:rPr>
      </w:pPr>
    </w:p>
    <w:p w14:paraId="6B17B4CF" w14:textId="77777777" w:rsidR="00F469F4" w:rsidRPr="00D718AB" w:rsidRDefault="00F469F4" w:rsidP="002F5784">
      <w:pPr>
        <w:jc w:val="center"/>
        <w:rPr>
          <w:rFonts w:ascii="Arial" w:hAnsi="Arial" w:cs="Arial"/>
        </w:rPr>
      </w:pPr>
    </w:p>
    <w:p w14:paraId="5FEBD91E" w14:textId="77777777" w:rsidR="00F469F4" w:rsidRPr="00D718AB" w:rsidRDefault="00F469F4" w:rsidP="002F5784">
      <w:pPr>
        <w:jc w:val="center"/>
        <w:rPr>
          <w:rFonts w:ascii="Arial" w:hAnsi="Arial" w:cs="Arial"/>
        </w:rPr>
      </w:pPr>
    </w:p>
    <w:p w14:paraId="5CBFBC9C" w14:textId="77777777" w:rsidR="00F469F4" w:rsidRPr="00D718AB" w:rsidRDefault="00F469F4" w:rsidP="002F5784">
      <w:pPr>
        <w:jc w:val="center"/>
        <w:rPr>
          <w:rFonts w:ascii="Arial" w:hAnsi="Arial" w:cs="Arial"/>
        </w:rPr>
      </w:pPr>
    </w:p>
    <w:p w14:paraId="00E7EB77" w14:textId="77777777" w:rsidR="00F469F4" w:rsidRPr="00D718AB" w:rsidRDefault="00F469F4" w:rsidP="002F5784">
      <w:pPr>
        <w:jc w:val="center"/>
        <w:rPr>
          <w:rFonts w:ascii="Arial" w:hAnsi="Arial" w:cs="Arial"/>
        </w:rPr>
      </w:pPr>
    </w:p>
    <w:p w14:paraId="42C08883" w14:textId="77777777" w:rsidR="00F469F4" w:rsidRPr="00D718AB" w:rsidRDefault="00F469F4" w:rsidP="002F5784">
      <w:pPr>
        <w:jc w:val="center"/>
        <w:rPr>
          <w:rFonts w:ascii="Arial" w:hAnsi="Arial" w:cs="Arial"/>
        </w:rPr>
      </w:pPr>
    </w:p>
    <w:p w14:paraId="4C463593" w14:textId="77777777" w:rsidR="00F469F4" w:rsidRPr="00D718AB" w:rsidRDefault="00F469F4" w:rsidP="002F5784">
      <w:pPr>
        <w:jc w:val="center"/>
        <w:rPr>
          <w:rFonts w:ascii="Arial" w:hAnsi="Arial" w:cs="Arial"/>
        </w:rPr>
      </w:pPr>
    </w:p>
    <w:p w14:paraId="67C4720E" w14:textId="77777777" w:rsidR="00F469F4" w:rsidRPr="00D718AB" w:rsidRDefault="00F469F4" w:rsidP="002F5784">
      <w:pPr>
        <w:jc w:val="center"/>
        <w:rPr>
          <w:rFonts w:ascii="Arial" w:hAnsi="Arial" w:cs="Arial"/>
        </w:rPr>
      </w:pPr>
    </w:p>
    <w:p w14:paraId="3A1C5D4D" w14:textId="77777777" w:rsidR="00F469F4" w:rsidRPr="00D718AB" w:rsidRDefault="00F469F4" w:rsidP="002F5784">
      <w:pPr>
        <w:jc w:val="center"/>
        <w:rPr>
          <w:rFonts w:ascii="Arial" w:hAnsi="Arial" w:cs="Arial"/>
        </w:rPr>
      </w:pPr>
    </w:p>
    <w:p w14:paraId="08C4820B" w14:textId="77777777" w:rsidR="00F469F4" w:rsidRPr="00D718AB" w:rsidRDefault="00F469F4" w:rsidP="00F469F4">
      <w:pPr>
        <w:rPr>
          <w:rFonts w:ascii="Arial" w:hAnsi="Arial" w:cs="Arial"/>
        </w:rPr>
      </w:pPr>
    </w:p>
    <w:p w14:paraId="03B8872D" w14:textId="77777777" w:rsidR="00F469F4" w:rsidRPr="00D718AB" w:rsidRDefault="00F469F4" w:rsidP="002F5784">
      <w:pPr>
        <w:jc w:val="center"/>
        <w:rPr>
          <w:rFonts w:ascii="Arial" w:hAnsi="Arial" w:cs="Arial"/>
        </w:rPr>
      </w:pPr>
    </w:p>
    <w:p w14:paraId="257C40A9" w14:textId="77777777" w:rsidR="00804E18" w:rsidRPr="00D718AB" w:rsidRDefault="00804E18" w:rsidP="00F469F4">
      <w:pPr>
        <w:rPr>
          <w:rFonts w:ascii="Arial" w:hAnsi="Arial" w:cs="Arial"/>
        </w:rPr>
      </w:pPr>
    </w:p>
    <w:p w14:paraId="3FB9FC82" w14:textId="0611B30C" w:rsidR="00804E18" w:rsidRPr="00D718AB" w:rsidRDefault="00804E18" w:rsidP="00F469F4">
      <w:pPr>
        <w:rPr>
          <w:rFonts w:ascii="Arial" w:hAnsi="Arial" w:cs="Arial"/>
        </w:rPr>
      </w:pPr>
      <w:r w:rsidRPr="00D718AB">
        <w:rPr>
          <w:rFonts w:ascii="Arial" w:hAnsi="Arial" w:cs="Arial"/>
        </w:rPr>
        <w:lastRenderedPageBreak/>
        <w:t>Oral Script</w:t>
      </w:r>
      <w:r w:rsidR="00F11CD8" w:rsidRPr="00D718AB">
        <w:rPr>
          <w:rFonts w:ascii="Arial" w:hAnsi="Arial" w:cs="Arial"/>
        </w:rPr>
        <w:t xml:space="preserve"> – Client Interview</w:t>
      </w:r>
    </w:p>
    <w:p w14:paraId="29C28C1D"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Opening </w:t>
      </w:r>
    </w:p>
    <w:p w14:paraId="2785ECBC"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“Good morning Alex, good morning Owen. Thank you for coming in today. My name is Alexandra-Maria Baloi and I’m a trainee solicitor here at Trinity Law. I’ll be dealing with your matter, under supervision, and today’s meeting is really about walking you through the purchase and answering any questions you may have.</w:t>
      </w:r>
    </w:p>
    <w:p w14:paraId="57D7A49D"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I know this is your first property, so my aim is to explain the process clearly and make sure everything makes sense. I’ll take notes as we go, and please feel free to interrupt me at any point if something isn’t clear.”</w:t>
      </w:r>
    </w:p>
    <w:p w14:paraId="06D2FD58"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Transition:</w:t>
      </w:r>
      <w:r w:rsidRPr="00BE015E">
        <w:rPr>
          <w:rFonts w:ascii="Arial" w:eastAsia="Times New Roman" w:hAnsi="Arial" w:cs="Arial"/>
          <w:color w:val="000000"/>
          <w:kern w:val="0"/>
          <w:lang w:eastAsia="en-GB"/>
          <w14:ligatures w14:val="none"/>
        </w:rPr>
        <w:br/>
        <w:t>“Before we get into the more detailed points, it might help if I start by giving you an overview of how the process works from start to finish.”</w:t>
      </w:r>
    </w:p>
    <w:p w14:paraId="674DD86E" w14:textId="77777777" w:rsidR="00804E18" w:rsidRPr="00BE015E" w:rsidRDefault="00804E18" w:rsidP="00804E18">
      <w:pPr>
        <w:rPr>
          <w:rFonts w:ascii="Arial" w:eastAsia="Times New Roman" w:hAnsi="Arial" w:cs="Arial"/>
          <w:kern w:val="0"/>
          <w:lang w:eastAsia="en-GB"/>
          <w14:ligatures w14:val="none"/>
        </w:rPr>
      </w:pPr>
    </w:p>
    <w:p w14:paraId="3074EE65"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Conveyancing Process </w:t>
      </w:r>
    </w:p>
    <w:p w14:paraId="10EA6AE4"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“Now that your offer has been accepted, the legal work begins. The seller’s solicitor sends us a pack of documents, including the draft contract and the title documents. My job is to review those carefully to make sure the seller owns the property and that there aren’t any legal issues that could affect you later on.</w:t>
      </w:r>
    </w:p>
    <w:p w14:paraId="0C136A46"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Once that’s done, I raise enquiries to clarify anything that isn’t clear from the paperwork, and at the same time we order searches. When all of that information is back and your mortgage is in place, we move towards exchange of contracts. Exchange is the point where the agreement becomes legally binding, and completion then follows on the agreed date, when the money is paid and you receive the keys.”</w:t>
      </w:r>
    </w:p>
    <w:p w14:paraId="5FE0B0CE"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Transition</w:t>
      </w:r>
      <w:r w:rsidRPr="00D718AB">
        <w:rPr>
          <w:rFonts w:ascii="Arial" w:eastAsia="Times New Roman" w:hAnsi="Arial" w:cs="Arial"/>
          <w:color w:val="000000"/>
          <w:kern w:val="0"/>
          <w:lang w:eastAsia="en-GB"/>
          <w14:ligatures w14:val="none"/>
        </w:rPr>
        <w:t xml:space="preserve"> sentence:</w:t>
      </w:r>
      <w:r w:rsidRPr="00BE015E">
        <w:rPr>
          <w:rFonts w:ascii="Arial" w:eastAsia="Times New Roman" w:hAnsi="Arial" w:cs="Arial"/>
          <w:color w:val="000000"/>
          <w:kern w:val="0"/>
          <w:lang w:eastAsia="en-GB"/>
          <w14:ligatures w14:val="none"/>
        </w:rPr>
        <w:br/>
        <w:t>“That’s the process in broad terms. One area that often raises questions, especially for people buying together, is how ownership actually works in law.”</w:t>
      </w:r>
    </w:p>
    <w:p w14:paraId="49EBC393" w14:textId="77777777" w:rsidR="00804E18" w:rsidRPr="00BE015E" w:rsidRDefault="00804E18" w:rsidP="00804E18">
      <w:pPr>
        <w:rPr>
          <w:rFonts w:ascii="Arial" w:eastAsia="Times New Roman" w:hAnsi="Arial" w:cs="Arial"/>
          <w:kern w:val="0"/>
          <w:lang w:eastAsia="en-GB"/>
          <w14:ligatures w14:val="none"/>
        </w:rPr>
      </w:pPr>
    </w:p>
    <w:p w14:paraId="74BAB817"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Joint Ownership </w:t>
      </w:r>
    </w:p>
    <w:p w14:paraId="3A353474"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“Because you’re buying together, the legal title is held jointly, but you do have a choice in how you hold the property financially.</w:t>
      </w:r>
    </w:p>
    <w:p w14:paraId="262A27C6"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One option is joint tenants, where you both own the property as a whole. The main feature of this is that if one of you were to pass away, the property would automatically pass to the other.</w:t>
      </w:r>
    </w:p>
    <w:p w14:paraId="3A44A468"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The alternative is tenants in common. In that case, you each own a defined share, which doesn’t have to be equal, and you can leave your share to someone else in a </w:t>
      </w:r>
      <w:r w:rsidRPr="00BE015E">
        <w:rPr>
          <w:rFonts w:ascii="Arial" w:eastAsia="Times New Roman" w:hAnsi="Arial" w:cs="Arial"/>
          <w:color w:val="000000"/>
          <w:kern w:val="0"/>
          <w:lang w:eastAsia="en-GB"/>
          <w14:ligatures w14:val="none"/>
        </w:rPr>
        <w:lastRenderedPageBreak/>
        <w:t>will. This option is often used where buyers want to protect their individual contributions.</w:t>
      </w:r>
    </w:p>
    <w:p w14:paraId="7663FC93"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There’s no right or wrong option it really depends on your </w:t>
      </w:r>
      <w:r w:rsidRPr="00D718AB">
        <w:rPr>
          <w:rFonts w:ascii="Arial" w:eastAsia="Times New Roman" w:hAnsi="Arial" w:cs="Arial"/>
          <w:color w:val="000000"/>
          <w:kern w:val="0"/>
          <w:lang w:eastAsia="en-GB"/>
          <w14:ligatures w14:val="none"/>
        </w:rPr>
        <w:t>circumstances,</w:t>
      </w:r>
      <w:r w:rsidRPr="00BE015E">
        <w:rPr>
          <w:rFonts w:ascii="Arial" w:eastAsia="Times New Roman" w:hAnsi="Arial" w:cs="Arial"/>
          <w:color w:val="000000"/>
          <w:kern w:val="0"/>
          <w:lang w:eastAsia="en-GB"/>
          <w14:ligatures w14:val="none"/>
        </w:rPr>
        <w:t xml:space="preserve"> and we can discuss this in more detail before completion.”</w:t>
      </w:r>
    </w:p>
    <w:p w14:paraId="74DD8896" w14:textId="022DD628"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Transition</w:t>
      </w:r>
      <w:r w:rsidR="00F11CD8" w:rsidRPr="00D718AB">
        <w:rPr>
          <w:rFonts w:ascii="Arial" w:eastAsia="Times New Roman" w:hAnsi="Arial" w:cs="Arial"/>
          <w:color w:val="000000"/>
          <w:kern w:val="0"/>
          <w:lang w:eastAsia="en-GB"/>
          <w14:ligatures w14:val="none"/>
        </w:rPr>
        <w:t xml:space="preserve"> sentence:</w:t>
      </w:r>
      <w:r w:rsidRPr="00BE015E">
        <w:rPr>
          <w:rFonts w:ascii="Arial" w:eastAsia="Times New Roman" w:hAnsi="Arial" w:cs="Arial"/>
          <w:color w:val="000000"/>
          <w:kern w:val="0"/>
          <w:lang w:eastAsia="en-GB"/>
          <w14:ligatures w14:val="none"/>
        </w:rPr>
        <w:br/>
        <w:t>“Linked to that is how the purchase is actually funded, so I’ll talk you through the mortgage and money side of things next.”</w:t>
      </w:r>
    </w:p>
    <w:p w14:paraId="71CDE5FD" w14:textId="77777777" w:rsidR="00804E18" w:rsidRPr="00BE015E" w:rsidRDefault="00804E18" w:rsidP="00804E18">
      <w:pPr>
        <w:rPr>
          <w:rFonts w:ascii="Arial" w:eastAsia="Times New Roman" w:hAnsi="Arial" w:cs="Arial"/>
          <w:kern w:val="0"/>
          <w:lang w:eastAsia="en-GB"/>
          <w14:ligatures w14:val="none"/>
        </w:rPr>
      </w:pPr>
    </w:p>
    <w:p w14:paraId="02FD12B9"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Mortgage, Deposit and Financial Process</w:t>
      </w:r>
    </w:p>
    <w:p w14:paraId="41C407C4"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“You’re purchasing with a mortgage from Riches Building Society, and as part of that, I act for both you and the lender. The lender’s main concern is that the property provides good security for the loan.</w:t>
      </w:r>
    </w:p>
    <w:p w14:paraId="186ACBC4"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In terms of timing, you’ll provide your deposit before exchange of contracts. That deposit is held safely until completion. Shortly before completion, the mortgage funds are sent to our client account, and on completion day we transfer the full purchase price to the seller’s solicitor.</w:t>
      </w:r>
    </w:p>
    <w:p w14:paraId="5417D559"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It’s important to be aware that once contracts are exchanged, you’re legally committed to the purchase. If completion doesn’t happen, there can be financial consequences, such as losing the deposit or paying interest. I’ll make sure you’re fully aware of all costs involved, including legal fees, searches, tax, and any unexpected expenses.”</w:t>
      </w:r>
    </w:p>
    <w:p w14:paraId="3160AB8C"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Transition</w:t>
      </w:r>
      <w:r w:rsidRPr="00D718AB">
        <w:rPr>
          <w:rFonts w:ascii="Arial" w:eastAsia="Times New Roman" w:hAnsi="Arial" w:cs="Arial"/>
          <w:color w:val="000000"/>
          <w:kern w:val="0"/>
          <w:lang w:eastAsia="en-GB"/>
          <w14:ligatures w14:val="none"/>
        </w:rPr>
        <w:t xml:space="preserve"> sentence:</w:t>
      </w:r>
      <w:r w:rsidRPr="00BE015E">
        <w:rPr>
          <w:rFonts w:ascii="Arial" w:eastAsia="Times New Roman" w:hAnsi="Arial" w:cs="Arial"/>
          <w:color w:val="000000"/>
          <w:kern w:val="0"/>
          <w:lang w:eastAsia="en-GB"/>
          <w14:ligatures w14:val="none"/>
        </w:rPr>
        <w:br/>
        <w:t>“One of the ways we manage risk before exchange is through searches, so I’ll explain what those involve and why they’re important.”</w:t>
      </w:r>
    </w:p>
    <w:p w14:paraId="64A1E922" w14:textId="77777777" w:rsidR="00804E18" w:rsidRPr="00BE015E" w:rsidRDefault="00804E18" w:rsidP="00804E18">
      <w:pPr>
        <w:rPr>
          <w:rFonts w:ascii="Arial" w:eastAsia="Times New Roman" w:hAnsi="Arial" w:cs="Arial"/>
          <w:kern w:val="0"/>
          <w:lang w:eastAsia="en-GB"/>
          <w14:ligatures w14:val="none"/>
        </w:rPr>
      </w:pPr>
    </w:p>
    <w:p w14:paraId="32799DEF"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Searches and Identified Issue </w:t>
      </w:r>
    </w:p>
    <w:p w14:paraId="7EACB8D4"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“We carry out several searches as part of every purchase. The local authority search looks at planning permissions, building regulations approval and any enforcement action. This is particularly relevant here because the documents indicate that a conservatory has been added, but no approval paperwork has been provided.</w:t>
      </w:r>
    </w:p>
    <w:p w14:paraId="433BA982"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That doesn’t automatically mean there’s a serious problem, but it is something we need to investigate further. Depending on what the search shows, options might include further enquiries, indemnity insurance, or discussing whether the seller can obtain approval after the works were completed. I’d also need to report this to your lender, as it may affect their security.</w:t>
      </w:r>
    </w:p>
    <w:p w14:paraId="62E2A9E1"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 xml:space="preserve">Other searches include the drainage and water search, which confirms connections and responsibilities, and the environmental search, which looks at issues like </w:t>
      </w:r>
      <w:r w:rsidRPr="00BE015E">
        <w:rPr>
          <w:rFonts w:ascii="Arial" w:eastAsia="Times New Roman" w:hAnsi="Arial" w:cs="Arial"/>
          <w:color w:val="000000"/>
          <w:kern w:val="0"/>
          <w:lang w:eastAsia="en-GB"/>
          <w14:ligatures w14:val="none"/>
        </w:rPr>
        <w:lastRenderedPageBreak/>
        <w:t>flooding or contamination. If any concerns come up, I’ll explain them clearly and talk you through your options before anything moves forward.”</w:t>
      </w:r>
    </w:p>
    <w:p w14:paraId="2C9C0BC9"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Transition</w:t>
      </w:r>
      <w:r w:rsidRPr="00D718AB">
        <w:rPr>
          <w:rFonts w:ascii="Arial" w:eastAsia="Times New Roman" w:hAnsi="Arial" w:cs="Arial"/>
          <w:color w:val="000000"/>
          <w:kern w:val="0"/>
          <w:lang w:eastAsia="en-GB"/>
          <w14:ligatures w14:val="none"/>
        </w:rPr>
        <w:t xml:space="preserve"> sentence:</w:t>
      </w:r>
      <w:r w:rsidRPr="00BE015E">
        <w:rPr>
          <w:rFonts w:ascii="Arial" w:eastAsia="Times New Roman" w:hAnsi="Arial" w:cs="Arial"/>
          <w:color w:val="000000"/>
          <w:kern w:val="0"/>
          <w:lang w:eastAsia="en-GB"/>
          <w14:ligatures w14:val="none"/>
        </w:rPr>
        <w:br/>
        <w:t>“I appreciate that issues like this can sound worrying, especially when you’re buying your first home.”</w:t>
      </w:r>
    </w:p>
    <w:p w14:paraId="797CD8D6" w14:textId="77777777" w:rsidR="00804E18" w:rsidRPr="00BE015E" w:rsidRDefault="00804E18" w:rsidP="00804E18">
      <w:pPr>
        <w:rPr>
          <w:rFonts w:ascii="Arial" w:eastAsia="Times New Roman" w:hAnsi="Arial" w:cs="Arial"/>
          <w:kern w:val="0"/>
          <w:lang w:eastAsia="en-GB"/>
          <w14:ligatures w14:val="none"/>
        </w:rPr>
      </w:pPr>
    </w:p>
    <w:p w14:paraId="45977A22"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Client Care and Reassurance</w:t>
      </w:r>
    </w:p>
    <w:p w14:paraId="5F3555DF"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“My role is to guide you through the process and deal with any issues as they arise. I’ll explain things clearly, keep you informed, and make sure you’re comfortable with each decision before we move ahead. If something unexpected comes up, we’ll deal with it together and look at the available solutions.”</w:t>
      </w:r>
    </w:p>
    <w:p w14:paraId="1C2C3EF4" w14:textId="77777777" w:rsidR="00804E18" w:rsidRPr="00BE015E" w:rsidRDefault="00804E18" w:rsidP="00804E18">
      <w:pPr>
        <w:rPr>
          <w:rFonts w:ascii="Arial" w:eastAsia="Times New Roman" w:hAnsi="Arial" w:cs="Arial"/>
          <w:kern w:val="0"/>
          <w:lang w:eastAsia="en-GB"/>
          <w14:ligatures w14:val="none"/>
        </w:rPr>
      </w:pPr>
    </w:p>
    <w:p w14:paraId="6877E28A" w14:textId="77777777" w:rsidR="00804E18" w:rsidRPr="00BE015E" w:rsidRDefault="00804E18" w:rsidP="00804E18">
      <w:pPr>
        <w:spacing w:before="100" w:beforeAutospacing="1" w:after="100" w:afterAutospacing="1"/>
        <w:outlineLvl w:val="2"/>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Closing the Interview</w:t>
      </w:r>
    </w:p>
    <w:p w14:paraId="5A3AC869"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“That covers the main points I wanted to discuss today. Do you have any questions at this stage, or is there anything you’d like me to explain again?</w:t>
      </w:r>
    </w:p>
    <w:p w14:paraId="1C273CCA" w14:textId="77777777" w:rsidR="00804E18" w:rsidRPr="00BE015E" w:rsidRDefault="00804E18" w:rsidP="00804E18">
      <w:pPr>
        <w:spacing w:before="100" w:beforeAutospacing="1" w:after="100" w:afterAutospacing="1"/>
        <w:rPr>
          <w:rFonts w:ascii="Arial" w:eastAsia="Times New Roman" w:hAnsi="Arial" w:cs="Arial"/>
          <w:color w:val="000000"/>
          <w:kern w:val="0"/>
          <w:lang w:eastAsia="en-GB"/>
          <w14:ligatures w14:val="none"/>
        </w:rPr>
      </w:pPr>
      <w:r w:rsidRPr="00BE015E">
        <w:rPr>
          <w:rFonts w:ascii="Arial" w:eastAsia="Times New Roman" w:hAnsi="Arial" w:cs="Arial"/>
          <w:color w:val="000000"/>
          <w:kern w:val="0"/>
          <w:lang w:eastAsia="en-GB"/>
          <w14:ligatures w14:val="none"/>
        </w:rPr>
        <w:t>If anything comes to mind after today, please feel free to email me and I’ll get back to you as soon as I can. Thank you both for your time.”</w:t>
      </w:r>
    </w:p>
    <w:p w14:paraId="2853C04A" w14:textId="77777777" w:rsidR="00804E18" w:rsidRPr="00D718AB" w:rsidRDefault="00804E18" w:rsidP="00804E18">
      <w:pPr>
        <w:rPr>
          <w:rFonts w:ascii="Arial" w:hAnsi="Arial" w:cs="Arial"/>
        </w:rPr>
      </w:pPr>
    </w:p>
    <w:p w14:paraId="06CD6965" w14:textId="77777777" w:rsidR="00804E18" w:rsidRPr="00D718AB" w:rsidRDefault="00804E18" w:rsidP="00F469F4">
      <w:pPr>
        <w:rPr>
          <w:rFonts w:ascii="Arial" w:hAnsi="Arial" w:cs="Arial"/>
        </w:rPr>
      </w:pPr>
    </w:p>
    <w:p w14:paraId="6A41F7FB" w14:textId="77777777" w:rsidR="00804E18" w:rsidRPr="00D718AB" w:rsidRDefault="00804E18" w:rsidP="00F469F4">
      <w:pPr>
        <w:rPr>
          <w:rFonts w:ascii="Arial" w:hAnsi="Arial" w:cs="Arial"/>
        </w:rPr>
      </w:pPr>
    </w:p>
    <w:p w14:paraId="684EF284" w14:textId="77777777" w:rsidR="00804E18" w:rsidRPr="00D718AB" w:rsidRDefault="00804E18" w:rsidP="00F469F4">
      <w:pPr>
        <w:rPr>
          <w:rFonts w:ascii="Arial" w:hAnsi="Arial" w:cs="Arial"/>
        </w:rPr>
      </w:pPr>
    </w:p>
    <w:p w14:paraId="0E6E8FEF" w14:textId="77777777" w:rsidR="00804E18" w:rsidRPr="00D718AB" w:rsidRDefault="00804E18" w:rsidP="00F469F4">
      <w:pPr>
        <w:rPr>
          <w:rFonts w:ascii="Arial" w:hAnsi="Arial" w:cs="Arial"/>
        </w:rPr>
      </w:pPr>
    </w:p>
    <w:p w14:paraId="54E55451" w14:textId="77777777" w:rsidR="00804E18" w:rsidRPr="00D718AB" w:rsidRDefault="00804E18" w:rsidP="00F469F4">
      <w:pPr>
        <w:rPr>
          <w:rFonts w:ascii="Arial" w:hAnsi="Arial" w:cs="Arial"/>
        </w:rPr>
      </w:pPr>
    </w:p>
    <w:p w14:paraId="4C1C5BC1" w14:textId="77777777" w:rsidR="00804E18" w:rsidRPr="00D718AB" w:rsidRDefault="00804E18" w:rsidP="00F469F4">
      <w:pPr>
        <w:rPr>
          <w:rFonts w:ascii="Arial" w:hAnsi="Arial" w:cs="Arial"/>
        </w:rPr>
      </w:pPr>
    </w:p>
    <w:p w14:paraId="42F1A79B" w14:textId="77777777" w:rsidR="00804E18" w:rsidRPr="00D718AB" w:rsidRDefault="00804E18" w:rsidP="00F469F4">
      <w:pPr>
        <w:rPr>
          <w:rFonts w:ascii="Arial" w:hAnsi="Arial" w:cs="Arial"/>
        </w:rPr>
      </w:pPr>
    </w:p>
    <w:p w14:paraId="6388E256" w14:textId="77777777" w:rsidR="00804E18" w:rsidRPr="00D718AB" w:rsidRDefault="00804E18" w:rsidP="00F469F4">
      <w:pPr>
        <w:rPr>
          <w:rFonts w:ascii="Arial" w:hAnsi="Arial" w:cs="Arial"/>
        </w:rPr>
      </w:pPr>
    </w:p>
    <w:p w14:paraId="1BF5ADD5" w14:textId="77777777" w:rsidR="00804E18" w:rsidRPr="00D718AB" w:rsidRDefault="00804E18" w:rsidP="00F469F4">
      <w:pPr>
        <w:rPr>
          <w:rFonts w:ascii="Arial" w:hAnsi="Arial" w:cs="Arial"/>
        </w:rPr>
      </w:pPr>
    </w:p>
    <w:p w14:paraId="05743032" w14:textId="77777777" w:rsidR="00804E18" w:rsidRPr="00D718AB" w:rsidRDefault="00804E18" w:rsidP="00F469F4">
      <w:pPr>
        <w:rPr>
          <w:rFonts w:ascii="Arial" w:hAnsi="Arial" w:cs="Arial"/>
        </w:rPr>
      </w:pPr>
    </w:p>
    <w:p w14:paraId="4EF53310" w14:textId="77777777" w:rsidR="00804E18" w:rsidRPr="00D718AB" w:rsidRDefault="00804E18" w:rsidP="00F469F4">
      <w:pPr>
        <w:rPr>
          <w:rFonts w:ascii="Arial" w:hAnsi="Arial" w:cs="Arial"/>
        </w:rPr>
      </w:pPr>
    </w:p>
    <w:p w14:paraId="44F0C972" w14:textId="77777777" w:rsidR="00804E18" w:rsidRPr="00D718AB" w:rsidRDefault="00804E18" w:rsidP="00F469F4">
      <w:pPr>
        <w:rPr>
          <w:rFonts w:ascii="Arial" w:hAnsi="Arial" w:cs="Arial"/>
        </w:rPr>
      </w:pPr>
    </w:p>
    <w:p w14:paraId="40650FFF" w14:textId="77777777" w:rsidR="00804E18" w:rsidRPr="00D718AB" w:rsidRDefault="00804E18" w:rsidP="00F469F4">
      <w:pPr>
        <w:rPr>
          <w:rFonts w:ascii="Arial" w:hAnsi="Arial" w:cs="Arial"/>
        </w:rPr>
      </w:pPr>
    </w:p>
    <w:p w14:paraId="6C863BDA" w14:textId="77777777" w:rsidR="00804E18" w:rsidRPr="00D718AB" w:rsidRDefault="00804E18" w:rsidP="00F469F4">
      <w:pPr>
        <w:rPr>
          <w:rFonts w:ascii="Arial" w:hAnsi="Arial" w:cs="Arial"/>
        </w:rPr>
      </w:pPr>
    </w:p>
    <w:p w14:paraId="1619DA44" w14:textId="77777777" w:rsidR="00804E18" w:rsidRPr="00D718AB" w:rsidRDefault="00804E18" w:rsidP="00F469F4">
      <w:pPr>
        <w:rPr>
          <w:rFonts w:ascii="Arial" w:hAnsi="Arial" w:cs="Arial"/>
        </w:rPr>
      </w:pPr>
    </w:p>
    <w:p w14:paraId="6EB431CB" w14:textId="77777777" w:rsidR="00804E18" w:rsidRPr="00D718AB" w:rsidRDefault="00804E18" w:rsidP="00F469F4">
      <w:pPr>
        <w:rPr>
          <w:rFonts w:ascii="Arial" w:hAnsi="Arial" w:cs="Arial"/>
        </w:rPr>
      </w:pPr>
    </w:p>
    <w:p w14:paraId="6D94DEA0" w14:textId="77777777" w:rsidR="00804E18" w:rsidRPr="00D718AB" w:rsidRDefault="00804E18" w:rsidP="00F469F4">
      <w:pPr>
        <w:rPr>
          <w:rFonts w:ascii="Arial" w:hAnsi="Arial" w:cs="Arial"/>
        </w:rPr>
      </w:pPr>
    </w:p>
    <w:p w14:paraId="084CE99D" w14:textId="77777777" w:rsidR="00804E18" w:rsidRPr="00D718AB" w:rsidRDefault="00804E18" w:rsidP="00F469F4">
      <w:pPr>
        <w:rPr>
          <w:rFonts w:ascii="Arial" w:hAnsi="Arial" w:cs="Arial"/>
        </w:rPr>
      </w:pPr>
    </w:p>
    <w:p w14:paraId="7C47A200" w14:textId="77777777" w:rsidR="00804E18" w:rsidRPr="00D718AB" w:rsidRDefault="00804E18" w:rsidP="00F469F4">
      <w:pPr>
        <w:rPr>
          <w:rFonts w:ascii="Arial" w:hAnsi="Arial" w:cs="Arial"/>
        </w:rPr>
      </w:pPr>
    </w:p>
    <w:p w14:paraId="31B26202" w14:textId="77777777" w:rsidR="00804E18" w:rsidRPr="00D718AB" w:rsidRDefault="00804E18" w:rsidP="00F469F4">
      <w:pPr>
        <w:rPr>
          <w:rFonts w:ascii="Arial" w:hAnsi="Arial" w:cs="Arial"/>
        </w:rPr>
      </w:pPr>
    </w:p>
    <w:p w14:paraId="27010599" w14:textId="77777777" w:rsidR="00804E18" w:rsidRPr="00D718AB" w:rsidRDefault="00804E18" w:rsidP="00F469F4">
      <w:pPr>
        <w:rPr>
          <w:rFonts w:ascii="Arial" w:hAnsi="Arial" w:cs="Arial"/>
        </w:rPr>
      </w:pPr>
    </w:p>
    <w:p w14:paraId="61B13E14" w14:textId="77777777" w:rsidR="00804E18" w:rsidRPr="00D718AB" w:rsidRDefault="00804E18" w:rsidP="00F469F4">
      <w:pPr>
        <w:rPr>
          <w:rFonts w:ascii="Arial" w:hAnsi="Arial" w:cs="Arial"/>
        </w:rPr>
      </w:pPr>
    </w:p>
    <w:p w14:paraId="1C9C0D9A" w14:textId="77777777" w:rsidR="00804E18" w:rsidRPr="00D718AB" w:rsidRDefault="00804E18" w:rsidP="00F469F4">
      <w:pPr>
        <w:rPr>
          <w:rFonts w:ascii="Arial" w:hAnsi="Arial" w:cs="Arial"/>
        </w:rPr>
      </w:pPr>
    </w:p>
    <w:p w14:paraId="745CC167" w14:textId="1AA5494A" w:rsidR="00351072" w:rsidRPr="00D718AB" w:rsidRDefault="00351072" w:rsidP="00F469F4">
      <w:pPr>
        <w:jc w:val="center"/>
        <w:rPr>
          <w:rFonts w:ascii="Arial" w:hAnsi="Arial" w:cs="Arial"/>
        </w:rPr>
      </w:pPr>
      <w:r w:rsidRPr="00D718AB">
        <w:rPr>
          <w:rFonts w:ascii="Arial" w:hAnsi="Arial" w:cs="Arial"/>
        </w:rPr>
        <w:lastRenderedPageBreak/>
        <w:t>Research and Preparation Notes for Conveyancing Client Interview</w:t>
      </w:r>
    </w:p>
    <w:p w14:paraId="5D66BBE7" w14:textId="77777777" w:rsidR="00351072" w:rsidRPr="00D718AB" w:rsidRDefault="00351072" w:rsidP="002F5784">
      <w:pPr>
        <w:jc w:val="both"/>
        <w:rPr>
          <w:rFonts w:ascii="Arial" w:hAnsi="Arial" w:cs="Arial"/>
        </w:rPr>
      </w:pPr>
    </w:p>
    <w:p w14:paraId="3D9B462E" w14:textId="77777777" w:rsidR="00351072" w:rsidRPr="00D718AB" w:rsidRDefault="00351072" w:rsidP="002F5784">
      <w:pPr>
        <w:jc w:val="both"/>
        <w:rPr>
          <w:rFonts w:ascii="Arial" w:hAnsi="Arial" w:cs="Arial"/>
        </w:rPr>
      </w:pPr>
    </w:p>
    <w:p w14:paraId="18065255" w14:textId="77777777" w:rsidR="00351072" w:rsidRPr="00D718AB" w:rsidRDefault="00351072" w:rsidP="002F5784">
      <w:pPr>
        <w:jc w:val="both"/>
        <w:rPr>
          <w:rFonts w:ascii="Arial" w:hAnsi="Arial" w:cs="Arial"/>
        </w:rPr>
      </w:pPr>
    </w:p>
    <w:p w14:paraId="1780F001" w14:textId="08E01806" w:rsidR="00351072" w:rsidRPr="00D718AB" w:rsidRDefault="00351072" w:rsidP="002F5784">
      <w:pPr>
        <w:jc w:val="both"/>
        <w:rPr>
          <w:rFonts w:ascii="Arial" w:hAnsi="Arial" w:cs="Arial"/>
        </w:rPr>
      </w:pPr>
      <w:r w:rsidRPr="00D718AB">
        <w:rPr>
          <w:rFonts w:ascii="Arial" w:hAnsi="Arial" w:cs="Arial"/>
        </w:rPr>
        <w:t>Trainee Solicitor: Alexandra-Maria Baloi at Trinity Law</w:t>
      </w:r>
    </w:p>
    <w:p w14:paraId="70ABCF68" w14:textId="2EEEB8DA" w:rsidR="00351072" w:rsidRPr="00D718AB" w:rsidRDefault="00351072" w:rsidP="002F5784">
      <w:pPr>
        <w:jc w:val="both"/>
        <w:rPr>
          <w:rFonts w:ascii="Arial" w:hAnsi="Arial" w:cs="Arial"/>
        </w:rPr>
      </w:pPr>
      <w:r w:rsidRPr="00D718AB">
        <w:rPr>
          <w:rFonts w:ascii="Arial" w:hAnsi="Arial" w:cs="Arial"/>
        </w:rPr>
        <w:t>Clients: Alex Morgan and Owen Peters</w:t>
      </w:r>
    </w:p>
    <w:p w14:paraId="1920B086" w14:textId="59308D05" w:rsidR="00351072" w:rsidRPr="00D718AB" w:rsidRDefault="00351072" w:rsidP="002F5784">
      <w:pPr>
        <w:jc w:val="both"/>
        <w:rPr>
          <w:rFonts w:ascii="Arial" w:hAnsi="Arial" w:cs="Arial"/>
        </w:rPr>
      </w:pPr>
      <w:r w:rsidRPr="00D718AB">
        <w:rPr>
          <w:rFonts w:ascii="Arial" w:hAnsi="Arial" w:cs="Arial"/>
        </w:rPr>
        <w:t>Transaction: Joint purchase of a freehold residential property</w:t>
      </w:r>
    </w:p>
    <w:p w14:paraId="71E56ACB" w14:textId="77777777" w:rsidR="00351072" w:rsidRPr="00D718AB" w:rsidRDefault="00351072" w:rsidP="002F5784">
      <w:pPr>
        <w:jc w:val="both"/>
        <w:rPr>
          <w:rFonts w:ascii="Arial" w:hAnsi="Arial" w:cs="Arial"/>
        </w:rPr>
      </w:pPr>
    </w:p>
    <w:p w14:paraId="4CFF2340" w14:textId="77777777" w:rsidR="00351072" w:rsidRPr="00D718AB" w:rsidRDefault="00351072" w:rsidP="002F5784">
      <w:pPr>
        <w:jc w:val="both"/>
        <w:rPr>
          <w:rFonts w:ascii="Arial" w:hAnsi="Arial" w:cs="Arial"/>
        </w:rPr>
      </w:pPr>
    </w:p>
    <w:p w14:paraId="3512ACEF" w14:textId="77777777" w:rsidR="00351072" w:rsidRPr="00D718AB" w:rsidRDefault="00351072" w:rsidP="002F5784">
      <w:pPr>
        <w:jc w:val="both"/>
        <w:rPr>
          <w:rFonts w:ascii="Arial" w:hAnsi="Arial" w:cs="Arial"/>
        </w:rPr>
      </w:pPr>
    </w:p>
    <w:p w14:paraId="7C39AA7F" w14:textId="338D9057" w:rsidR="00351072" w:rsidRPr="00D718AB" w:rsidRDefault="00351072" w:rsidP="002F5784">
      <w:pPr>
        <w:jc w:val="both"/>
        <w:rPr>
          <w:rFonts w:ascii="Arial" w:hAnsi="Arial" w:cs="Arial"/>
        </w:rPr>
      </w:pPr>
      <w:r w:rsidRPr="00D718AB">
        <w:rPr>
          <w:rFonts w:ascii="Arial" w:hAnsi="Arial" w:cs="Arial"/>
        </w:rPr>
        <w:t>Introduction and Purpose of the notes:</w:t>
      </w:r>
    </w:p>
    <w:p w14:paraId="363DAA27" w14:textId="77777777" w:rsidR="00351072" w:rsidRPr="00D718AB" w:rsidRDefault="00351072" w:rsidP="002F5784">
      <w:pPr>
        <w:jc w:val="both"/>
        <w:rPr>
          <w:rFonts w:ascii="Arial" w:hAnsi="Arial" w:cs="Arial"/>
        </w:rPr>
      </w:pPr>
    </w:p>
    <w:p w14:paraId="262850D4" w14:textId="4FD3FD90" w:rsidR="00351072" w:rsidRPr="00D718AB" w:rsidRDefault="00351072" w:rsidP="002F5784">
      <w:pPr>
        <w:jc w:val="both"/>
        <w:rPr>
          <w:rFonts w:ascii="Arial" w:hAnsi="Arial" w:cs="Arial"/>
        </w:rPr>
      </w:pPr>
      <w:r w:rsidRPr="00D718AB">
        <w:rPr>
          <w:rFonts w:ascii="Arial" w:hAnsi="Arial" w:cs="Arial"/>
        </w:rPr>
        <w:t xml:space="preserve">These research and preparation notes are produced in advance of a first client interview with Alex Morgan and Owen Peters, who are proposing to purchase a freehold residential property jointly. The property is a three-bedroom house with a purchase price of £375,000, funded in part by a mortgage of £300,000 from Riches Building Society, for which a formal mortgage offer has already been issued. As first-time buyers, the clients have indicated that they are unfamiliar with the conveyancing process and have specific concerns regarding how the legal process operates, how joint ownership functions in law, how the financial and mortgage arrangements will work in practice, and what conveyancing searches are required and why. </w:t>
      </w:r>
    </w:p>
    <w:p w14:paraId="08EED922" w14:textId="77777777" w:rsidR="00351072" w:rsidRPr="00D718AB" w:rsidRDefault="00351072" w:rsidP="002F5784">
      <w:pPr>
        <w:jc w:val="both"/>
        <w:rPr>
          <w:rFonts w:ascii="Arial" w:hAnsi="Arial" w:cs="Arial"/>
        </w:rPr>
      </w:pPr>
    </w:p>
    <w:p w14:paraId="53AB4BE5" w14:textId="77777777" w:rsidR="00351072" w:rsidRPr="00D718AB" w:rsidRDefault="00351072" w:rsidP="002F5784">
      <w:pPr>
        <w:jc w:val="both"/>
        <w:rPr>
          <w:rFonts w:ascii="Arial" w:hAnsi="Arial" w:cs="Arial"/>
        </w:rPr>
      </w:pPr>
    </w:p>
    <w:p w14:paraId="1BEA9E7D" w14:textId="24AD4C17" w:rsidR="00351072" w:rsidRPr="00D718AB" w:rsidRDefault="0008678B" w:rsidP="002F5784">
      <w:pPr>
        <w:jc w:val="both"/>
        <w:rPr>
          <w:rFonts w:ascii="Arial" w:hAnsi="Arial" w:cs="Arial"/>
        </w:rPr>
      </w:pPr>
      <w:r w:rsidRPr="00D718AB">
        <w:rPr>
          <w:rFonts w:ascii="Arial" w:hAnsi="Arial" w:cs="Arial"/>
        </w:rPr>
        <w:t xml:space="preserve">The purpose of these notes is to ensure that the client interview is conducted in a structured, clear and professional manner, demonstrating both legal knowledge and appropriate client care. The notes reflects the issues that will arise during the transaction, including a potential defect identified in the draft contract documentation, and are intended to support a clear explanation of the process while allowing the clients to ask questions and gain reassurance. </w:t>
      </w:r>
    </w:p>
    <w:p w14:paraId="126198D9" w14:textId="77777777" w:rsidR="00F77470" w:rsidRPr="00D718AB" w:rsidRDefault="00F77470" w:rsidP="002F5784">
      <w:pPr>
        <w:jc w:val="both"/>
        <w:rPr>
          <w:rFonts w:ascii="Arial" w:hAnsi="Arial" w:cs="Arial"/>
        </w:rPr>
      </w:pPr>
    </w:p>
    <w:p w14:paraId="1363C73F" w14:textId="77777777" w:rsidR="00F77470" w:rsidRPr="00D718AB" w:rsidRDefault="00F77470" w:rsidP="002F5784">
      <w:pPr>
        <w:jc w:val="both"/>
        <w:rPr>
          <w:rFonts w:ascii="Arial" w:hAnsi="Arial" w:cs="Arial"/>
        </w:rPr>
      </w:pPr>
    </w:p>
    <w:p w14:paraId="19B71DD4" w14:textId="77777777" w:rsidR="00F77470" w:rsidRPr="00D718AB" w:rsidRDefault="00F77470" w:rsidP="002F5784">
      <w:pPr>
        <w:jc w:val="both"/>
        <w:rPr>
          <w:rFonts w:ascii="Arial" w:hAnsi="Arial" w:cs="Arial"/>
        </w:rPr>
      </w:pPr>
    </w:p>
    <w:p w14:paraId="195FC3C6" w14:textId="7D04F590" w:rsidR="00F77470" w:rsidRPr="00D718AB" w:rsidRDefault="00F77470" w:rsidP="002F5784">
      <w:pPr>
        <w:jc w:val="both"/>
        <w:rPr>
          <w:rFonts w:ascii="Arial" w:hAnsi="Arial" w:cs="Arial"/>
        </w:rPr>
      </w:pPr>
      <w:r w:rsidRPr="00D718AB">
        <w:rPr>
          <w:rFonts w:ascii="Arial" w:hAnsi="Arial" w:cs="Arial"/>
        </w:rPr>
        <w:t>The Conveyancing Process for a Freehold Purchase</w:t>
      </w:r>
    </w:p>
    <w:p w14:paraId="36A70C88" w14:textId="77777777" w:rsidR="00F77470" w:rsidRPr="00D718AB" w:rsidRDefault="00F77470" w:rsidP="002F5784">
      <w:pPr>
        <w:jc w:val="both"/>
        <w:rPr>
          <w:rFonts w:ascii="Arial" w:hAnsi="Arial" w:cs="Arial"/>
        </w:rPr>
      </w:pPr>
    </w:p>
    <w:p w14:paraId="11CA6D48" w14:textId="3D37B19B" w:rsidR="00F77470" w:rsidRPr="00D718AB" w:rsidRDefault="00F77470" w:rsidP="002F5784">
      <w:pPr>
        <w:jc w:val="both"/>
        <w:rPr>
          <w:rFonts w:ascii="Arial" w:hAnsi="Arial" w:cs="Arial"/>
        </w:rPr>
      </w:pPr>
      <w:r w:rsidRPr="00D718AB">
        <w:rPr>
          <w:rFonts w:ascii="Arial" w:hAnsi="Arial" w:cs="Arial"/>
        </w:rPr>
        <w:t>Once an offer for a property has been accepted, the conveyancing process begins. At this stage, the seller’s solicitor prepares and issues a draft contract pack to the buyer’s solicitor. This pack usually contains the draft contract, official copies of the title register, and title plan obtained from HM Land Registry, the Property Information Form and the Fittings and Contents Form. The buyer’s solicitor must review these do</w:t>
      </w:r>
      <w:r w:rsidR="00F1016D" w:rsidRPr="00D718AB">
        <w:rPr>
          <w:rFonts w:ascii="Arial" w:hAnsi="Arial" w:cs="Arial"/>
        </w:rPr>
        <w:t xml:space="preserve">cuments carefully to ensure that the seller has good legal title to the property and that there are no defects that would negatively affect the buyer’s use or enjoyment of the property or its value. </w:t>
      </w:r>
    </w:p>
    <w:p w14:paraId="0FA69F51" w14:textId="77777777" w:rsidR="00F1016D" w:rsidRPr="00D718AB" w:rsidRDefault="00F1016D" w:rsidP="002F5784">
      <w:pPr>
        <w:jc w:val="both"/>
        <w:rPr>
          <w:rFonts w:ascii="Arial" w:hAnsi="Arial" w:cs="Arial"/>
        </w:rPr>
      </w:pPr>
    </w:p>
    <w:p w14:paraId="0F3B2758" w14:textId="77777777" w:rsidR="00F1016D" w:rsidRPr="00D718AB" w:rsidRDefault="00F1016D" w:rsidP="002F5784">
      <w:pPr>
        <w:jc w:val="both"/>
        <w:rPr>
          <w:rFonts w:ascii="Arial" w:hAnsi="Arial" w:cs="Arial"/>
        </w:rPr>
      </w:pPr>
    </w:p>
    <w:p w14:paraId="0908F3D6" w14:textId="785A3843" w:rsidR="00F1016D" w:rsidRPr="00D718AB" w:rsidRDefault="00F1016D" w:rsidP="002F5784">
      <w:pPr>
        <w:jc w:val="both"/>
        <w:rPr>
          <w:rFonts w:ascii="Arial" w:hAnsi="Arial" w:cs="Arial"/>
        </w:rPr>
      </w:pPr>
      <w:r w:rsidRPr="00D718AB">
        <w:rPr>
          <w:rFonts w:ascii="Arial" w:hAnsi="Arial" w:cs="Arial"/>
        </w:rPr>
        <w:t xml:space="preserve">The principle governing ownership of land </w:t>
      </w:r>
      <w:r w:rsidR="003A2646" w:rsidRPr="00D718AB">
        <w:rPr>
          <w:rFonts w:ascii="Arial" w:hAnsi="Arial" w:cs="Arial"/>
        </w:rPr>
        <w:t xml:space="preserve">are rooted in the Law of Property Act 1925, which remains the foundation of modern conveyancing law. The title register is reviewed to check for any restrictions, rights, or financial interests that may affect how the property can be used or dealt with. Any issues requiring clarification are raised through pre-contract enquiries sent to the seller’s solicitor. </w:t>
      </w:r>
      <w:r w:rsidR="002F5784" w:rsidRPr="00D718AB">
        <w:rPr>
          <w:rFonts w:ascii="Arial" w:hAnsi="Arial" w:cs="Arial"/>
        </w:rPr>
        <w:t xml:space="preserve">These enquiries are important because they help uncover potential issues that would not be evident from </w:t>
      </w:r>
      <w:r w:rsidR="002F5784" w:rsidRPr="00D718AB">
        <w:rPr>
          <w:rFonts w:ascii="Arial" w:hAnsi="Arial" w:cs="Arial"/>
        </w:rPr>
        <w:lastRenderedPageBreak/>
        <w:t xml:space="preserve">the title documents themselves, including matters such as neighbour disputes or changes made to the property. </w:t>
      </w:r>
    </w:p>
    <w:p w14:paraId="3C812A67" w14:textId="77777777" w:rsidR="002F5784" w:rsidRPr="00D718AB" w:rsidRDefault="002F5784" w:rsidP="002F5784">
      <w:pPr>
        <w:jc w:val="both"/>
        <w:rPr>
          <w:rFonts w:ascii="Arial" w:hAnsi="Arial" w:cs="Arial"/>
        </w:rPr>
      </w:pPr>
    </w:p>
    <w:p w14:paraId="5BB6081A" w14:textId="77777777" w:rsidR="002F5784" w:rsidRPr="00D718AB" w:rsidRDefault="002F5784" w:rsidP="002F5784">
      <w:pPr>
        <w:jc w:val="both"/>
        <w:rPr>
          <w:rFonts w:ascii="Arial" w:hAnsi="Arial" w:cs="Arial"/>
        </w:rPr>
      </w:pPr>
    </w:p>
    <w:p w14:paraId="4D9FE78F" w14:textId="0BAE1DE1" w:rsidR="002F5784" w:rsidRPr="00D718AB" w:rsidRDefault="002F5784" w:rsidP="002F5784">
      <w:pPr>
        <w:jc w:val="both"/>
        <w:rPr>
          <w:rFonts w:ascii="Arial" w:hAnsi="Arial" w:cs="Arial"/>
        </w:rPr>
      </w:pPr>
      <w:r w:rsidRPr="00D718AB">
        <w:rPr>
          <w:rFonts w:ascii="Arial" w:hAnsi="Arial" w:cs="Arial"/>
        </w:rPr>
        <w:t xml:space="preserve">As part of the pre-contract work, the buyer’s solicitor will order the relevant searches. While there is no absolute legal obligation to carry these out, they are essential in practice, particularly when a mortgage lender is involved. Searches provide information about possible issues affecting the property that cannot be discovered from the title itself. </w:t>
      </w:r>
    </w:p>
    <w:p w14:paraId="3A08871C" w14:textId="77777777" w:rsidR="002F5784" w:rsidRPr="00D718AB" w:rsidRDefault="002F5784" w:rsidP="002F5784">
      <w:pPr>
        <w:jc w:val="both"/>
        <w:rPr>
          <w:rFonts w:ascii="Arial" w:hAnsi="Arial" w:cs="Arial"/>
        </w:rPr>
      </w:pPr>
    </w:p>
    <w:p w14:paraId="0FC6A9B9" w14:textId="77777777" w:rsidR="002F5784" w:rsidRPr="00D718AB" w:rsidRDefault="002F5784" w:rsidP="002F5784">
      <w:pPr>
        <w:jc w:val="both"/>
        <w:rPr>
          <w:rFonts w:ascii="Arial" w:hAnsi="Arial" w:cs="Arial"/>
        </w:rPr>
      </w:pPr>
    </w:p>
    <w:p w14:paraId="1627A30C" w14:textId="093218AF" w:rsidR="002F5784" w:rsidRPr="00D718AB" w:rsidRDefault="002F5784" w:rsidP="002F5784">
      <w:pPr>
        <w:jc w:val="both"/>
        <w:rPr>
          <w:rFonts w:ascii="Arial" w:hAnsi="Arial" w:cs="Arial"/>
        </w:rPr>
      </w:pPr>
      <w:r w:rsidRPr="00D718AB">
        <w:rPr>
          <w:rFonts w:ascii="Arial" w:hAnsi="Arial" w:cs="Arial"/>
        </w:rPr>
        <w:t xml:space="preserve">Once all enquiries have been satisfactorily answered, the search result reviewed, and the mortgage offer confirmed, the transaction can move towards exchange of contracts. </w:t>
      </w:r>
      <w:r w:rsidR="00AA409D" w:rsidRPr="00D718AB">
        <w:rPr>
          <w:rFonts w:ascii="Arial" w:hAnsi="Arial" w:cs="Arial"/>
        </w:rPr>
        <w:t xml:space="preserve">Exchange of contracts is the stage at which the agreement becomes legally binding on both parties. At that point, the law requires that the contract for the sale of land is set out in writing, includes all terms agreed between the parties, and is properly signed. Upon exchange, a deposit is paid, typically amounting to 10% of the purchase price, and a fixed completion date is agreed. </w:t>
      </w:r>
    </w:p>
    <w:p w14:paraId="5E92912F" w14:textId="77777777" w:rsidR="00AA409D" w:rsidRPr="00D718AB" w:rsidRDefault="00AA409D" w:rsidP="002F5784">
      <w:pPr>
        <w:jc w:val="both"/>
        <w:rPr>
          <w:rFonts w:ascii="Arial" w:hAnsi="Arial" w:cs="Arial"/>
        </w:rPr>
      </w:pPr>
    </w:p>
    <w:p w14:paraId="09DE55A2" w14:textId="77777777" w:rsidR="00AA409D" w:rsidRPr="00D718AB" w:rsidRDefault="00AA409D" w:rsidP="002F5784">
      <w:pPr>
        <w:jc w:val="both"/>
        <w:rPr>
          <w:rFonts w:ascii="Arial" w:hAnsi="Arial" w:cs="Arial"/>
        </w:rPr>
      </w:pPr>
    </w:p>
    <w:p w14:paraId="438E7BD8" w14:textId="0B6FA859" w:rsidR="00AA409D" w:rsidRPr="00D718AB" w:rsidRDefault="00AA409D" w:rsidP="002F5784">
      <w:pPr>
        <w:jc w:val="both"/>
        <w:rPr>
          <w:rFonts w:ascii="Arial" w:hAnsi="Arial" w:cs="Arial"/>
        </w:rPr>
      </w:pPr>
      <w:r w:rsidRPr="00D718AB">
        <w:rPr>
          <w:rFonts w:ascii="Arial" w:hAnsi="Arial" w:cs="Arial"/>
        </w:rPr>
        <w:t>Therefore, after completion has taken place, the buyer’s solicitor is responsible</w:t>
      </w:r>
    </w:p>
    <w:p w14:paraId="72FDACA8" w14:textId="43B44CE8" w:rsidR="003A2646" w:rsidRPr="00D718AB" w:rsidRDefault="00AA409D" w:rsidP="002F5784">
      <w:pPr>
        <w:spacing w:line="276" w:lineRule="auto"/>
        <w:jc w:val="both"/>
        <w:rPr>
          <w:rFonts w:ascii="Arial" w:hAnsi="Arial" w:cs="Arial"/>
        </w:rPr>
      </w:pPr>
      <w:r w:rsidRPr="00D718AB">
        <w:rPr>
          <w:rFonts w:ascii="Arial" w:hAnsi="Arial" w:cs="Arial"/>
        </w:rPr>
        <w:t xml:space="preserve">For dealing with the necessary post completion steps. This includes completing and submitting the Stamp Duty Land Tax return and ensuring that any tax payable is paid in accordance with the relevant statutory requirements. The solicitor must also apply to HM Land Registry to record the buyers as the registered owners of the property and to note the mortgage lender’s charge on the title. Although the registration process </w:t>
      </w:r>
      <w:r w:rsidR="00AF1BC1" w:rsidRPr="00D718AB">
        <w:rPr>
          <w:rFonts w:ascii="Arial" w:hAnsi="Arial" w:cs="Arial"/>
        </w:rPr>
        <w:t xml:space="preserve">which is governed by the Land Registration Act 2002, </w:t>
      </w:r>
      <w:r w:rsidRPr="00D718AB">
        <w:rPr>
          <w:rFonts w:ascii="Arial" w:hAnsi="Arial" w:cs="Arial"/>
        </w:rPr>
        <w:t>may take some time to be finalised, the</w:t>
      </w:r>
      <w:r w:rsidR="00AF1BC1" w:rsidRPr="00D718AB">
        <w:rPr>
          <w:rFonts w:ascii="Arial" w:hAnsi="Arial" w:cs="Arial"/>
        </w:rPr>
        <w:t xml:space="preserve"> buyer’s legal interest is safeguarded from the point at which the application is submitted. </w:t>
      </w:r>
    </w:p>
    <w:p w14:paraId="02F68C91" w14:textId="77777777" w:rsidR="00AF1BC1" w:rsidRPr="00D718AB" w:rsidRDefault="00AF1BC1" w:rsidP="002F5784">
      <w:pPr>
        <w:spacing w:line="276" w:lineRule="auto"/>
        <w:jc w:val="both"/>
        <w:rPr>
          <w:rFonts w:ascii="Arial" w:hAnsi="Arial" w:cs="Arial"/>
        </w:rPr>
      </w:pPr>
    </w:p>
    <w:p w14:paraId="5EECD672" w14:textId="77777777" w:rsidR="00AF1BC1" w:rsidRPr="00D718AB" w:rsidRDefault="00AF1BC1" w:rsidP="002F5784">
      <w:pPr>
        <w:spacing w:line="276" w:lineRule="auto"/>
        <w:jc w:val="both"/>
        <w:rPr>
          <w:rFonts w:ascii="Arial" w:hAnsi="Arial" w:cs="Arial"/>
        </w:rPr>
      </w:pPr>
    </w:p>
    <w:p w14:paraId="74A9EE07" w14:textId="77777777" w:rsidR="00AF1BC1" w:rsidRPr="00D718AB" w:rsidRDefault="00AF1BC1" w:rsidP="002F5784">
      <w:pPr>
        <w:spacing w:line="276" w:lineRule="auto"/>
        <w:jc w:val="both"/>
        <w:rPr>
          <w:rFonts w:ascii="Arial" w:hAnsi="Arial" w:cs="Arial"/>
        </w:rPr>
      </w:pPr>
    </w:p>
    <w:p w14:paraId="2638FF08" w14:textId="18980C17" w:rsidR="00AF1BC1" w:rsidRPr="00D718AB" w:rsidRDefault="00AF1BC1" w:rsidP="002F5784">
      <w:pPr>
        <w:spacing w:line="276" w:lineRule="auto"/>
        <w:jc w:val="both"/>
        <w:rPr>
          <w:rFonts w:ascii="Arial" w:hAnsi="Arial" w:cs="Arial"/>
        </w:rPr>
      </w:pPr>
      <w:r w:rsidRPr="00D718AB">
        <w:rPr>
          <w:rFonts w:ascii="Arial" w:hAnsi="Arial" w:cs="Arial"/>
        </w:rPr>
        <w:t>Joint Ownership and Co-ownership Structures</w:t>
      </w:r>
    </w:p>
    <w:p w14:paraId="5C88BA3C" w14:textId="77777777" w:rsidR="00AF1BC1" w:rsidRPr="00D718AB" w:rsidRDefault="00AF1BC1" w:rsidP="002F5784">
      <w:pPr>
        <w:spacing w:line="276" w:lineRule="auto"/>
        <w:jc w:val="both"/>
        <w:rPr>
          <w:rFonts w:ascii="Arial" w:hAnsi="Arial" w:cs="Arial"/>
        </w:rPr>
      </w:pPr>
    </w:p>
    <w:p w14:paraId="11E63EA5" w14:textId="2A840FF8" w:rsidR="00AF1BC1" w:rsidRPr="00D718AB" w:rsidRDefault="00AF1BC1" w:rsidP="002F5784">
      <w:pPr>
        <w:spacing w:line="276" w:lineRule="auto"/>
        <w:jc w:val="both"/>
        <w:rPr>
          <w:rFonts w:ascii="Arial" w:hAnsi="Arial" w:cs="Arial"/>
        </w:rPr>
      </w:pPr>
      <w:r w:rsidRPr="00D718AB">
        <w:rPr>
          <w:rFonts w:ascii="Arial" w:hAnsi="Arial" w:cs="Arial"/>
        </w:rPr>
        <w:t>When a property is bought by more than one person, the legal title must be held jointly. However, the buyer have a choice as to how they hold their beneficial interest in the property, which is an important aspect of joint ownership. In practice, that can be done in one of two ways for example as joint tenants or as tenants in common. The Trusts</w:t>
      </w:r>
      <w:r w:rsidR="00206F85" w:rsidRPr="00D718AB">
        <w:rPr>
          <w:rFonts w:ascii="Arial" w:hAnsi="Arial" w:cs="Arial"/>
        </w:rPr>
        <w:t xml:space="preserve"> of Land and Appointment of Trustees Act 1996 provides the legal framework governing how property held on trust in that way is managed and dealt with. </w:t>
      </w:r>
    </w:p>
    <w:p w14:paraId="1F460AFF" w14:textId="77777777" w:rsidR="00206F85" w:rsidRPr="00D718AB" w:rsidRDefault="00206F85" w:rsidP="002F5784">
      <w:pPr>
        <w:spacing w:line="276" w:lineRule="auto"/>
        <w:jc w:val="both"/>
        <w:rPr>
          <w:rFonts w:ascii="Arial" w:hAnsi="Arial" w:cs="Arial"/>
        </w:rPr>
      </w:pPr>
    </w:p>
    <w:p w14:paraId="412B2288" w14:textId="77777777" w:rsidR="00206F85" w:rsidRPr="00D718AB" w:rsidRDefault="00206F85" w:rsidP="002F5784">
      <w:pPr>
        <w:spacing w:line="276" w:lineRule="auto"/>
        <w:jc w:val="both"/>
        <w:rPr>
          <w:rFonts w:ascii="Arial" w:hAnsi="Arial" w:cs="Arial"/>
        </w:rPr>
      </w:pPr>
      <w:r w:rsidRPr="00D718AB">
        <w:rPr>
          <w:rFonts w:ascii="Arial" w:hAnsi="Arial" w:cs="Arial"/>
        </w:rPr>
        <w:t xml:space="preserve">If Alex Morgan and Owen Peters choose to hold the beneficial interest as joint tenants, they will own the property together as a single unit. There are no distinct shares, and one of the key consequences is the right of survivorship. This means that if one owner dies, their interest in the property automatically passes to the surviving owner, </w:t>
      </w:r>
      <w:r w:rsidRPr="00D718AB">
        <w:rPr>
          <w:rFonts w:ascii="Arial" w:hAnsi="Arial" w:cs="Arial"/>
        </w:rPr>
        <w:lastRenderedPageBreak/>
        <w:t>regardless of any provisions in a will. This form of ownership is often preferred where parties wish to ensure that the property passes automatically to the survivor.</w:t>
      </w:r>
    </w:p>
    <w:p w14:paraId="47BCAE38" w14:textId="77777777" w:rsidR="00206F85" w:rsidRPr="00D718AB" w:rsidRDefault="00206F85" w:rsidP="002F5784">
      <w:pPr>
        <w:spacing w:line="276" w:lineRule="auto"/>
        <w:jc w:val="both"/>
        <w:rPr>
          <w:rFonts w:ascii="Arial" w:hAnsi="Arial" w:cs="Arial"/>
        </w:rPr>
      </w:pPr>
    </w:p>
    <w:p w14:paraId="0C1E0F4A" w14:textId="77777777" w:rsidR="00206F85" w:rsidRPr="00D718AB" w:rsidRDefault="00206F85" w:rsidP="002F5784">
      <w:pPr>
        <w:spacing w:line="276" w:lineRule="auto"/>
        <w:jc w:val="both"/>
        <w:rPr>
          <w:rFonts w:ascii="Arial" w:hAnsi="Arial" w:cs="Arial"/>
        </w:rPr>
      </w:pPr>
    </w:p>
    <w:p w14:paraId="5C84DF06" w14:textId="77777777" w:rsidR="002764C0" w:rsidRPr="00D718AB" w:rsidRDefault="00206F85" w:rsidP="002F5784">
      <w:pPr>
        <w:spacing w:line="276" w:lineRule="auto"/>
        <w:jc w:val="both"/>
        <w:rPr>
          <w:rFonts w:ascii="Arial" w:hAnsi="Arial" w:cs="Arial"/>
        </w:rPr>
      </w:pPr>
      <w:r w:rsidRPr="00D718AB">
        <w:rPr>
          <w:rFonts w:ascii="Arial" w:hAnsi="Arial" w:cs="Arial"/>
        </w:rPr>
        <w:t>Alternatively, they may choose to hold the property as tenants in common. In this case, each owner has a distinct share in the property, which does not have to be equal. There is no right of survivorship, and each party can leave their share to someone else through a will. This form of ownership is commonly used where buyers have contributed different amount</w:t>
      </w:r>
      <w:r w:rsidR="00BC2784" w:rsidRPr="00D718AB">
        <w:rPr>
          <w:rFonts w:ascii="Arial" w:hAnsi="Arial" w:cs="Arial"/>
        </w:rPr>
        <w:t xml:space="preserve">s towards the purchase or wish to protect their own financial position. A declaration of trust is often used to formally record those arrangements. </w:t>
      </w:r>
    </w:p>
    <w:p w14:paraId="17C08B1B" w14:textId="77777777" w:rsidR="002764C0" w:rsidRPr="00D718AB" w:rsidRDefault="002764C0" w:rsidP="002F5784">
      <w:pPr>
        <w:spacing w:line="276" w:lineRule="auto"/>
        <w:jc w:val="both"/>
        <w:rPr>
          <w:rFonts w:ascii="Arial" w:hAnsi="Arial" w:cs="Arial"/>
        </w:rPr>
      </w:pPr>
    </w:p>
    <w:p w14:paraId="33D1143B" w14:textId="77777777" w:rsidR="00B540F7" w:rsidRPr="00D718AB" w:rsidRDefault="00B540F7" w:rsidP="002F5784">
      <w:pPr>
        <w:spacing w:line="276" w:lineRule="auto"/>
        <w:jc w:val="both"/>
        <w:rPr>
          <w:rFonts w:ascii="Arial" w:hAnsi="Arial" w:cs="Arial"/>
        </w:rPr>
      </w:pPr>
    </w:p>
    <w:p w14:paraId="08D548FD" w14:textId="77777777" w:rsidR="002764C0" w:rsidRPr="00D718AB" w:rsidRDefault="002764C0" w:rsidP="002F5784">
      <w:pPr>
        <w:spacing w:line="276" w:lineRule="auto"/>
        <w:jc w:val="both"/>
        <w:rPr>
          <w:rFonts w:ascii="Arial" w:hAnsi="Arial" w:cs="Arial"/>
        </w:rPr>
      </w:pPr>
      <w:r w:rsidRPr="00D718AB">
        <w:rPr>
          <w:rFonts w:ascii="Arial" w:hAnsi="Arial" w:cs="Arial"/>
        </w:rPr>
        <w:t xml:space="preserve">Given that the clients are first-time buyers, it is particularly important that they understand the longer-term consequences of each option, including what would happen in the event of death, future sale, or a separation. The chosen method of ownership must be clearly reflected in the transfer deed on completion. </w:t>
      </w:r>
    </w:p>
    <w:p w14:paraId="1E336F96" w14:textId="77777777" w:rsidR="002764C0" w:rsidRPr="00D718AB" w:rsidRDefault="002764C0" w:rsidP="002F5784">
      <w:pPr>
        <w:spacing w:line="276" w:lineRule="auto"/>
        <w:jc w:val="both"/>
        <w:rPr>
          <w:rFonts w:ascii="Arial" w:hAnsi="Arial" w:cs="Arial"/>
        </w:rPr>
      </w:pPr>
    </w:p>
    <w:p w14:paraId="32AE5CBB" w14:textId="77777777" w:rsidR="002764C0" w:rsidRPr="00D718AB" w:rsidRDefault="002764C0" w:rsidP="002F5784">
      <w:pPr>
        <w:spacing w:line="276" w:lineRule="auto"/>
        <w:jc w:val="both"/>
        <w:rPr>
          <w:rFonts w:ascii="Arial" w:hAnsi="Arial" w:cs="Arial"/>
        </w:rPr>
      </w:pPr>
    </w:p>
    <w:p w14:paraId="51543425" w14:textId="77777777" w:rsidR="002764C0" w:rsidRPr="00D718AB" w:rsidRDefault="002764C0" w:rsidP="002F5784">
      <w:pPr>
        <w:spacing w:line="276" w:lineRule="auto"/>
        <w:jc w:val="both"/>
        <w:rPr>
          <w:rFonts w:ascii="Arial" w:hAnsi="Arial" w:cs="Arial"/>
        </w:rPr>
      </w:pPr>
    </w:p>
    <w:p w14:paraId="6BFBCBF7" w14:textId="77777777" w:rsidR="002764C0" w:rsidRPr="00D718AB" w:rsidRDefault="002764C0" w:rsidP="002F5784">
      <w:pPr>
        <w:spacing w:line="276" w:lineRule="auto"/>
        <w:jc w:val="both"/>
        <w:rPr>
          <w:rFonts w:ascii="Arial" w:hAnsi="Arial" w:cs="Arial"/>
        </w:rPr>
      </w:pPr>
      <w:r w:rsidRPr="00D718AB">
        <w:rPr>
          <w:rFonts w:ascii="Arial" w:hAnsi="Arial" w:cs="Arial"/>
        </w:rPr>
        <w:t>Mortgage Arrangements and Financial Implications</w:t>
      </w:r>
    </w:p>
    <w:p w14:paraId="075FCA9D" w14:textId="77777777" w:rsidR="002764C0" w:rsidRPr="00D718AB" w:rsidRDefault="002764C0" w:rsidP="002F5784">
      <w:pPr>
        <w:spacing w:line="276" w:lineRule="auto"/>
        <w:jc w:val="both"/>
        <w:rPr>
          <w:rFonts w:ascii="Arial" w:hAnsi="Arial" w:cs="Arial"/>
        </w:rPr>
      </w:pPr>
    </w:p>
    <w:p w14:paraId="0C61778C" w14:textId="77777777" w:rsidR="005D6C3F" w:rsidRPr="00D718AB" w:rsidRDefault="002764C0" w:rsidP="002F5784">
      <w:pPr>
        <w:spacing w:line="276" w:lineRule="auto"/>
        <w:jc w:val="both"/>
        <w:rPr>
          <w:rFonts w:ascii="Arial" w:hAnsi="Arial" w:cs="Arial"/>
        </w:rPr>
      </w:pPr>
      <w:r w:rsidRPr="00D718AB">
        <w:rPr>
          <w:rFonts w:ascii="Arial" w:hAnsi="Arial" w:cs="Arial"/>
        </w:rPr>
        <w:t xml:space="preserve">The purchase of the property is being funded in part by a mortgage from Riches Building Society. </w:t>
      </w:r>
      <w:r w:rsidR="005D6C3F" w:rsidRPr="00D718AB">
        <w:rPr>
          <w:rFonts w:ascii="Arial" w:hAnsi="Arial" w:cs="Arial"/>
        </w:rPr>
        <w:t xml:space="preserve">Where a property is being purchased with the assistance of a mortgage, the solicitor will usually act for both the buyer and the lender, no conflict arises. In this role, the solicitor must follow the requirements set out in the UK Finance Mortgage Lenders’ Handbook, which contains the lender’s instructions. A key part of this is ensuring that the lender has proper security over the property. </w:t>
      </w:r>
    </w:p>
    <w:p w14:paraId="6F5FB952" w14:textId="77777777" w:rsidR="005D6C3F" w:rsidRPr="00D718AB" w:rsidRDefault="005D6C3F" w:rsidP="002F5784">
      <w:pPr>
        <w:spacing w:line="276" w:lineRule="auto"/>
        <w:jc w:val="both"/>
        <w:rPr>
          <w:rFonts w:ascii="Arial" w:hAnsi="Arial" w:cs="Arial"/>
        </w:rPr>
      </w:pPr>
    </w:p>
    <w:p w14:paraId="7D332B2D" w14:textId="77777777" w:rsidR="00B540F7" w:rsidRPr="00D718AB" w:rsidRDefault="005D6C3F" w:rsidP="002F5784">
      <w:pPr>
        <w:spacing w:line="276" w:lineRule="auto"/>
        <w:jc w:val="both"/>
        <w:rPr>
          <w:rFonts w:ascii="Arial" w:hAnsi="Arial" w:cs="Arial"/>
        </w:rPr>
      </w:pPr>
      <w:r w:rsidRPr="00D718AB">
        <w:rPr>
          <w:rFonts w:ascii="Arial" w:hAnsi="Arial" w:cs="Arial"/>
        </w:rPr>
        <w:t>The purchase price will be funded partly by the clients’ own contribution and partly by the mortgage advance. On exchange of contracts, the deposit is normally held by the seller’s solicitor as stakeholder, meaning it cannot be released until completion has taken place. The mortgage funds are requested shortly before completion and are paid into the buyer</w:t>
      </w:r>
      <w:r w:rsidR="00B540F7" w:rsidRPr="00D718AB">
        <w:rPr>
          <w:rFonts w:ascii="Arial" w:hAnsi="Arial" w:cs="Arial"/>
        </w:rPr>
        <w:t xml:space="preserve">’s solicitor’s client account. </w:t>
      </w:r>
    </w:p>
    <w:p w14:paraId="214AEEAE" w14:textId="77777777" w:rsidR="00B540F7" w:rsidRPr="00D718AB" w:rsidRDefault="00B540F7" w:rsidP="002F5784">
      <w:pPr>
        <w:spacing w:line="276" w:lineRule="auto"/>
        <w:jc w:val="both"/>
        <w:rPr>
          <w:rFonts w:ascii="Arial" w:hAnsi="Arial" w:cs="Arial"/>
        </w:rPr>
      </w:pPr>
    </w:p>
    <w:p w14:paraId="45D20812" w14:textId="26FB0836" w:rsidR="00B540F7" w:rsidRPr="00D718AB" w:rsidRDefault="00B540F7" w:rsidP="002F5784">
      <w:pPr>
        <w:spacing w:line="276" w:lineRule="auto"/>
        <w:jc w:val="both"/>
        <w:rPr>
          <w:rFonts w:ascii="Arial" w:hAnsi="Arial" w:cs="Arial"/>
        </w:rPr>
      </w:pPr>
      <w:r w:rsidRPr="00D718AB">
        <w:rPr>
          <w:rFonts w:ascii="Arial" w:hAnsi="Arial" w:cs="Arial"/>
        </w:rPr>
        <w:t xml:space="preserve">Exchange of contracts has important legal consequences, once exchange has occurred, the buyers are legally committed to the purchase. If they are unable to complete, they risk losing their deposit and may be responsible for additional costs and interest. Financial consequences can also arise if completion is delayed, particularly where this affects the mortgage offer. </w:t>
      </w:r>
    </w:p>
    <w:p w14:paraId="7343B8F9" w14:textId="77777777" w:rsidR="00B540F7" w:rsidRPr="00D718AB" w:rsidRDefault="00B540F7" w:rsidP="002F5784">
      <w:pPr>
        <w:spacing w:line="276" w:lineRule="auto"/>
        <w:jc w:val="both"/>
        <w:rPr>
          <w:rFonts w:ascii="Arial" w:hAnsi="Arial" w:cs="Arial"/>
        </w:rPr>
      </w:pPr>
    </w:p>
    <w:p w14:paraId="3AD96279" w14:textId="30551A8E" w:rsidR="00B540F7" w:rsidRPr="00D718AB" w:rsidRDefault="00B540F7" w:rsidP="002F5784">
      <w:pPr>
        <w:spacing w:line="276" w:lineRule="auto"/>
        <w:jc w:val="both"/>
        <w:rPr>
          <w:rFonts w:ascii="Arial" w:hAnsi="Arial" w:cs="Arial"/>
        </w:rPr>
      </w:pPr>
      <w:r w:rsidRPr="00D718AB">
        <w:rPr>
          <w:rFonts w:ascii="Arial" w:hAnsi="Arial" w:cs="Arial"/>
        </w:rPr>
        <w:t xml:space="preserve">In addition to the purchase price, the clients must be advised of further costs connected with the transaction. These include legal fees, search costs, Land Registry fees and Stamp Duty Land Tax under the Finance Act 2003. Additional expenses may </w:t>
      </w:r>
      <w:r w:rsidRPr="00D718AB">
        <w:rPr>
          <w:rFonts w:ascii="Arial" w:hAnsi="Arial" w:cs="Arial"/>
        </w:rPr>
        <w:lastRenderedPageBreak/>
        <w:t xml:space="preserve">also arise </w:t>
      </w:r>
      <w:r w:rsidR="00DB2EDF" w:rsidRPr="00D718AB">
        <w:rPr>
          <w:rFonts w:ascii="Arial" w:hAnsi="Arial" w:cs="Arial"/>
        </w:rPr>
        <w:t xml:space="preserve">if unexpected issues occur, such as the need for indemnity insurance or specialist reports. It is important that clients are informed of these possible costs at an early stage so they can accordingly. </w:t>
      </w:r>
      <w:r w:rsidRPr="00D718AB">
        <w:rPr>
          <w:rFonts w:ascii="Arial" w:hAnsi="Arial" w:cs="Arial"/>
        </w:rPr>
        <w:t xml:space="preserve"> </w:t>
      </w:r>
    </w:p>
    <w:p w14:paraId="486EA6A7" w14:textId="77777777" w:rsidR="00DB2EDF" w:rsidRPr="00D718AB" w:rsidRDefault="00DB2EDF" w:rsidP="002F5784">
      <w:pPr>
        <w:spacing w:line="276" w:lineRule="auto"/>
        <w:jc w:val="both"/>
        <w:rPr>
          <w:rFonts w:ascii="Arial" w:hAnsi="Arial" w:cs="Arial"/>
        </w:rPr>
      </w:pPr>
    </w:p>
    <w:p w14:paraId="039EDFBA" w14:textId="77777777" w:rsidR="00DB2EDF" w:rsidRPr="00D718AB" w:rsidRDefault="00DB2EDF" w:rsidP="002F5784">
      <w:pPr>
        <w:spacing w:line="276" w:lineRule="auto"/>
        <w:jc w:val="both"/>
        <w:rPr>
          <w:rFonts w:ascii="Arial" w:hAnsi="Arial" w:cs="Arial"/>
        </w:rPr>
      </w:pPr>
    </w:p>
    <w:p w14:paraId="00AAEB4C" w14:textId="53E41519" w:rsidR="00DB2EDF" w:rsidRPr="00D718AB" w:rsidRDefault="00DB2EDF" w:rsidP="002F5784">
      <w:pPr>
        <w:spacing w:line="276" w:lineRule="auto"/>
        <w:jc w:val="both"/>
        <w:rPr>
          <w:rFonts w:ascii="Arial" w:hAnsi="Arial" w:cs="Arial"/>
        </w:rPr>
      </w:pPr>
      <w:r w:rsidRPr="00D718AB">
        <w:rPr>
          <w:rFonts w:ascii="Arial" w:hAnsi="Arial" w:cs="Arial"/>
        </w:rPr>
        <w:t>Conveyancing Searches: Purpose, Relevance and Risk</w:t>
      </w:r>
    </w:p>
    <w:p w14:paraId="52740EE1" w14:textId="77777777" w:rsidR="00DB2EDF" w:rsidRPr="00D718AB" w:rsidRDefault="00DB2EDF" w:rsidP="002F5784">
      <w:pPr>
        <w:spacing w:line="276" w:lineRule="auto"/>
        <w:jc w:val="both"/>
        <w:rPr>
          <w:rFonts w:ascii="Arial" w:hAnsi="Arial" w:cs="Arial"/>
        </w:rPr>
      </w:pPr>
    </w:p>
    <w:p w14:paraId="506F2137" w14:textId="430B3513" w:rsidR="00DB2EDF" w:rsidRPr="00D718AB" w:rsidRDefault="00A27DBD" w:rsidP="002F5784">
      <w:pPr>
        <w:spacing w:line="276" w:lineRule="auto"/>
        <w:jc w:val="both"/>
        <w:rPr>
          <w:rFonts w:ascii="Arial" w:hAnsi="Arial" w:cs="Arial"/>
        </w:rPr>
      </w:pPr>
      <w:r w:rsidRPr="00D718AB">
        <w:rPr>
          <w:rFonts w:ascii="Arial" w:hAnsi="Arial" w:cs="Arial"/>
        </w:rPr>
        <w:t xml:space="preserve">Conveyancing searches play a vital role in identifying risks that may affect the property. The local authority search provides information about planning permissions, building regulation approvals, enforcement notices, compulsory purchase orders and the status of adjoining roads. This search is particularly relevant in the present </w:t>
      </w:r>
      <w:r w:rsidR="003D4DC8" w:rsidRPr="00D718AB">
        <w:rPr>
          <w:rFonts w:ascii="Arial" w:hAnsi="Arial" w:cs="Arial"/>
        </w:rPr>
        <w:t xml:space="preserve">transaction due to the existence of a conservatory for which no evidence of planning permission or building regulations approval has been provided. </w:t>
      </w:r>
    </w:p>
    <w:p w14:paraId="36BE2E26" w14:textId="77777777" w:rsidR="003D4DC8" w:rsidRPr="00D718AB" w:rsidRDefault="003D4DC8" w:rsidP="002F5784">
      <w:pPr>
        <w:spacing w:line="276" w:lineRule="auto"/>
        <w:jc w:val="both"/>
        <w:rPr>
          <w:rFonts w:ascii="Arial" w:hAnsi="Arial" w:cs="Arial"/>
        </w:rPr>
      </w:pPr>
    </w:p>
    <w:p w14:paraId="649E81B3" w14:textId="3CFF2636" w:rsidR="003D4DC8" w:rsidRPr="00D718AB" w:rsidRDefault="003D4DC8" w:rsidP="002F5784">
      <w:pPr>
        <w:spacing w:line="276" w:lineRule="auto"/>
        <w:jc w:val="both"/>
        <w:rPr>
          <w:rFonts w:ascii="Arial" w:hAnsi="Arial" w:cs="Arial"/>
        </w:rPr>
      </w:pPr>
      <w:r w:rsidRPr="00D718AB">
        <w:rPr>
          <w:rFonts w:ascii="Arial" w:hAnsi="Arial" w:cs="Arial"/>
        </w:rPr>
        <w:t xml:space="preserve">Under the Town and Country Planning Act 1990 and the Building Act 1984, local authorities have powers to take enforcement action in certain circumstances. </w:t>
      </w:r>
      <w:r w:rsidR="00B542A4" w:rsidRPr="00D718AB">
        <w:rPr>
          <w:rFonts w:ascii="Arial" w:hAnsi="Arial" w:cs="Arial"/>
        </w:rPr>
        <w:t xml:space="preserve">Although enforcement may be time-limited, the absence of approval can </w:t>
      </w:r>
      <w:r w:rsidR="00F44149" w:rsidRPr="00D718AB">
        <w:rPr>
          <w:rFonts w:ascii="Arial" w:hAnsi="Arial" w:cs="Arial"/>
        </w:rPr>
        <w:t xml:space="preserve">still affect the property’s value, mortgage ability and </w:t>
      </w:r>
      <w:r w:rsidR="00615F05" w:rsidRPr="00D718AB">
        <w:rPr>
          <w:rFonts w:ascii="Arial" w:hAnsi="Arial" w:cs="Arial"/>
        </w:rPr>
        <w:t xml:space="preserve">future sale ability. If adverse entries are revealed, possible responses include requesting further documentation from the seller, renegotiating the purchase price, or obtaining indemnity insurance. </w:t>
      </w:r>
    </w:p>
    <w:p w14:paraId="2B66F73A" w14:textId="77777777" w:rsidR="00615F05" w:rsidRPr="00D718AB" w:rsidRDefault="00615F05" w:rsidP="002F5784">
      <w:pPr>
        <w:spacing w:line="276" w:lineRule="auto"/>
        <w:jc w:val="both"/>
        <w:rPr>
          <w:rFonts w:ascii="Arial" w:hAnsi="Arial" w:cs="Arial"/>
        </w:rPr>
      </w:pPr>
    </w:p>
    <w:p w14:paraId="05F6CA37" w14:textId="1AA0AD8E" w:rsidR="00615F05" w:rsidRPr="00D718AB" w:rsidRDefault="00615F05" w:rsidP="002F5784">
      <w:pPr>
        <w:spacing w:line="276" w:lineRule="auto"/>
        <w:jc w:val="both"/>
        <w:rPr>
          <w:rFonts w:ascii="Arial" w:hAnsi="Arial" w:cs="Arial"/>
        </w:rPr>
      </w:pPr>
      <w:r w:rsidRPr="00D718AB">
        <w:rPr>
          <w:rFonts w:ascii="Arial" w:hAnsi="Arial" w:cs="Arial"/>
        </w:rPr>
        <w:t>The drainage and water search confirms whe</w:t>
      </w:r>
      <w:r w:rsidR="00F84136" w:rsidRPr="00D718AB">
        <w:rPr>
          <w:rFonts w:ascii="Arial" w:hAnsi="Arial" w:cs="Arial"/>
        </w:rPr>
        <w:t xml:space="preserve">ther the property is connected to mains water and sewerage and whether any public sewers or water mains run within the boundaries of the property. This information is relevant to future maintenance responsibilities and potential </w:t>
      </w:r>
      <w:r w:rsidR="008224F5" w:rsidRPr="00D718AB">
        <w:rPr>
          <w:rFonts w:ascii="Arial" w:hAnsi="Arial" w:cs="Arial"/>
        </w:rPr>
        <w:t xml:space="preserve">development of the property. </w:t>
      </w:r>
    </w:p>
    <w:p w14:paraId="1E47C771" w14:textId="77777777" w:rsidR="008224F5" w:rsidRPr="00D718AB" w:rsidRDefault="008224F5" w:rsidP="002F5784">
      <w:pPr>
        <w:spacing w:line="276" w:lineRule="auto"/>
        <w:jc w:val="both"/>
        <w:rPr>
          <w:rFonts w:ascii="Arial" w:hAnsi="Arial" w:cs="Arial"/>
        </w:rPr>
      </w:pPr>
    </w:p>
    <w:p w14:paraId="1A286F58" w14:textId="676DE841" w:rsidR="008224F5" w:rsidRPr="00D718AB" w:rsidRDefault="008224F5" w:rsidP="002F5784">
      <w:pPr>
        <w:spacing w:line="276" w:lineRule="auto"/>
        <w:jc w:val="both"/>
        <w:rPr>
          <w:rFonts w:ascii="Arial" w:hAnsi="Arial" w:cs="Arial"/>
        </w:rPr>
      </w:pPr>
      <w:r w:rsidRPr="00D718AB">
        <w:rPr>
          <w:rFonts w:ascii="Arial" w:hAnsi="Arial" w:cs="Arial"/>
        </w:rPr>
        <w:t xml:space="preserve">The environmental </w:t>
      </w:r>
      <w:r w:rsidR="002D6F1F" w:rsidRPr="00D718AB">
        <w:rPr>
          <w:rFonts w:ascii="Arial" w:hAnsi="Arial" w:cs="Arial"/>
        </w:rPr>
        <w:t xml:space="preserve">search </w:t>
      </w:r>
      <w:r w:rsidR="005C5EF0" w:rsidRPr="00D718AB">
        <w:rPr>
          <w:rFonts w:ascii="Arial" w:hAnsi="Arial" w:cs="Arial"/>
        </w:rPr>
        <w:t>assesses risks such as contaminated land, flooding and proximity to landfill sites. Liability for contaminated land can arise under</w:t>
      </w:r>
      <w:r w:rsidR="001956D3" w:rsidRPr="00D718AB">
        <w:rPr>
          <w:rFonts w:ascii="Arial" w:hAnsi="Arial" w:cs="Arial"/>
        </w:rPr>
        <w:t xml:space="preserve"> the Environmental Protection Act 1990 and may attach to the current owner, even if they did not cause the contamination</w:t>
      </w:r>
      <w:r w:rsidR="008C2486" w:rsidRPr="00D718AB">
        <w:rPr>
          <w:rFonts w:ascii="Arial" w:hAnsi="Arial" w:cs="Arial"/>
        </w:rPr>
        <w:t>. This makes the search particularly important fr</w:t>
      </w:r>
      <w:r w:rsidR="00B61A55" w:rsidRPr="00D718AB">
        <w:rPr>
          <w:rFonts w:ascii="Arial" w:hAnsi="Arial" w:cs="Arial"/>
        </w:rPr>
        <w:t xml:space="preserve">om the buyer and the </w:t>
      </w:r>
      <w:r w:rsidR="00EB7CCC" w:rsidRPr="00D718AB">
        <w:rPr>
          <w:rFonts w:ascii="Arial" w:hAnsi="Arial" w:cs="Arial"/>
        </w:rPr>
        <w:t>lenders</w:t>
      </w:r>
      <w:r w:rsidR="00B61A55" w:rsidRPr="00D718AB">
        <w:rPr>
          <w:rFonts w:ascii="Arial" w:hAnsi="Arial" w:cs="Arial"/>
        </w:rPr>
        <w:t xml:space="preserve"> prospective. </w:t>
      </w:r>
    </w:p>
    <w:p w14:paraId="1AD3A594" w14:textId="77777777" w:rsidR="00EB7CCC" w:rsidRPr="00D718AB" w:rsidRDefault="00EB7CCC" w:rsidP="002F5784">
      <w:pPr>
        <w:spacing w:line="276" w:lineRule="auto"/>
        <w:jc w:val="both"/>
        <w:rPr>
          <w:rFonts w:ascii="Arial" w:hAnsi="Arial" w:cs="Arial"/>
        </w:rPr>
      </w:pPr>
    </w:p>
    <w:p w14:paraId="0F5F0F1F" w14:textId="73FD4FA0" w:rsidR="00EB7CCC" w:rsidRPr="00D718AB" w:rsidRDefault="00EB7CCC" w:rsidP="002F5784">
      <w:pPr>
        <w:spacing w:line="276" w:lineRule="auto"/>
        <w:jc w:val="both"/>
        <w:rPr>
          <w:rFonts w:ascii="Arial" w:hAnsi="Arial" w:cs="Arial"/>
        </w:rPr>
      </w:pPr>
      <w:r w:rsidRPr="00D718AB">
        <w:rPr>
          <w:rFonts w:ascii="Arial" w:hAnsi="Arial" w:cs="Arial"/>
        </w:rPr>
        <w:t xml:space="preserve">Where applicable, a coal mining search is </w:t>
      </w:r>
      <w:r w:rsidR="00CD407C" w:rsidRPr="00D718AB">
        <w:rPr>
          <w:rFonts w:ascii="Arial" w:hAnsi="Arial" w:cs="Arial"/>
        </w:rPr>
        <w:t>also</w:t>
      </w:r>
      <w:r w:rsidRPr="00D718AB">
        <w:rPr>
          <w:rFonts w:ascii="Arial" w:hAnsi="Arial" w:cs="Arial"/>
        </w:rPr>
        <w:t xml:space="preserve"> required</w:t>
      </w:r>
      <w:r w:rsidR="00CD407C" w:rsidRPr="00D718AB">
        <w:rPr>
          <w:rFonts w:ascii="Arial" w:hAnsi="Arial" w:cs="Arial"/>
        </w:rPr>
        <w:t>. That search identifies whether the property is located in a coal mining area and whether past mining activity could give rise to sub</w:t>
      </w:r>
      <w:r w:rsidR="003338EC" w:rsidRPr="00D718AB">
        <w:rPr>
          <w:rFonts w:ascii="Arial" w:hAnsi="Arial" w:cs="Arial"/>
        </w:rPr>
        <w:t>sidence</w:t>
      </w:r>
      <w:r w:rsidR="009B0DE6" w:rsidRPr="00D718AB">
        <w:rPr>
          <w:rFonts w:ascii="Arial" w:hAnsi="Arial" w:cs="Arial"/>
        </w:rPr>
        <w:t xml:space="preserve"> or structural damage. Adverse results may affect insurance, mortgage availability and long-term property value. </w:t>
      </w:r>
    </w:p>
    <w:p w14:paraId="76E0AF0A" w14:textId="77777777" w:rsidR="009B0DE6" w:rsidRPr="00D718AB" w:rsidRDefault="009B0DE6" w:rsidP="002F5784">
      <w:pPr>
        <w:spacing w:line="276" w:lineRule="auto"/>
        <w:jc w:val="both"/>
        <w:rPr>
          <w:rFonts w:ascii="Arial" w:hAnsi="Arial" w:cs="Arial"/>
        </w:rPr>
      </w:pPr>
    </w:p>
    <w:p w14:paraId="6009C05A" w14:textId="77777777" w:rsidR="009B0DE6" w:rsidRPr="00D718AB" w:rsidRDefault="009B0DE6" w:rsidP="002F5784">
      <w:pPr>
        <w:spacing w:line="276" w:lineRule="auto"/>
        <w:jc w:val="both"/>
        <w:rPr>
          <w:rFonts w:ascii="Arial" w:hAnsi="Arial" w:cs="Arial"/>
        </w:rPr>
      </w:pPr>
    </w:p>
    <w:p w14:paraId="37AA6E43" w14:textId="77777777" w:rsidR="009B0DE6" w:rsidRPr="00D718AB" w:rsidRDefault="009B0DE6" w:rsidP="002F5784">
      <w:pPr>
        <w:spacing w:line="276" w:lineRule="auto"/>
        <w:jc w:val="both"/>
        <w:rPr>
          <w:rFonts w:ascii="Arial" w:hAnsi="Arial" w:cs="Arial"/>
        </w:rPr>
      </w:pPr>
    </w:p>
    <w:p w14:paraId="6E99D28A" w14:textId="228B39F0" w:rsidR="009B0DE6" w:rsidRPr="00D718AB" w:rsidRDefault="009B0DE6" w:rsidP="002F5784">
      <w:pPr>
        <w:spacing w:line="276" w:lineRule="auto"/>
        <w:jc w:val="both"/>
        <w:rPr>
          <w:rFonts w:ascii="Arial" w:hAnsi="Arial" w:cs="Arial"/>
        </w:rPr>
      </w:pPr>
      <w:r w:rsidRPr="00D718AB">
        <w:rPr>
          <w:rFonts w:ascii="Arial" w:hAnsi="Arial" w:cs="Arial"/>
        </w:rPr>
        <w:t xml:space="preserve">Identified Issue: </w:t>
      </w:r>
      <w:r w:rsidR="00D36DDB" w:rsidRPr="00D718AB">
        <w:rPr>
          <w:rFonts w:ascii="Arial" w:hAnsi="Arial" w:cs="Arial"/>
        </w:rPr>
        <w:t>Conservatory Without consent</w:t>
      </w:r>
    </w:p>
    <w:p w14:paraId="254984DD" w14:textId="77777777" w:rsidR="00D36DDB" w:rsidRPr="00D718AB" w:rsidRDefault="00D36DDB" w:rsidP="002F5784">
      <w:pPr>
        <w:spacing w:line="276" w:lineRule="auto"/>
        <w:jc w:val="both"/>
        <w:rPr>
          <w:rFonts w:ascii="Arial" w:hAnsi="Arial" w:cs="Arial"/>
        </w:rPr>
      </w:pPr>
    </w:p>
    <w:p w14:paraId="513B18ED" w14:textId="7802F0E1" w:rsidR="00D36DDB" w:rsidRPr="00D718AB" w:rsidRDefault="00DC6900" w:rsidP="002F5784">
      <w:pPr>
        <w:spacing w:line="276" w:lineRule="auto"/>
        <w:jc w:val="both"/>
        <w:rPr>
          <w:rFonts w:ascii="Arial" w:hAnsi="Arial" w:cs="Arial"/>
        </w:rPr>
      </w:pPr>
      <w:r w:rsidRPr="00D718AB">
        <w:rPr>
          <w:rFonts w:ascii="Arial" w:hAnsi="Arial" w:cs="Arial"/>
        </w:rPr>
        <w:t>An initial review of the contract documentation shows that the seller has added a conservatory</w:t>
      </w:r>
      <w:r w:rsidR="00E55D46" w:rsidRPr="00D718AB">
        <w:rPr>
          <w:rFonts w:ascii="Arial" w:hAnsi="Arial" w:cs="Arial"/>
        </w:rPr>
        <w:t xml:space="preserve">, but there is no evidence of planning permission or building regulations approval. Thos raises a potential legal issue and could also have practical implications </w:t>
      </w:r>
      <w:r w:rsidR="00E55D46" w:rsidRPr="00D718AB">
        <w:rPr>
          <w:rFonts w:ascii="Arial" w:hAnsi="Arial" w:cs="Arial"/>
        </w:rPr>
        <w:lastRenderedPageBreak/>
        <w:t xml:space="preserve">for both the buyers and their </w:t>
      </w:r>
      <w:r w:rsidR="00134CE6" w:rsidRPr="00D718AB">
        <w:rPr>
          <w:rFonts w:ascii="Arial" w:hAnsi="Arial" w:cs="Arial"/>
        </w:rPr>
        <w:t xml:space="preserve">mortgage lender. Under the UK Finance Mortgage Lenders’ Handbook, a solicitor must report any </w:t>
      </w:r>
      <w:r w:rsidR="00A757EC" w:rsidRPr="00D718AB">
        <w:rPr>
          <w:rFonts w:ascii="Arial" w:hAnsi="Arial" w:cs="Arial"/>
        </w:rPr>
        <w:t xml:space="preserve">matters that could affect the value of the property or the lender’s security. </w:t>
      </w:r>
    </w:p>
    <w:p w14:paraId="606D1350" w14:textId="77777777" w:rsidR="00A757EC" w:rsidRPr="00D718AB" w:rsidRDefault="00A757EC" w:rsidP="002F5784">
      <w:pPr>
        <w:spacing w:line="276" w:lineRule="auto"/>
        <w:jc w:val="both"/>
        <w:rPr>
          <w:rFonts w:ascii="Arial" w:hAnsi="Arial" w:cs="Arial"/>
        </w:rPr>
      </w:pPr>
    </w:p>
    <w:p w14:paraId="06759F0B" w14:textId="70435300" w:rsidR="00066DF5" w:rsidRPr="00D718AB" w:rsidRDefault="00A757EC" w:rsidP="002F5784">
      <w:pPr>
        <w:spacing w:line="276" w:lineRule="auto"/>
        <w:jc w:val="both"/>
        <w:rPr>
          <w:rFonts w:ascii="Arial" w:hAnsi="Arial" w:cs="Arial"/>
        </w:rPr>
      </w:pPr>
      <w:r w:rsidRPr="00D718AB">
        <w:rPr>
          <w:rFonts w:ascii="Arial" w:hAnsi="Arial" w:cs="Arial"/>
        </w:rPr>
        <w:t>One way of addressing this issue may be through indemnity insurance, which can provide financial cover in the event of enforcement action being taken. However, it is important to explain</w:t>
      </w:r>
      <w:r w:rsidR="00066DF5" w:rsidRPr="00D718AB">
        <w:rPr>
          <w:rFonts w:ascii="Arial" w:hAnsi="Arial" w:cs="Arial"/>
        </w:rPr>
        <w:t xml:space="preserve"> to the clients that this does not resolve the underlying problem and may become invalid if the local authority is approached.</w:t>
      </w:r>
      <w:r w:rsidR="003D3353" w:rsidRPr="00D718AB">
        <w:rPr>
          <w:rFonts w:ascii="Arial" w:hAnsi="Arial" w:cs="Arial"/>
        </w:rPr>
        <w:t xml:space="preserve"> </w:t>
      </w:r>
      <w:r w:rsidR="00275CF4" w:rsidRPr="00D718AB">
        <w:rPr>
          <w:rFonts w:ascii="Arial" w:hAnsi="Arial" w:cs="Arial"/>
        </w:rPr>
        <w:t>Another option may be to ask the seller to obtain</w:t>
      </w:r>
      <w:r w:rsidR="005F38B5" w:rsidRPr="00D718AB">
        <w:rPr>
          <w:rFonts w:ascii="Arial" w:hAnsi="Arial" w:cs="Arial"/>
        </w:rPr>
        <w:t xml:space="preserve"> retro</w:t>
      </w:r>
      <w:r w:rsidR="00B11B94" w:rsidRPr="00D718AB">
        <w:rPr>
          <w:rFonts w:ascii="Arial" w:hAnsi="Arial" w:cs="Arial"/>
        </w:rPr>
        <w:t>spective consent, although that is not always possible. The clients should therefore be fully advised of the risks</w:t>
      </w:r>
      <w:r w:rsidR="00F968E9" w:rsidRPr="00D718AB">
        <w:rPr>
          <w:rFonts w:ascii="Arial" w:hAnsi="Arial" w:cs="Arial"/>
        </w:rPr>
        <w:t xml:space="preserve"> so that they can decide how they wish to proceed. </w:t>
      </w:r>
    </w:p>
    <w:p w14:paraId="22F0C7A4" w14:textId="77777777" w:rsidR="00F968E9" w:rsidRPr="00D718AB" w:rsidRDefault="00F968E9" w:rsidP="002F5784">
      <w:pPr>
        <w:spacing w:line="276" w:lineRule="auto"/>
        <w:jc w:val="both"/>
        <w:rPr>
          <w:rFonts w:ascii="Arial" w:hAnsi="Arial" w:cs="Arial"/>
        </w:rPr>
      </w:pPr>
    </w:p>
    <w:p w14:paraId="2C150982" w14:textId="77777777" w:rsidR="00F968E9" w:rsidRPr="00D718AB" w:rsidRDefault="00F968E9" w:rsidP="002F5784">
      <w:pPr>
        <w:spacing w:line="276" w:lineRule="auto"/>
        <w:jc w:val="both"/>
        <w:rPr>
          <w:rFonts w:ascii="Arial" w:hAnsi="Arial" w:cs="Arial"/>
        </w:rPr>
      </w:pPr>
    </w:p>
    <w:p w14:paraId="1B874784" w14:textId="77777777" w:rsidR="00F968E9" w:rsidRPr="00D718AB" w:rsidRDefault="00F968E9" w:rsidP="002F5784">
      <w:pPr>
        <w:spacing w:line="276" w:lineRule="auto"/>
        <w:jc w:val="both"/>
        <w:rPr>
          <w:rFonts w:ascii="Arial" w:hAnsi="Arial" w:cs="Arial"/>
        </w:rPr>
      </w:pPr>
    </w:p>
    <w:p w14:paraId="418530D3" w14:textId="51947EF1" w:rsidR="00F968E9" w:rsidRPr="00D718AB" w:rsidRDefault="0060026C" w:rsidP="002F5784">
      <w:pPr>
        <w:spacing w:line="276" w:lineRule="auto"/>
        <w:jc w:val="both"/>
        <w:rPr>
          <w:rFonts w:ascii="Arial" w:hAnsi="Arial" w:cs="Arial"/>
        </w:rPr>
      </w:pPr>
      <w:r w:rsidRPr="00D718AB">
        <w:rPr>
          <w:rFonts w:ascii="Arial" w:hAnsi="Arial" w:cs="Arial"/>
        </w:rPr>
        <w:t xml:space="preserve">Client Care and Interview Approach </w:t>
      </w:r>
    </w:p>
    <w:p w14:paraId="70AB1CD1" w14:textId="77777777" w:rsidR="0060026C" w:rsidRPr="00D718AB" w:rsidRDefault="0060026C" w:rsidP="002F5784">
      <w:pPr>
        <w:spacing w:line="276" w:lineRule="auto"/>
        <w:jc w:val="both"/>
        <w:rPr>
          <w:rFonts w:ascii="Arial" w:hAnsi="Arial" w:cs="Arial"/>
        </w:rPr>
      </w:pPr>
    </w:p>
    <w:p w14:paraId="3B56F56E" w14:textId="4D0E23E3" w:rsidR="0060026C" w:rsidRPr="00D718AB" w:rsidRDefault="005A6503" w:rsidP="002F5784">
      <w:pPr>
        <w:spacing w:line="276" w:lineRule="auto"/>
        <w:jc w:val="both"/>
        <w:rPr>
          <w:rFonts w:ascii="Arial" w:hAnsi="Arial" w:cs="Arial"/>
        </w:rPr>
      </w:pPr>
      <w:r w:rsidRPr="00D718AB">
        <w:rPr>
          <w:rFonts w:ascii="Arial" w:hAnsi="Arial" w:cs="Arial"/>
        </w:rPr>
        <w:t>E</w:t>
      </w:r>
      <w:r w:rsidR="00077EDC" w:rsidRPr="00D718AB">
        <w:rPr>
          <w:rFonts w:ascii="Arial" w:hAnsi="Arial" w:cs="Arial"/>
        </w:rPr>
        <w:t xml:space="preserve">ffective </w:t>
      </w:r>
      <w:r w:rsidR="00784EC2" w:rsidRPr="00D718AB">
        <w:rPr>
          <w:rFonts w:ascii="Arial" w:hAnsi="Arial" w:cs="Arial"/>
        </w:rPr>
        <w:t>client care is an essential part of the conveyancing process, particularly where clients are purchasing their first home. First-time buyers are often unfamiliar with the legal stages involved and may feel uncertain about their responsibilities and the financial commitments they are entering into. D</w:t>
      </w:r>
      <w:r w:rsidR="00FA2D01" w:rsidRPr="00D718AB">
        <w:rPr>
          <w:rFonts w:ascii="Arial" w:hAnsi="Arial" w:cs="Arial"/>
        </w:rPr>
        <w:t xml:space="preserve">uring the client interview, it is therefore important to provide advice in a clear and accessible manner, avoiding unnecessary </w:t>
      </w:r>
      <w:r w:rsidR="006C1103" w:rsidRPr="00D718AB">
        <w:rPr>
          <w:rFonts w:ascii="Arial" w:hAnsi="Arial" w:cs="Arial"/>
        </w:rPr>
        <w:t xml:space="preserve">technical legal language </w:t>
      </w:r>
      <w:r w:rsidR="0075504D" w:rsidRPr="00D718AB">
        <w:rPr>
          <w:rFonts w:ascii="Arial" w:hAnsi="Arial" w:cs="Arial"/>
        </w:rPr>
        <w:t xml:space="preserve">and explaining key terms where required to ensure full understanding. </w:t>
      </w:r>
    </w:p>
    <w:p w14:paraId="7FA444BE" w14:textId="77777777" w:rsidR="0075504D" w:rsidRPr="00D718AB" w:rsidRDefault="0075504D" w:rsidP="002F5784">
      <w:pPr>
        <w:spacing w:line="276" w:lineRule="auto"/>
        <w:jc w:val="both"/>
        <w:rPr>
          <w:rFonts w:ascii="Arial" w:hAnsi="Arial" w:cs="Arial"/>
        </w:rPr>
      </w:pPr>
    </w:p>
    <w:p w14:paraId="5A6F65A5" w14:textId="052822A0" w:rsidR="0075504D" w:rsidRPr="00D718AB" w:rsidRDefault="0075504D" w:rsidP="002F5784">
      <w:pPr>
        <w:spacing w:line="276" w:lineRule="auto"/>
        <w:jc w:val="both"/>
        <w:rPr>
          <w:rFonts w:ascii="Arial" w:hAnsi="Arial" w:cs="Arial"/>
        </w:rPr>
      </w:pPr>
      <w:r w:rsidRPr="00D718AB">
        <w:rPr>
          <w:rFonts w:ascii="Arial" w:hAnsi="Arial" w:cs="Arial"/>
        </w:rPr>
        <w:t xml:space="preserve">The interview should be structured in a way that allows the clients to raise questions and express any concerns they may have. Managing expectations is also a key aspect of client care, which included providing realistic guidance on timescales and explaining that delays may occur due to issues such as adverse search results or third-party requirements. </w:t>
      </w:r>
      <w:r w:rsidR="000B5DD5" w:rsidRPr="00D718AB">
        <w:rPr>
          <w:rFonts w:ascii="Arial" w:hAnsi="Arial" w:cs="Arial"/>
        </w:rPr>
        <w:t xml:space="preserve">Any potential risks or additional costs should be communicated honestly, while reassurance can be offered by outlining the steps available to address such issues. </w:t>
      </w:r>
      <w:r w:rsidR="009C7F66" w:rsidRPr="00D718AB">
        <w:rPr>
          <w:rFonts w:ascii="Arial" w:hAnsi="Arial" w:cs="Arial"/>
        </w:rPr>
        <w:t xml:space="preserve">Checking the clients’ understanding throughout the meeting helps to support informed decision-making and reflects good professional practice. </w:t>
      </w:r>
    </w:p>
    <w:p w14:paraId="701E6E60" w14:textId="77777777" w:rsidR="00AA0BDA" w:rsidRPr="00D718AB" w:rsidRDefault="00AA0BDA" w:rsidP="002F5784">
      <w:pPr>
        <w:spacing w:line="276" w:lineRule="auto"/>
        <w:jc w:val="both"/>
        <w:rPr>
          <w:rFonts w:ascii="Arial" w:hAnsi="Arial" w:cs="Arial"/>
        </w:rPr>
      </w:pPr>
    </w:p>
    <w:p w14:paraId="1384C066" w14:textId="77777777" w:rsidR="00AA0BDA" w:rsidRPr="00D718AB" w:rsidRDefault="00AA0BDA" w:rsidP="002F5784">
      <w:pPr>
        <w:spacing w:line="276" w:lineRule="auto"/>
        <w:jc w:val="both"/>
        <w:rPr>
          <w:rFonts w:ascii="Arial" w:hAnsi="Arial" w:cs="Arial"/>
        </w:rPr>
      </w:pPr>
    </w:p>
    <w:p w14:paraId="312A1985" w14:textId="20B9B718" w:rsidR="00AA0BDA" w:rsidRPr="00D718AB" w:rsidRDefault="00AA0BDA" w:rsidP="002F5784">
      <w:pPr>
        <w:spacing w:line="276" w:lineRule="auto"/>
        <w:jc w:val="both"/>
        <w:rPr>
          <w:rFonts w:ascii="Arial" w:hAnsi="Arial" w:cs="Arial"/>
        </w:rPr>
      </w:pPr>
      <w:r w:rsidRPr="00D718AB">
        <w:rPr>
          <w:rFonts w:ascii="Arial" w:hAnsi="Arial" w:cs="Arial"/>
        </w:rPr>
        <w:t>Concl</w:t>
      </w:r>
      <w:r w:rsidR="006B3F73" w:rsidRPr="00D718AB">
        <w:rPr>
          <w:rFonts w:ascii="Arial" w:hAnsi="Arial" w:cs="Arial"/>
        </w:rPr>
        <w:t>usion</w:t>
      </w:r>
    </w:p>
    <w:p w14:paraId="34C01D7B" w14:textId="77777777" w:rsidR="006B3F73" w:rsidRPr="00D718AB" w:rsidRDefault="006B3F73" w:rsidP="002F5784">
      <w:pPr>
        <w:spacing w:line="276" w:lineRule="auto"/>
        <w:jc w:val="both"/>
        <w:rPr>
          <w:rFonts w:ascii="Arial" w:hAnsi="Arial" w:cs="Arial"/>
        </w:rPr>
      </w:pPr>
    </w:p>
    <w:p w14:paraId="7B264D9A" w14:textId="10E32ED2" w:rsidR="006B3F73" w:rsidRPr="00D718AB" w:rsidRDefault="006B3F73" w:rsidP="002F5784">
      <w:pPr>
        <w:spacing w:line="276" w:lineRule="auto"/>
        <w:jc w:val="both"/>
        <w:rPr>
          <w:rFonts w:ascii="Arial" w:hAnsi="Arial" w:cs="Arial"/>
        </w:rPr>
      </w:pPr>
      <w:r w:rsidRPr="00D718AB">
        <w:rPr>
          <w:rFonts w:ascii="Arial" w:hAnsi="Arial" w:cs="Arial"/>
        </w:rPr>
        <w:t>These research and prep</w:t>
      </w:r>
      <w:r w:rsidR="00E67F3D" w:rsidRPr="00D718AB">
        <w:rPr>
          <w:rFonts w:ascii="Arial" w:hAnsi="Arial" w:cs="Arial"/>
        </w:rPr>
        <w:t>aration notes demonstrates a clear and understan</w:t>
      </w:r>
      <w:r w:rsidR="00447090" w:rsidRPr="00D718AB">
        <w:rPr>
          <w:rFonts w:ascii="Arial" w:hAnsi="Arial" w:cs="Arial"/>
        </w:rPr>
        <w:t xml:space="preserve">ding of the conveyancing process as it applies to the joint purchase of a freehold residential property. </w:t>
      </w:r>
      <w:r w:rsidR="001A179F" w:rsidRPr="00D718AB">
        <w:rPr>
          <w:rFonts w:ascii="Arial" w:hAnsi="Arial" w:cs="Arial"/>
        </w:rPr>
        <w:t xml:space="preserve">They address the key legal stages </w:t>
      </w:r>
      <w:r w:rsidR="00C15E5B" w:rsidRPr="00D718AB">
        <w:rPr>
          <w:rFonts w:ascii="Arial" w:hAnsi="Arial" w:cs="Arial"/>
        </w:rPr>
        <w:t xml:space="preserve">of the transaction, the implications of joint ownership, mortgage and financial considerations, and the purpose and significance </w:t>
      </w:r>
      <w:r w:rsidR="00A76A5D" w:rsidRPr="00D718AB">
        <w:rPr>
          <w:rFonts w:ascii="Arial" w:hAnsi="Arial" w:cs="Arial"/>
        </w:rPr>
        <w:t>of the required conveyancing searches. Potential legal and practical risks</w:t>
      </w:r>
      <w:r w:rsidR="0040208D" w:rsidRPr="00D718AB">
        <w:rPr>
          <w:rFonts w:ascii="Arial" w:hAnsi="Arial" w:cs="Arial"/>
        </w:rPr>
        <w:t xml:space="preserve">, including issues </w:t>
      </w:r>
      <w:r w:rsidR="00A61F22" w:rsidRPr="00D718AB">
        <w:rPr>
          <w:rFonts w:ascii="Arial" w:hAnsi="Arial" w:cs="Arial"/>
        </w:rPr>
        <w:t>iden</w:t>
      </w:r>
      <w:r w:rsidR="00C80CCA" w:rsidRPr="00D718AB">
        <w:rPr>
          <w:rFonts w:ascii="Arial" w:hAnsi="Arial" w:cs="Arial"/>
        </w:rPr>
        <w:t>tified within the</w:t>
      </w:r>
      <w:r w:rsidR="00FC4897" w:rsidRPr="00D718AB">
        <w:rPr>
          <w:rFonts w:ascii="Arial" w:hAnsi="Arial" w:cs="Arial"/>
        </w:rPr>
        <w:t xml:space="preserve"> </w:t>
      </w:r>
      <w:r w:rsidR="00B06680" w:rsidRPr="00D718AB">
        <w:rPr>
          <w:rFonts w:ascii="Arial" w:hAnsi="Arial" w:cs="Arial"/>
        </w:rPr>
        <w:t xml:space="preserve">contract documentation, are considers alongside appropriate responses and </w:t>
      </w:r>
      <w:r w:rsidR="002C5C92" w:rsidRPr="00D718AB">
        <w:rPr>
          <w:rFonts w:ascii="Arial" w:hAnsi="Arial" w:cs="Arial"/>
        </w:rPr>
        <w:t xml:space="preserve">advice. The notes are grounded in relevant legal principles and professional practice, while maintain a strong focus on clear communication and </w:t>
      </w:r>
      <w:r w:rsidR="002C5C92" w:rsidRPr="00D718AB">
        <w:rPr>
          <w:rFonts w:ascii="Arial" w:hAnsi="Arial" w:cs="Arial"/>
        </w:rPr>
        <w:lastRenderedPageBreak/>
        <w:t>effective client care. This preparation ensures that the client interview can be conducted confidently</w:t>
      </w:r>
      <w:r w:rsidR="00BA6741" w:rsidRPr="00D718AB">
        <w:rPr>
          <w:rFonts w:ascii="Arial" w:hAnsi="Arial" w:cs="Arial"/>
        </w:rPr>
        <w:t xml:space="preserve">, professionally, and in a manner consistent with the standard expected of a trainee solicitor. </w:t>
      </w:r>
    </w:p>
    <w:p w14:paraId="46023CA8" w14:textId="77777777" w:rsidR="00DB2EDF" w:rsidRPr="00D718AB" w:rsidRDefault="00DB2EDF" w:rsidP="002F5784">
      <w:pPr>
        <w:spacing w:line="276" w:lineRule="auto"/>
        <w:jc w:val="both"/>
        <w:rPr>
          <w:rFonts w:ascii="Arial" w:hAnsi="Arial" w:cs="Arial"/>
        </w:rPr>
      </w:pPr>
    </w:p>
    <w:p w14:paraId="05EF98AF" w14:textId="77777777" w:rsidR="00B540F7" w:rsidRPr="00D718AB" w:rsidRDefault="00B540F7" w:rsidP="002F5784">
      <w:pPr>
        <w:spacing w:line="276" w:lineRule="auto"/>
        <w:jc w:val="both"/>
        <w:rPr>
          <w:rFonts w:ascii="Arial" w:hAnsi="Arial" w:cs="Arial"/>
        </w:rPr>
      </w:pPr>
    </w:p>
    <w:p w14:paraId="44E2A3C0" w14:textId="2F0C4CEB" w:rsidR="00206F85" w:rsidRPr="00D718AB" w:rsidRDefault="00206F85" w:rsidP="002F5784">
      <w:pPr>
        <w:spacing w:line="276" w:lineRule="auto"/>
        <w:jc w:val="both"/>
        <w:rPr>
          <w:rFonts w:ascii="Arial" w:hAnsi="Arial" w:cs="Arial"/>
        </w:rPr>
      </w:pPr>
      <w:r w:rsidRPr="00D718AB">
        <w:rPr>
          <w:rFonts w:ascii="Arial" w:hAnsi="Arial" w:cs="Arial"/>
        </w:rPr>
        <w:t xml:space="preserve"> </w:t>
      </w:r>
    </w:p>
    <w:p w14:paraId="53FFD2A1" w14:textId="77777777" w:rsidR="00F469F4" w:rsidRPr="00D718AB" w:rsidRDefault="00F469F4" w:rsidP="002F5784">
      <w:pPr>
        <w:spacing w:line="276" w:lineRule="auto"/>
        <w:jc w:val="both"/>
        <w:rPr>
          <w:rFonts w:ascii="Arial" w:hAnsi="Arial" w:cs="Arial"/>
        </w:rPr>
      </w:pPr>
    </w:p>
    <w:p w14:paraId="736AA91E" w14:textId="77777777" w:rsidR="00F469F4" w:rsidRPr="00D718AB" w:rsidRDefault="00F469F4" w:rsidP="002F5784">
      <w:pPr>
        <w:spacing w:line="276" w:lineRule="auto"/>
        <w:jc w:val="both"/>
        <w:rPr>
          <w:rFonts w:ascii="Arial" w:hAnsi="Arial" w:cs="Arial"/>
        </w:rPr>
      </w:pPr>
    </w:p>
    <w:p w14:paraId="7C3CDD09" w14:textId="77777777" w:rsidR="00F469F4" w:rsidRPr="00D718AB" w:rsidRDefault="00F469F4" w:rsidP="002F5784">
      <w:pPr>
        <w:spacing w:line="276" w:lineRule="auto"/>
        <w:jc w:val="both"/>
        <w:rPr>
          <w:rFonts w:ascii="Arial" w:hAnsi="Arial" w:cs="Arial"/>
        </w:rPr>
      </w:pPr>
    </w:p>
    <w:p w14:paraId="6E752E04" w14:textId="77777777" w:rsidR="00F469F4" w:rsidRPr="00D718AB" w:rsidRDefault="00F469F4" w:rsidP="002F5784">
      <w:pPr>
        <w:spacing w:line="276" w:lineRule="auto"/>
        <w:jc w:val="both"/>
        <w:rPr>
          <w:rFonts w:ascii="Arial" w:hAnsi="Arial" w:cs="Arial"/>
        </w:rPr>
      </w:pPr>
    </w:p>
    <w:p w14:paraId="7ECCFF5A" w14:textId="77777777" w:rsidR="00F469F4" w:rsidRPr="00D718AB" w:rsidRDefault="00F469F4" w:rsidP="002F5784">
      <w:pPr>
        <w:spacing w:line="276" w:lineRule="auto"/>
        <w:jc w:val="both"/>
        <w:rPr>
          <w:rFonts w:ascii="Arial" w:hAnsi="Arial" w:cs="Arial"/>
        </w:rPr>
      </w:pPr>
    </w:p>
    <w:p w14:paraId="09E6724F" w14:textId="77777777" w:rsidR="00F469F4" w:rsidRPr="00D718AB" w:rsidRDefault="00F469F4" w:rsidP="002F5784">
      <w:pPr>
        <w:spacing w:line="276" w:lineRule="auto"/>
        <w:jc w:val="both"/>
        <w:rPr>
          <w:rFonts w:ascii="Arial" w:hAnsi="Arial" w:cs="Arial"/>
        </w:rPr>
      </w:pPr>
    </w:p>
    <w:p w14:paraId="0DC9D191" w14:textId="77777777" w:rsidR="00F469F4" w:rsidRPr="00D718AB" w:rsidRDefault="00F469F4" w:rsidP="002F5784">
      <w:pPr>
        <w:spacing w:line="276" w:lineRule="auto"/>
        <w:jc w:val="both"/>
        <w:rPr>
          <w:rFonts w:ascii="Arial" w:hAnsi="Arial" w:cs="Arial"/>
        </w:rPr>
      </w:pPr>
    </w:p>
    <w:p w14:paraId="545D1C55" w14:textId="77777777" w:rsidR="00F469F4" w:rsidRPr="00D718AB" w:rsidRDefault="00F469F4" w:rsidP="002F5784">
      <w:pPr>
        <w:spacing w:line="276" w:lineRule="auto"/>
        <w:jc w:val="both"/>
        <w:rPr>
          <w:rFonts w:ascii="Arial" w:hAnsi="Arial" w:cs="Arial"/>
        </w:rPr>
      </w:pPr>
    </w:p>
    <w:p w14:paraId="1DDB05E4" w14:textId="77777777" w:rsidR="00F469F4" w:rsidRPr="00D718AB" w:rsidRDefault="00F469F4" w:rsidP="002F5784">
      <w:pPr>
        <w:spacing w:line="276" w:lineRule="auto"/>
        <w:jc w:val="both"/>
        <w:rPr>
          <w:rFonts w:ascii="Arial" w:hAnsi="Arial" w:cs="Arial"/>
        </w:rPr>
      </w:pPr>
    </w:p>
    <w:p w14:paraId="4F5EEDA3" w14:textId="77777777" w:rsidR="00F469F4" w:rsidRPr="00D718AB" w:rsidRDefault="00F469F4" w:rsidP="002F5784">
      <w:pPr>
        <w:spacing w:line="276" w:lineRule="auto"/>
        <w:jc w:val="both"/>
        <w:rPr>
          <w:rFonts w:ascii="Arial" w:hAnsi="Arial" w:cs="Arial"/>
        </w:rPr>
      </w:pPr>
    </w:p>
    <w:p w14:paraId="38E1538D" w14:textId="77777777" w:rsidR="00F469F4" w:rsidRPr="00D718AB" w:rsidRDefault="00F469F4" w:rsidP="002F5784">
      <w:pPr>
        <w:spacing w:line="276" w:lineRule="auto"/>
        <w:jc w:val="both"/>
        <w:rPr>
          <w:rFonts w:ascii="Arial" w:hAnsi="Arial" w:cs="Arial"/>
        </w:rPr>
      </w:pPr>
    </w:p>
    <w:p w14:paraId="7389BE15" w14:textId="77777777" w:rsidR="00F469F4" w:rsidRPr="00D718AB" w:rsidRDefault="00F469F4" w:rsidP="002F5784">
      <w:pPr>
        <w:spacing w:line="276" w:lineRule="auto"/>
        <w:jc w:val="both"/>
        <w:rPr>
          <w:rFonts w:ascii="Arial" w:hAnsi="Arial" w:cs="Arial"/>
        </w:rPr>
      </w:pPr>
    </w:p>
    <w:p w14:paraId="7F3C6466" w14:textId="77777777" w:rsidR="00F469F4" w:rsidRPr="00D718AB" w:rsidRDefault="00F469F4" w:rsidP="002F5784">
      <w:pPr>
        <w:spacing w:line="276" w:lineRule="auto"/>
        <w:jc w:val="both"/>
        <w:rPr>
          <w:rFonts w:ascii="Arial" w:hAnsi="Arial" w:cs="Arial"/>
        </w:rPr>
      </w:pPr>
    </w:p>
    <w:p w14:paraId="3FB3DBAD" w14:textId="77777777" w:rsidR="00F469F4" w:rsidRPr="00D718AB" w:rsidRDefault="00F469F4" w:rsidP="002F5784">
      <w:pPr>
        <w:spacing w:line="276" w:lineRule="auto"/>
        <w:jc w:val="both"/>
        <w:rPr>
          <w:rFonts w:ascii="Arial" w:hAnsi="Arial" w:cs="Arial"/>
        </w:rPr>
      </w:pPr>
    </w:p>
    <w:p w14:paraId="68C1128D" w14:textId="77777777" w:rsidR="00F469F4" w:rsidRPr="00D718AB" w:rsidRDefault="00F469F4" w:rsidP="002F5784">
      <w:pPr>
        <w:spacing w:line="276" w:lineRule="auto"/>
        <w:jc w:val="both"/>
        <w:rPr>
          <w:rFonts w:ascii="Arial" w:hAnsi="Arial" w:cs="Arial"/>
        </w:rPr>
      </w:pPr>
    </w:p>
    <w:p w14:paraId="3C8CE5D3" w14:textId="77777777" w:rsidR="00F469F4" w:rsidRPr="00D718AB" w:rsidRDefault="00F469F4" w:rsidP="002F5784">
      <w:pPr>
        <w:spacing w:line="276" w:lineRule="auto"/>
        <w:jc w:val="both"/>
        <w:rPr>
          <w:rFonts w:ascii="Arial" w:hAnsi="Arial" w:cs="Arial"/>
        </w:rPr>
      </w:pPr>
    </w:p>
    <w:p w14:paraId="7FED4B40" w14:textId="77777777" w:rsidR="00F469F4" w:rsidRPr="00D718AB" w:rsidRDefault="00F469F4" w:rsidP="002F5784">
      <w:pPr>
        <w:spacing w:line="276" w:lineRule="auto"/>
        <w:jc w:val="both"/>
        <w:rPr>
          <w:rFonts w:ascii="Arial" w:hAnsi="Arial" w:cs="Arial"/>
        </w:rPr>
      </w:pPr>
    </w:p>
    <w:p w14:paraId="6399EFD1" w14:textId="77777777" w:rsidR="00F469F4" w:rsidRPr="00D718AB" w:rsidRDefault="00F469F4" w:rsidP="002F5784">
      <w:pPr>
        <w:spacing w:line="276" w:lineRule="auto"/>
        <w:jc w:val="both"/>
        <w:rPr>
          <w:rFonts w:ascii="Arial" w:hAnsi="Arial" w:cs="Arial"/>
        </w:rPr>
      </w:pPr>
    </w:p>
    <w:p w14:paraId="357F7900" w14:textId="77777777" w:rsidR="00F469F4" w:rsidRPr="00D718AB" w:rsidRDefault="00F469F4" w:rsidP="002F5784">
      <w:pPr>
        <w:spacing w:line="276" w:lineRule="auto"/>
        <w:jc w:val="both"/>
        <w:rPr>
          <w:rFonts w:ascii="Arial" w:hAnsi="Arial" w:cs="Arial"/>
        </w:rPr>
      </w:pPr>
    </w:p>
    <w:p w14:paraId="3C78B445" w14:textId="77777777" w:rsidR="00F469F4" w:rsidRPr="00D718AB" w:rsidRDefault="00F469F4" w:rsidP="002F5784">
      <w:pPr>
        <w:spacing w:line="276" w:lineRule="auto"/>
        <w:jc w:val="both"/>
        <w:rPr>
          <w:rFonts w:ascii="Arial" w:hAnsi="Arial" w:cs="Arial"/>
        </w:rPr>
      </w:pPr>
    </w:p>
    <w:p w14:paraId="441DFFB7" w14:textId="77777777" w:rsidR="00F469F4" w:rsidRPr="00D718AB" w:rsidRDefault="00F469F4" w:rsidP="002F5784">
      <w:pPr>
        <w:spacing w:line="276" w:lineRule="auto"/>
        <w:jc w:val="both"/>
        <w:rPr>
          <w:rFonts w:ascii="Arial" w:hAnsi="Arial" w:cs="Arial"/>
        </w:rPr>
      </w:pPr>
    </w:p>
    <w:p w14:paraId="56F9E8EC" w14:textId="77777777" w:rsidR="00F469F4" w:rsidRPr="00D718AB" w:rsidRDefault="00F469F4" w:rsidP="002F5784">
      <w:pPr>
        <w:spacing w:line="276" w:lineRule="auto"/>
        <w:jc w:val="both"/>
        <w:rPr>
          <w:rFonts w:ascii="Arial" w:hAnsi="Arial" w:cs="Arial"/>
        </w:rPr>
      </w:pPr>
    </w:p>
    <w:p w14:paraId="08D3DF1C" w14:textId="77777777" w:rsidR="00F469F4" w:rsidRPr="00D718AB" w:rsidRDefault="00F469F4" w:rsidP="002F5784">
      <w:pPr>
        <w:spacing w:line="276" w:lineRule="auto"/>
        <w:jc w:val="both"/>
        <w:rPr>
          <w:rFonts w:ascii="Arial" w:hAnsi="Arial" w:cs="Arial"/>
        </w:rPr>
      </w:pPr>
    </w:p>
    <w:p w14:paraId="2CD6BEE4" w14:textId="77777777" w:rsidR="00F469F4" w:rsidRPr="00D718AB" w:rsidRDefault="00F469F4" w:rsidP="002F5784">
      <w:pPr>
        <w:spacing w:line="276" w:lineRule="auto"/>
        <w:jc w:val="both"/>
        <w:rPr>
          <w:rFonts w:ascii="Arial" w:hAnsi="Arial" w:cs="Arial"/>
        </w:rPr>
      </w:pPr>
    </w:p>
    <w:p w14:paraId="771B8F22" w14:textId="77777777" w:rsidR="00F469F4" w:rsidRPr="00D718AB" w:rsidRDefault="00F469F4" w:rsidP="002F5784">
      <w:pPr>
        <w:spacing w:line="276" w:lineRule="auto"/>
        <w:jc w:val="both"/>
        <w:rPr>
          <w:rFonts w:ascii="Arial" w:hAnsi="Arial" w:cs="Arial"/>
        </w:rPr>
      </w:pPr>
    </w:p>
    <w:p w14:paraId="2F2D5051" w14:textId="77777777" w:rsidR="00F469F4" w:rsidRPr="00D718AB" w:rsidRDefault="00F469F4" w:rsidP="002F5784">
      <w:pPr>
        <w:spacing w:line="276" w:lineRule="auto"/>
        <w:jc w:val="both"/>
        <w:rPr>
          <w:rFonts w:ascii="Arial" w:hAnsi="Arial" w:cs="Arial"/>
        </w:rPr>
      </w:pPr>
    </w:p>
    <w:p w14:paraId="548E1BB5" w14:textId="77777777" w:rsidR="00F469F4" w:rsidRPr="00D718AB" w:rsidRDefault="00F469F4" w:rsidP="002F5784">
      <w:pPr>
        <w:spacing w:line="276" w:lineRule="auto"/>
        <w:jc w:val="both"/>
        <w:rPr>
          <w:rFonts w:ascii="Arial" w:hAnsi="Arial" w:cs="Arial"/>
        </w:rPr>
      </w:pPr>
    </w:p>
    <w:p w14:paraId="593B4B3C" w14:textId="77777777" w:rsidR="00F469F4" w:rsidRPr="00D718AB" w:rsidRDefault="00F469F4" w:rsidP="002F5784">
      <w:pPr>
        <w:spacing w:line="276" w:lineRule="auto"/>
        <w:jc w:val="both"/>
        <w:rPr>
          <w:rFonts w:ascii="Arial" w:hAnsi="Arial" w:cs="Arial"/>
        </w:rPr>
      </w:pPr>
    </w:p>
    <w:p w14:paraId="7E43D658" w14:textId="77777777" w:rsidR="00F469F4" w:rsidRPr="00D718AB" w:rsidRDefault="00F469F4" w:rsidP="002F5784">
      <w:pPr>
        <w:spacing w:line="276" w:lineRule="auto"/>
        <w:jc w:val="both"/>
        <w:rPr>
          <w:rFonts w:ascii="Arial" w:hAnsi="Arial" w:cs="Arial"/>
        </w:rPr>
      </w:pPr>
    </w:p>
    <w:p w14:paraId="38D56149" w14:textId="77777777" w:rsidR="00F469F4" w:rsidRPr="00D718AB" w:rsidRDefault="00F469F4" w:rsidP="002F5784">
      <w:pPr>
        <w:spacing w:line="276" w:lineRule="auto"/>
        <w:jc w:val="both"/>
        <w:rPr>
          <w:rFonts w:ascii="Arial" w:hAnsi="Arial" w:cs="Arial"/>
        </w:rPr>
      </w:pPr>
    </w:p>
    <w:p w14:paraId="7EC4E9EA" w14:textId="77777777" w:rsidR="00F469F4" w:rsidRPr="00D718AB" w:rsidRDefault="00F469F4" w:rsidP="002F5784">
      <w:pPr>
        <w:spacing w:line="276" w:lineRule="auto"/>
        <w:jc w:val="both"/>
        <w:rPr>
          <w:rFonts w:ascii="Arial" w:hAnsi="Arial" w:cs="Arial"/>
        </w:rPr>
      </w:pPr>
    </w:p>
    <w:p w14:paraId="5C3B582D" w14:textId="77777777" w:rsidR="00F469F4" w:rsidRPr="00D718AB" w:rsidRDefault="00F469F4" w:rsidP="002F5784">
      <w:pPr>
        <w:spacing w:line="276" w:lineRule="auto"/>
        <w:jc w:val="both"/>
        <w:rPr>
          <w:rFonts w:ascii="Arial" w:hAnsi="Arial" w:cs="Arial"/>
        </w:rPr>
      </w:pPr>
    </w:p>
    <w:p w14:paraId="3D18AA30" w14:textId="77777777" w:rsidR="00F469F4" w:rsidRPr="00D718AB" w:rsidRDefault="00F469F4" w:rsidP="002F5784">
      <w:pPr>
        <w:spacing w:line="276" w:lineRule="auto"/>
        <w:jc w:val="both"/>
        <w:rPr>
          <w:rFonts w:ascii="Arial" w:hAnsi="Arial" w:cs="Arial"/>
        </w:rPr>
      </w:pPr>
    </w:p>
    <w:p w14:paraId="6C740A66" w14:textId="77777777" w:rsidR="00F469F4" w:rsidRPr="00D718AB" w:rsidRDefault="00F469F4" w:rsidP="002F5784">
      <w:pPr>
        <w:spacing w:line="276" w:lineRule="auto"/>
        <w:jc w:val="both"/>
        <w:rPr>
          <w:rFonts w:ascii="Arial" w:hAnsi="Arial" w:cs="Arial"/>
        </w:rPr>
      </w:pPr>
    </w:p>
    <w:p w14:paraId="6B0B0A43" w14:textId="77777777" w:rsidR="00F469F4" w:rsidRPr="00D718AB" w:rsidRDefault="00F469F4" w:rsidP="002F5784">
      <w:pPr>
        <w:spacing w:line="276" w:lineRule="auto"/>
        <w:jc w:val="both"/>
        <w:rPr>
          <w:rFonts w:ascii="Arial" w:hAnsi="Arial" w:cs="Arial"/>
        </w:rPr>
      </w:pPr>
    </w:p>
    <w:p w14:paraId="03FB19D7" w14:textId="77777777" w:rsidR="00F469F4" w:rsidRPr="00D718AB" w:rsidRDefault="00F469F4" w:rsidP="002F5784">
      <w:pPr>
        <w:spacing w:line="276" w:lineRule="auto"/>
        <w:jc w:val="both"/>
        <w:rPr>
          <w:rFonts w:ascii="Arial" w:hAnsi="Arial" w:cs="Arial"/>
        </w:rPr>
      </w:pPr>
    </w:p>
    <w:p w14:paraId="4BE9DD35" w14:textId="77777777" w:rsidR="00F469F4" w:rsidRPr="00D718AB" w:rsidRDefault="00F469F4" w:rsidP="002F5784">
      <w:pPr>
        <w:spacing w:line="276" w:lineRule="auto"/>
        <w:jc w:val="both"/>
        <w:rPr>
          <w:rFonts w:ascii="Arial" w:hAnsi="Arial" w:cs="Arial"/>
        </w:rPr>
      </w:pPr>
    </w:p>
    <w:p w14:paraId="3EF822DC" w14:textId="77777777" w:rsidR="00F469F4" w:rsidRPr="00D718AB" w:rsidRDefault="00F469F4" w:rsidP="002F5784">
      <w:pPr>
        <w:spacing w:line="276" w:lineRule="auto"/>
        <w:jc w:val="both"/>
        <w:rPr>
          <w:rFonts w:ascii="Arial" w:hAnsi="Arial" w:cs="Arial"/>
        </w:rPr>
      </w:pPr>
    </w:p>
    <w:p w14:paraId="68A0060E" w14:textId="0A1F6478" w:rsidR="00F469F4" w:rsidRPr="00D718AB" w:rsidRDefault="00F469F4" w:rsidP="002F5784">
      <w:pPr>
        <w:spacing w:line="276" w:lineRule="auto"/>
        <w:jc w:val="both"/>
        <w:rPr>
          <w:rFonts w:ascii="Arial" w:hAnsi="Arial" w:cs="Arial"/>
        </w:rPr>
      </w:pPr>
      <w:r w:rsidRPr="00D718AB">
        <w:rPr>
          <w:rFonts w:ascii="Arial" w:hAnsi="Arial" w:cs="Arial"/>
        </w:rPr>
        <w:lastRenderedPageBreak/>
        <w:t>References:</w:t>
      </w:r>
    </w:p>
    <w:p w14:paraId="03A5EEFC" w14:textId="77777777" w:rsidR="00846257" w:rsidRPr="00D718AB" w:rsidRDefault="00846257" w:rsidP="00846257">
      <w:pPr>
        <w:spacing w:before="100" w:beforeAutospacing="1" w:after="100" w:afterAutospacing="1"/>
        <w:rPr>
          <w:rFonts w:ascii="Arial" w:eastAsia="Times New Roman" w:hAnsi="Arial" w:cs="Arial"/>
          <w:color w:val="000000"/>
          <w:kern w:val="0"/>
          <w:lang w:eastAsia="en-GB"/>
          <w14:ligatures w14:val="none"/>
        </w:rPr>
      </w:pPr>
      <w:r w:rsidRPr="00034FD6">
        <w:rPr>
          <w:rFonts w:ascii="Arial" w:eastAsia="Times New Roman" w:hAnsi="Arial" w:cs="Arial"/>
          <w:color w:val="000000"/>
          <w:kern w:val="0"/>
          <w:lang w:eastAsia="en-GB"/>
          <w14:ligatures w14:val="none"/>
        </w:rPr>
        <w:t>Expert Participation (1984) </w:t>
      </w:r>
      <w:r w:rsidRPr="00034FD6">
        <w:rPr>
          <w:rFonts w:ascii="Arial" w:eastAsia="Times New Roman" w:hAnsi="Arial" w:cs="Arial"/>
          <w:i/>
          <w:iCs/>
          <w:color w:val="000000"/>
          <w:kern w:val="0"/>
          <w:lang w:eastAsia="en-GB"/>
          <w14:ligatures w14:val="none"/>
        </w:rPr>
        <w:t>Building Act 1984</w:t>
      </w:r>
      <w:r w:rsidRPr="00034FD6">
        <w:rPr>
          <w:rFonts w:ascii="Arial" w:eastAsia="Times New Roman" w:hAnsi="Arial" w:cs="Arial"/>
          <w:color w:val="000000"/>
          <w:kern w:val="0"/>
          <w:lang w:eastAsia="en-GB"/>
          <w14:ligatures w14:val="none"/>
        </w:rPr>
        <w:t>, </w:t>
      </w:r>
      <w:r w:rsidRPr="00034FD6">
        <w:rPr>
          <w:rFonts w:ascii="Arial" w:eastAsia="Times New Roman" w:hAnsi="Arial" w:cs="Arial"/>
          <w:i/>
          <w:iCs/>
          <w:color w:val="000000"/>
          <w:kern w:val="0"/>
          <w:lang w:eastAsia="en-GB"/>
          <w14:ligatures w14:val="none"/>
        </w:rPr>
        <w:t>Statute Law Database</w:t>
      </w:r>
      <w:r w:rsidRPr="00034FD6">
        <w:rPr>
          <w:rFonts w:ascii="Arial" w:eastAsia="Times New Roman" w:hAnsi="Arial" w:cs="Arial"/>
          <w:color w:val="000000"/>
          <w:kern w:val="0"/>
          <w:lang w:eastAsia="en-GB"/>
          <w14:ligatures w14:val="none"/>
        </w:rPr>
        <w:t>. Available at: https://www.legislation.gov.uk/ukpga/1984/55 (Accessed: 8 January 2026).</w:t>
      </w:r>
    </w:p>
    <w:p w14:paraId="7B283D16" w14:textId="1F932452" w:rsidR="00F72049" w:rsidRPr="00D718AB" w:rsidRDefault="00846257" w:rsidP="00716B13">
      <w:pPr>
        <w:spacing w:line="276" w:lineRule="auto"/>
        <w:jc w:val="both"/>
        <w:rPr>
          <w:rFonts w:ascii="Arial" w:hAnsi="Arial" w:cs="Arial"/>
        </w:rPr>
      </w:pPr>
      <w:hyperlink r:id="rId7" w:history="1">
        <w:r w:rsidRPr="00D718AB">
          <w:rPr>
            <w:rStyle w:val="Hyperlink"/>
            <w:rFonts w:ascii="Arial" w:hAnsi="Arial" w:cs="Arial"/>
          </w:rPr>
          <w:t>https://www.legislation.gov.uk/ukpga/1984/55</w:t>
        </w:r>
      </w:hyperlink>
    </w:p>
    <w:p w14:paraId="472DA239" w14:textId="77777777" w:rsidR="00F72049" w:rsidRPr="00D718AB" w:rsidRDefault="00F72049" w:rsidP="00144ECB">
      <w:pPr>
        <w:spacing w:before="100" w:beforeAutospacing="1" w:after="100" w:afterAutospacing="1"/>
        <w:rPr>
          <w:rFonts w:ascii="Arial" w:eastAsia="Times New Roman" w:hAnsi="Arial" w:cs="Arial"/>
          <w:color w:val="000000"/>
          <w:kern w:val="0"/>
          <w:lang w:eastAsia="en-GB"/>
          <w14:ligatures w14:val="none"/>
        </w:rPr>
      </w:pPr>
    </w:p>
    <w:p w14:paraId="4937368A" w14:textId="0A962B38" w:rsidR="00CF21F8" w:rsidRPr="00D718AB" w:rsidRDefault="00223702" w:rsidP="00144ECB">
      <w:pPr>
        <w:spacing w:before="100" w:beforeAutospacing="1" w:after="100" w:afterAutospacing="1"/>
        <w:rPr>
          <w:rFonts w:ascii="Arial" w:eastAsia="Times New Roman" w:hAnsi="Arial" w:cs="Arial"/>
          <w:color w:val="000000"/>
          <w:kern w:val="0"/>
          <w:lang w:eastAsia="en-GB"/>
          <w14:ligatures w14:val="none"/>
        </w:rPr>
      </w:pPr>
      <w:r w:rsidRPr="00223702">
        <w:rPr>
          <w:rFonts w:ascii="Arial" w:eastAsia="Times New Roman" w:hAnsi="Arial" w:cs="Arial"/>
          <w:color w:val="000000"/>
          <w:kern w:val="0"/>
          <w:lang w:eastAsia="en-GB"/>
          <w14:ligatures w14:val="none"/>
        </w:rPr>
        <w:t>Expert Participation (1972) </w:t>
      </w:r>
      <w:r w:rsidRPr="00223702">
        <w:rPr>
          <w:rFonts w:ascii="Arial" w:eastAsia="Times New Roman" w:hAnsi="Arial" w:cs="Arial"/>
          <w:i/>
          <w:iCs/>
          <w:color w:val="000000"/>
          <w:kern w:val="0"/>
          <w:lang w:eastAsia="en-GB"/>
          <w14:ligatures w14:val="none"/>
        </w:rPr>
        <w:t>Law of property Act 1925</w:t>
      </w:r>
      <w:r w:rsidRPr="00223702">
        <w:rPr>
          <w:rFonts w:ascii="Arial" w:eastAsia="Times New Roman" w:hAnsi="Arial" w:cs="Arial"/>
          <w:color w:val="000000"/>
          <w:kern w:val="0"/>
          <w:lang w:eastAsia="en-GB"/>
          <w14:ligatures w14:val="none"/>
        </w:rPr>
        <w:t>, </w:t>
      </w:r>
      <w:r w:rsidRPr="00223702">
        <w:rPr>
          <w:rFonts w:ascii="Arial" w:eastAsia="Times New Roman" w:hAnsi="Arial" w:cs="Arial"/>
          <w:i/>
          <w:iCs/>
          <w:color w:val="000000"/>
          <w:kern w:val="0"/>
          <w:lang w:eastAsia="en-GB"/>
          <w14:ligatures w14:val="none"/>
        </w:rPr>
        <w:t>Statute Law Database</w:t>
      </w:r>
      <w:r w:rsidRPr="00223702">
        <w:rPr>
          <w:rFonts w:ascii="Arial" w:eastAsia="Times New Roman" w:hAnsi="Arial" w:cs="Arial"/>
          <w:color w:val="000000"/>
          <w:kern w:val="0"/>
          <w:lang w:eastAsia="en-GB"/>
          <w14:ligatures w14:val="none"/>
        </w:rPr>
        <w:t>. Available at: https://www.legislation.gov.uk/ukpga/Geo5/15-16/20/section/1 (Accessed: 8 January 2026).</w:t>
      </w:r>
    </w:p>
    <w:p w14:paraId="103CB495" w14:textId="7DAC42E2" w:rsidR="005E37F5" w:rsidRPr="00D718AB" w:rsidRDefault="00CF21F8" w:rsidP="002F5784">
      <w:pPr>
        <w:spacing w:line="276" w:lineRule="auto"/>
        <w:jc w:val="both"/>
        <w:rPr>
          <w:rFonts w:ascii="Arial" w:hAnsi="Arial" w:cs="Arial"/>
        </w:rPr>
      </w:pPr>
      <w:hyperlink r:id="rId8" w:history="1">
        <w:r w:rsidRPr="00D718AB">
          <w:rPr>
            <w:rStyle w:val="Hyperlink"/>
            <w:rFonts w:ascii="Arial" w:hAnsi="Arial" w:cs="Arial"/>
          </w:rPr>
          <w:t>https://www.legislation.gov.uk/ukpga/Geo5/15-16/20</w:t>
        </w:r>
      </w:hyperlink>
    </w:p>
    <w:p w14:paraId="50001DB7" w14:textId="77777777" w:rsidR="00144ECB" w:rsidRPr="00D718AB" w:rsidRDefault="00144ECB" w:rsidP="002F5784">
      <w:pPr>
        <w:spacing w:line="276" w:lineRule="auto"/>
        <w:jc w:val="both"/>
        <w:rPr>
          <w:rFonts w:ascii="Arial" w:hAnsi="Arial" w:cs="Arial"/>
        </w:rPr>
      </w:pPr>
    </w:p>
    <w:p w14:paraId="4E8759B2" w14:textId="77777777" w:rsidR="00B311CD" w:rsidRPr="00D718AB" w:rsidRDefault="00B311CD" w:rsidP="00B311CD">
      <w:pPr>
        <w:spacing w:before="100" w:beforeAutospacing="1" w:after="100" w:afterAutospacing="1"/>
        <w:rPr>
          <w:rFonts w:ascii="Arial" w:eastAsia="Times New Roman" w:hAnsi="Arial" w:cs="Arial"/>
          <w:color w:val="000000"/>
          <w:kern w:val="0"/>
          <w:lang w:eastAsia="en-GB"/>
          <w14:ligatures w14:val="none"/>
        </w:rPr>
      </w:pPr>
      <w:r w:rsidRPr="009A5A02">
        <w:rPr>
          <w:rFonts w:ascii="Arial" w:eastAsia="Times New Roman" w:hAnsi="Arial" w:cs="Arial"/>
          <w:color w:val="000000"/>
          <w:kern w:val="0"/>
          <w:lang w:eastAsia="en-GB"/>
          <w14:ligatures w14:val="none"/>
        </w:rPr>
        <w:t>Expert Participation (1990) </w:t>
      </w:r>
      <w:r w:rsidRPr="009A5A02">
        <w:rPr>
          <w:rFonts w:ascii="Arial" w:eastAsia="Times New Roman" w:hAnsi="Arial" w:cs="Arial"/>
          <w:i/>
          <w:iCs/>
          <w:color w:val="000000"/>
          <w:kern w:val="0"/>
          <w:lang w:eastAsia="en-GB"/>
          <w14:ligatures w14:val="none"/>
        </w:rPr>
        <w:t>Town and Country planning Act 1990</w:t>
      </w:r>
      <w:r w:rsidRPr="009A5A02">
        <w:rPr>
          <w:rFonts w:ascii="Arial" w:eastAsia="Times New Roman" w:hAnsi="Arial" w:cs="Arial"/>
          <w:color w:val="000000"/>
          <w:kern w:val="0"/>
          <w:lang w:eastAsia="en-GB"/>
          <w14:ligatures w14:val="none"/>
        </w:rPr>
        <w:t>, </w:t>
      </w:r>
      <w:r w:rsidRPr="009A5A02">
        <w:rPr>
          <w:rFonts w:ascii="Arial" w:eastAsia="Times New Roman" w:hAnsi="Arial" w:cs="Arial"/>
          <w:i/>
          <w:iCs/>
          <w:color w:val="000000"/>
          <w:kern w:val="0"/>
          <w:lang w:eastAsia="en-GB"/>
          <w14:ligatures w14:val="none"/>
        </w:rPr>
        <w:t>Statute Law Database</w:t>
      </w:r>
      <w:r w:rsidRPr="009A5A02">
        <w:rPr>
          <w:rFonts w:ascii="Arial" w:eastAsia="Times New Roman" w:hAnsi="Arial" w:cs="Arial"/>
          <w:color w:val="000000"/>
          <w:kern w:val="0"/>
          <w:lang w:eastAsia="en-GB"/>
          <w14:ligatures w14:val="none"/>
        </w:rPr>
        <w:t>. Available at: https://www.legislation.gov.uk/ukpga/1990/8/contents (Accessed: 8 January 2026).</w:t>
      </w:r>
    </w:p>
    <w:p w14:paraId="3988EC10" w14:textId="77777777" w:rsidR="00B311CD" w:rsidRPr="00D718AB" w:rsidRDefault="00B311CD" w:rsidP="00B311CD">
      <w:pPr>
        <w:spacing w:line="276" w:lineRule="auto"/>
        <w:jc w:val="both"/>
        <w:rPr>
          <w:rFonts w:ascii="Arial" w:hAnsi="Arial" w:cs="Arial"/>
        </w:rPr>
      </w:pPr>
      <w:hyperlink r:id="rId9" w:history="1">
        <w:r w:rsidRPr="00D718AB">
          <w:rPr>
            <w:rStyle w:val="Hyperlink"/>
            <w:rFonts w:ascii="Arial" w:hAnsi="Arial" w:cs="Arial"/>
          </w:rPr>
          <w:t>https://www.legislation.gov.uk/ukpga/1990/8/contents</w:t>
        </w:r>
      </w:hyperlink>
    </w:p>
    <w:p w14:paraId="54D4F8F4" w14:textId="77777777" w:rsidR="00B311CD" w:rsidRPr="00D718AB" w:rsidRDefault="00B311CD" w:rsidP="00B311CD">
      <w:pPr>
        <w:spacing w:line="276" w:lineRule="auto"/>
        <w:jc w:val="both"/>
        <w:rPr>
          <w:rFonts w:ascii="Arial" w:hAnsi="Arial" w:cs="Arial"/>
        </w:rPr>
      </w:pPr>
    </w:p>
    <w:p w14:paraId="095F8C00" w14:textId="77777777" w:rsidR="00B311CD" w:rsidRPr="00D718AB" w:rsidRDefault="00B311CD" w:rsidP="00B311CD">
      <w:pPr>
        <w:spacing w:line="276" w:lineRule="auto"/>
        <w:jc w:val="both"/>
        <w:rPr>
          <w:rFonts w:ascii="Arial" w:hAnsi="Arial" w:cs="Arial"/>
        </w:rPr>
      </w:pPr>
    </w:p>
    <w:p w14:paraId="318A89EF" w14:textId="77777777" w:rsidR="00B311CD" w:rsidRPr="00D718AB" w:rsidRDefault="00B311CD" w:rsidP="00B311CD">
      <w:pPr>
        <w:spacing w:before="100" w:beforeAutospacing="1" w:after="100" w:afterAutospacing="1"/>
        <w:rPr>
          <w:rFonts w:ascii="Arial" w:eastAsia="Times New Roman" w:hAnsi="Arial" w:cs="Arial"/>
          <w:color w:val="000000"/>
          <w:kern w:val="0"/>
          <w:lang w:eastAsia="en-GB"/>
          <w14:ligatures w14:val="none"/>
        </w:rPr>
      </w:pPr>
      <w:r w:rsidRPr="00123411">
        <w:rPr>
          <w:rFonts w:ascii="Arial" w:eastAsia="Times New Roman" w:hAnsi="Arial" w:cs="Arial"/>
          <w:color w:val="000000"/>
          <w:kern w:val="0"/>
          <w:lang w:eastAsia="en-GB"/>
          <w14:ligatures w14:val="none"/>
        </w:rPr>
        <w:t>Expert Participation (1990a) </w:t>
      </w:r>
      <w:r w:rsidRPr="00123411">
        <w:rPr>
          <w:rFonts w:ascii="Arial" w:eastAsia="Times New Roman" w:hAnsi="Arial" w:cs="Arial"/>
          <w:i/>
          <w:iCs/>
          <w:color w:val="000000"/>
          <w:kern w:val="0"/>
          <w:lang w:eastAsia="en-GB"/>
          <w14:ligatures w14:val="none"/>
        </w:rPr>
        <w:t>Environmental protection Act 1990</w:t>
      </w:r>
      <w:r w:rsidRPr="00123411">
        <w:rPr>
          <w:rFonts w:ascii="Arial" w:eastAsia="Times New Roman" w:hAnsi="Arial" w:cs="Arial"/>
          <w:color w:val="000000"/>
          <w:kern w:val="0"/>
          <w:lang w:eastAsia="en-GB"/>
          <w14:ligatures w14:val="none"/>
        </w:rPr>
        <w:t>, </w:t>
      </w:r>
      <w:r w:rsidRPr="00123411">
        <w:rPr>
          <w:rFonts w:ascii="Arial" w:eastAsia="Times New Roman" w:hAnsi="Arial" w:cs="Arial"/>
          <w:i/>
          <w:iCs/>
          <w:color w:val="000000"/>
          <w:kern w:val="0"/>
          <w:lang w:eastAsia="en-GB"/>
          <w14:ligatures w14:val="none"/>
        </w:rPr>
        <w:t>Statute Law Database</w:t>
      </w:r>
      <w:r w:rsidRPr="00123411">
        <w:rPr>
          <w:rFonts w:ascii="Arial" w:eastAsia="Times New Roman" w:hAnsi="Arial" w:cs="Arial"/>
          <w:color w:val="000000"/>
          <w:kern w:val="0"/>
          <w:lang w:eastAsia="en-GB"/>
          <w14:ligatures w14:val="none"/>
        </w:rPr>
        <w:t>. Available at: https://www.legislation.gov.uk/ukpga/1990/43/part/IIA (Accessed: 8 January 2026).</w:t>
      </w:r>
    </w:p>
    <w:p w14:paraId="19AAECE9" w14:textId="3A5C663D" w:rsidR="00BB505D" w:rsidRPr="00D718AB" w:rsidRDefault="00B311CD" w:rsidP="00BB505D">
      <w:pPr>
        <w:spacing w:line="276" w:lineRule="auto"/>
        <w:jc w:val="both"/>
        <w:rPr>
          <w:rFonts w:ascii="Arial" w:hAnsi="Arial" w:cs="Arial"/>
        </w:rPr>
      </w:pPr>
      <w:hyperlink r:id="rId10" w:history="1">
        <w:r w:rsidRPr="00D718AB">
          <w:rPr>
            <w:rStyle w:val="Hyperlink"/>
            <w:rFonts w:ascii="Arial" w:hAnsi="Arial" w:cs="Arial"/>
          </w:rPr>
          <w:t>https://www.legislation.gov.uk/ukpga/1990/43/part/IIA</w:t>
        </w:r>
      </w:hyperlink>
    </w:p>
    <w:p w14:paraId="583F3D31" w14:textId="77777777" w:rsidR="00BB505D" w:rsidRPr="00D718AB" w:rsidRDefault="00BB505D" w:rsidP="00BB505D">
      <w:pPr>
        <w:spacing w:line="276" w:lineRule="auto"/>
        <w:jc w:val="both"/>
        <w:rPr>
          <w:rFonts w:ascii="Arial" w:hAnsi="Arial" w:cs="Arial"/>
        </w:rPr>
      </w:pPr>
    </w:p>
    <w:p w14:paraId="4E8B81AC" w14:textId="763CE85B" w:rsidR="00E53215" w:rsidRPr="00D718AB" w:rsidRDefault="00C222FA" w:rsidP="00C222FA">
      <w:pPr>
        <w:spacing w:before="100" w:beforeAutospacing="1" w:after="100" w:afterAutospacing="1"/>
        <w:rPr>
          <w:rFonts w:ascii="Arial" w:eastAsia="Times New Roman" w:hAnsi="Arial" w:cs="Arial"/>
          <w:color w:val="000000"/>
          <w:kern w:val="0"/>
          <w:lang w:eastAsia="en-GB"/>
          <w14:ligatures w14:val="none"/>
        </w:rPr>
      </w:pPr>
      <w:r w:rsidRPr="00C222FA">
        <w:rPr>
          <w:rFonts w:ascii="Arial" w:eastAsia="Times New Roman" w:hAnsi="Arial" w:cs="Arial"/>
          <w:color w:val="000000"/>
          <w:kern w:val="0"/>
          <w:lang w:eastAsia="en-GB"/>
          <w14:ligatures w14:val="none"/>
        </w:rPr>
        <w:t>Expert Participation (1996) </w:t>
      </w:r>
      <w:r w:rsidRPr="00C222FA">
        <w:rPr>
          <w:rFonts w:ascii="Arial" w:eastAsia="Times New Roman" w:hAnsi="Arial" w:cs="Arial"/>
          <w:i/>
          <w:iCs/>
          <w:color w:val="000000"/>
          <w:kern w:val="0"/>
          <w:lang w:eastAsia="en-GB"/>
          <w14:ligatures w14:val="none"/>
        </w:rPr>
        <w:t>Trusts of land and appointment of trustees Act 1996</w:t>
      </w:r>
      <w:r w:rsidRPr="00C222FA">
        <w:rPr>
          <w:rFonts w:ascii="Arial" w:eastAsia="Times New Roman" w:hAnsi="Arial" w:cs="Arial"/>
          <w:color w:val="000000"/>
          <w:kern w:val="0"/>
          <w:lang w:eastAsia="en-GB"/>
          <w14:ligatures w14:val="none"/>
        </w:rPr>
        <w:t>, </w:t>
      </w:r>
      <w:r w:rsidRPr="00C222FA">
        <w:rPr>
          <w:rFonts w:ascii="Arial" w:eastAsia="Times New Roman" w:hAnsi="Arial" w:cs="Arial"/>
          <w:i/>
          <w:iCs/>
          <w:color w:val="000000"/>
          <w:kern w:val="0"/>
          <w:lang w:eastAsia="en-GB"/>
          <w14:ligatures w14:val="none"/>
        </w:rPr>
        <w:t>Statute Law Database</w:t>
      </w:r>
      <w:r w:rsidRPr="00C222FA">
        <w:rPr>
          <w:rFonts w:ascii="Arial" w:eastAsia="Times New Roman" w:hAnsi="Arial" w:cs="Arial"/>
          <w:color w:val="000000"/>
          <w:kern w:val="0"/>
          <w:lang w:eastAsia="en-GB"/>
          <w14:ligatures w14:val="none"/>
        </w:rPr>
        <w:t>. Available at: https://www.legislation.gov.uk/ukpga/1996/47 (Accessed: 8 January 2026).</w:t>
      </w:r>
    </w:p>
    <w:p w14:paraId="1F588BCA" w14:textId="1F1267E7" w:rsidR="00E53215" w:rsidRPr="00D718AB" w:rsidRDefault="00E53215" w:rsidP="002F5784">
      <w:pPr>
        <w:spacing w:line="276" w:lineRule="auto"/>
        <w:jc w:val="both"/>
        <w:rPr>
          <w:rFonts w:ascii="Arial" w:hAnsi="Arial" w:cs="Arial"/>
        </w:rPr>
      </w:pPr>
      <w:hyperlink r:id="rId11" w:history="1">
        <w:r w:rsidRPr="00D718AB">
          <w:rPr>
            <w:rStyle w:val="Hyperlink"/>
            <w:rFonts w:ascii="Arial" w:hAnsi="Arial" w:cs="Arial"/>
          </w:rPr>
          <w:t>https://www.legislation.gov.uk/ukpga/1996/47</w:t>
        </w:r>
      </w:hyperlink>
    </w:p>
    <w:p w14:paraId="25BE403C" w14:textId="77777777" w:rsidR="00E66B9F" w:rsidRPr="00D718AB" w:rsidRDefault="00E66B9F" w:rsidP="00E66B9F">
      <w:pPr>
        <w:spacing w:before="100" w:beforeAutospacing="1" w:after="100" w:afterAutospacing="1"/>
        <w:rPr>
          <w:rFonts w:ascii="Arial" w:eastAsia="Times New Roman" w:hAnsi="Arial" w:cs="Arial"/>
          <w:color w:val="000000"/>
          <w:kern w:val="0"/>
          <w:lang w:eastAsia="en-GB"/>
          <w14:ligatures w14:val="none"/>
        </w:rPr>
      </w:pPr>
      <w:r w:rsidRPr="00E8094D">
        <w:rPr>
          <w:rFonts w:ascii="Arial" w:eastAsia="Times New Roman" w:hAnsi="Arial" w:cs="Arial"/>
          <w:color w:val="000000"/>
          <w:kern w:val="0"/>
          <w:lang w:eastAsia="en-GB"/>
          <w14:ligatures w14:val="none"/>
        </w:rPr>
        <w:t>Expert Participation (2002) </w:t>
      </w:r>
      <w:r w:rsidRPr="00E8094D">
        <w:rPr>
          <w:rFonts w:ascii="Arial" w:eastAsia="Times New Roman" w:hAnsi="Arial" w:cs="Arial"/>
          <w:i/>
          <w:iCs/>
          <w:color w:val="000000"/>
          <w:kern w:val="0"/>
          <w:lang w:eastAsia="en-GB"/>
          <w14:ligatures w14:val="none"/>
        </w:rPr>
        <w:t>Land registration Act 2002</w:t>
      </w:r>
      <w:r w:rsidRPr="00E8094D">
        <w:rPr>
          <w:rFonts w:ascii="Arial" w:eastAsia="Times New Roman" w:hAnsi="Arial" w:cs="Arial"/>
          <w:color w:val="000000"/>
          <w:kern w:val="0"/>
          <w:lang w:eastAsia="en-GB"/>
          <w14:ligatures w14:val="none"/>
        </w:rPr>
        <w:t>, </w:t>
      </w:r>
      <w:r w:rsidRPr="00E8094D">
        <w:rPr>
          <w:rFonts w:ascii="Arial" w:eastAsia="Times New Roman" w:hAnsi="Arial" w:cs="Arial"/>
          <w:i/>
          <w:iCs/>
          <w:color w:val="000000"/>
          <w:kern w:val="0"/>
          <w:lang w:eastAsia="en-GB"/>
          <w14:ligatures w14:val="none"/>
        </w:rPr>
        <w:t>Statute Law Database</w:t>
      </w:r>
      <w:r w:rsidRPr="00E8094D">
        <w:rPr>
          <w:rFonts w:ascii="Arial" w:eastAsia="Times New Roman" w:hAnsi="Arial" w:cs="Arial"/>
          <w:color w:val="000000"/>
          <w:kern w:val="0"/>
          <w:lang w:eastAsia="en-GB"/>
          <w14:ligatures w14:val="none"/>
        </w:rPr>
        <w:t>. Available at: https://www.legislation.gov.uk/ukpga/2002/9 (Accessed: 8 January 2026).</w:t>
      </w:r>
    </w:p>
    <w:p w14:paraId="0EB30EA6" w14:textId="77777777" w:rsidR="00E66B9F" w:rsidRPr="00D718AB" w:rsidRDefault="00E66B9F" w:rsidP="00E66B9F">
      <w:pPr>
        <w:spacing w:line="276" w:lineRule="auto"/>
        <w:jc w:val="both"/>
        <w:rPr>
          <w:rFonts w:ascii="Arial" w:hAnsi="Arial" w:cs="Arial"/>
        </w:rPr>
      </w:pPr>
      <w:hyperlink r:id="rId12" w:history="1">
        <w:r w:rsidRPr="00D718AB">
          <w:rPr>
            <w:rStyle w:val="Hyperlink"/>
            <w:rFonts w:ascii="Arial" w:hAnsi="Arial" w:cs="Arial"/>
          </w:rPr>
          <w:t>https://www.legislation.gov.uk/ukpga/2002/9</w:t>
        </w:r>
      </w:hyperlink>
    </w:p>
    <w:p w14:paraId="331F8BC8" w14:textId="77777777" w:rsidR="00BB505D" w:rsidRPr="00D718AB" w:rsidRDefault="00BB505D" w:rsidP="001D19FE">
      <w:pPr>
        <w:spacing w:before="100" w:beforeAutospacing="1" w:after="100" w:afterAutospacing="1"/>
        <w:rPr>
          <w:rFonts w:ascii="Arial" w:hAnsi="Arial" w:cs="Arial"/>
        </w:rPr>
      </w:pPr>
    </w:p>
    <w:p w14:paraId="771C7C12" w14:textId="77777777" w:rsidR="00E66B9F" w:rsidRPr="00D718AB" w:rsidRDefault="00E66B9F" w:rsidP="00E66B9F">
      <w:pPr>
        <w:spacing w:before="100" w:beforeAutospacing="1" w:after="100" w:afterAutospacing="1"/>
        <w:rPr>
          <w:rFonts w:ascii="Arial" w:eastAsia="Times New Roman" w:hAnsi="Arial" w:cs="Arial"/>
          <w:color w:val="000000"/>
          <w:kern w:val="0"/>
          <w:lang w:eastAsia="en-GB"/>
          <w14:ligatures w14:val="none"/>
        </w:rPr>
      </w:pPr>
      <w:r w:rsidRPr="001844ED">
        <w:rPr>
          <w:rFonts w:ascii="Arial" w:eastAsia="Times New Roman" w:hAnsi="Arial" w:cs="Arial"/>
          <w:color w:val="000000"/>
          <w:kern w:val="0"/>
          <w:lang w:eastAsia="en-GB"/>
          <w14:ligatures w14:val="none"/>
        </w:rPr>
        <w:t>Expert Participation (no date) </w:t>
      </w:r>
      <w:r w:rsidRPr="001844ED">
        <w:rPr>
          <w:rFonts w:ascii="Arial" w:eastAsia="Times New Roman" w:hAnsi="Arial" w:cs="Arial"/>
          <w:i/>
          <w:iCs/>
          <w:color w:val="000000"/>
          <w:kern w:val="0"/>
          <w:lang w:eastAsia="en-GB"/>
          <w14:ligatures w14:val="none"/>
        </w:rPr>
        <w:t>Finance Act 2003</w:t>
      </w:r>
      <w:r w:rsidRPr="001844ED">
        <w:rPr>
          <w:rFonts w:ascii="Arial" w:eastAsia="Times New Roman" w:hAnsi="Arial" w:cs="Arial"/>
          <w:color w:val="000000"/>
          <w:kern w:val="0"/>
          <w:lang w:eastAsia="en-GB"/>
          <w14:ligatures w14:val="none"/>
        </w:rPr>
        <w:t>, </w:t>
      </w:r>
      <w:r w:rsidRPr="001844ED">
        <w:rPr>
          <w:rFonts w:ascii="Arial" w:eastAsia="Times New Roman" w:hAnsi="Arial" w:cs="Arial"/>
          <w:i/>
          <w:iCs/>
          <w:color w:val="000000"/>
          <w:kern w:val="0"/>
          <w:lang w:eastAsia="en-GB"/>
          <w14:ligatures w14:val="none"/>
        </w:rPr>
        <w:t>Statute Law Database</w:t>
      </w:r>
      <w:r w:rsidRPr="001844ED">
        <w:rPr>
          <w:rFonts w:ascii="Arial" w:eastAsia="Times New Roman" w:hAnsi="Arial" w:cs="Arial"/>
          <w:color w:val="000000"/>
          <w:kern w:val="0"/>
          <w:lang w:eastAsia="en-GB"/>
          <w14:ligatures w14:val="none"/>
        </w:rPr>
        <w:t>. Available at: https://www.legislation.gov.uk/ukpga/2003/14/contents (Accessed: 8 January 2026).</w:t>
      </w:r>
    </w:p>
    <w:p w14:paraId="08BC8523" w14:textId="2E3DA7E1" w:rsidR="00983F52" w:rsidRPr="00D718AB" w:rsidRDefault="00E66B9F" w:rsidP="00983F52">
      <w:pPr>
        <w:spacing w:line="276" w:lineRule="auto"/>
        <w:jc w:val="both"/>
        <w:rPr>
          <w:rFonts w:ascii="Arial" w:hAnsi="Arial" w:cs="Arial"/>
        </w:rPr>
      </w:pPr>
      <w:hyperlink r:id="rId13" w:history="1">
        <w:r w:rsidRPr="00D718AB">
          <w:rPr>
            <w:rStyle w:val="Hyperlink"/>
            <w:rFonts w:ascii="Arial" w:hAnsi="Arial" w:cs="Arial"/>
          </w:rPr>
          <w:t>https://www.legislation.gov.uk/ukpga/2003/14/contents</w:t>
        </w:r>
      </w:hyperlink>
    </w:p>
    <w:p w14:paraId="434C431E" w14:textId="77777777" w:rsidR="00983F52" w:rsidRPr="00D718AB" w:rsidRDefault="00983F52" w:rsidP="00983F52">
      <w:pPr>
        <w:spacing w:before="100" w:beforeAutospacing="1" w:after="100" w:afterAutospacing="1"/>
        <w:rPr>
          <w:rFonts w:ascii="Arial" w:eastAsia="Times New Roman" w:hAnsi="Arial" w:cs="Arial"/>
          <w:color w:val="000000"/>
          <w:kern w:val="0"/>
          <w:lang w:eastAsia="en-GB"/>
          <w14:ligatures w14:val="none"/>
        </w:rPr>
      </w:pPr>
      <w:r w:rsidRPr="001B3956">
        <w:rPr>
          <w:rFonts w:ascii="Arial" w:eastAsia="Times New Roman" w:hAnsi="Arial" w:cs="Arial"/>
          <w:i/>
          <w:iCs/>
          <w:color w:val="000000"/>
          <w:kern w:val="0"/>
          <w:lang w:eastAsia="en-GB"/>
          <w14:ligatures w14:val="none"/>
        </w:rPr>
        <w:t>Equity Mortgage Lender’s Handbook for Conveyancers - accessible version</w:t>
      </w:r>
      <w:r w:rsidRPr="001B3956">
        <w:rPr>
          <w:rFonts w:ascii="Arial" w:eastAsia="Times New Roman" w:hAnsi="Arial" w:cs="Arial"/>
          <w:color w:val="000000"/>
          <w:kern w:val="0"/>
          <w:lang w:eastAsia="en-GB"/>
          <w14:ligatures w14:val="none"/>
        </w:rPr>
        <w:t> (no date) </w:t>
      </w:r>
      <w:r w:rsidRPr="001B3956">
        <w:rPr>
          <w:rFonts w:ascii="Arial" w:eastAsia="Times New Roman" w:hAnsi="Arial" w:cs="Arial"/>
          <w:i/>
          <w:iCs/>
          <w:color w:val="000000"/>
          <w:kern w:val="0"/>
          <w:lang w:eastAsia="en-GB"/>
          <w14:ligatures w14:val="none"/>
        </w:rPr>
        <w:t>Gov.uk</w:t>
      </w:r>
      <w:r w:rsidRPr="001B3956">
        <w:rPr>
          <w:rFonts w:ascii="Arial" w:eastAsia="Times New Roman" w:hAnsi="Arial" w:cs="Arial"/>
          <w:color w:val="000000"/>
          <w:kern w:val="0"/>
          <w:lang w:eastAsia="en-GB"/>
          <w14:ligatures w14:val="none"/>
        </w:rPr>
        <w:t>. Available at: https://www.gov.uk/government/publications/help-to-buy-2021-2023-equity-mortgage-lenders-handbook-for-conveyancers/equity-mortgage-lenders-handbook-for-conveyancers-accessible-version (Accessed: 8 January 2026).</w:t>
      </w:r>
    </w:p>
    <w:p w14:paraId="5FB7A09A" w14:textId="77777777" w:rsidR="00983F52" w:rsidRPr="00D718AB" w:rsidRDefault="00983F52" w:rsidP="00983F52">
      <w:pPr>
        <w:spacing w:line="276" w:lineRule="auto"/>
        <w:jc w:val="both"/>
        <w:rPr>
          <w:rFonts w:ascii="Arial" w:hAnsi="Arial" w:cs="Arial"/>
        </w:rPr>
      </w:pPr>
      <w:hyperlink r:id="rId14" w:history="1">
        <w:r w:rsidRPr="00D718AB">
          <w:rPr>
            <w:rStyle w:val="Hyperlink"/>
            <w:rFonts w:ascii="Arial" w:hAnsi="Arial" w:cs="Arial"/>
          </w:rPr>
          <w:t>https://www.gov.uk/government/publications/help-to-buy-2021-2023-equity-mortgage-lenders-handbook-for-conveyancers/equity-mortgage-lenders-handbook-for-conveyancers-accessible-version</w:t>
        </w:r>
      </w:hyperlink>
    </w:p>
    <w:p w14:paraId="57767968" w14:textId="77777777" w:rsidR="00E66B9F" w:rsidRPr="00D718AB" w:rsidRDefault="00E66B9F" w:rsidP="001D19FE">
      <w:pPr>
        <w:spacing w:before="100" w:beforeAutospacing="1" w:after="100" w:afterAutospacing="1"/>
        <w:rPr>
          <w:rFonts w:ascii="Arial" w:hAnsi="Arial" w:cs="Arial"/>
        </w:rPr>
      </w:pPr>
    </w:p>
    <w:p w14:paraId="7E8C724A" w14:textId="77777777" w:rsidR="00F06392" w:rsidRPr="00D718AB" w:rsidRDefault="00F06392" w:rsidP="00F06392">
      <w:pPr>
        <w:spacing w:before="100" w:beforeAutospacing="1" w:after="100" w:afterAutospacing="1"/>
        <w:rPr>
          <w:rFonts w:ascii="Arial" w:eastAsia="Times New Roman" w:hAnsi="Arial" w:cs="Arial"/>
          <w:color w:val="000000"/>
          <w:kern w:val="0"/>
          <w:lang w:eastAsia="en-GB"/>
          <w14:ligatures w14:val="none"/>
        </w:rPr>
      </w:pPr>
      <w:r w:rsidRPr="00C57330">
        <w:rPr>
          <w:rFonts w:ascii="Arial" w:eastAsia="Times New Roman" w:hAnsi="Arial" w:cs="Arial"/>
          <w:i/>
          <w:iCs/>
          <w:color w:val="000000"/>
          <w:kern w:val="0"/>
          <w:lang w:eastAsia="en-GB"/>
          <w14:ligatures w14:val="none"/>
        </w:rPr>
        <w:t>IHTM15031 - The extent of the share: joint property passing by survivorship - HMRC internal manual - Gov.uk</w:t>
      </w:r>
      <w:r w:rsidRPr="00C57330">
        <w:rPr>
          <w:rFonts w:ascii="Arial" w:eastAsia="Times New Roman" w:hAnsi="Arial" w:cs="Arial"/>
          <w:color w:val="000000"/>
          <w:kern w:val="0"/>
          <w:lang w:eastAsia="en-GB"/>
          <w14:ligatures w14:val="none"/>
        </w:rPr>
        <w:t> (no date) </w:t>
      </w:r>
      <w:r w:rsidRPr="00C57330">
        <w:rPr>
          <w:rFonts w:ascii="Arial" w:eastAsia="Times New Roman" w:hAnsi="Arial" w:cs="Arial"/>
          <w:i/>
          <w:iCs/>
          <w:color w:val="000000"/>
          <w:kern w:val="0"/>
          <w:lang w:eastAsia="en-GB"/>
          <w14:ligatures w14:val="none"/>
        </w:rPr>
        <w:t>Gov.uk</w:t>
      </w:r>
      <w:r w:rsidRPr="00C57330">
        <w:rPr>
          <w:rFonts w:ascii="Arial" w:eastAsia="Times New Roman" w:hAnsi="Arial" w:cs="Arial"/>
          <w:color w:val="000000"/>
          <w:kern w:val="0"/>
          <w:lang w:eastAsia="en-GB"/>
          <w14:ligatures w14:val="none"/>
        </w:rPr>
        <w:t>. Available at: https://www.gov.uk/hmrc-internal-manuals/inheritance-tax-manual/ihtm15031 (Accessed: 8 January 2026).</w:t>
      </w:r>
    </w:p>
    <w:p w14:paraId="6D0981FB" w14:textId="77777777" w:rsidR="00F06392" w:rsidRPr="00D718AB" w:rsidRDefault="00F06392" w:rsidP="00F06392">
      <w:pPr>
        <w:spacing w:line="276" w:lineRule="auto"/>
        <w:jc w:val="both"/>
        <w:rPr>
          <w:rFonts w:ascii="Arial" w:hAnsi="Arial" w:cs="Arial"/>
        </w:rPr>
      </w:pPr>
      <w:hyperlink r:id="rId15" w:history="1">
        <w:r w:rsidRPr="00D718AB">
          <w:rPr>
            <w:rStyle w:val="Hyperlink"/>
            <w:rFonts w:ascii="Arial" w:hAnsi="Arial" w:cs="Arial"/>
          </w:rPr>
          <w:t>https://www.gov.uk/hmrc-internal-manuals/inheritance-tax-manual/ihtm15031</w:t>
        </w:r>
      </w:hyperlink>
    </w:p>
    <w:p w14:paraId="7555FB09" w14:textId="77777777" w:rsidR="00F06392" w:rsidRPr="00D718AB" w:rsidRDefault="00F06392" w:rsidP="001D19FE">
      <w:pPr>
        <w:spacing w:before="100" w:beforeAutospacing="1" w:after="100" w:afterAutospacing="1"/>
        <w:rPr>
          <w:rFonts w:ascii="Arial" w:hAnsi="Arial" w:cs="Arial"/>
        </w:rPr>
      </w:pPr>
    </w:p>
    <w:p w14:paraId="5FA0C001" w14:textId="7BBD958F" w:rsidR="00F9318C" w:rsidRPr="00D718AB" w:rsidRDefault="001D19FE" w:rsidP="001D19FE">
      <w:pPr>
        <w:spacing w:before="100" w:beforeAutospacing="1" w:after="100" w:afterAutospacing="1"/>
        <w:rPr>
          <w:rFonts w:ascii="Arial" w:eastAsia="Times New Roman" w:hAnsi="Arial" w:cs="Arial"/>
          <w:color w:val="000000"/>
          <w:kern w:val="0"/>
          <w:lang w:eastAsia="en-GB"/>
          <w14:ligatures w14:val="none"/>
        </w:rPr>
      </w:pPr>
      <w:r w:rsidRPr="001D19FE">
        <w:rPr>
          <w:rFonts w:ascii="Arial" w:eastAsia="Times New Roman" w:hAnsi="Arial" w:cs="Arial"/>
          <w:color w:val="000000"/>
          <w:kern w:val="0"/>
          <w:lang w:eastAsia="en-GB"/>
          <w14:ligatures w14:val="none"/>
        </w:rPr>
        <w:t>LexisNexis Property expert (2020) </w:t>
      </w:r>
      <w:r w:rsidRPr="001D19FE">
        <w:rPr>
          <w:rFonts w:ascii="Arial" w:eastAsia="Times New Roman" w:hAnsi="Arial" w:cs="Arial"/>
          <w:i/>
          <w:iCs/>
          <w:color w:val="000000"/>
          <w:kern w:val="0"/>
          <w:lang w:eastAsia="en-GB"/>
          <w14:ligatures w14:val="none"/>
        </w:rPr>
        <w:t>Dealings post-completion and pre-registration</w:t>
      </w:r>
      <w:r w:rsidRPr="001D19FE">
        <w:rPr>
          <w:rFonts w:ascii="Arial" w:eastAsia="Times New Roman" w:hAnsi="Arial" w:cs="Arial"/>
          <w:color w:val="000000"/>
          <w:kern w:val="0"/>
          <w:lang w:eastAsia="en-GB"/>
          <w14:ligatures w14:val="none"/>
        </w:rPr>
        <w:t>, </w:t>
      </w:r>
      <w:r w:rsidRPr="001D19FE">
        <w:rPr>
          <w:rFonts w:ascii="Arial" w:eastAsia="Times New Roman" w:hAnsi="Arial" w:cs="Arial"/>
          <w:i/>
          <w:iCs/>
          <w:color w:val="000000"/>
          <w:kern w:val="0"/>
          <w:lang w:eastAsia="en-GB"/>
          <w14:ligatures w14:val="none"/>
        </w:rPr>
        <w:t>Lexisnexis.co.uk</w:t>
      </w:r>
      <w:r w:rsidRPr="001D19FE">
        <w:rPr>
          <w:rFonts w:ascii="Arial" w:eastAsia="Times New Roman" w:hAnsi="Arial" w:cs="Arial"/>
          <w:color w:val="000000"/>
          <w:kern w:val="0"/>
          <w:lang w:eastAsia="en-GB"/>
          <w14:ligatures w14:val="none"/>
        </w:rPr>
        <w:t>. LexisNexis. Available at: https://www.lexisnexis.co.uk/legal/precedents/dealings-post-completion-pre-registration (Accessed: 8 January 2026).</w:t>
      </w:r>
    </w:p>
    <w:p w14:paraId="64BDC345" w14:textId="0BBC748B" w:rsidR="00F9318C" w:rsidRPr="00D718AB" w:rsidRDefault="00F9318C" w:rsidP="002F5784">
      <w:pPr>
        <w:spacing w:line="276" w:lineRule="auto"/>
        <w:jc w:val="both"/>
        <w:rPr>
          <w:rFonts w:ascii="Arial" w:hAnsi="Arial" w:cs="Arial"/>
        </w:rPr>
      </w:pPr>
      <w:hyperlink r:id="rId16" w:history="1">
        <w:r w:rsidRPr="00D718AB">
          <w:rPr>
            <w:rStyle w:val="Hyperlink"/>
            <w:rFonts w:ascii="Arial" w:hAnsi="Arial" w:cs="Arial"/>
          </w:rPr>
          <w:t>https://www.lexisnexis.co.uk/legal/precedents/dealings-post-completion-pre-registration#:~:text=Article%20Summary,Tax%20(LTT)%20in%20Wales</w:t>
        </w:r>
      </w:hyperlink>
      <w:r w:rsidRPr="00D718AB">
        <w:rPr>
          <w:rFonts w:ascii="Arial" w:hAnsi="Arial" w:cs="Arial"/>
        </w:rPr>
        <w:t>.</w:t>
      </w:r>
    </w:p>
    <w:p w14:paraId="478BDCB3" w14:textId="77777777" w:rsidR="00F9318C" w:rsidRPr="00D718AB" w:rsidRDefault="00F9318C" w:rsidP="002F5784">
      <w:pPr>
        <w:spacing w:line="276" w:lineRule="auto"/>
        <w:jc w:val="both"/>
        <w:rPr>
          <w:rFonts w:ascii="Arial" w:hAnsi="Arial" w:cs="Arial"/>
        </w:rPr>
      </w:pPr>
    </w:p>
    <w:p w14:paraId="03DC589A" w14:textId="77777777" w:rsidR="00095281" w:rsidRPr="00D718AB" w:rsidRDefault="00095281" w:rsidP="00095281">
      <w:pPr>
        <w:spacing w:line="276" w:lineRule="auto"/>
        <w:jc w:val="both"/>
        <w:rPr>
          <w:rFonts w:ascii="Arial" w:hAnsi="Arial" w:cs="Arial"/>
        </w:rPr>
      </w:pPr>
    </w:p>
    <w:p w14:paraId="373FB8D4" w14:textId="77777777" w:rsidR="00095281" w:rsidRPr="00D718AB" w:rsidRDefault="00095281" w:rsidP="00095281">
      <w:pPr>
        <w:spacing w:before="100" w:beforeAutospacing="1" w:after="100" w:afterAutospacing="1"/>
        <w:rPr>
          <w:rFonts w:ascii="Arial" w:eastAsia="Times New Roman" w:hAnsi="Arial" w:cs="Arial"/>
          <w:color w:val="000000"/>
          <w:kern w:val="0"/>
          <w:lang w:eastAsia="en-GB"/>
          <w14:ligatures w14:val="none"/>
        </w:rPr>
      </w:pPr>
      <w:r w:rsidRPr="00144ECB">
        <w:rPr>
          <w:rFonts w:ascii="Arial" w:eastAsia="Times New Roman" w:hAnsi="Arial" w:cs="Arial"/>
          <w:i/>
          <w:iCs/>
          <w:color w:val="000000"/>
          <w:kern w:val="0"/>
          <w:lang w:eastAsia="en-GB"/>
          <w14:ligatures w14:val="none"/>
        </w:rPr>
        <w:t>Law of property (miscellaneous provisions) act 1989</w:t>
      </w:r>
      <w:r w:rsidRPr="00144ECB">
        <w:rPr>
          <w:rFonts w:ascii="Arial" w:eastAsia="Times New Roman" w:hAnsi="Arial" w:cs="Arial"/>
          <w:color w:val="000000"/>
          <w:kern w:val="0"/>
          <w:lang w:eastAsia="en-GB"/>
          <w14:ligatures w14:val="none"/>
        </w:rPr>
        <w:t> (no date) </w:t>
      </w:r>
      <w:r w:rsidRPr="00144ECB">
        <w:rPr>
          <w:rFonts w:ascii="Arial" w:eastAsia="Times New Roman" w:hAnsi="Arial" w:cs="Arial"/>
          <w:i/>
          <w:iCs/>
          <w:color w:val="000000"/>
          <w:kern w:val="0"/>
          <w:lang w:eastAsia="en-GB"/>
          <w14:ligatures w14:val="none"/>
        </w:rPr>
        <w:t>Gov.uk</w:t>
      </w:r>
      <w:r w:rsidRPr="00144ECB">
        <w:rPr>
          <w:rFonts w:ascii="Arial" w:eastAsia="Times New Roman" w:hAnsi="Arial" w:cs="Arial"/>
          <w:color w:val="000000"/>
          <w:kern w:val="0"/>
          <w:lang w:eastAsia="en-GB"/>
          <w14:ligatures w14:val="none"/>
        </w:rPr>
        <w:t>. Available at: https://www.legislation.gov.uk/ukpga/1989/34/section/2/1997-01-01?view=plain (Accessed: 8 January 2026)</w:t>
      </w:r>
      <w:r w:rsidRPr="00D718AB">
        <w:rPr>
          <w:rFonts w:ascii="Arial" w:eastAsia="Times New Roman" w:hAnsi="Arial" w:cs="Arial"/>
          <w:color w:val="000000"/>
          <w:kern w:val="0"/>
          <w:lang w:eastAsia="en-GB"/>
          <w14:ligatures w14:val="none"/>
        </w:rPr>
        <w:t>.</w:t>
      </w:r>
    </w:p>
    <w:p w14:paraId="22A26F4A" w14:textId="77777777" w:rsidR="00095281" w:rsidRPr="00D718AB" w:rsidRDefault="00095281" w:rsidP="00095281">
      <w:pPr>
        <w:spacing w:line="276" w:lineRule="auto"/>
        <w:jc w:val="both"/>
        <w:rPr>
          <w:rFonts w:ascii="Arial" w:hAnsi="Arial" w:cs="Arial"/>
        </w:rPr>
      </w:pPr>
      <w:hyperlink r:id="rId17" w:history="1">
        <w:r w:rsidRPr="00D718AB">
          <w:rPr>
            <w:rStyle w:val="Hyperlink"/>
            <w:rFonts w:ascii="Arial" w:hAnsi="Arial" w:cs="Arial"/>
          </w:rPr>
          <w:t>https://www.legislation.gov.uk/ukpga/1989/34/section/2/1997-01-01?view=plain</w:t>
        </w:r>
      </w:hyperlink>
    </w:p>
    <w:p w14:paraId="0A0B2DAD" w14:textId="77777777" w:rsidR="00095281" w:rsidRPr="00D718AB" w:rsidRDefault="00095281" w:rsidP="002F5784">
      <w:pPr>
        <w:spacing w:line="276" w:lineRule="auto"/>
        <w:jc w:val="both"/>
        <w:rPr>
          <w:rFonts w:ascii="Arial" w:hAnsi="Arial" w:cs="Arial"/>
        </w:rPr>
      </w:pPr>
    </w:p>
    <w:p w14:paraId="7D4FF14E" w14:textId="77777777" w:rsidR="00F37EBC" w:rsidRPr="00D718AB" w:rsidRDefault="00F37EBC" w:rsidP="002F5784">
      <w:pPr>
        <w:spacing w:line="276" w:lineRule="auto"/>
        <w:jc w:val="both"/>
        <w:rPr>
          <w:rFonts w:ascii="Arial" w:hAnsi="Arial" w:cs="Arial"/>
        </w:rPr>
      </w:pPr>
    </w:p>
    <w:p w14:paraId="35DFB4A8" w14:textId="77777777" w:rsidR="00F37EBC" w:rsidRPr="00D718AB" w:rsidRDefault="00F37EBC" w:rsidP="00F37EBC">
      <w:pPr>
        <w:spacing w:before="100" w:beforeAutospacing="1" w:after="100" w:afterAutospacing="1"/>
        <w:rPr>
          <w:rFonts w:ascii="Arial" w:eastAsia="Times New Roman" w:hAnsi="Arial" w:cs="Arial"/>
          <w:color w:val="000000"/>
          <w:kern w:val="0"/>
          <w:lang w:eastAsia="en-GB"/>
          <w14:ligatures w14:val="none"/>
        </w:rPr>
      </w:pPr>
      <w:r w:rsidRPr="00B87CE0">
        <w:rPr>
          <w:rFonts w:ascii="Arial" w:eastAsia="Times New Roman" w:hAnsi="Arial" w:cs="Arial"/>
          <w:color w:val="000000"/>
          <w:kern w:val="0"/>
          <w:lang w:eastAsia="en-GB"/>
          <w14:ligatures w14:val="none"/>
        </w:rPr>
        <w:t>(No date) </w:t>
      </w:r>
      <w:r w:rsidRPr="00B87CE0">
        <w:rPr>
          <w:rFonts w:ascii="Arial" w:eastAsia="Times New Roman" w:hAnsi="Arial" w:cs="Arial"/>
          <w:i/>
          <w:iCs/>
          <w:color w:val="000000"/>
          <w:kern w:val="0"/>
          <w:lang w:eastAsia="en-GB"/>
          <w14:ligatures w14:val="none"/>
        </w:rPr>
        <w:t>Gov.uk</w:t>
      </w:r>
      <w:r w:rsidRPr="00B87CE0">
        <w:rPr>
          <w:rFonts w:ascii="Arial" w:eastAsia="Times New Roman" w:hAnsi="Arial" w:cs="Arial"/>
          <w:color w:val="000000"/>
          <w:kern w:val="0"/>
          <w:lang w:eastAsia="en-GB"/>
          <w14:ligatures w14:val="none"/>
        </w:rPr>
        <w:t>. Available at: https://www.legislation.gov.uk/ukpga/1991/56 (Accessed: 8 January 2026).</w:t>
      </w:r>
    </w:p>
    <w:p w14:paraId="62224E65" w14:textId="77777777" w:rsidR="00F37EBC" w:rsidRPr="00D718AB" w:rsidRDefault="00F37EBC" w:rsidP="00F37EBC">
      <w:pPr>
        <w:spacing w:line="276" w:lineRule="auto"/>
        <w:jc w:val="both"/>
        <w:rPr>
          <w:rFonts w:ascii="Arial" w:hAnsi="Arial" w:cs="Arial"/>
        </w:rPr>
      </w:pPr>
      <w:hyperlink r:id="rId18" w:history="1">
        <w:r w:rsidRPr="00D718AB">
          <w:rPr>
            <w:rStyle w:val="Hyperlink"/>
            <w:rFonts w:ascii="Arial" w:hAnsi="Arial" w:cs="Arial"/>
          </w:rPr>
          <w:t>https://www.legislation.gov.uk/ukpga/1991/56</w:t>
        </w:r>
      </w:hyperlink>
    </w:p>
    <w:p w14:paraId="6AD2D91A" w14:textId="77777777" w:rsidR="00F37EBC" w:rsidRPr="00D718AB" w:rsidRDefault="00F37EBC" w:rsidP="002F5784">
      <w:pPr>
        <w:spacing w:line="276" w:lineRule="auto"/>
        <w:jc w:val="both"/>
        <w:rPr>
          <w:rFonts w:ascii="Arial" w:hAnsi="Arial" w:cs="Arial"/>
        </w:rPr>
      </w:pPr>
    </w:p>
    <w:p w14:paraId="1A48956C" w14:textId="77777777" w:rsidR="008624F8" w:rsidRPr="00D718AB" w:rsidRDefault="008624F8" w:rsidP="002F5784">
      <w:pPr>
        <w:spacing w:line="276" w:lineRule="auto"/>
        <w:jc w:val="both"/>
        <w:rPr>
          <w:rFonts w:ascii="Arial" w:hAnsi="Arial" w:cs="Arial"/>
        </w:rPr>
      </w:pPr>
    </w:p>
    <w:p w14:paraId="128AB6EE" w14:textId="13BC89F2" w:rsidR="00DC473B" w:rsidRPr="00D718AB" w:rsidRDefault="003930F8" w:rsidP="003930F8">
      <w:pPr>
        <w:spacing w:before="100" w:beforeAutospacing="1" w:after="100" w:afterAutospacing="1"/>
        <w:rPr>
          <w:rFonts w:ascii="Arial" w:eastAsia="Times New Roman" w:hAnsi="Arial" w:cs="Arial"/>
          <w:color w:val="000000"/>
          <w:kern w:val="0"/>
          <w:lang w:eastAsia="en-GB"/>
          <w14:ligatures w14:val="none"/>
        </w:rPr>
      </w:pPr>
      <w:r w:rsidRPr="003930F8">
        <w:rPr>
          <w:rFonts w:ascii="Arial" w:eastAsia="Times New Roman" w:hAnsi="Arial" w:cs="Arial"/>
          <w:i/>
          <w:iCs/>
          <w:color w:val="000000"/>
          <w:kern w:val="0"/>
          <w:lang w:eastAsia="en-GB"/>
          <w14:ligatures w14:val="none"/>
        </w:rPr>
        <w:lastRenderedPageBreak/>
        <w:t>The stamp duty and stamp duty land tax (variation of the Finance Act 2003) regulations 2003</w:t>
      </w:r>
      <w:r w:rsidRPr="003930F8">
        <w:rPr>
          <w:rFonts w:ascii="Arial" w:eastAsia="Times New Roman" w:hAnsi="Arial" w:cs="Arial"/>
          <w:color w:val="000000"/>
          <w:kern w:val="0"/>
          <w:lang w:eastAsia="en-GB"/>
          <w14:ligatures w14:val="none"/>
        </w:rPr>
        <w:t> (no date) </w:t>
      </w:r>
      <w:r w:rsidRPr="003930F8">
        <w:rPr>
          <w:rFonts w:ascii="Arial" w:eastAsia="Times New Roman" w:hAnsi="Arial" w:cs="Arial"/>
          <w:i/>
          <w:iCs/>
          <w:color w:val="000000"/>
          <w:kern w:val="0"/>
          <w:lang w:eastAsia="en-GB"/>
          <w14:ligatures w14:val="none"/>
        </w:rPr>
        <w:t>King’s Printer of Acts of Parliament</w:t>
      </w:r>
      <w:r w:rsidRPr="003930F8">
        <w:rPr>
          <w:rFonts w:ascii="Arial" w:eastAsia="Times New Roman" w:hAnsi="Arial" w:cs="Arial"/>
          <w:color w:val="000000"/>
          <w:kern w:val="0"/>
          <w:lang w:eastAsia="en-GB"/>
          <w14:ligatures w14:val="none"/>
        </w:rPr>
        <w:t>. Available at: https://www.legislation.gov.uk/uksi/2003/2760/made (Accessed: 8 January 2026).</w:t>
      </w:r>
    </w:p>
    <w:p w14:paraId="69AF652D" w14:textId="3C9DE68D" w:rsidR="00DC473B" w:rsidRPr="00D718AB" w:rsidRDefault="00DC473B" w:rsidP="002F5784">
      <w:pPr>
        <w:spacing w:line="276" w:lineRule="auto"/>
        <w:jc w:val="both"/>
        <w:rPr>
          <w:rFonts w:ascii="Arial" w:hAnsi="Arial" w:cs="Arial"/>
        </w:rPr>
      </w:pPr>
      <w:hyperlink r:id="rId19" w:history="1">
        <w:r w:rsidRPr="00D718AB">
          <w:rPr>
            <w:rStyle w:val="Hyperlink"/>
            <w:rFonts w:ascii="Arial" w:hAnsi="Arial" w:cs="Arial"/>
          </w:rPr>
          <w:t>https://www.legislation.gov.uk/uksi/2003/2760/made</w:t>
        </w:r>
      </w:hyperlink>
    </w:p>
    <w:p w14:paraId="26632985" w14:textId="77777777" w:rsidR="003930F8" w:rsidRPr="00D718AB" w:rsidRDefault="003930F8" w:rsidP="002F5784">
      <w:pPr>
        <w:spacing w:line="276" w:lineRule="auto"/>
        <w:jc w:val="both"/>
        <w:rPr>
          <w:rFonts w:ascii="Arial" w:hAnsi="Arial" w:cs="Arial"/>
        </w:rPr>
      </w:pPr>
    </w:p>
    <w:p w14:paraId="43197139" w14:textId="77777777" w:rsidR="003930F8" w:rsidRPr="00D718AB" w:rsidRDefault="003930F8" w:rsidP="002F5784">
      <w:pPr>
        <w:spacing w:line="276" w:lineRule="auto"/>
        <w:jc w:val="both"/>
        <w:rPr>
          <w:rFonts w:ascii="Arial" w:hAnsi="Arial" w:cs="Arial"/>
        </w:rPr>
      </w:pPr>
    </w:p>
    <w:p w14:paraId="632070CF" w14:textId="77777777" w:rsidR="003930F8" w:rsidRPr="00D718AB" w:rsidRDefault="003930F8" w:rsidP="002F5784">
      <w:pPr>
        <w:spacing w:line="276" w:lineRule="auto"/>
        <w:jc w:val="both"/>
        <w:rPr>
          <w:rFonts w:ascii="Arial" w:hAnsi="Arial" w:cs="Arial"/>
        </w:rPr>
      </w:pPr>
    </w:p>
    <w:p w14:paraId="0AD5C54A" w14:textId="77777777" w:rsidR="003930F8" w:rsidRPr="00D718AB" w:rsidRDefault="003930F8" w:rsidP="002F5784">
      <w:pPr>
        <w:spacing w:line="276" w:lineRule="auto"/>
        <w:jc w:val="both"/>
        <w:rPr>
          <w:rFonts w:ascii="Arial" w:hAnsi="Arial" w:cs="Arial"/>
        </w:rPr>
      </w:pPr>
    </w:p>
    <w:p w14:paraId="1D74ED41" w14:textId="77777777" w:rsidR="006C01CC" w:rsidRPr="00D718AB" w:rsidRDefault="006C01CC" w:rsidP="002F5784">
      <w:pPr>
        <w:spacing w:line="276" w:lineRule="auto"/>
        <w:jc w:val="both"/>
        <w:rPr>
          <w:rFonts w:ascii="Arial" w:hAnsi="Arial" w:cs="Arial"/>
        </w:rPr>
      </w:pPr>
    </w:p>
    <w:p w14:paraId="305D3554" w14:textId="33F266E8" w:rsidR="00CC00AC" w:rsidRPr="00B87CE0" w:rsidRDefault="00CC00AC" w:rsidP="00F37EBC">
      <w:pPr>
        <w:spacing w:before="100" w:beforeAutospacing="1" w:after="100" w:afterAutospacing="1"/>
        <w:rPr>
          <w:rFonts w:ascii="Arial" w:hAnsi="Arial" w:cs="Arial"/>
        </w:rPr>
      </w:pPr>
    </w:p>
    <w:p w14:paraId="04BD8884" w14:textId="77777777" w:rsidR="008E2E2C" w:rsidRPr="00B87CE0" w:rsidRDefault="008E2E2C" w:rsidP="002F5784">
      <w:pPr>
        <w:spacing w:line="276" w:lineRule="auto"/>
        <w:jc w:val="both"/>
        <w:rPr>
          <w:rFonts w:ascii="Arial" w:hAnsi="Arial" w:cs="Arial"/>
        </w:rPr>
      </w:pPr>
    </w:p>
    <w:p w14:paraId="6B389E70" w14:textId="77777777" w:rsidR="008E2E2C" w:rsidRDefault="008E2E2C" w:rsidP="002F5784">
      <w:pPr>
        <w:spacing w:line="276" w:lineRule="auto"/>
        <w:jc w:val="both"/>
        <w:rPr>
          <w:rFonts w:ascii="Arial" w:hAnsi="Arial" w:cs="Arial"/>
        </w:rPr>
      </w:pPr>
    </w:p>
    <w:p w14:paraId="3E439894" w14:textId="77777777" w:rsidR="008E2E2C" w:rsidRDefault="008E2E2C" w:rsidP="002F5784">
      <w:pPr>
        <w:spacing w:line="276" w:lineRule="auto"/>
        <w:jc w:val="both"/>
        <w:rPr>
          <w:rFonts w:ascii="Arial" w:hAnsi="Arial" w:cs="Arial"/>
        </w:rPr>
      </w:pPr>
    </w:p>
    <w:p w14:paraId="23324C5B" w14:textId="77777777" w:rsidR="00612095" w:rsidRDefault="00612095" w:rsidP="002F5784">
      <w:pPr>
        <w:spacing w:line="276" w:lineRule="auto"/>
        <w:jc w:val="both"/>
        <w:rPr>
          <w:rFonts w:ascii="Arial" w:hAnsi="Arial" w:cs="Arial"/>
        </w:rPr>
      </w:pPr>
    </w:p>
    <w:p w14:paraId="3CA8008D" w14:textId="77777777" w:rsidR="00E53215" w:rsidRDefault="00E53215" w:rsidP="002F5784">
      <w:pPr>
        <w:spacing w:line="276" w:lineRule="auto"/>
        <w:jc w:val="both"/>
        <w:rPr>
          <w:rFonts w:ascii="Arial" w:hAnsi="Arial" w:cs="Arial"/>
        </w:rPr>
      </w:pPr>
    </w:p>
    <w:p w14:paraId="282736C8" w14:textId="77777777" w:rsidR="00E53215" w:rsidRDefault="00E53215" w:rsidP="002F5784">
      <w:pPr>
        <w:spacing w:line="276" w:lineRule="auto"/>
        <w:jc w:val="both"/>
        <w:rPr>
          <w:rFonts w:ascii="Arial" w:hAnsi="Arial" w:cs="Arial"/>
        </w:rPr>
      </w:pPr>
    </w:p>
    <w:p w14:paraId="0AE1824E" w14:textId="77777777" w:rsidR="00755C06" w:rsidRDefault="00755C06" w:rsidP="002F5784">
      <w:pPr>
        <w:spacing w:line="276" w:lineRule="auto"/>
        <w:jc w:val="both"/>
        <w:rPr>
          <w:rFonts w:ascii="Arial" w:hAnsi="Arial" w:cs="Arial"/>
        </w:rPr>
      </w:pPr>
    </w:p>
    <w:p w14:paraId="0B268F93" w14:textId="77777777" w:rsidR="00755C06" w:rsidRDefault="00755C06" w:rsidP="002F5784">
      <w:pPr>
        <w:spacing w:line="276" w:lineRule="auto"/>
        <w:jc w:val="both"/>
        <w:rPr>
          <w:rFonts w:ascii="Arial" w:hAnsi="Arial" w:cs="Arial"/>
        </w:rPr>
      </w:pPr>
    </w:p>
    <w:p w14:paraId="0AD9648A" w14:textId="77777777" w:rsidR="00755C06" w:rsidRDefault="00755C06" w:rsidP="002F5784">
      <w:pPr>
        <w:spacing w:line="276" w:lineRule="auto"/>
        <w:jc w:val="both"/>
        <w:rPr>
          <w:rFonts w:ascii="Arial" w:hAnsi="Arial" w:cs="Arial"/>
        </w:rPr>
      </w:pPr>
    </w:p>
    <w:p w14:paraId="7A7089D0" w14:textId="77777777" w:rsidR="00CF21F8" w:rsidRDefault="00CF21F8" w:rsidP="002F5784">
      <w:pPr>
        <w:spacing w:line="276" w:lineRule="auto"/>
        <w:jc w:val="both"/>
        <w:rPr>
          <w:rFonts w:ascii="Arial" w:hAnsi="Arial" w:cs="Arial"/>
        </w:rPr>
      </w:pPr>
    </w:p>
    <w:p w14:paraId="06CDBCEF" w14:textId="77777777" w:rsidR="00CF21F8" w:rsidRDefault="00CF21F8" w:rsidP="002F5784">
      <w:pPr>
        <w:spacing w:line="276" w:lineRule="auto"/>
        <w:jc w:val="both"/>
        <w:rPr>
          <w:rFonts w:ascii="Arial" w:hAnsi="Arial" w:cs="Arial"/>
        </w:rPr>
      </w:pPr>
    </w:p>
    <w:p w14:paraId="0B10BC86" w14:textId="77777777" w:rsidR="00CF21F8" w:rsidRPr="00F469F4" w:rsidRDefault="00CF21F8" w:rsidP="002F5784">
      <w:pPr>
        <w:spacing w:line="276" w:lineRule="auto"/>
        <w:jc w:val="both"/>
        <w:rPr>
          <w:rFonts w:ascii="Arial" w:hAnsi="Arial" w:cs="Arial"/>
        </w:rPr>
      </w:pPr>
    </w:p>
    <w:sectPr w:rsidR="00CF21F8" w:rsidRPr="00F469F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D1DAF" w14:textId="77777777" w:rsidR="00351072" w:rsidRDefault="00351072" w:rsidP="00351072">
      <w:r>
        <w:separator/>
      </w:r>
    </w:p>
  </w:endnote>
  <w:endnote w:type="continuationSeparator" w:id="0">
    <w:p w14:paraId="53295594" w14:textId="77777777" w:rsidR="00351072" w:rsidRDefault="00351072" w:rsidP="00351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0AFC5" w14:textId="77777777" w:rsidR="00351072" w:rsidRDefault="00351072" w:rsidP="00351072">
      <w:r>
        <w:separator/>
      </w:r>
    </w:p>
  </w:footnote>
  <w:footnote w:type="continuationSeparator" w:id="0">
    <w:p w14:paraId="5FB4E5D8" w14:textId="77777777" w:rsidR="00351072" w:rsidRDefault="00351072" w:rsidP="003510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37BCA" w14:textId="017E98EF" w:rsidR="00351072" w:rsidRDefault="00351072">
    <w:pPr>
      <w:pStyle w:val="Header"/>
    </w:pPr>
    <w:r>
      <w:t>Alexandra-Maria Baloi 2315118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C08D6"/>
    <w:multiLevelType w:val="hybridMultilevel"/>
    <w:tmpl w:val="A0F08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1885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072"/>
    <w:rsid w:val="0002289F"/>
    <w:rsid w:val="00034FD6"/>
    <w:rsid w:val="00066DF5"/>
    <w:rsid w:val="00077EDC"/>
    <w:rsid w:val="0008678B"/>
    <w:rsid w:val="00095281"/>
    <w:rsid w:val="000B5DD5"/>
    <w:rsid w:val="00123411"/>
    <w:rsid w:val="00134CE6"/>
    <w:rsid w:val="00144ECB"/>
    <w:rsid w:val="001844ED"/>
    <w:rsid w:val="001956D3"/>
    <w:rsid w:val="001A179F"/>
    <w:rsid w:val="001B3956"/>
    <w:rsid w:val="001D19FE"/>
    <w:rsid w:val="002043CA"/>
    <w:rsid w:val="00206F85"/>
    <w:rsid w:val="00223702"/>
    <w:rsid w:val="00275CF4"/>
    <w:rsid w:val="002764C0"/>
    <w:rsid w:val="002C4D38"/>
    <w:rsid w:val="002C5C92"/>
    <w:rsid w:val="002D6F1F"/>
    <w:rsid w:val="002F5784"/>
    <w:rsid w:val="003338EC"/>
    <w:rsid w:val="00351072"/>
    <w:rsid w:val="00371FAE"/>
    <w:rsid w:val="003930F8"/>
    <w:rsid w:val="003A2646"/>
    <w:rsid w:val="003D3353"/>
    <w:rsid w:val="003D4DC8"/>
    <w:rsid w:val="0040208D"/>
    <w:rsid w:val="00416F5F"/>
    <w:rsid w:val="00447090"/>
    <w:rsid w:val="004B7314"/>
    <w:rsid w:val="005374F4"/>
    <w:rsid w:val="005A0B01"/>
    <w:rsid w:val="005A6503"/>
    <w:rsid w:val="005C5EF0"/>
    <w:rsid w:val="005D6C3F"/>
    <w:rsid w:val="005E37F5"/>
    <w:rsid w:val="005F38B5"/>
    <w:rsid w:val="0060026C"/>
    <w:rsid w:val="00612095"/>
    <w:rsid w:val="00615F05"/>
    <w:rsid w:val="00654036"/>
    <w:rsid w:val="006B3F73"/>
    <w:rsid w:val="006C01CC"/>
    <w:rsid w:val="006C1103"/>
    <w:rsid w:val="00716B13"/>
    <w:rsid w:val="0074106C"/>
    <w:rsid w:val="0075504D"/>
    <w:rsid w:val="00755C06"/>
    <w:rsid w:val="00784EC2"/>
    <w:rsid w:val="00804E18"/>
    <w:rsid w:val="008224F5"/>
    <w:rsid w:val="00846257"/>
    <w:rsid w:val="008624F8"/>
    <w:rsid w:val="008C2486"/>
    <w:rsid w:val="008E2E2C"/>
    <w:rsid w:val="00983F52"/>
    <w:rsid w:val="009A5A02"/>
    <w:rsid w:val="009B0DE6"/>
    <w:rsid w:val="009B4BA5"/>
    <w:rsid w:val="009C304E"/>
    <w:rsid w:val="009C7F66"/>
    <w:rsid w:val="00A27DBD"/>
    <w:rsid w:val="00A61F22"/>
    <w:rsid w:val="00A757EC"/>
    <w:rsid w:val="00A76A5D"/>
    <w:rsid w:val="00AA0BDA"/>
    <w:rsid w:val="00AA409D"/>
    <w:rsid w:val="00AF1BC1"/>
    <w:rsid w:val="00B06680"/>
    <w:rsid w:val="00B11B94"/>
    <w:rsid w:val="00B311CD"/>
    <w:rsid w:val="00B540F7"/>
    <w:rsid w:val="00B542A4"/>
    <w:rsid w:val="00B61A55"/>
    <w:rsid w:val="00B87CE0"/>
    <w:rsid w:val="00BA6741"/>
    <w:rsid w:val="00BB505D"/>
    <w:rsid w:val="00BC2784"/>
    <w:rsid w:val="00C15E5B"/>
    <w:rsid w:val="00C222FA"/>
    <w:rsid w:val="00C57330"/>
    <w:rsid w:val="00C80CCA"/>
    <w:rsid w:val="00CC00AC"/>
    <w:rsid w:val="00CD407C"/>
    <w:rsid w:val="00CF21F8"/>
    <w:rsid w:val="00D36DDB"/>
    <w:rsid w:val="00D718AB"/>
    <w:rsid w:val="00DB2EDF"/>
    <w:rsid w:val="00DC473B"/>
    <w:rsid w:val="00DC6900"/>
    <w:rsid w:val="00E50699"/>
    <w:rsid w:val="00E53215"/>
    <w:rsid w:val="00E55D46"/>
    <w:rsid w:val="00E66B9F"/>
    <w:rsid w:val="00E67F3D"/>
    <w:rsid w:val="00E8094D"/>
    <w:rsid w:val="00EB7CCC"/>
    <w:rsid w:val="00EE0A46"/>
    <w:rsid w:val="00F06392"/>
    <w:rsid w:val="00F1016D"/>
    <w:rsid w:val="00F11CD8"/>
    <w:rsid w:val="00F37EBC"/>
    <w:rsid w:val="00F44149"/>
    <w:rsid w:val="00F469F4"/>
    <w:rsid w:val="00F54A0E"/>
    <w:rsid w:val="00F72049"/>
    <w:rsid w:val="00F77470"/>
    <w:rsid w:val="00F84136"/>
    <w:rsid w:val="00F9318C"/>
    <w:rsid w:val="00F93A61"/>
    <w:rsid w:val="00F968E9"/>
    <w:rsid w:val="00FA2D01"/>
    <w:rsid w:val="00FC4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06A09"/>
  <w15:chartTrackingRefBased/>
  <w15:docId w15:val="{D593AACE-FA10-004A-9171-9869F414F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0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10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0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0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0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0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0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0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0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072"/>
    <w:rPr>
      <w:rFonts w:eastAsiaTheme="majorEastAsia" w:cstheme="majorBidi"/>
      <w:color w:val="272727" w:themeColor="text1" w:themeTint="D8"/>
    </w:rPr>
  </w:style>
  <w:style w:type="paragraph" w:styleId="Title">
    <w:name w:val="Title"/>
    <w:basedOn w:val="Normal"/>
    <w:next w:val="Normal"/>
    <w:link w:val="TitleChar"/>
    <w:uiPriority w:val="10"/>
    <w:qFormat/>
    <w:rsid w:val="003510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0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0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51072"/>
    <w:rPr>
      <w:i/>
      <w:iCs/>
      <w:color w:val="404040" w:themeColor="text1" w:themeTint="BF"/>
    </w:rPr>
  </w:style>
  <w:style w:type="paragraph" w:styleId="ListParagraph">
    <w:name w:val="List Paragraph"/>
    <w:basedOn w:val="Normal"/>
    <w:uiPriority w:val="34"/>
    <w:qFormat/>
    <w:rsid w:val="00351072"/>
    <w:pPr>
      <w:ind w:left="720"/>
      <w:contextualSpacing/>
    </w:pPr>
  </w:style>
  <w:style w:type="character" w:styleId="IntenseEmphasis">
    <w:name w:val="Intense Emphasis"/>
    <w:basedOn w:val="DefaultParagraphFont"/>
    <w:uiPriority w:val="21"/>
    <w:qFormat/>
    <w:rsid w:val="00351072"/>
    <w:rPr>
      <w:i/>
      <w:iCs/>
      <w:color w:val="0F4761" w:themeColor="accent1" w:themeShade="BF"/>
    </w:rPr>
  </w:style>
  <w:style w:type="paragraph" w:styleId="IntenseQuote">
    <w:name w:val="Intense Quote"/>
    <w:basedOn w:val="Normal"/>
    <w:next w:val="Normal"/>
    <w:link w:val="IntenseQuoteChar"/>
    <w:uiPriority w:val="30"/>
    <w:qFormat/>
    <w:rsid w:val="003510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072"/>
    <w:rPr>
      <w:i/>
      <w:iCs/>
      <w:color w:val="0F4761" w:themeColor="accent1" w:themeShade="BF"/>
    </w:rPr>
  </w:style>
  <w:style w:type="character" w:styleId="IntenseReference">
    <w:name w:val="Intense Reference"/>
    <w:basedOn w:val="DefaultParagraphFont"/>
    <w:uiPriority w:val="32"/>
    <w:qFormat/>
    <w:rsid w:val="00351072"/>
    <w:rPr>
      <w:b/>
      <w:bCs/>
      <w:smallCaps/>
      <w:color w:val="0F4761" w:themeColor="accent1" w:themeShade="BF"/>
      <w:spacing w:val="5"/>
    </w:rPr>
  </w:style>
  <w:style w:type="paragraph" w:styleId="Header">
    <w:name w:val="header"/>
    <w:basedOn w:val="Normal"/>
    <w:link w:val="HeaderChar"/>
    <w:uiPriority w:val="99"/>
    <w:unhideWhenUsed/>
    <w:rsid w:val="00351072"/>
    <w:pPr>
      <w:tabs>
        <w:tab w:val="center" w:pos="4513"/>
        <w:tab w:val="right" w:pos="9026"/>
      </w:tabs>
    </w:pPr>
  </w:style>
  <w:style w:type="character" w:customStyle="1" w:styleId="HeaderChar">
    <w:name w:val="Header Char"/>
    <w:basedOn w:val="DefaultParagraphFont"/>
    <w:link w:val="Header"/>
    <w:uiPriority w:val="99"/>
    <w:rsid w:val="00351072"/>
  </w:style>
  <w:style w:type="paragraph" w:styleId="Footer">
    <w:name w:val="footer"/>
    <w:basedOn w:val="Normal"/>
    <w:link w:val="FooterChar"/>
    <w:uiPriority w:val="99"/>
    <w:unhideWhenUsed/>
    <w:rsid w:val="00351072"/>
    <w:pPr>
      <w:tabs>
        <w:tab w:val="center" w:pos="4513"/>
        <w:tab w:val="right" w:pos="9026"/>
      </w:tabs>
    </w:pPr>
  </w:style>
  <w:style w:type="character" w:customStyle="1" w:styleId="FooterChar">
    <w:name w:val="Footer Char"/>
    <w:basedOn w:val="DefaultParagraphFont"/>
    <w:link w:val="Footer"/>
    <w:uiPriority w:val="99"/>
    <w:rsid w:val="00351072"/>
  </w:style>
  <w:style w:type="paragraph" w:customStyle="1" w:styleId="p1">
    <w:name w:val="p1"/>
    <w:basedOn w:val="Normal"/>
    <w:rsid w:val="00F469F4"/>
    <w:rPr>
      <w:rFonts w:ascii="Helvetica" w:eastAsia="Times New Roman" w:hAnsi="Helvetica" w:cs="Times New Roman"/>
      <w:color w:val="000000"/>
      <w:kern w:val="0"/>
      <w:sz w:val="18"/>
      <w:szCs w:val="18"/>
      <w:lang w:eastAsia="en-GB"/>
      <w14:ligatures w14:val="none"/>
    </w:rPr>
  </w:style>
  <w:style w:type="character" w:styleId="Hyperlink">
    <w:name w:val="Hyperlink"/>
    <w:basedOn w:val="DefaultParagraphFont"/>
    <w:uiPriority w:val="99"/>
    <w:unhideWhenUsed/>
    <w:rsid w:val="00CF21F8"/>
    <w:rPr>
      <w:color w:val="467886" w:themeColor="hyperlink"/>
      <w:u w:val="single"/>
    </w:rPr>
  </w:style>
  <w:style w:type="character" w:styleId="UnresolvedMention">
    <w:name w:val="Unresolved Mention"/>
    <w:basedOn w:val="DefaultParagraphFont"/>
    <w:uiPriority w:val="99"/>
    <w:semiHidden/>
    <w:unhideWhenUsed/>
    <w:rsid w:val="00CF21F8"/>
    <w:rPr>
      <w:color w:val="605E5C"/>
      <w:shd w:val="clear" w:color="auto" w:fill="E1DFDD"/>
    </w:rPr>
  </w:style>
  <w:style w:type="paragraph" w:styleId="NormalWeb">
    <w:name w:val="Normal (Web)"/>
    <w:basedOn w:val="Normal"/>
    <w:uiPriority w:val="99"/>
    <w:semiHidden/>
    <w:unhideWhenUsed/>
    <w:rsid w:val="0022370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23702"/>
  </w:style>
  <w:style w:type="character" w:styleId="FollowedHyperlink">
    <w:name w:val="FollowedHyperlink"/>
    <w:basedOn w:val="DefaultParagraphFont"/>
    <w:uiPriority w:val="99"/>
    <w:semiHidden/>
    <w:unhideWhenUsed/>
    <w:rsid w:val="00CC00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Geo5/15-16/20" TargetMode="External"/><Relationship Id="rId13" Type="http://schemas.openxmlformats.org/officeDocument/2006/relationships/hyperlink" Target="https://www.legislation.gov.uk/ukpga/2003/14/contents" TargetMode="External"/><Relationship Id="rId18" Type="http://schemas.openxmlformats.org/officeDocument/2006/relationships/hyperlink" Target="https://www.legislation.gov.uk/ukpga/1991/5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egislation.gov.uk/ukpga/1984/55" TargetMode="External"/><Relationship Id="rId12" Type="http://schemas.openxmlformats.org/officeDocument/2006/relationships/hyperlink" Target="https://www.legislation.gov.uk/ukpga/2002/9" TargetMode="External"/><Relationship Id="rId17" Type="http://schemas.openxmlformats.org/officeDocument/2006/relationships/hyperlink" Target="https://www.legislation.gov.uk/ukpga/1989/34/section/2/1997-01-01?view=plain" TargetMode="External"/><Relationship Id="rId2" Type="http://schemas.openxmlformats.org/officeDocument/2006/relationships/styles" Target="styles.xml"/><Relationship Id="rId16" Type="http://schemas.openxmlformats.org/officeDocument/2006/relationships/hyperlink" Target="https://www.lexisnexis.co.uk/legal/precedents/dealings-post-completion-pre-registration#:~:text=Article%20Summary,Tax%20(LTT)%20in%20Wal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96/47" TargetMode="External"/><Relationship Id="rId5" Type="http://schemas.openxmlformats.org/officeDocument/2006/relationships/footnotes" Target="footnotes.xml"/><Relationship Id="rId15" Type="http://schemas.openxmlformats.org/officeDocument/2006/relationships/hyperlink" Target="https://www.gov.uk/hmrc-internal-manuals/inheritance-tax-manual/ihtm15031" TargetMode="External"/><Relationship Id="rId10" Type="http://schemas.openxmlformats.org/officeDocument/2006/relationships/hyperlink" Target="https://www.legislation.gov.uk/ukpga/1990/43/part/IIA" TargetMode="External"/><Relationship Id="rId19" Type="http://schemas.openxmlformats.org/officeDocument/2006/relationships/hyperlink" Target="https://www.legislation.gov.uk/uksi/2003/2760/made" TargetMode="External"/><Relationship Id="rId4" Type="http://schemas.openxmlformats.org/officeDocument/2006/relationships/webSettings" Target="webSettings.xml"/><Relationship Id="rId9" Type="http://schemas.openxmlformats.org/officeDocument/2006/relationships/hyperlink" Target="https://www.legislation.gov.uk/ukpga/1990/8/contents" TargetMode="External"/><Relationship Id="rId14" Type="http://schemas.openxmlformats.org/officeDocument/2006/relationships/hyperlink" Target="https://www.gov.uk/government/publications/help-to-buy-2021-2023-equity-mortgage-lenders-handbook-for-conveyancers/equity-mortgage-lenders-handbook-for-conveyancers-accessible-ver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3707</Words>
  <Characters>20019</Characters>
  <Application>Microsoft Office Word</Application>
  <DocSecurity>0</DocSecurity>
  <Lines>953</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2026-01-09T17:54:00Z</dcterms:created>
  <dcterms:modified xsi:type="dcterms:W3CDTF">2026-01-09T17:54:00Z</dcterms:modified>
</cp:coreProperties>
</file>