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0F2AA9" w14:textId="77777777" w:rsidR="00973B69" w:rsidRPr="00363C69" w:rsidRDefault="00973B69" w:rsidP="00363C69">
      <w:pPr>
        <w:widowControl w:val="0"/>
        <w:tabs>
          <w:tab w:val="left" w:pos="940"/>
          <w:tab w:val="left" w:pos="941"/>
        </w:tabs>
        <w:spacing w:after="0" w:line="360" w:lineRule="auto"/>
        <w:jc w:val="center"/>
        <w:rPr>
          <w:rFonts w:ascii="Arial" w:hAnsi="Arial" w:cs="Arial"/>
          <w:color w:val="000000" w:themeColor="text1"/>
          <w:sz w:val="24"/>
          <w:szCs w:val="24"/>
        </w:rPr>
      </w:pPr>
    </w:p>
    <w:p w14:paraId="1EE47262" w14:textId="77777777" w:rsidR="00973B69" w:rsidRPr="00363C69" w:rsidRDefault="00973B69" w:rsidP="00363C69">
      <w:pPr>
        <w:widowControl w:val="0"/>
        <w:tabs>
          <w:tab w:val="left" w:pos="940"/>
          <w:tab w:val="left" w:pos="941"/>
        </w:tabs>
        <w:spacing w:after="0" w:line="360" w:lineRule="auto"/>
        <w:jc w:val="center"/>
        <w:rPr>
          <w:rFonts w:ascii="Arial" w:hAnsi="Arial" w:cs="Arial"/>
          <w:color w:val="000000" w:themeColor="text1"/>
          <w:sz w:val="24"/>
          <w:szCs w:val="24"/>
        </w:rPr>
      </w:pPr>
      <w:r w:rsidRPr="00363C69">
        <w:rPr>
          <w:rFonts w:ascii="Arial" w:hAnsi="Arial" w:cs="Arial"/>
          <w:noProof/>
          <w:color w:val="000000" w:themeColor="text1"/>
          <w:sz w:val="24"/>
          <w:szCs w:val="24"/>
        </w:rPr>
        <w:drawing>
          <wp:anchor distT="0" distB="0" distL="114300" distR="114300" simplePos="0" relativeHeight="251659264" behindDoc="0" locked="0" layoutInCell="1" allowOverlap="1" wp14:anchorId="26276595" wp14:editId="5070D11B">
            <wp:simplePos x="0" y="0"/>
            <wp:positionH relativeFrom="column">
              <wp:posOffset>0</wp:posOffset>
            </wp:positionH>
            <wp:positionV relativeFrom="paragraph">
              <wp:posOffset>242570</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3D04DD0A" w14:textId="77777777" w:rsidR="00973B69" w:rsidRPr="00363C69" w:rsidRDefault="00973B69" w:rsidP="00363C69">
      <w:pPr>
        <w:widowControl w:val="0"/>
        <w:tabs>
          <w:tab w:val="left" w:pos="940"/>
          <w:tab w:val="left" w:pos="941"/>
        </w:tabs>
        <w:spacing w:after="0" w:line="360" w:lineRule="auto"/>
        <w:jc w:val="center"/>
        <w:rPr>
          <w:rFonts w:ascii="Arial" w:hAnsi="Arial" w:cs="Arial"/>
          <w:color w:val="000000" w:themeColor="text1"/>
          <w:sz w:val="24"/>
          <w:szCs w:val="24"/>
        </w:rPr>
      </w:pPr>
    </w:p>
    <w:p w14:paraId="7EA08E63" w14:textId="77777777" w:rsidR="00973B69" w:rsidRPr="00363C69" w:rsidRDefault="00973B69" w:rsidP="00363C69">
      <w:pPr>
        <w:widowControl w:val="0"/>
        <w:tabs>
          <w:tab w:val="left" w:pos="940"/>
          <w:tab w:val="left" w:pos="941"/>
        </w:tabs>
        <w:spacing w:after="0" w:line="360" w:lineRule="auto"/>
        <w:jc w:val="center"/>
        <w:rPr>
          <w:rFonts w:ascii="Arial" w:hAnsi="Arial" w:cs="Arial"/>
          <w:color w:val="000000" w:themeColor="text1"/>
          <w:sz w:val="24"/>
          <w:szCs w:val="24"/>
        </w:rPr>
      </w:pPr>
    </w:p>
    <w:p w14:paraId="70837049" w14:textId="77777777" w:rsidR="00973B69" w:rsidRPr="00363C69" w:rsidRDefault="00973B69" w:rsidP="00363C69">
      <w:pPr>
        <w:widowControl w:val="0"/>
        <w:tabs>
          <w:tab w:val="left" w:pos="940"/>
          <w:tab w:val="left" w:pos="941"/>
        </w:tabs>
        <w:spacing w:after="0" w:line="360" w:lineRule="auto"/>
        <w:jc w:val="center"/>
        <w:rPr>
          <w:rFonts w:ascii="Arial" w:hAnsi="Arial" w:cs="Arial"/>
          <w:color w:val="000000" w:themeColor="text1"/>
          <w:sz w:val="24"/>
          <w:szCs w:val="24"/>
        </w:rPr>
      </w:pPr>
    </w:p>
    <w:p w14:paraId="7D77982D" w14:textId="77777777" w:rsidR="00973B69" w:rsidRPr="00363C69" w:rsidRDefault="00973B69" w:rsidP="00363C69">
      <w:pPr>
        <w:widowControl w:val="0"/>
        <w:tabs>
          <w:tab w:val="left" w:pos="940"/>
          <w:tab w:val="left" w:pos="941"/>
        </w:tabs>
        <w:spacing w:after="0" w:line="360" w:lineRule="auto"/>
        <w:jc w:val="center"/>
        <w:rPr>
          <w:rFonts w:ascii="Arial" w:hAnsi="Arial" w:cs="Arial"/>
          <w:color w:val="000000" w:themeColor="text1"/>
          <w:sz w:val="24"/>
          <w:szCs w:val="24"/>
        </w:rPr>
      </w:pPr>
    </w:p>
    <w:p w14:paraId="7015F9B2" w14:textId="77777777" w:rsidR="00973B69" w:rsidRPr="00363C69" w:rsidRDefault="00973B69" w:rsidP="00363C69">
      <w:pPr>
        <w:widowControl w:val="0"/>
        <w:tabs>
          <w:tab w:val="left" w:pos="940"/>
          <w:tab w:val="left" w:pos="941"/>
        </w:tabs>
        <w:spacing w:after="0" w:line="360" w:lineRule="auto"/>
        <w:jc w:val="center"/>
        <w:rPr>
          <w:rFonts w:ascii="Arial" w:hAnsi="Arial" w:cs="Arial"/>
          <w:color w:val="000000" w:themeColor="text1"/>
          <w:sz w:val="24"/>
          <w:szCs w:val="24"/>
        </w:rPr>
      </w:pPr>
    </w:p>
    <w:p w14:paraId="2FA1F981" w14:textId="77777777" w:rsidR="00980F37" w:rsidRDefault="00980F37" w:rsidP="00980F37">
      <w:pPr>
        <w:widowControl w:val="0"/>
        <w:tabs>
          <w:tab w:val="left" w:pos="940"/>
          <w:tab w:val="left" w:pos="941"/>
          <w:tab w:val="center" w:pos="4968"/>
          <w:tab w:val="left" w:pos="6810"/>
        </w:tabs>
        <w:spacing w:after="0" w:line="360" w:lineRule="auto"/>
        <w:jc w:val="center"/>
        <w:rPr>
          <w:rFonts w:ascii="Arial" w:hAnsi="Arial" w:cs="Arial"/>
          <w:b/>
          <w:bCs/>
          <w:color w:val="000000" w:themeColor="text1"/>
          <w:sz w:val="24"/>
          <w:szCs w:val="24"/>
        </w:rPr>
      </w:pPr>
      <w:r w:rsidRPr="00830F50">
        <w:rPr>
          <w:rFonts w:ascii="Arial" w:hAnsi="Arial" w:cs="Arial"/>
          <w:b/>
          <w:bCs/>
          <w:color w:val="000000" w:themeColor="text1"/>
          <w:sz w:val="24"/>
          <w:szCs w:val="24"/>
        </w:rPr>
        <w:t xml:space="preserve">Programme Name: </w:t>
      </w:r>
      <w:r>
        <w:rPr>
          <w:rFonts w:ascii="Arial" w:hAnsi="Arial" w:cs="Arial"/>
          <w:b/>
          <w:bCs/>
          <w:color w:val="000000" w:themeColor="text1"/>
          <w:sz w:val="24"/>
          <w:szCs w:val="24"/>
        </w:rPr>
        <w:t>MBA I</w:t>
      </w:r>
      <w:r w:rsidRPr="00F115B4">
        <w:rPr>
          <w:rFonts w:ascii="Arial" w:hAnsi="Arial" w:cs="Arial"/>
          <w:b/>
          <w:bCs/>
          <w:color w:val="000000" w:themeColor="text1"/>
          <w:sz w:val="24"/>
          <w:szCs w:val="24"/>
        </w:rPr>
        <w:t>nternational business</w:t>
      </w:r>
    </w:p>
    <w:p w14:paraId="73ED843B" w14:textId="08DF3D5A" w:rsidR="00980F37" w:rsidRDefault="00980F37" w:rsidP="00980F37">
      <w:pPr>
        <w:widowControl w:val="0"/>
        <w:tabs>
          <w:tab w:val="left" w:pos="940"/>
          <w:tab w:val="left" w:pos="941"/>
        </w:tabs>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Module Name: Human Capital Management</w:t>
      </w:r>
    </w:p>
    <w:p w14:paraId="79F6B860" w14:textId="77777777" w:rsidR="00980F37" w:rsidRPr="00830F50" w:rsidRDefault="00980F37" w:rsidP="00980F37">
      <w:pPr>
        <w:widowControl w:val="0"/>
        <w:tabs>
          <w:tab w:val="left" w:pos="940"/>
          <w:tab w:val="left" w:pos="941"/>
        </w:tabs>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 xml:space="preserve">Module Code: </w:t>
      </w:r>
      <w:r w:rsidRPr="00830F50">
        <w:rPr>
          <w:rFonts w:ascii="Arial" w:hAnsi="Arial" w:cs="Arial"/>
          <w:b/>
          <w:bCs/>
          <w:color w:val="000000" w:themeColor="text1"/>
          <w:sz w:val="24"/>
          <w:szCs w:val="24"/>
        </w:rPr>
        <w:t>LCMB7023</w:t>
      </w:r>
    </w:p>
    <w:p w14:paraId="090C3F47" w14:textId="77777777" w:rsidR="00980F37" w:rsidRPr="00830F50" w:rsidRDefault="00980F37" w:rsidP="00980F37">
      <w:pPr>
        <w:widowControl w:val="0"/>
        <w:tabs>
          <w:tab w:val="left" w:pos="940"/>
          <w:tab w:val="left" w:pos="941"/>
        </w:tabs>
        <w:spacing w:after="0" w:line="360" w:lineRule="auto"/>
        <w:jc w:val="center"/>
        <w:rPr>
          <w:rFonts w:ascii="Arial" w:hAnsi="Arial" w:cs="Arial"/>
          <w:b/>
          <w:bCs/>
          <w:color w:val="000000" w:themeColor="text1"/>
          <w:sz w:val="24"/>
          <w:szCs w:val="24"/>
        </w:rPr>
      </w:pPr>
      <w:r w:rsidRPr="00830F50">
        <w:rPr>
          <w:rFonts w:ascii="Arial" w:hAnsi="Arial" w:cs="Arial"/>
          <w:b/>
          <w:bCs/>
          <w:color w:val="000000" w:themeColor="text1"/>
          <w:sz w:val="24"/>
          <w:szCs w:val="24"/>
        </w:rPr>
        <w:t>Title: Assignment Component 1: Individual Report</w:t>
      </w:r>
    </w:p>
    <w:p w14:paraId="35E438C5" w14:textId="77777777" w:rsidR="00980F37" w:rsidRPr="00830F50" w:rsidRDefault="00980F37" w:rsidP="00980F37">
      <w:pPr>
        <w:widowControl w:val="0"/>
        <w:tabs>
          <w:tab w:val="left" w:pos="940"/>
          <w:tab w:val="left" w:pos="941"/>
        </w:tabs>
        <w:spacing w:after="0" w:line="360" w:lineRule="auto"/>
        <w:jc w:val="center"/>
        <w:rPr>
          <w:rFonts w:ascii="Arial" w:hAnsi="Arial" w:cs="Arial"/>
          <w:b/>
          <w:bCs/>
          <w:color w:val="000000" w:themeColor="text1"/>
          <w:sz w:val="24"/>
          <w:szCs w:val="24"/>
        </w:rPr>
      </w:pPr>
      <w:r w:rsidRPr="00830F50">
        <w:rPr>
          <w:rFonts w:ascii="Arial" w:hAnsi="Arial" w:cs="Arial"/>
          <w:b/>
          <w:bCs/>
          <w:color w:val="000000" w:themeColor="text1"/>
          <w:sz w:val="24"/>
          <w:szCs w:val="24"/>
        </w:rPr>
        <w:t>Lecturer's Name:</w:t>
      </w:r>
      <w:r>
        <w:rPr>
          <w:rFonts w:ascii="Arial" w:hAnsi="Arial" w:cs="Arial"/>
          <w:b/>
          <w:bCs/>
          <w:color w:val="000000" w:themeColor="text1"/>
          <w:sz w:val="24"/>
          <w:szCs w:val="24"/>
        </w:rPr>
        <w:t xml:space="preserve"> </w:t>
      </w:r>
      <w:r w:rsidRPr="0055291E">
        <w:rPr>
          <w:rFonts w:ascii="Arial" w:hAnsi="Arial" w:cs="Arial"/>
          <w:b/>
          <w:bCs/>
          <w:color w:val="000000" w:themeColor="text1"/>
          <w:sz w:val="24"/>
          <w:szCs w:val="24"/>
        </w:rPr>
        <w:t>Eno Maycock</w:t>
      </w:r>
    </w:p>
    <w:p w14:paraId="0F62BD54" w14:textId="77777777" w:rsidR="00980F37" w:rsidRDefault="00980F37" w:rsidP="00980F37">
      <w:pPr>
        <w:widowControl w:val="0"/>
        <w:tabs>
          <w:tab w:val="left" w:pos="940"/>
          <w:tab w:val="left" w:pos="941"/>
        </w:tabs>
        <w:spacing w:after="0" w:line="360" w:lineRule="auto"/>
        <w:jc w:val="center"/>
        <w:rPr>
          <w:rFonts w:ascii="Arial" w:hAnsi="Arial" w:cs="Arial"/>
          <w:b/>
          <w:bCs/>
          <w:color w:val="000000" w:themeColor="text1"/>
          <w:sz w:val="24"/>
          <w:szCs w:val="24"/>
        </w:rPr>
      </w:pPr>
      <w:r w:rsidRPr="00830F50">
        <w:rPr>
          <w:rFonts w:ascii="Arial" w:hAnsi="Arial" w:cs="Arial"/>
          <w:b/>
          <w:bCs/>
          <w:color w:val="000000" w:themeColor="text1"/>
          <w:sz w:val="24"/>
          <w:szCs w:val="24"/>
        </w:rPr>
        <w:t>Student’s Name</w:t>
      </w:r>
      <w:r>
        <w:rPr>
          <w:rFonts w:ascii="Arial" w:hAnsi="Arial" w:cs="Arial"/>
          <w:b/>
          <w:bCs/>
          <w:color w:val="000000" w:themeColor="text1"/>
          <w:sz w:val="24"/>
          <w:szCs w:val="24"/>
        </w:rPr>
        <w:t xml:space="preserve">: </w:t>
      </w:r>
      <w:r w:rsidRPr="00FE6709">
        <w:rPr>
          <w:rFonts w:ascii="Arial" w:hAnsi="Arial" w:cs="Arial"/>
          <w:b/>
          <w:bCs/>
          <w:color w:val="000000" w:themeColor="text1"/>
          <w:sz w:val="24"/>
          <w:szCs w:val="24"/>
        </w:rPr>
        <w:t>Payal sarman mahiyariya</w:t>
      </w:r>
    </w:p>
    <w:p w14:paraId="5A05F83C" w14:textId="77415E43" w:rsidR="00980F37" w:rsidRPr="00830F50" w:rsidRDefault="00980F37" w:rsidP="00980F37">
      <w:pPr>
        <w:widowControl w:val="0"/>
        <w:tabs>
          <w:tab w:val="left" w:pos="940"/>
          <w:tab w:val="left" w:pos="941"/>
        </w:tabs>
        <w:spacing w:after="0" w:line="360" w:lineRule="auto"/>
        <w:jc w:val="center"/>
        <w:rPr>
          <w:rFonts w:ascii="Arial" w:hAnsi="Arial" w:cs="Arial"/>
          <w:b/>
          <w:bCs/>
          <w:color w:val="000000" w:themeColor="text1"/>
          <w:sz w:val="24"/>
          <w:szCs w:val="24"/>
        </w:rPr>
      </w:pPr>
      <w:r>
        <w:rPr>
          <w:rFonts w:ascii="Arial" w:hAnsi="Arial" w:cs="Arial"/>
          <w:b/>
          <w:bCs/>
          <w:color w:val="000000" w:themeColor="text1"/>
          <w:sz w:val="24"/>
          <w:szCs w:val="24"/>
        </w:rPr>
        <w:t>Student ID: 2611143</w:t>
      </w:r>
    </w:p>
    <w:p w14:paraId="16190B8A" w14:textId="7A7B075D" w:rsidR="00973B69" w:rsidRPr="00363C69" w:rsidRDefault="00980F37" w:rsidP="00980F37">
      <w:pPr>
        <w:widowControl w:val="0"/>
        <w:tabs>
          <w:tab w:val="left" w:pos="940"/>
          <w:tab w:val="left" w:pos="941"/>
        </w:tabs>
        <w:spacing w:after="0" w:line="360" w:lineRule="auto"/>
        <w:jc w:val="center"/>
        <w:rPr>
          <w:rFonts w:ascii="Arial" w:hAnsi="Arial" w:cs="Arial"/>
          <w:color w:val="000000" w:themeColor="text1"/>
          <w:sz w:val="24"/>
          <w:szCs w:val="24"/>
        </w:rPr>
      </w:pPr>
      <w:r w:rsidRPr="00830F50">
        <w:rPr>
          <w:rFonts w:ascii="Arial" w:hAnsi="Arial" w:cs="Arial"/>
          <w:b/>
          <w:bCs/>
          <w:color w:val="000000" w:themeColor="text1"/>
          <w:sz w:val="24"/>
          <w:szCs w:val="24"/>
        </w:rPr>
        <w:t>Final Word Count: 2</w:t>
      </w:r>
      <w:r>
        <w:rPr>
          <w:rFonts w:ascii="Arial" w:hAnsi="Arial" w:cs="Arial"/>
          <w:b/>
          <w:bCs/>
          <w:color w:val="000000" w:themeColor="text1"/>
          <w:sz w:val="24"/>
          <w:szCs w:val="24"/>
        </w:rPr>
        <w:t>560</w:t>
      </w:r>
    </w:p>
    <w:p w14:paraId="7C902FDE" w14:textId="77777777" w:rsidR="00980F37" w:rsidRDefault="00980F37" w:rsidP="00363C69">
      <w:pPr>
        <w:widowControl w:val="0"/>
        <w:tabs>
          <w:tab w:val="left" w:pos="940"/>
          <w:tab w:val="left" w:pos="941"/>
        </w:tabs>
        <w:spacing w:after="0" w:line="360" w:lineRule="auto"/>
        <w:jc w:val="center"/>
        <w:rPr>
          <w:rFonts w:ascii="Arial" w:hAnsi="Arial" w:cs="Arial"/>
          <w:b/>
          <w:bCs/>
          <w:color w:val="000000" w:themeColor="text1"/>
          <w:sz w:val="24"/>
          <w:szCs w:val="24"/>
        </w:rPr>
      </w:pPr>
    </w:p>
    <w:p w14:paraId="2129E848" w14:textId="77777777" w:rsidR="00973B69" w:rsidRPr="00363C69" w:rsidRDefault="00973B69" w:rsidP="00363C69">
      <w:pPr>
        <w:spacing w:after="200" w:line="360" w:lineRule="auto"/>
        <w:jc w:val="center"/>
        <w:rPr>
          <w:rFonts w:ascii="Arial" w:hAnsi="Arial" w:cs="Arial"/>
          <w:b/>
          <w:bCs/>
          <w:color w:val="000000" w:themeColor="text1"/>
          <w:sz w:val="24"/>
          <w:szCs w:val="24"/>
        </w:rPr>
      </w:pPr>
      <w:r w:rsidRPr="00363C69">
        <w:rPr>
          <w:rFonts w:ascii="Arial" w:hAnsi="Arial" w:cs="Arial"/>
          <w:b/>
          <w:bCs/>
          <w:color w:val="000000" w:themeColor="text1"/>
          <w:sz w:val="24"/>
          <w:szCs w:val="24"/>
        </w:rPr>
        <w:br w:type="page"/>
      </w:r>
    </w:p>
    <w:p w14:paraId="2AE3575F" w14:textId="73AF24F6" w:rsidR="00973B69" w:rsidRPr="00363C69" w:rsidRDefault="00973B69"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lastRenderedPageBreak/>
        <w:t xml:space="preserve">Table of Contents </w:t>
      </w:r>
    </w:p>
    <w:p w14:paraId="1EE2DE19" w14:textId="0938DFF1" w:rsidR="00830F50" w:rsidRPr="00363C69" w:rsidRDefault="00973B69" w:rsidP="00363C69">
      <w:pPr>
        <w:pStyle w:val="TOC1"/>
        <w:spacing w:line="360" w:lineRule="auto"/>
        <w:jc w:val="both"/>
        <w:rPr>
          <w:rFonts w:ascii="Arial" w:hAnsi="Arial" w:cs="Arial"/>
          <w:noProof/>
          <w:color w:val="000000" w:themeColor="text1"/>
          <w:kern w:val="2"/>
          <w:sz w:val="24"/>
          <w:szCs w:val="24"/>
          <w:lang w:val="en-IN" w:eastAsia="en-GB"/>
          <w14:ligatures w14:val="standardContextual"/>
        </w:rPr>
      </w:pPr>
      <w:r w:rsidRPr="00363C69">
        <w:rPr>
          <w:rFonts w:ascii="Arial" w:hAnsi="Arial" w:cs="Arial"/>
          <w:b/>
          <w:bCs/>
          <w:color w:val="000000" w:themeColor="text1"/>
          <w:sz w:val="24"/>
          <w:szCs w:val="24"/>
        </w:rPr>
        <w:fldChar w:fldCharType="begin"/>
      </w:r>
      <w:r w:rsidRPr="00363C69">
        <w:rPr>
          <w:rFonts w:ascii="Arial" w:hAnsi="Arial" w:cs="Arial"/>
          <w:b/>
          <w:bCs/>
          <w:color w:val="000000" w:themeColor="text1"/>
          <w:sz w:val="24"/>
          <w:szCs w:val="24"/>
        </w:rPr>
        <w:instrText xml:space="preserve"> TOC \o "1-2" \h \z \u </w:instrText>
      </w:r>
      <w:r w:rsidRPr="00363C69">
        <w:rPr>
          <w:rFonts w:ascii="Arial" w:hAnsi="Arial" w:cs="Arial"/>
          <w:b/>
          <w:bCs/>
          <w:color w:val="000000" w:themeColor="text1"/>
          <w:sz w:val="24"/>
          <w:szCs w:val="24"/>
        </w:rPr>
        <w:fldChar w:fldCharType="separate"/>
      </w:r>
      <w:hyperlink w:anchor="_Toc242804325" w:history="1">
        <w:r w:rsidR="00830F50" w:rsidRPr="00363C69">
          <w:rPr>
            <w:rStyle w:val="Hyperlink"/>
            <w:rFonts w:ascii="Arial" w:hAnsi="Arial" w:cs="Arial"/>
            <w:noProof/>
            <w:color w:val="000000" w:themeColor="text1"/>
            <w:sz w:val="24"/>
            <w:szCs w:val="24"/>
          </w:rPr>
          <w:t>Introduction</w:t>
        </w:r>
        <w:r w:rsidR="00830F50" w:rsidRPr="00363C69">
          <w:rPr>
            <w:rFonts w:ascii="Arial" w:hAnsi="Arial" w:cs="Arial"/>
            <w:noProof/>
            <w:webHidden/>
            <w:color w:val="000000" w:themeColor="text1"/>
            <w:sz w:val="24"/>
            <w:szCs w:val="24"/>
          </w:rPr>
          <w:tab/>
        </w:r>
        <w:r w:rsidR="00830F50" w:rsidRPr="00363C69">
          <w:rPr>
            <w:rFonts w:ascii="Arial" w:hAnsi="Arial" w:cs="Arial"/>
            <w:noProof/>
            <w:webHidden/>
            <w:color w:val="000000" w:themeColor="text1"/>
            <w:sz w:val="24"/>
            <w:szCs w:val="24"/>
          </w:rPr>
          <w:fldChar w:fldCharType="begin"/>
        </w:r>
        <w:r w:rsidR="00830F50" w:rsidRPr="00363C69">
          <w:rPr>
            <w:rFonts w:ascii="Arial" w:hAnsi="Arial" w:cs="Arial"/>
            <w:noProof/>
            <w:webHidden/>
            <w:color w:val="000000" w:themeColor="text1"/>
            <w:sz w:val="24"/>
            <w:szCs w:val="24"/>
          </w:rPr>
          <w:instrText xml:space="preserve"> PAGEREF _Toc242804325 \h </w:instrText>
        </w:r>
        <w:r w:rsidR="00830F50" w:rsidRPr="00363C69">
          <w:rPr>
            <w:rFonts w:ascii="Arial" w:hAnsi="Arial" w:cs="Arial"/>
            <w:noProof/>
            <w:webHidden/>
            <w:color w:val="000000" w:themeColor="text1"/>
            <w:sz w:val="24"/>
            <w:szCs w:val="24"/>
          </w:rPr>
        </w:r>
        <w:r w:rsidR="00830F50" w:rsidRPr="00363C69">
          <w:rPr>
            <w:rFonts w:ascii="Arial" w:hAnsi="Arial" w:cs="Arial"/>
            <w:noProof/>
            <w:webHidden/>
            <w:color w:val="000000" w:themeColor="text1"/>
            <w:sz w:val="24"/>
            <w:szCs w:val="24"/>
          </w:rPr>
          <w:fldChar w:fldCharType="separate"/>
        </w:r>
        <w:r w:rsidR="00830F50" w:rsidRPr="00363C69">
          <w:rPr>
            <w:rFonts w:ascii="Arial" w:hAnsi="Arial" w:cs="Arial"/>
            <w:noProof/>
            <w:webHidden/>
            <w:color w:val="000000" w:themeColor="text1"/>
            <w:sz w:val="24"/>
            <w:szCs w:val="24"/>
          </w:rPr>
          <w:t>3</w:t>
        </w:r>
        <w:r w:rsidR="00830F50" w:rsidRPr="00363C69">
          <w:rPr>
            <w:rFonts w:ascii="Arial" w:hAnsi="Arial" w:cs="Arial"/>
            <w:noProof/>
            <w:webHidden/>
            <w:color w:val="000000" w:themeColor="text1"/>
            <w:sz w:val="24"/>
            <w:szCs w:val="24"/>
          </w:rPr>
          <w:fldChar w:fldCharType="end"/>
        </w:r>
      </w:hyperlink>
    </w:p>
    <w:p w14:paraId="006F199C" w14:textId="56284191" w:rsidR="00830F50" w:rsidRPr="00363C69" w:rsidRDefault="00830F50" w:rsidP="00363C69">
      <w:pPr>
        <w:pStyle w:val="TOC1"/>
        <w:spacing w:line="360" w:lineRule="auto"/>
        <w:jc w:val="both"/>
        <w:rPr>
          <w:rFonts w:ascii="Arial" w:hAnsi="Arial" w:cs="Arial"/>
          <w:noProof/>
          <w:color w:val="000000" w:themeColor="text1"/>
          <w:kern w:val="2"/>
          <w:sz w:val="24"/>
          <w:szCs w:val="24"/>
          <w:lang w:val="en-IN" w:eastAsia="en-GB"/>
          <w14:ligatures w14:val="standardContextual"/>
        </w:rPr>
      </w:pPr>
      <w:hyperlink w:anchor="_Toc242804326" w:history="1">
        <w:r w:rsidRPr="00363C69">
          <w:rPr>
            <w:rStyle w:val="Hyperlink"/>
            <w:rFonts w:ascii="Arial" w:hAnsi="Arial" w:cs="Arial"/>
            <w:noProof/>
            <w:color w:val="000000" w:themeColor="text1"/>
            <w:sz w:val="24"/>
            <w:szCs w:val="24"/>
          </w:rPr>
          <w:t>Task A: Designing Innovative Working Practices</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_Toc242804326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3</w:t>
        </w:r>
        <w:r w:rsidRPr="00363C69">
          <w:rPr>
            <w:rFonts w:ascii="Arial" w:hAnsi="Arial" w:cs="Arial"/>
            <w:noProof/>
            <w:webHidden/>
            <w:color w:val="000000" w:themeColor="text1"/>
            <w:sz w:val="24"/>
            <w:szCs w:val="24"/>
          </w:rPr>
          <w:fldChar w:fldCharType="end"/>
        </w:r>
      </w:hyperlink>
    </w:p>
    <w:p w14:paraId="413635D0" w14:textId="77D868BF" w:rsidR="00830F50" w:rsidRPr="00363C69" w:rsidRDefault="00830F50" w:rsidP="00363C69">
      <w:pPr>
        <w:pStyle w:val="TOC2"/>
        <w:tabs>
          <w:tab w:val="right" w:leader="dot" w:pos="9926"/>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804327" w:history="1">
        <w:r w:rsidRPr="00363C69">
          <w:rPr>
            <w:rStyle w:val="Hyperlink"/>
            <w:rFonts w:ascii="Arial" w:hAnsi="Arial" w:cs="Arial"/>
            <w:noProof/>
            <w:color w:val="000000" w:themeColor="text1"/>
            <w:sz w:val="24"/>
            <w:szCs w:val="24"/>
          </w:rPr>
          <w:t>A1. Traditional vs current working methods</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_Toc242804327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3</w:t>
        </w:r>
        <w:r w:rsidRPr="00363C69">
          <w:rPr>
            <w:rFonts w:ascii="Arial" w:hAnsi="Arial" w:cs="Arial"/>
            <w:noProof/>
            <w:webHidden/>
            <w:color w:val="000000" w:themeColor="text1"/>
            <w:sz w:val="24"/>
            <w:szCs w:val="24"/>
          </w:rPr>
          <w:fldChar w:fldCharType="end"/>
        </w:r>
      </w:hyperlink>
    </w:p>
    <w:p w14:paraId="57BB329F" w14:textId="1D8DB205" w:rsidR="00830F50" w:rsidRPr="00363C69" w:rsidRDefault="00830F50" w:rsidP="00363C69">
      <w:pPr>
        <w:pStyle w:val="TOC2"/>
        <w:tabs>
          <w:tab w:val="right" w:leader="dot" w:pos="9926"/>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804328" w:history="1">
        <w:r w:rsidRPr="00363C69">
          <w:rPr>
            <w:rStyle w:val="Hyperlink"/>
            <w:rFonts w:ascii="Arial" w:hAnsi="Arial" w:cs="Arial"/>
            <w:noProof/>
            <w:color w:val="000000" w:themeColor="text1"/>
            <w:sz w:val="24"/>
            <w:szCs w:val="24"/>
          </w:rPr>
          <w:t>A2. Recommended integrated working-practice framework</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_Toc242804328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4</w:t>
        </w:r>
        <w:r w:rsidRPr="00363C69">
          <w:rPr>
            <w:rFonts w:ascii="Arial" w:hAnsi="Arial" w:cs="Arial"/>
            <w:noProof/>
            <w:webHidden/>
            <w:color w:val="000000" w:themeColor="text1"/>
            <w:sz w:val="24"/>
            <w:szCs w:val="24"/>
          </w:rPr>
          <w:fldChar w:fldCharType="end"/>
        </w:r>
      </w:hyperlink>
    </w:p>
    <w:p w14:paraId="4391DCB2" w14:textId="0F2D1B99" w:rsidR="00830F50" w:rsidRPr="00363C69" w:rsidRDefault="00830F50" w:rsidP="00363C69">
      <w:pPr>
        <w:pStyle w:val="TOC1"/>
        <w:spacing w:line="360" w:lineRule="auto"/>
        <w:jc w:val="both"/>
        <w:rPr>
          <w:rFonts w:ascii="Arial" w:hAnsi="Arial" w:cs="Arial"/>
          <w:noProof/>
          <w:color w:val="000000" w:themeColor="text1"/>
          <w:kern w:val="2"/>
          <w:sz w:val="24"/>
          <w:szCs w:val="24"/>
          <w:lang w:val="en-IN" w:eastAsia="en-GB"/>
          <w14:ligatures w14:val="standardContextual"/>
        </w:rPr>
      </w:pPr>
      <w:hyperlink w:anchor="_Toc242804329" w:history="1">
        <w:r w:rsidRPr="00363C69">
          <w:rPr>
            <w:rStyle w:val="Hyperlink"/>
            <w:rFonts w:ascii="Arial" w:hAnsi="Arial" w:cs="Arial"/>
            <w:noProof/>
            <w:color w:val="000000" w:themeColor="text1"/>
            <w:sz w:val="24"/>
            <w:szCs w:val="24"/>
          </w:rPr>
          <w:t>Task B: Breeding an Environment Where Talent May Grow</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_Toc242804329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6</w:t>
        </w:r>
        <w:r w:rsidRPr="00363C69">
          <w:rPr>
            <w:rFonts w:ascii="Arial" w:hAnsi="Arial" w:cs="Arial"/>
            <w:noProof/>
            <w:webHidden/>
            <w:color w:val="000000" w:themeColor="text1"/>
            <w:sz w:val="24"/>
            <w:szCs w:val="24"/>
          </w:rPr>
          <w:fldChar w:fldCharType="end"/>
        </w:r>
      </w:hyperlink>
    </w:p>
    <w:p w14:paraId="4DCC77D3" w14:textId="1FE90279" w:rsidR="00830F50" w:rsidRPr="00363C69" w:rsidRDefault="00830F50" w:rsidP="00363C69">
      <w:pPr>
        <w:pStyle w:val="TOC2"/>
        <w:tabs>
          <w:tab w:val="right" w:leader="dot" w:pos="9926"/>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804330" w:history="1">
        <w:r w:rsidRPr="00363C69">
          <w:rPr>
            <w:rStyle w:val="Hyperlink"/>
            <w:rFonts w:ascii="Arial" w:hAnsi="Arial" w:cs="Arial"/>
            <w:noProof/>
            <w:color w:val="000000" w:themeColor="text1"/>
            <w:sz w:val="24"/>
            <w:szCs w:val="24"/>
          </w:rPr>
          <w:t>B1. Critical evaluation of talent-flourishing environments</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_Toc242804330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6</w:t>
        </w:r>
        <w:r w:rsidRPr="00363C69">
          <w:rPr>
            <w:rFonts w:ascii="Arial" w:hAnsi="Arial" w:cs="Arial"/>
            <w:noProof/>
            <w:webHidden/>
            <w:color w:val="000000" w:themeColor="text1"/>
            <w:sz w:val="24"/>
            <w:szCs w:val="24"/>
          </w:rPr>
          <w:fldChar w:fldCharType="end"/>
        </w:r>
      </w:hyperlink>
    </w:p>
    <w:p w14:paraId="381DA75B" w14:textId="1E6663F3" w:rsidR="00830F50" w:rsidRPr="00363C69" w:rsidRDefault="00830F50" w:rsidP="00363C69">
      <w:pPr>
        <w:pStyle w:val="TOC2"/>
        <w:tabs>
          <w:tab w:val="right" w:leader="dot" w:pos="9926"/>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804331" w:history="1">
        <w:r w:rsidRPr="00363C69">
          <w:rPr>
            <w:rStyle w:val="Hyperlink"/>
            <w:rFonts w:ascii="Arial" w:hAnsi="Arial" w:cs="Arial"/>
            <w:noProof/>
            <w:color w:val="000000" w:themeColor="text1"/>
            <w:sz w:val="24"/>
            <w:szCs w:val="24"/>
          </w:rPr>
          <w:t>B2. NHSX Strategic Talent Growth Ecosystem</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_Toc242804331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7</w:t>
        </w:r>
        <w:r w:rsidRPr="00363C69">
          <w:rPr>
            <w:rFonts w:ascii="Arial" w:hAnsi="Arial" w:cs="Arial"/>
            <w:noProof/>
            <w:webHidden/>
            <w:color w:val="000000" w:themeColor="text1"/>
            <w:sz w:val="24"/>
            <w:szCs w:val="24"/>
          </w:rPr>
          <w:fldChar w:fldCharType="end"/>
        </w:r>
      </w:hyperlink>
    </w:p>
    <w:p w14:paraId="64AA0F65" w14:textId="1DD4A7B8" w:rsidR="00830F50" w:rsidRPr="00363C69" w:rsidRDefault="00830F50" w:rsidP="00363C69">
      <w:pPr>
        <w:pStyle w:val="TOC2"/>
        <w:tabs>
          <w:tab w:val="right" w:leader="dot" w:pos="9926"/>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804332" w:history="1">
        <w:r w:rsidRPr="00363C69">
          <w:rPr>
            <w:rStyle w:val="Hyperlink"/>
            <w:rFonts w:ascii="Arial" w:hAnsi="Arial" w:cs="Arial"/>
            <w:noProof/>
            <w:color w:val="000000" w:themeColor="text1"/>
            <w:sz w:val="24"/>
            <w:szCs w:val="24"/>
          </w:rPr>
          <w:t>B3. Talent governance and implementation roadmap</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_Toc242804332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8</w:t>
        </w:r>
        <w:r w:rsidRPr="00363C69">
          <w:rPr>
            <w:rFonts w:ascii="Arial" w:hAnsi="Arial" w:cs="Arial"/>
            <w:noProof/>
            <w:webHidden/>
            <w:color w:val="000000" w:themeColor="text1"/>
            <w:sz w:val="24"/>
            <w:szCs w:val="24"/>
          </w:rPr>
          <w:fldChar w:fldCharType="end"/>
        </w:r>
      </w:hyperlink>
    </w:p>
    <w:p w14:paraId="6B1D7E84" w14:textId="7BB91669" w:rsidR="00830F50" w:rsidRPr="00363C69" w:rsidRDefault="00830F50" w:rsidP="00363C69">
      <w:pPr>
        <w:pStyle w:val="TOC1"/>
        <w:spacing w:line="360" w:lineRule="auto"/>
        <w:jc w:val="both"/>
        <w:rPr>
          <w:rFonts w:ascii="Arial" w:hAnsi="Arial" w:cs="Arial"/>
          <w:noProof/>
          <w:color w:val="000000" w:themeColor="text1"/>
          <w:kern w:val="2"/>
          <w:sz w:val="24"/>
          <w:szCs w:val="24"/>
          <w:lang w:val="en-IN" w:eastAsia="en-GB"/>
          <w14:ligatures w14:val="standardContextual"/>
        </w:rPr>
      </w:pPr>
      <w:hyperlink w:anchor="_Toc242804333" w:history="1">
        <w:r w:rsidRPr="00363C69">
          <w:rPr>
            <w:rStyle w:val="Hyperlink"/>
            <w:rFonts w:ascii="Arial" w:hAnsi="Arial" w:cs="Arial"/>
            <w:noProof/>
            <w:color w:val="000000" w:themeColor="text1"/>
            <w:sz w:val="24"/>
            <w:szCs w:val="24"/>
          </w:rPr>
          <w:t>Task C: Reflective Report</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_Toc242804333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8</w:t>
        </w:r>
        <w:r w:rsidRPr="00363C69">
          <w:rPr>
            <w:rFonts w:ascii="Arial" w:hAnsi="Arial" w:cs="Arial"/>
            <w:noProof/>
            <w:webHidden/>
            <w:color w:val="000000" w:themeColor="text1"/>
            <w:sz w:val="24"/>
            <w:szCs w:val="24"/>
          </w:rPr>
          <w:fldChar w:fldCharType="end"/>
        </w:r>
      </w:hyperlink>
    </w:p>
    <w:p w14:paraId="658B6C36" w14:textId="68A75799" w:rsidR="00830F50" w:rsidRPr="00363C69" w:rsidRDefault="00830F50" w:rsidP="00363C69">
      <w:pPr>
        <w:pStyle w:val="TOC2"/>
        <w:tabs>
          <w:tab w:val="right" w:leader="dot" w:pos="9926"/>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804334" w:history="1">
        <w:r w:rsidRPr="00363C69">
          <w:rPr>
            <w:rStyle w:val="Hyperlink"/>
            <w:rFonts w:ascii="Arial" w:hAnsi="Arial" w:cs="Arial"/>
            <w:noProof/>
            <w:color w:val="000000" w:themeColor="text1"/>
            <w:sz w:val="24"/>
            <w:szCs w:val="24"/>
          </w:rPr>
          <w:t>C1. AI as a strategic HRM decision-support tool</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_Toc242804334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8</w:t>
        </w:r>
        <w:r w:rsidRPr="00363C69">
          <w:rPr>
            <w:rFonts w:ascii="Arial" w:hAnsi="Arial" w:cs="Arial"/>
            <w:noProof/>
            <w:webHidden/>
            <w:color w:val="000000" w:themeColor="text1"/>
            <w:sz w:val="24"/>
            <w:szCs w:val="24"/>
          </w:rPr>
          <w:fldChar w:fldCharType="end"/>
        </w:r>
      </w:hyperlink>
    </w:p>
    <w:p w14:paraId="30C340CA" w14:textId="6A3B4D40" w:rsidR="00830F50" w:rsidRPr="00363C69" w:rsidRDefault="00830F50" w:rsidP="00363C69">
      <w:pPr>
        <w:pStyle w:val="TOC2"/>
        <w:tabs>
          <w:tab w:val="right" w:leader="dot" w:pos="9926"/>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804335" w:history="1">
        <w:r w:rsidRPr="00363C69">
          <w:rPr>
            <w:rStyle w:val="Hyperlink"/>
            <w:rFonts w:ascii="Arial" w:hAnsi="Arial" w:cs="Arial"/>
            <w:noProof/>
            <w:color w:val="000000" w:themeColor="text1"/>
            <w:sz w:val="24"/>
            <w:szCs w:val="24"/>
          </w:rPr>
          <w:t>C2. Three examples of AI use and capability reflection</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_Toc242804335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9</w:t>
        </w:r>
        <w:r w:rsidRPr="00363C69">
          <w:rPr>
            <w:rFonts w:ascii="Arial" w:hAnsi="Arial" w:cs="Arial"/>
            <w:noProof/>
            <w:webHidden/>
            <w:color w:val="000000" w:themeColor="text1"/>
            <w:sz w:val="24"/>
            <w:szCs w:val="24"/>
          </w:rPr>
          <w:fldChar w:fldCharType="end"/>
        </w:r>
      </w:hyperlink>
    </w:p>
    <w:p w14:paraId="4D9951CF" w14:textId="708CFF27" w:rsidR="00830F50" w:rsidRPr="00363C69" w:rsidRDefault="00830F50" w:rsidP="00363C69">
      <w:pPr>
        <w:pStyle w:val="TOC2"/>
        <w:tabs>
          <w:tab w:val="right" w:leader="dot" w:pos="9926"/>
        </w:tabs>
        <w:spacing w:line="360" w:lineRule="auto"/>
        <w:jc w:val="both"/>
        <w:rPr>
          <w:rFonts w:ascii="Arial" w:hAnsi="Arial" w:cs="Arial"/>
          <w:noProof/>
          <w:color w:val="000000" w:themeColor="text1"/>
          <w:kern w:val="2"/>
          <w:sz w:val="24"/>
          <w:szCs w:val="24"/>
          <w:lang w:val="en-IN" w:eastAsia="en-GB"/>
          <w14:ligatures w14:val="standardContextual"/>
        </w:rPr>
      </w:pPr>
      <w:hyperlink w:anchor="_Toc242804336" w:history="1">
        <w:r w:rsidRPr="00363C69">
          <w:rPr>
            <w:rStyle w:val="Hyperlink"/>
            <w:rFonts w:ascii="Arial" w:hAnsi="Arial" w:cs="Arial"/>
            <w:noProof/>
            <w:color w:val="000000" w:themeColor="text1"/>
            <w:sz w:val="24"/>
            <w:szCs w:val="24"/>
          </w:rPr>
          <w:t>C3. Personal capability development plan</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_Toc242804336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10</w:t>
        </w:r>
        <w:r w:rsidRPr="00363C69">
          <w:rPr>
            <w:rFonts w:ascii="Arial" w:hAnsi="Arial" w:cs="Arial"/>
            <w:noProof/>
            <w:webHidden/>
            <w:color w:val="000000" w:themeColor="text1"/>
            <w:sz w:val="24"/>
            <w:szCs w:val="24"/>
          </w:rPr>
          <w:fldChar w:fldCharType="end"/>
        </w:r>
      </w:hyperlink>
    </w:p>
    <w:p w14:paraId="0DE45688" w14:textId="75AD02E0" w:rsidR="00830F50" w:rsidRPr="00363C69" w:rsidRDefault="00830F50" w:rsidP="00363C69">
      <w:pPr>
        <w:pStyle w:val="TOC1"/>
        <w:spacing w:line="360" w:lineRule="auto"/>
        <w:jc w:val="both"/>
        <w:rPr>
          <w:rFonts w:ascii="Arial" w:hAnsi="Arial" w:cs="Arial"/>
          <w:noProof/>
          <w:color w:val="000000" w:themeColor="text1"/>
          <w:kern w:val="2"/>
          <w:sz w:val="24"/>
          <w:szCs w:val="24"/>
          <w:lang w:val="en-IN" w:eastAsia="en-GB"/>
          <w14:ligatures w14:val="standardContextual"/>
        </w:rPr>
      </w:pPr>
      <w:hyperlink w:anchor="_Toc242804337" w:history="1">
        <w:r w:rsidRPr="00363C69">
          <w:rPr>
            <w:rStyle w:val="Hyperlink"/>
            <w:rFonts w:ascii="Arial" w:hAnsi="Arial" w:cs="Arial"/>
            <w:noProof/>
            <w:color w:val="000000" w:themeColor="text1"/>
            <w:sz w:val="24"/>
            <w:szCs w:val="24"/>
          </w:rPr>
          <w:t>Conclusion</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_Toc242804337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11</w:t>
        </w:r>
        <w:r w:rsidRPr="00363C69">
          <w:rPr>
            <w:rFonts w:ascii="Arial" w:hAnsi="Arial" w:cs="Arial"/>
            <w:noProof/>
            <w:webHidden/>
            <w:color w:val="000000" w:themeColor="text1"/>
            <w:sz w:val="24"/>
            <w:szCs w:val="24"/>
          </w:rPr>
          <w:fldChar w:fldCharType="end"/>
        </w:r>
      </w:hyperlink>
    </w:p>
    <w:p w14:paraId="0BD85B34" w14:textId="7F6BDAF6" w:rsidR="00830F50" w:rsidRPr="00363C69" w:rsidRDefault="00830F50" w:rsidP="00363C69">
      <w:pPr>
        <w:pStyle w:val="TOC1"/>
        <w:spacing w:line="360" w:lineRule="auto"/>
        <w:jc w:val="both"/>
        <w:rPr>
          <w:rFonts w:ascii="Arial" w:hAnsi="Arial" w:cs="Arial"/>
          <w:noProof/>
          <w:color w:val="000000" w:themeColor="text1"/>
          <w:kern w:val="2"/>
          <w:sz w:val="24"/>
          <w:szCs w:val="24"/>
          <w:lang w:val="en-IN" w:eastAsia="en-GB"/>
          <w14:ligatures w14:val="standardContextual"/>
        </w:rPr>
      </w:pPr>
      <w:hyperlink w:anchor="_Toc242804338" w:history="1">
        <w:r w:rsidRPr="00363C69">
          <w:rPr>
            <w:rStyle w:val="Hyperlink"/>
            <w:rFonts w:ascii="Arial" w:hAnsi="Arial" w:cs="Arial"/>
            <w:noProof/>
            <w:color w:val="000000" w:themeColor="text1"/>
            <w:sz w:val="24"/>
            <w:szCs w:val="24"/>
          </w:rPr>
          <w:t>References</w:t>
        </w:r>
        <w:r w:rsidRPr="00363C69">
          <w:rPr>
            <w:rFonts w:ascii="Arial" w:hAnsi="Arial" w:cs="Arial"/>
            <w:noProof/>
            <w:webHidden/>
            <w:color w:val="000000" w:themeColor="text1"/>
            <w:sz w:val="24"/>
            <w:szCs w:val="24"/>
          </w:rPr>
          <w:tab/>
        </w:r>
        <w:r w:rsidRPr="00363C69">
          <w:rPr>
            <w:rFonts w:ascii="Arial" w:hAnsi="Arial" w:cs="Arial"/>
            <w:noProof/>
            <w:webHidden/>
            <w:color w:val="000000" w:themeColor="text1"/>
            <w:sz w:val="24"/>
            <w:szCs w:val="24"/>
          </w:rPr>
          <w:fldChar w:fldCharType="begin"/>
        </w:r>
        <w:r w:rsidRPr="00363C69">
          <w:rPr>
            <w:rFonts w:ascii="Arial" w:hAnsi="Arial" w:cs="Arial"/>
            <w:noProof/>
            <w:webHidden/>
            <w:color w:val="000000" w:themeColor="text1"/>
            <w:sz w:val="24"/>
            <w:szCs w:val="24"/>
          </w:rPr>
          <w:instrText xml:space="preserve"> PAGEREF _Toc242804338 \h </w:instrText>
        </w:r>
        <w:r w:rsidRPr="00363C69">
          <w:rPr>
            <w:rFonts w:ascii="Arial" w:hAnsi="Arial" w:cs="Arial"/>
            <w:noProof/>
            <w:webHidden/>
            <w:color w:val="000000" w:themeColor="text1"/>
            <w:sz w:val="24"/>
            <w:szCs w:val="24"/>
          </w:rPr>
        </w:r>
        <w:r w:rsidRPr="00363C69">
          <w:rPr>
            <w:rFonts w:ascii="Arial" w:hAnsi="Arial" w:cs="Arial"/>
            <w:noProof/>
            <w:webHidden/>
            <w:color w:val="000000" w:themeColor="text1"/>
            <w:sz w:val="24"/>
            <w:szCs w:val="24"/>
          </w:rPr>
          <w:fldChar w:fldCharType="separate"/>
        </w:r>
        <w:r w:rsidRPr="00363C69">
          <w:rPr>
            <w:rFonts w:ascii="Arial" w:hAnsi="Arial" w:cs="Arial"/>
            <w:noProof/>
            <w:webHidden/>
            <w:color w:val="000000" w:themeColor="text1"/>
            <w:sz w:val="24"/>
            <w:szCs w:val="24"/>
          </w:rPr>
          <w:t>12</w:t>
        </w:r>
        <w:r w:rsidRPr="00363C69">
          <w:rPr>
            <w:rFonts w:ascii="Arial" w:hAnsi="Arial" w:cs="Arial"/>
            <w:noProof/>
            <w:webHidden/>
            <w:color w:val="000000" w:themeColor="text1"/>
            <w:sz w:val="24"/>
            <w:szCs w:val="24"/>
          </w:rPr>
          <w:fldChar w:fldCharType="end"/>
        </w:r>
      </w:hyperlink>
    </w:p>
    <w:p w14:paraId="559E7F71" w14:textId="062F8B6C" w:rsidR="00973B69" w:rsidRPr="00363C69" w:rsidRDefault="00973B69"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fldChar w:fldCharType="end"/>
      </w:r>
    </w:p>
    <w:p w14:paraId="65D89C66" w14:textId="77777777" w:rsidR="00973B69" w:rsidRPr="00363C69" w:rsidRDefault="00973B69" w:rsidP="00363C69">
      <w:pPr>
        <w:spacing w:after="200" w:line="360" w:lineRule="auto"/>
        <w:jc w:val="both"/>
        <w:rPr>
          <w:rFonts w:ascii="Arial" w:eastAsiaTheme="majorEastAsia" w:hAnsi="Arial" w:cs="Arial"/>
          <w:b/>
          <w:bCs/>
          <w:color w:val="000000" w:themeColor="text1"/>
          <w:sz w:val="24"/>
          <w:szCs w:val="24"/>
        </w:rPr>
      </w:pPr>
      <w:r w:rsidRPr="00363C69">
        <w:rPr>
          <w:rFonts w:ascii="Arial" w:hAnsi="Arial" w:cs="Arial"/>
          <w:color w:val="000000" w:themeColor="text1"/>
          <w:sz w:val="24"/>
          <w:szCs w:val="24"/>
        </w:rPr>
        <w:br w:type="page"/>
      </w:r>
    </w:p>
    <w:p w14:paraId="4AB81847" w14:textId="6E9BB0C0" w:rsidR="00903DF7" w:rsidRPr="00363C69" w:rsidRDefault="00973B69" w:rsidP="00363C69">
      <w:pPr>
        <w:pStyle w:val="Heading1"/>
        <w:spacing w:line="360" w:lineRule="auto"/>
        <w:jc w:val="both"/>
        <w:rPr>
          <w:rFonts w:ascii="Arial" w:hAnsi="Arial" w:cs="Arial"/>
          <w:color w:val="000000" w:themeColor="text1"/>
          <w:sz w:val="24"/>
          <w:szCs w:val="24"/>
        </w:rPr>
      </w:pPr>
      <w:bookmarkStart w:id="0" w:name="_Toc242804325"/>
      <w:r w:rsidRPr="00363C69">
        <w:rPr>
          <w:rFonts w:ascii="Arial" w:hAnsi="Arial" w:cs="Arial"/>
          <w:color w:val="000000" w:themeColor="text1"/>
          <w:sz w:val="24"/>
          <w:szCs w:val="24"/>
        </w:rPr>
        <w:lastRenderedPageBreak/>
        <w:t>Introduction</w:t>
      </w:r>
      <w:bookmarkEnd w:id="0"/>
      <w:r w:rsidRPr="00363C69">
        <w:rPr>
          <w:rFonts w:ascii="Arial" w:hAnsi="Arial" w:cs="Arial"/>
          <w:color w:val="000000" w:themeColor="text1"/>
          <w:sz w:val="24"/>
          <w:szCs w:val="24"/>
        </w:rPr>
        <w:t xml:space="preserve"> </w:t>
      </w:r>
    </w:p>
    <w:p w14:paraId="47FDB0DE" w14:textId="408DF9C3" w:rsidR="009F71D4" w:rsidRPr="00363C69" w:rsidRDefault="006A36AE" w:rsidP="00363C69">
      <w:pPr>
        <w:pStyle w:val="NormalWeb"/>
        <w:spacing w:line="360" w:lineRule="auto"/>
        <w:jc w:val="both"/>
        <w:rPr>
          <w:rFonts w:ascii="Arial" w:hAnsi="Arial" w:cs="Arial"/>
          <w:color w:val="000000" w:themeColor="text1"/>
        </w:rPr>
      </w:pPr>
      <w:r w:rsidRPr="00363C69">
        <w:rPr>
          <w:rFonts w:ascii="Arial" w:hAnsi="Arial" w:cs="Arial"/>
          <w:color w:val="000000" w:themeColor="text1"/>
        </w:rPr>
        <w:t>In this report, I am going to discuss how NexSpace Health Systems NHSX, a healthcare technology organization in the UK, India and the UAE can improve its working methods and create an environment where employees can grow their talents. The organization experiences issues related to decision-making, experimenting, career growth and well-being of employees as it continues to expand. This report is going to first discuss traditional ways of working and the modern ones such as flexible work methods, high-performance work methods and experimentation among others. Then it will be followed by how NHSX can help the employees develop their talents by learning, participation and management techniques. Lastly, I am going to talk about the use of AI in human resources and how I can grow professionally.</w:t>
      </w:r>
      <w:r w:rsidR="00363C69" w:rsidRPr="00363C69">
        <w:rPr>
          <w:rFonts w:ascii="Arial" w:hAnsi="Arial" w:cs="Arial"/>
          <w:color w:val="000000" w:themeColor="text1"/>
        </w:rPr>
        <w:t xml:space="preserve"> Also, this report will look at how such practices can be adopted in order to ensure accountability, quality of services and wellbeing of employees. The report will particularly look at the connection between staff development and the success of organizations. Relevant theories on HRM will be used to analyze the pros and cons of these approaches. Lastly, this report will look at how NHSX can evaluate success</w:t>
      </w:r>
      <w:r w:rsidR="004E0AAB" w:rsidRPr="00363C69">
        <w:rPr>
          <w:rFonts w:ascii="Arial" w:hAnsi="Arial" w:cs="Arial"/>
          <w:color w:val="000000" w:themeColor="text1"/>
        </w:rPr>
        <w:t>.</w:t>
      </w:r>
    </w:p>
    <w:p w14:paraId="6A7702CC" w14:textId="77777777" w:rsidR="009F71D4" w:rsidRPr="00363C69" w:rsidRDefault="009F71D4" w:rsidP="00363C69">
      <w:pPr>
        <w:pStyle w:val="Heading1"/>
        <w:spacing w:line="360" w:lineRule="auto"/>
        <w:jc w:val="both"/>
        <w:rPr>
          <w:rFonts w:ascii="Arial" w:hAnsi="Arial" w:cs="Arial"/>
          <w:color w:val="000000" w:themeColor="text1"/>
          <w:sz w:val="24"/>
          <w:szCs w:val="24"/>
        </w:rPr>
      </w:pPr>
      <w:bookmarkStart w:id="1" w:name="_Toc242804326"/>
      <w:r w:rsidRPr="00363C69">
        <w:rPr>
          <w:rFonts w:ascii="Arial" w:hAnsi="Arial" w:cs="Arial"/>
          <w:color w:val="000000" w:themeColor="text1"/>
          <w:sz w:val="24"/>
          <w:szCs w:val="24"/>
        </w:rPr>
        <w:t>Task A: Designing Innovative Working Practices</w:t>
      </w:r>
      <w:bookmarkEnd w:id="1"/>
    </w:p>
    <w:p w14:paraId="72B33741" w14:textId="77777777" w:rsidR="009F71D4" w:rsidRPr="00363C69" w:rsidRDefault="009F71D4" w:rsidP="00363C69">
      <w:pPr>
        <w:pStyle w:val="Heading2"/>
        <w:spacing w:line="360" w:lineRule="auto"/>
        <w:jc w:val="both"/>
        <w:rPr>
          <w:rFonts w:ascii="Arial" w:hAnsi="Arial" w:cs="Arial"/>
          <w:color w:val="000000" w:themeColor="text1"/>
          <w:szCs w:val="24"/>
        </w:rPr>
      </w:pPr>
      <w:bookmarkStart w:id="2" w:name="_Toc242804327"/>
      <w:r w:rsidRPr="00363C69">
        <w:rPr>
          <w:rFonts w:ascii="Arial" w:hAnsi="Arial" w:cs="Arial"/>
          <w:color w:val="000000" w:themeColor="text1"/>
          <w:szCs w:val="24"/>
        </w:rPr>
        <w:t>A1. Traditional vs current working methods</w:t>
      </w:r>
      <w:bookmarkEnd w:id="2"/>
    </w:p>
    <w:p w14:paraId="6B9EBB76" w14:textId="70D2EE1C" w:rsidR="00903DF7" w:rsidRPr="00363C69" w:rsidRDefault="0084665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In a traditional setting, hierarchy, well defined tasks, office attendance, and senior management decision-making are all crucial components of working practices. In the field of healthcare technology, where patient safety and data privacy must be maintained, traditional working techniques can result in good accountability and consistency</w:t>
      </w:r>
      <w:r w:rsidR="006A36AE" w:rsidRPr="00363C69">
        <w:rPr>
          <w:rFonts w:ascii="Arial" w:hAnsi="Arial" w:cs="Arial"/>
          <w:color w:val="000000" w:themeColor="text1"/>
          <w:sz w:val="24"/>
          <w:szCs w:val="24"/>
        </w:rPr>
        <w:t>. Nevertheless, too many approvals and departments’ isolation could slow down decision-making and cooperation processes. In modern working settings, employee engagement, flexible working conditions, joint responsibilities, ongoing learning and performance based on the achievement of desired results are prioritized. In NHSX, it would mean giving software developers, doctors, data experts and other employees an opportunity to collaborate around common goals instead of working separately in different departments</w:t>
      </w:r>
      <w:r w:rsidR="004C7863" w:rsidRPr="00363C69">
        <w:rPr>
          <w:rFonts w:ascii="Arial" w:hAnsi="Arial" w:cs="Arial"/>
          <w:color w:val="000000" w:themeColor="text1"/>
          <w:sz w:val="24"/>
          <w:szCs w:val="24"/>
        </w:rPr>
        <w:t xml:space="preserve"> (Habib, 2026).</w:t>
      </w:r>
      <w:r w:rsidRPr="00363C69">
        <w:rPr>
          <w:rFonts w:ascii="Arial" w:hAnsi="Arial" w:cs="Arial"/>
          <w:color w:val="000000" w:themeColor="text1"/>
          <w:sz w:val="24"/>
          <w:szCs w:val="24"/>
        </w:rPr>
        <w:t xml:space="preserve"> By coordinating hiring, training, performance evaluation, information, and incentive systems with corporate objectives, the High-Performance Work Systems (HPWS) aid in the aforementioned transition. This is made possible by the high involvement system, which ensures that employees have greater access to information and possibilities for decision-</w:t>
      </w:r>
      <w:r w:rsidRPr="00363C69">
        <w:rPr>
          <w:rFonts w:ascii="Arial" w:hAnsi="Arial" w:cs="Arial"/>
          <w:color w:val="000000" w:themeColor="text1"/>
          <w:sz w:val="24"/>
          <w:szCs w:val="24"/>
        </w:rPr>
        <w:lastRenderedPageBreak/>
        <w:t>making</w:t>
      </w:r>
      <w:r w:rsidR="006A36AE" w:rsidRPr="00363C69">
        <w:rPr>
          <w:rFonts w:ascii="Arial" w:hAnsi="Arial" w:cs="Arial"/>
          <w:color w:val="000000" w:themeColor="text1"/>
          <w:sz w:val="24"/>
          <w:szCs w:val="24"/>
        </w:rPr>
        <w:t xml:space="preserve">. The main difference between the two is that traditional practices emphasize control and processes while contemporary practices stress accountability along with worker competence </w:t>
      </w:r>
      <w:r w:rsidR="009F71D4" w:rsidRPr="00363C69">
        <w:rPr>
          <w:rFonts w:ascii="Arial" w:hAnsi="Arial" w:cs="Arial"/>
          <w:color w:val="000000" w:themeColor="text1"/>
          <w:sz w:val="24"/>
          <w:szCs w:val="24"/>
        </w:rPr>
        <w:t>(</w:t>
      </w:r>
      <w:r w:rsidR="00973B69" w:rsidRPr="00363C69">
        <w:rPr>
          <w:rFonts w:ascii="Arial" w:hAnsi="Arial" w:cs="Arial"/>
          <w:color w:val="000000" w:themeColor="text1"/>
          <w:sz w:val="24"/>
          <w:szCs w:val="24"/>
        </w:rPr>
        <w:t>Sinker et al., 2024</w:t>
      </w:r>
      <w:r w:rsidR="009F71D4" w:rsidRPr="00363C69">
        <w:rPr>
          <w:rFonts w:ascii="Arial" w:hAnsi="Arial" w:cs="Arial"/>
          <w:color w:val="000000" w:themeColor="text1"/>
          <w:sz w:val="24"/>
          <w:szCs w:val="24"/>
        </w:rPr>
        <w:t xml:space="preserve">). </w:t>
      </w:r>
    </w:p>
    <w:p w14:paraId="5873F614" w14:textId="551E0772" w:rsidR="00973B69" w:rsidRPr="00363C69" w:rsidRDefault="00973B69"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 xml:space="preserve">Table 1: Dimension and its traditional model along with contemporary NHSX model </w:t>
      </w:r>
    </w:p>
    <w:tbl>
      <w:tblPr>
        <w:tblStyle w:val="TableGrid"/>
        <w:tblW w:w="0" w:type="auto"/>
        <w:jc w:val="center"/>
        <w:tblLook w:val="04A0" w:firstRow="1" w:lastRow="0" w:firstColumn="1" w:lastColumn="0" w:noHBand="0" w:noVBand="1"/>
      </w:tblPr>
      <w:tblGrid>
        <w:gridCol w:w="2484"/>
        <w:gridCol w:w="2484"/>
        <w:gridCol w:w="2484"/>
        <w:gridCol w:w="2484"/>
      </w:tblGrid>
      <w:tr w:rsidR="00363C69" w:rsidRPr="00363C69" w14:paraId="5E3B18F9" w14:textId="77777777">
        <w:trPr>
          <w:jc w:val="center"/>
        </w:trPr>
        <w:tc>
          <w:tcPr>
            <w:tcW w:w="2484" w:type="dxa"/>
            <w:shd w:val="clear" w:color="auto" w:fill="D9EAF7"/>
          </w:tcPr>
          <w:p w14:paraId="438A838C"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Dimension</w:t>
            </w:r>
          </w:p>
        </w:tc>
        <w:tc>
          <w:tcPr>
            <w:tcW w:w="2484" w:type="dxa"/>
            <w:shd w:val="clear" w:color="auto" w:fill="D9EAF7"/>
          </w:tcPr>
          <w:p w14:paraId="33E55811"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Traditional model</w:t>
            </w:r>
          </w:p>
        </w:tc>
        <w:tc>
          <w:tcPr>
            <w:tcW w:w="2484" w:type="dxa"/>
            <w:shd w:val="clear" w:color="auto" w:fill="D9EAF7"/>
          </w:tcPr>
          <w:p w14:paraId="00706596"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Contemporary NHSX model</w:t>
            </w:r>
          </w:p>
        </w:tc>
        <w:tc>
          <w:tcPr>
            <w:tcW w:w="2484" w:type="dxa"/>
            <w:shd w:val="clear" w:color="auto" w:fill="D9EAF7"/>
          </w:tcPr>
          <w:p w14:paraId="72F5E40F"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Critical implication</w:t>
            </w:r>
          </w:p>
        </w:tc>
      </w:tr>
      <w:tr w:rsidR="00363C69" w:rsidRPr="00363C69" w14:paraId="501EC7AA" w14:textId="77777777">
        <w:trPr>
          <w:jc w:val="center"/>
        </w:trPr>
        <w:tc>
          <w:tcPr>
            <w:tcW w:w="2484" w:type="dxa"/>
            <w:vAlign w:val="center"/>
          </w:tcPr>
          <w:p w14:paraId="1C39E1B3"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Decision-making</w:t>
            </w:r>
          </w:p>
        </w:tc>
        <w:tc>
          <w:tcPr>
            <w:tcW w:w="2484" w:type="dxa"/>
            <w:vAlign w:val="center"/>
          </w:tcPr>
          <w:p w14:paraId="73945050"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Hierarchical approval</w:t>
            </w:r>
          </w:p>
        </w:tc>
        <w:tc>
          <w:tcPr>
            <w:tcW w:w="2484" w:type="dxa"/>
            <w:vAlign w:val="center"/>
          </w:tcPr>
          <w:p w14:paraId="1BDA076C"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Delegated, outcome-based authority</w:t>
            </w:r>
          </w:p>
        </w:tc>
        <w:tc>
          <w:tcPr>
            <w:tcW w:w="2484" w:type="dxa"/>
            <w:vAlign w:val="center"/>
          </w:tcPr>
          <w:p w14:paraId="165B858A"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Faster decisions, with clinical-risk escalation retained</w:t>
            </w:r>
          </w:p>
        </w:tc>
      </w:tr>
      <w:tr w:rsidR="00363C69" w:rsidRPr="00363C69" w14:paraId="0F395024" w14:textId="77777777">
        <w:trPr>
          <w:jc w:val="center"/>
        </w:trPr>
        <w:tc>
          <w:tcPr>
            <w:tcW w:w="2484" w:type="dxa"/>
            <w:vAlign w:val="center"/>
          </w:tcPr>
          <w:p w14:paraId="47DE9801"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Team structure</w:t>
            </w:r>
          </w:p>
        </w:tc>
        <w:tc>
          <w:tcPr>
            <w:tcW w:w="2484" w:type="dxa"/>
            <w:vAlign w:val="center"/>
          </w:tcPr>
          <w:p w14:paraId="417A30A3"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Functional silos</w:t>
            </w:r>
          </w:p>
        </w:tc>
        <w:tc>
          <w:tcPr>
            <w:tcW w:w="2484" w:type="dxa"/>
            <w:vAlign w:val="center"/>
          </w:tcPr>
          <w:p w14:paraId="07A8A1A1"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Cross-functional product squads</w:t>
            </w:r>
          </w:p>
        </w:tc>
        <w:tc>
          <w:tcPr>
            <w:tcW w:w="2484" w:type="dxa"/>
            <w:vAlign w:val="center"/>
          </w:tcPr>
          <w:p w14:paraId="6B4D4ABE"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Improves knowledge integration and ownership</w:t>
            </w:r>
          </w:p>
        </w:tc>
      </w:tr>
      <w:tr w:rsidR="00363C69" w:rsidRPr="00363C69" w14:paraId="7B622AEA" w14:textId="77777777">
        <w:trPr>
          <w:jc w:val="center"/>
        </w:trPr>
        <w:tc>
          <w:tcPr>
            <w:tcW w:w="2484" w:type="dxa"/>
            <w:vAlign w:val="center"/>
          </w:tcPr>
          <w:p w14:paraId="24C424F6"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Work location</w:t>
            </w:r>
          </w:p>
        </w:tc>
        <w:tc>
          <w:tcPr>
            <w:tcW w:w="2484" w:type="dxa"/>
            <w:vAlign w:val="center"/>
          </w:tcPr>
          <w:p w14:paraId="13CAA778"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Predominantly office-led</w:t>
            </w:r>
          </w:p>
        </w:tc>
        <w:tc>
          <w:tcPr>
            <w:tcW w:w="2484" w:type="dxa"/>
            <w:vAlign w:val="center"/>
          </w:tcPr>
          <w:p w14:paraId="60875F9D"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Hybrid by task and team need</w:t>
            </w:r>
          </w:p>
        </w:tc>
        <w:tc>
          <w:tcPr>
            <w:tcW w:w="2484" w:type="dxa"/>
            <w:vAlign w:val="center"/>
          </w:tcPr>
          <w:p w14:paraId="446BECA4"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Flexibility without abandoning collaboration</w:t>
            </w:r>
          </w:p>
        </w:tc>
      </w:tr>
      <w:tr w:rsidR="00363C69" w:rsidRPr="00363C69" w14:paraId="296943A8" w14:textId="77777777">
        <w:trPr>
          <w:jc w:val="center"/>
        </w:trPr>
        <w:tc>
          <w:tcPr>
            <w:tcW w:w="2484" w:type="dxa"/>
            <w:vAlign w:val="center"/>
          </w:tcPr>
          <w:p w14:paraId="00153CF6"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Performance</w:t>
            </w:r>
          </w:p>
        </w:tc>
        <w:tc>
          <w:tcPr>
            <w:tcW w:w="2484" w:type="dxa"/>
            <w:vAlign w:val="center"/>
          </w:tcPr>
          <w:p w14:paraId="49D056B3"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Activity/manager evaluation</w:t>
            </w:r>
          </w:p>
        </w:tc>
        <w:tc>
          <w:tcPr>
            <w:tcW w:w="2484" w:type="dxa"/>
            <w:vAlign w:val="center"/>
          </w:tcPr>
          <w:p w14:paraId="589AE6BF"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Outcomes, learning and team contribution</w:t>
            </w:r>
          </w:p>
        </w:tc>
        <w:tc>
          <w:tcPr>
            <w:tcW w:w="2484" w:type="dxa"/>
            <w:vAlign w:val="center"/>
          </w:tcPr>
          <w:p w14:paraId="49930D1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Reduces presenteeism and encourages innovation</w:t>
            </w:r>
          </w:p>
        </w:tc>
      </w:tr>
      <w:tr w:rsidR="00363C69" w:rsidRPr="00363C69" w14:paraId="4A8268F5" w14:textId="77777777">
        <w:trPr>
          <w:jc w:val="center"/>
        </w:trPr>
        <w:tc>
          <w:tcPr>
            <w:tcW w:w="2484" w:type="dxa"/>
            <w:vAlign w:val="center"/>
          </w:tcPr>
          <w:p w14:paraId="46554EE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Learning</w:t>
            </w:r>
          </w:p>
        </w:tc>
        <w:tc>
          <w:tcPr>
            <w:tcW w:w="2484" w:type="dxa"/>
            <w:vAlign w:val="center"/>
          </w:tcPr>
          <w:p w14:paraId="51C01F8C"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Periodic courses</w:t>
            </w:r>
          </w:p>
        </w:tc>
        <w:tc>
          <w:tcPr>
            <w:tcW w:w="2484" w:type="dxa"/>
            <w:vAlign w:val="center"/>
          </w:tcPr>
          <w:p w14:paraId="528729D5"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Continuous learning in workflow</w:t>
            </w:r>
          </w:p>
        </w:tc>
        <w:tc>
          <w:tcPr>
            <w:tcW w:w="2484" w:type="dxa"/>
            <w:vAlign w:val="center"/>
          </w:tcPr>
          <w:p w14:paraId="265CA067"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Builds AI and digital capability continuously</w:t>
            </w:r>
          </w:p>
        </w:tc>
      </w:tr>
      <w:tr w:rsidR="00363C69" w:rsidRPr="00363C69" w14:paraId="48A6D38E" w14:textId="77777777">
        <w:trPr>
          <w:jc w:val="center"/>
        </w:trPr>
        <w:tc>
          <w:tcPr>
            <w:tcW w:w="2484" w:type="dxa"/>
            <w:vAlign w:val="center"/>
          </w:tcPr>
          <w:p w14:paraId="08015B2B"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Innovation</w:t>
            </w:r>
          </w:p>
        </w:tc>
        <w:tc>
          <w:tcPr>
            <w:tcW w:w="2484" w:type="dxa"/>
            <w:vAlign w:val="center"/>
          </w:tcPr>
          <w:p w14:paraId="3713442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Management-led</w:t>
            </w:r>
          </w:p>
        </w:tc>
        <w:tc>
          <w:tcPr>
            <w:tcW w:w="2484" w:type="dxa"/>
            <w:vAlign w:val="center"/>
          </w:tcPr>
          <w:p w14:paraId="79299913"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Employee experimentation with guardrails</w:t>
            </w:r>
          </w:p>
        </w:tc>
        <w:tc>
          <w:tcPr>
            <w:tcW w:w="2484" w:type="dxa"/>
            <w:vAlign w:val="center"/>
          </w:tcPr>
          <w:p w14:paraId="4BE26E1B"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Increases ideas while protecting patient safety</w:t>
            </w:r>
          </w:p>
        </w:tc>
      </w:tr>
    </w:tbl>
    <w:p w14:paraId="430ECEF2" w14:textId="21B3831C" w:rsidR="00903DF7" w:rsidRPr="00363C69" w:rsidRDefault="004E0AAB"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There is need to integrate structure management and involvement of workers for the shift from old to new ways of working. The traditional ways involve clear job roles and procedures while new methods promote teamwork, joint decision making and improvements. This process could assist in addressing the problems of delays resulting from too many approvals and departmental separations at NHSX.</w:t>
      </w:r>
      <w:r w:rsidR="0084665A" w:rsidRPr="00363C69">
        <w:rPr>
          <w:rFonts w:ascii="Arial" w:hAnsi="Arial" w:cs="Arial"/>
          <w:color w:val="000000" w:themeColor="text1"/>
          <w:sz w:val="24"/>
          <w:szCs w:val="24"/>
        </w:rPr>
        <w:t xml:space="preserve"> High-performance working practices, which link </w:t>
      </w:r>
      <w:r w:rsidR="0084665A" w:rsidRPr="00363C69">
        <w:rPr>
          <w:rFonts w:ascii="Arial" w:hAnsi="Arial" w:cs="Arial"/>
          <w:color w:val="000000" w:themeColor="text1"/>
          <w:sz w:val="24"/>
          <w:szCs w:val="24"/>
        </w:rPr>
        <w:lastRenderedPageBreak/>
        <w:t xml:space="preserve">employees' skills, performance evaluation, and acknowledgment to company goals, might be helpful in this process. </w:t>
      </w:r>
    </w:p>
    <w:p w14:paraId="2A25E405" w14:textId="77777777" w:rsidR="00903DF7" w:rsidRPr="00363C69" w:rsidRDefault="00285C3A" w:rsidP="00363C69">
      <w:pPr>
        <w:pStyle w:val="Heading2"/>
        <w:spacing w:line="360" w:lineRule="auto"/>
        <w:jc w:val="both"/>
        <w:rPr>
          <w:rFonts w:ascii="Arial" w:hAnsi="Arial" w:cs="Arial"/>
          <w:color w:val="000000" w:themeColor="text1"/>
          <w:szCs w:val="24"/>
        </w:rPr>
      </w:pPr>
      <w:bookmarkStart w:id="3" w:name="_Toc242804328"/>
      <w:r w:rsidRPr="00363C69">
        <w:rPr>
          <w:rFonts w:ascii="Arial" w:hAnsi="Arial" w:cs="Arial"/>
          <w:color w:val="000000" w:themeColor="text1"/>
          <w:szCs w:val="24"/>
        </w:rPr>
        <w:t>A2. Recommended integrated working-practice framework</w:t>
      </w:r>
      <w:bookmarkEnd w:id="3"/>
    </w:p>
    <w:p w14:paraId="18991C3C" w14:textId="77777777" w:rsidR="00830F50" w:rsidRPr="00363C69" w:rsidRDefault="00830F50"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1. Flexible Working Arrangements</w:t>
      </w:r>
    </w:p>
    <w:p w14:paraId="44DCD93A" w14:textId="04F12BA4" w:rsidR="00830F50" w:rsidRPr="00363C69" w:rsidRDefault="00363C69"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It is recommended that NHSX embraces flexible working conditions that give room for the workers to schedule their time based on personal, team, and work considerations. Employees at NHSX will be able to perform work that requires concentration while working as a team reviewing products, scheduling meetings, and sorting out any problem during such meetings. Communication protocols and digitization of documents will help the employees at NHSX to coordinate with each other in the UK, India, and UAE (Bristol-Alagbariya et al., 2024)</w:t>
      </w:r>
      <w:r w:rsidR="00830F50" w:rsidRPr="00363C69">
        <w:rPr>
          <w:rFonts w:ascii="Arial" w:hAnsi="Arial" w:cs="Arial"/>
          <w:color w:val="000000" w:themeColor="text1"/>
          <w:sz w:val="24"/>
          <w:szCs w:val="24"/>
        </w:rPr>
        <w:t>.</w:t>
      </w:r>
    </w:p>
    <w:p w14:paraId="67865F15" w14:textId="77777777" w:rsidR="00830F50" w:rsidRPr="00363C69" w:rsidRDefault="00830F50"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2. High-Performance Working Practices</w:t>
      </w:r>
    </w:p>
    <w:p w14:paraId="28FAA0BE" w14:textId="6344AFAD" w:rsidR="00830F50" w:rsidRPr="00363C69" w:rsidRDefault="0084665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By coordinating hiring, training, staff development, feedback, and recognition with company objectives, NHSX may guaranty the adoption of high-performance working methods. Employees at NHSX must get opportunities for skill development, feedback, and clear performance goals. Indicators including job quality, customer outcomes, teamwork, and dependable delivery must be used to assess employee performance. Supervisors must give staff members the resources and accolades they need</w:t>
      </w:r>
      <w:r w:rsidR="00830F50" w:rsidRPr="00363C69">
        <w:rPr>
          <w:rFonts w:ascii="Arial" w:hAnsi="Arial" w:cs="Arial"/>
          <w:color w:val="000000" w:themeColor="text1"/>
          <w:sz w:val="24"/>
          <w:szCs w:val="24"/>
        </w:rPr>
        <w:t xml:space="preserve">. These practices will increase motivation and performance of employees (Yijia et al., 2025). </w:t>
      </w:r>
    </w:p>
    <w:p w14:paraId="31F55305" w14:textId="77777777" w:rsidR="00830F50" w:rsidRPr="00363C69" w:rsidRDefault="00830F50"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3. Experimentation by Employees and Continuous Improvement</w:t>
      </w:r>
    </w:p>
    <w:p w14:paraId="365619DD" w14:textId="3323E5D5" w:rsidR="00830F50" w:rsidRPr="00363C69" w:rsidRDefault="00830F50"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 xml:space="preserve">NHSX should set up a process for experimentation which will allow its employees to try out new ideas and develop existing work processes. Every experiment will have a goal, time limit, criteria for success and necessary clinical safety, data protection and cyber security tests. Feedback will be collected, analyzed and used to determine if it is necessary to develop, grow or stop the project altogether. NHSX should develop an experimentation pathway. Experiments can be conducted in the small, with time-boxed experiments and well-defined hypotheses, measures and risk limits for each squad. </w:t>
      </w:r>
    </w:p>
    <w:p w14:paraId="14438522" w14:textId="74BF3921" w:rsidR="00973B69" w:rsidRPr="00363C69" w:rsidRDefault="00973B69"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 xml:space="preserve">Table 2: Practice and its design at NHSX along with KPIs </w:t>
      </w:r>
    </w:p>
    <w:tbl>
      <w:tblPr>
        <w:tblStyle w:val="TableGrid"/>
        <w:tblW w:w="0" w:type="auto"/>
        <w:tblLook w:val="04A0" w:firstRow="1" w:lastRow="0" w:firstColumn="1" w:lastColumn="0" w:noHBand="0" w:noVBand="1"/>
      </w:tblPr>
      <w:tblGrid>
        <w:gridCol w:w="2361"/>
        <w:gridCol w:w="4556"/>
        <w:gridCol w:w="3235"/>
      </w:tblGrid>
      <w:tr w:rsidR="00363C69" w:rsidRPr="00363C69" w14:paraId="7D735A81" w14:textId="77777777" w:rsidTr="00830F50">
        <w:tc>
          <w:tcPr>
            <w:tcW w:w="0" w:type="auto"/>
            <w:hideMark/>
          </w:tcPr>
          <w:p w14:paraId="1C014320" w14:textId="77777777" w:rsidR="00830F50" w:rsidRPr="00363C69" w:rsidRDefault="00830F50" w:rsidP="00363C69">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63C69">
              <w:rPr>
                <w:rFonts w:ascii="Arial" w:eastAsia="Times New Roman" w:hAnsi="Arial" w:cs="Arial"/>
                <w:b/>
                <w:bCs/>
                <w:color w:val="000000" w:themeColor="text1"/>
                <w:sz w:val="24"/>
                <w:szCs w:val="24"/>
                <w:lang w:val="en-IN" w:eastAsia="en-GB"/>
              </w:rPr>
              <w:t>Working practice</w:t>
            </w:r>
          </w:p>
        </w:tc>
        <w:tc>
          <w:tcPr>
            <w:tcW w:w="0" w:type="auto"/>
            <w:hideMark/>
          </w:tcPr>
          <w:p w14:paraId="7778DC2B" w14:textId="77777777" w:rsidR="00830F50" w:rsidRPr="00363C69" w:rsidRDefault="00830F50" w:rsidP="00363C69">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63C69">
              <w:rPr>
                <w:rFonts w:ascii="Arial" w:eastAsia="Times New Roman" w:hAnsi="Arial" w:cs="Arial"/>
                <w:b/>
                <w:bCs/>
                <w:color w:val="000000" w:themeColor="text1"/>
                <w:sz w:val="24"/>
                <w:szCs w:val="24"/>
                <w:lang w:val="en-IN" w:eastAsia="en-GB"/>
              </w:rPr>
              <w:t>Implementation at NHSX</w:t>
            </w:r>
          </w:p>
        </w:tc>
        <w:tc>
          <w:tcPr>
            <w:tcW w:w="0" w:type="auto"/>
            <w:hideMark/>
          </w:tcPr>
          <w:p w14:paraId="72A34AA4" w14:textId="77777777" w:rsidR="00830F50" w:rsidRPr="00363C69" w:rsidRDefault="00830F50" w:rsidP="00363C69">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63C69">
              <w:rPr>
                <w:rFonts w:ascii="Arial" w:eastAsia="Times New Roman" w:hAnsi="Arial" w:cs="Arial"/>
                <w:b/>
                <w:bCs/>
                <w:color w:val="000000" w:themeColor="text1"/>
                <w:sz w:val="24"/>
                <w:szCs w:val="24"/>
                <w:lang w:val="en-IN" w:eastAsia="en-GB"/>
              </w:rPr>
              <w:t>Suggested KPI</w:t>
            </w:r>
          </w:p>
        </w:tc>
      </w:tr>
      <w:tr w:rsidR="00363C69" w:rsidRPr="00363C69" w14:paraId="61DB6EC2" w14:textId="77777777" w:rsidTr="00830F50">
        <w:tc>
          <w:tcPr>
            <w:tcW w:w="0" w:type="auto"/>
            <w:hideMark/>
          </w:tcPr>
          <w:p w14:paraId="4D63FA7A"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Flexible working</w:t>
            </w:r>
          </w:p>
        </w:tc>
        <w:tc>
          <w:tcPr>
            <w:tcW w:w="0" w:type="auto"/>
            <w:hideMark/>
          </w:tcPr>
          <w:p w14:paraId="0F8CFEA7"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 xml:space="preserve">Agreed working arrangements, communication standards and team </w:t>
            </w:r>
            <w:r w:rsidRPr="00363C69">
              <w:rPr>
                <w:rFonts w:ascii="Arial" w:eastAsia="Times New Roman" w:hAnsi="Arial" w:cs="Arial"/>
                <w:color w:val="000000" w:themeColor="text1"/>
                <w:sz w:val="24"/>
                <w:szCs w:val="24"/>
                <w:lang w:val="en-IN" w:eastAsia="en-GB"/>
              </w:rPr>
              <w:lastRenderedPageBreak/>
              <w:t>coordination</w:t>
            </w:r>
          </w:p>
        </w:tc>
        <w:tc>
          <w:tcPr>
            <w:tcW w:w="0" w:type="auto"/>
            <w:hideMark/>
          </w:tcPr>
          <w:p w14:paraId="2F120876"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lastRenderedPageBreak/>
              <w:t>Employee satisfaction and delivery reliability</w:t>
            </w:r>
          </w:p>
        </w:tc>
      </w:tr>
      <w:tr w:rsidR="00363C69" w:rsidRPr="00363C69" w14:paraId="0B9E45E1" w14:textId="77777777" w:rsidTr="00830F50">
        <w:tc>
          <w:tcPr>
            <w:tcW w:w="0" w:type="auto"/>
            <w:hideMark/>
          </w:tcPr>
          <w:p w14:paraId="3A34E4CA"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High-performance working</w:t>
            </w:r>
          </w:p>
        </w:tc>
        <w:tc>
          <w:tcPr>
            <w:tcW w:w="0" w:type="auto"/>
            <w:hideMark/>
          </w:tcPr>
          <w:p w14:paraId="1A39EAD5"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Clear objectives, feedback, skills development and recognition</w:t>
            </w:r>
          </w:p>
        </w:tc>
        <w:tc>
          <w:tcPr>
            <w:tcW w:w="0" w:type="auto"/>
            <w:hideMark/>
          </w:tcPr>
          <w:p w14:paraId="3AF2B1DD"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Work quality and productivity</w:t>
            </w:r>
          </w:p>
        </w:tc>
      </w:tr>
      <w:tr w:rsidR="00363C69" w:rsidRPr="00363C69" w14:paraId="40A30783" w14:textId="77777777" w:rsidTr="00830F50">
        <w:tc>
          <w:tcPr>
            <w:tcW w:w="0" w:type="auto"/>
            <w:hideMark/>
          </w:tcPr>
          <w:p w14:paraId="51EB6D01"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Experimentation</w:t>
            </w:r>
          </w:p>
        </w:tc>
        <w:tc>
          <w:tcPr>
            <w:tcW w:w="0" w:type="auto"/>
            <w:hideMark/>
          </w:tcPr>
          <w:p w14:paraId="4FC195E8"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Time-limited trials with documented results and safety checks</w:t>
            </w:r>
          </w:p>
        </w:tc>
        <w:tc>
          <w:tcPr>
            <w:tcW w:w="0" w:type="auto"/>
            <w:hideMark/>
          </w:tcPr>
          <w:p w14:paraId="50A0B741"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Experiments completed and improvements adopted</w:t>
            </w:r>
          </w:p>
        </w:tc>
      </w:tr>
    </w:tbl>
    <w:p w14:paraId="106E9A86" w14:textId="77777777" w:rsidR="00903DF7" w:rsidRPr="00363C69" w:rsidRDefault="00285C3A" w:rsidP="00363C69">
      <w:pPr>
        <w:pStyle w:val="Heading1"/>
        <w:spacing w:line="360" w:lineRule="auto"/>
        <w:jc w:val="both"/>
        <w:rPr>
          <w:rFonts w:ascii="Arial" w:hAnsi="Arial" w:cs="Arial"/>
          <w:color w:val="000000" w:themeColor="text1"/>
          <w:sz w:val="24"/>
          <w:szCs w:val="24"/>
        </w:rPr>
      </w:pPr>
      <w:bookmarkStart w:id="4" w:name="_Toc242804329"/>
      <w:r w:rsidRPr="00363C69">
        <w:rPr>
          <w:rFonts w:ascii="Arial" w:hAnsi="Arial" w:cs="Arial"/>
          <w:color w:val="000000" w:themeColor="text1"/>
          <w:sz w:val="24"/>
          <w:szCs w:val="24"/>
        </w:rPr>
        <w:t>Task B: Breeding an Environment Where Talent May Grow</w:t>
      </w:r>
      <w:bookmarkEnd w:id="4"/>
    </w:p>
    <w:p w14:paraId="7E2AD14E" w14:textId="77777777" w:rsidR="00903DF7" w:rsidRPr="00363C69" w:rsidRDefault="00285C3A" w:rsidP="00363C69">
      <w:pPr>
        <w:pStyle w:val="Heading2"/>
        <w:spacing w:line="360" w:lineRule="auto"/>
        <w:jc w:val="both"/>
        <w:rPr>
          <w:rFonts w:ascii="Arial" w:hAnsi="Arial" w:cs="Arial"/>
          <w:color w:val="000000" w:themeColor="text1"/>
          <w:szCs w:val="24"/>
        </w:rPr>
      </w:pPr>
      <w:bookmarkStart w:id="5" w:name="_Toc242804330"/>
      <w:r w:rsidRPr="00363C69">
        <w:rPr>
          <w:rFonts w:ascii="Arial" w:hAnsi="Arial" w:cs="Arial"/>
          <w:color w:val="000000" w:themeColor="text1"/>
          <w:szCs w:val="24"/>
        </w:rPr>
        <w:t>B1. Critical evaluation of talent-flourishing environments</w:t>
      </w:r>
      <w:bookmarkEnd w:id="5"/>
    </w:p>
    <w:p w14:paraId="4606E3C7" w14:textId="6966D06F" w:rsidR="009F71D4" w:rsidRPr="00363C69" w:rsidRDefault="0084665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A talent-rich organization is one that not only employs brilliant individuals but also fosters the use, development, and cultivation of those individuals' abilities.</w:t>
      </w:r>
      <w:r w:rsidR="00363C69" w:rsidRPr="00363C69">
        <w:rPr>
          <w:rFonts w:ascii="Arial" w:hAnsi="Arial" w:cs="Arial"/>
          <w:color w:val="000000" w:themeColor="text1"/>
          <w:sz w:val="24"/>
          <w:szCs w:val="24"/>
        </w:rPr>
        <w:t xml:space="preserve"> The concept of learning organization from Senge's viewpoint is highly focused on mental models, systems thinking, shared vision, team learning, and individual mastery. In NHSX, learning is not associated with punishment; every mistake made in product development, client education, and experimentation is a chance to learn. However, due to all the efforts that should be put into work, the potential of rhetoric cannot be realized without thinking. Learning must be included in the work schedule (Radu, 2023). The Growth Mindset Theory by Dweck is utilized to promote mindsets believing in growth</w:t>
      </w:r>
      <w:r w:rsidRPr="00363C69">
        <w:rPr>
          <w:rFonts w:ascii="Arial" w:hAnsi="Arial" w:cs="Arial"/>
          <w:color w:val="000000" w:themeColor="text1"/>
          <w:sz w:val="24"/>
          <w:szCs w:val="24"/>
        </w:rPr>
        <w:t>. This will be pertinent to the NHSX and the quick changes in the abilities needed</w:t>
      </w:r>
      <w:r w:rsidR="009F71D4" w:rsidRPr="00363C69">
        <w:rPr>
          <w:rFonts w:ascii="Arial" w:hAnsi="Arial" w:cs="Arial"/>
          <w:color w:val="000000" w:themeColor="text1"/>
          <w:sz w:val="24"/>
          <w:szCs w:val="24"/>
        </w:rPr>
        <w:t>. But having a growth mindset is no good if they are expected to learn more and the organisation does not give them enough time and resources. The strategic response is protected learning time, mentoring, communities of practice and internal mobility</w:t>
      </w:r>
      <w:r w:rsidR="00973B69" w:rsidRPr="00363C69">
        <w:rPr>
          <w:rFonts w:ascii="Arial" w:hAnsi="Arial" w:cs="Arial"/>
          <w:color w:val="000000" w:themeColor="text1"/>
          <w:sz w:val="24"/>
          <w:szCs w:val="24"/>
        </w:rPr>
        <w:t xml:space="preserve"> (</w:t>
      </w:r>
      <w:r w:rsidR="00973B69" w:rsidRPr="00363C69">
        <w:rPr>
          <w:rFonts w:ascii="Arial" w:hAnsi="Arial" w:cs="Arial"/>
          <w:color w:val="000000" w:themeColor="text1"/>
          <w:sz w:val="24"/>
          <w:szCs w:val="24"/>
          <w:shd w:val="clear" w:color="auto" w:fill="FFFFFF"/>
        </w:rPr>
        <w:t>Muzaffar Zargar and Gani, 2025).</w:t>
      </w:r>
    </w:p>
    <w:p w14:paraId="11DFE55C" w14:textId="4E09830C" w:rsidR="009F71D4" w:rsidRPr="00363C69" w:rsidRDefault="009F71D4"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It's also about building psychological safety for Edmondson. Staff should be able to challenge beliefs, own up to errors and express concerns without interpersonal sanctions. In the field of healthcare technology, this is particularly worrying: this is far more dangerous than a failed commercial experiment, and is much worse if nobody mentions, speaks, or says anything, that it is unsafe. P.S. is not synonymous with low accountability, high expectations and high interpersonal safety.</w:t>
      </w:r>
      <w:r w:rsidR="00973B69" w:rsidRPr="00363C69">
        <w:rPr>
          <w:rFonts w:ascii="Arial" w:hAnsi="Arial" w:cs="Arial"/>
          <w:color w:val="000000" w:themeColor="text1"/>
          <w:sz w:val="24"/>
          <w:szCs w:val="24"/>
        </w:rPr>
        <w:t xml:space="preserve"> T</w:t>
      </w:r>
      <w:r w:rsidRPr="00363C69">
        <w:rPr>
          <w:rFonts w:ascii="Arial" w:hAnsi="Arial" w:cs="Arial"/>
          <w:color w:val="000000" w:themeColor="text1"/>
          <w:sz w:val="24"/>
          <w:szCs w:val="24"/>
        </w:rPr>
        <w:t>here are three key motivational needs: autonomy, competence, and relatedness. Decision rights, development pathways and relatedness (companies and cross-border teams) are ways in which NHSX can enhance autonomy, competence and relatedness. Job Crafting theory introduces a mechanism at the individual level: employees can alter their tasks, relationships, and work meanings to make these tasks fit them better</w:t>
      </w:r>
      <w:r w:rsidR="00973B69" w:rsidRPr="00363C69">
        <w:rPr>
          <w:rFonts w:ascii="Arial" w:hAnsi="Arial" w:cs="Arial"/>
          <w:color w:val="000000" w:themeColor="text1"/>
          <w:sz w:val="24"/>
          <w:szCs w:val="24"/>
        </w:rPr>
        <w:t xml:space="preserve"> (</w:t>
      </w:r>
      <w:r w:rsidR="00973B69" w:rsidRPr="00363C69">
        <w:rPr>
          <w:rFonts w:ascii="Arial" w:hAnsi="Arial" w:cs="Arial"/>
          <w:color w:val="000000" w:themeColor="text1"/>
          <w:sz w:val="24"/>
          <w:szCs w:val="24"/>
          <w:shd w:val="clear" w:color="auto" w:fill="FFFFFF"/>
        </w:rPr>
        <w:t>Mujtaba and Lawrence, 2024)</w:t>
      </w:r>
      <w:r w:rsidRPr="00363C69">
        <w:rPr>
          <w:rFonts w:ascii="Arial" w:hAnsi="Arial" w:cs="Arial"/>
          <w:color w:val="000000" w:themeColor="text1"/>
          <w:sz w:val="24"/>
          <w:szCs w:val="24"/>
        </w:rPr>
        <w:t>.</w:t>
      </w:r>
      <w:r w:rsidR="00830F50" w:rsidRPr="00363C69">
        <w:rPr>
          <w:rFonts w:ascii="Arial" w:hAnsi="Arial" w:cs="Arial"/>
          <w:color w:val="000000" w:themeColor="text1"/>
          <w:sz w:val="24"/>
          <w:szCs w:val="24"/>
        </w:rPr>
        <w:t xml:space="preserve"> NHSX cannot create an enabling environment for talent if it </w:t>
      </w:r>
      <w:r w:rsidR="00830F50" w:rsidRPr="00363C69">
        <w:rPr>
          <w:rFonts w:ascii="Arial" w:hAnsi="Arial" w:cs="Arial"/>
          <w:color w:val="000000" w:themeColor="text1"/>
          <w:sz w:val="24"/>
          <w:szCs w:val="24"/>
        </w:rPr>
        <w:lastRenderedPageBreak/>
        <w:t>focuses solely on identifying talented employees in its workforce. It is important to offer chances for growth in terms of gaining necessary skills, career advancement, and sharing ideas without being subjected to any form of discrimination (Syafri et al., 2025). This can be achieved through three interrelated priorities including learning and development, psychological safety and employee engagement, and employee wellbeing and performance management.</w:t>
      </w:r>
    </w:p>
    <w:p w14:paraId="556EB996" w14:textId="77777777" w:rsidR="009F71D4" w:rsidRPr="00363C69" w:rsidRDefault="009F71D4" w:rsidP="00363C69">
      <w:pPr>
        <w:pStyle w:val="Heading2"/>
        <w:spacing w:line="360" w:lineRule="auto"/>
        <w:jc w:val="both"/>
        <w:rPr>
          <w:rFonts w:ascii="Arial" w:hAnsi="Arial" w:cs="Arial"/>
          <w:color w:val="000000" w:themeColor="text1"/>
          <w:szCs w:val="24"/>
        </w:rPr>
      </w:pPr>
      <w:bookmarkStart w:id="6" w:name="_Toc242804331"/>
      <w:r w:rsidRPr="00363C69">
        <w:rPr>
          <w:rFonts w:ascii="Arial" w:hAnsi="Arial" w:cs="Arial"/>
          <w:color w:val="000000" w:themeColor="text1"/>
          <w:szCs w:val="24"/>
        </w:rPr>
        <w:t>B2. NHSX Strategic Talent Growth Ecosystem</w:t>
      </w:r>
      <w:bookmarkEnd w:id="6"/>
    </w:p>
    <w:p w14:paraId="2F7C30B9" w14:textId="2920A09C" w:rsidR="00903DF7" w:rsidRPr="00363C69" w:rsidRDefault="004C7863"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The system consists of five pillars which are inter-related: capability architecture, continuous learning, internal mobility, psychological safety and employee experience.</w:t>
      </w:r>
      <w:r w:rsidR="00363C69" w:rsidRPr="00363C69">
        <w:rPr>
          <w:rFonts w:ascii="Arial" w:hAnsi="Arial" w:cs="Arial"/>
          <w:color w:val="000000" w:themeColor="text1"/>
          <w:sz w:val="24"/>
          <w:szCs w:val="24"/>
        </w:rPr>
        <w:t xml:space="preserve"> They have developed a process of learning using these pillars which includes learning to do, learning to apply, learning to get feedback, learning to show impact, and learning to open up new avenues</w:t>
      </w:r>
      <w:r w:rsidR="009F71D4" w:rsidRPr="00363C69">
        <w:rPr>
          <w:rFonts w:ascii="Arial" w:hAnsi="Arial" w:cs="Arial"/>
          <w:color w:val="000000" w:themeColor="text1"/>
          <w:sz w:val="24"/>
          <w:szCs w:val="24"/>
        </w:rPr>
        <w:t>.</w:t>
      </w:r>
    </w:p>
    <w:p w14:paraId="4DFCFE7C" w14:textId="78D290A8" w:rsidR="00973B69" w:rsidRPr="00363C69" w:rsidRDefault="00973B69"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Table 3: Pillar are its intervention and proposed measure with 12 month target</w:t>
      </w:r>
    </w:p>
    <w:tbl>
      <w:tblPr>
        <w:tblStyle w:val="TableGrid"/>
        <w:tblW w:w="0" w:type="auto"/>
        <w:tblLook w:val="04A0" w:firstRow="1" w:lastRow="0" w:firstColumn="1" w:lastColumn="0" w:noHBand="0" w:noVBand="1"/>
      </w:tblPr>
      <w:tblGrid>
        <w:gridCol w:w="2714"/>
        <w:gridCol w:w="3799"/>
        <w:gridCol w:w="3639"/>
      </w:tblGrid>
      <w:tr w:rsidR="00363C69" w:rsidRPr="00363C69" w14:paraId="0EDFF6DB" w14:textId="77777777" w:rsidTr="00830F50">
        <w:tc>
          <w:tcPr>
            <w:tcW w:w="0" w:type="auto"/>
            <w:hideMark/>
          </w:tcPr>
          <w:p w14:paraId="33120415" w14:textId="77777777" w:rsidR="00830F50" w:rsidRPr="00363C69" w:rsidRDefault="00830F50" w:rsidP="00363C69">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63C69">
              <w:rPr>
                <w:rFonts w:ascii="Arial" w:eastAsia="Times New Roman" w:hAnsi="Arial" w:cs="Arial"/>
                <w:b/>
                <w:bCs/>
                <w:color w:val="000000" w:themeColor="text1"/>
                <w:sz w:val="24"/>
                <w:szCs w:val="24"/>
                <w:lang w:val="en-IN" w:eastAsia="en-GB"/>
              </w:rPr>
              <w:t>Main priority</w:t>
            </w:r>
          </w:p>
        </w:tc>
        <w:tc>
          <w:tcPr>
            <w:tcW w:w="0" w:type="auto"/>
            <w:hideMark/>
          </w:tcPr>
          <w:p w14:paraId="5533695A" w14:textId="77777777" w:rsidR="00830F50" w:rsidRPr="00363C69" w:rsidRDefault="00830F50" w:rsidP="00363C69">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63C69">
              <w:rPr>
                <w:rFonts w:ascii="Arial" w:eastAsia="Times New Roman" w:hAnsi="Arial" w:cs="Arial"/>
                <w:b/>
                <w:bCs/>
                <w:color w:val="000000" w:themeColor="text1"/>
                <w:sz w:val="24"/>
                <w:szCs w:val="24"/>
                <w:lang w:val="en-IN" w:eastAsia="en-GB"/>
              </w:rPr>
              <w:t>Intervention</w:t>
            </w:r>
          </w:p>
        </w:tc>
        <w:tc>
          <w:tcPr>
            <w:tcW w:w="0" w:type="auto"/>
            <w:hideMark/>
          </w:tcPr>
          <w:p w14:paraId="305D85BA" w14:textId="77777777" w:rsidR="00830F50" w:rsidRPr="00363C69" w:rsidRDefault="00830F50" w:rsidP="00363C69">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63C69">
              <w:rPr>
                <w:rFonts w:ascii="Arial" w:eastAsia="Times New Roman" w:hAnsi="Arial" w:cs="Arial"/>
                <w:b/>
                <w:bCs/>
                <w:color w:val="000000" w:themeColor="text1"/>
                <w:sz w:val="24"/>
                <w:szCs w:val="24"/>
                <w:lang w:val="en-IN" w:eastAsia="en-GB"/>
              </w:rPr>
              <w:t>Measure</w:t>
            </w:r>
          </w:p>
        </w:tc>
      </w:tr>
      <w:tr w:rsidR="00363C69" w:rsidRPr="00363C69" w14:paraId="01117A1E" w14:textId="77777777" w:rsidTr="00830F50">
        <w:tc>
          <w:tcPr>
            <w:tcW w:w="0" w:type="auto"/>
            <w:hideMark/>
          </w:tcPr>
          <w:p w14:paraId="410DF192"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Learning and career development</w:t>
            </w:r>
          </w:p>
        </w:tc>
        <w:tc>
          <w:tcPr>
            <w:tcW w:w="0" w:type="auto"/>
            <w:hideMark/>
          </w:tcPr>
          <w:p w14:paraId="4EF948DA"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Protected learning time, mentoring and career discussions</w:t>
            </w:r>
          </w:p>
        </w:tc>
        <w:tc>
          <w:tcPr>
            <w:tcW w:w="0" w:type="auto"/>
            <w:hideMark/>
          </w:tcPr>
          <w:p w14:paraId="4C6CB2BA"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Learning participation and completed career conversations</w:t>
            </w:r>
          </w:p>
        </w:tc>
      </w:tr>
      <w:tr w:rsidR="00363C69" w:rsidRPr="00363C69" w14:paraId="523DDB69" w14:textId="77777777" w:rsidTr="00830F50">
        <w:tc>
          <w:tcPr>
            <w:tcW w:w="0" w:type="auto"/>
            <w:hideMark/>
          </w:tcPr>
          <w:p w14:paraId="16867DA2"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Psychological safety and involvement</w:t>
            </w:r>
          </w:p>
        </w:tc>
        <w:tc>
          <w:tcPr>
            <w:tcW w:w="0" w:type="auto"/>
            <w:hideMark/>
          </w:tcPr>
          <w:p w14:paraId="408E7430"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Manager training, feedback and speak-up mechanisms</w:t>
            </w:r>
          </w:p>
        </w:tc>
        <w:tc>
          <w:tcPr>
            <w:tcW w:w="0" w:type="auto"/>
            <w:hideMark/>
          </w:tcPr>
          <w:p w14:paraId="340C2D97"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Employee participation and psychological safety survey</w:t>
            </w:r>
          </w:p>
        </w:tc>
      </w:tr>
      <w:tr w:rsidR="00363C69" w:rsidRPr="00363C69" w14:paraId="4EF16806" w14:textId="77777777" w:rsidTr="00830F50">
        <w:tc>
          <w:tcPr>
            <w:tcW w:w="0" w:type="auto"/>
            <w:hideMark/>
          </w:tcPr>
          <w:p w14:paraId="2A173804"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Wellbeing and performance</w:t>
            </w:r>
          </w:p>
        </w:tc>
        <w:tc>
          <w:tcPr>
            <w:tcW w:w="0" w:type="auto"/>
            <w:hideMark/>
          </w:tcPr>
          <w:p w14:paraId="57CCC85E"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Workload reviews, regular check-ins and performance feedback</w:t>
            </w:r>
          </w:p>
        </w:tc>
        <w:tc>
          <w:tcPr>
            <w:tcW w:w="0" w:type="auto"/>
            <w:hideMark/>
          </w:tcPr>
          <w:p w14:paraId="662FB2F6"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Wellbeing scores, work quality and employee turnover</w:t>
            </w:r>
          </w:p>
        </w:tc>
      </w:tr>
    </w:tbl>
    <w:p w14:paraId="520E154C" w14:textId="083DDA22" w:rsidR="00830F50" w:rsidRPr="00363C69" w:rsidRDefault="00830F50"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1. Lifelong Learning and Career Growth</w:t>
      </w:r>
    </w:p>
    <w:p w14:paraId="0BEDF7E8" w14:textId="7A7C5CE3" w:rsidR="00830F50" w:rsidRPr="00363C69" w:rsidRDefault="00363C69"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Skills framework, protection of learning time, mentoring, and development activities within the organization are the things which NHSX should have. An individual should know about the skills required for him/her in his/her current position and in future positions as well. Employee competencies could be developed using project-based learning for a shorter period of time and interdepartmental learning as well. Quarterly career meetings would help to know about employees’ strengths and development areas</w:t>
      </w:r>
      <w:r w:rsidR="00830F50" w:rsidRPr="00363C69">
        <w:rPr>
          <w:rFonts w:ascii="Arial" w:hAnsi="Arial" w:cs="Arial"/>
          <w:color w:val="000000" w:themeColor="text1"/>
          <w:sz w:val="24"/>
          <w:szCs w:val="24"/>
        </w:rPr>
        <w:t>.</w:t>
      </w:r>
    </w:p>
    <w:p w14:paraId="5DE23289" w14:textId="2A7A1B5C" w:rsidR="00830F50" w:rsidRPr="00363C69" w:rsidRDefault="00830F50"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2. Psychological Safety and Employee Involvement</w:t>
      </w:r>
    </w:p>
    <w:p w14:paraId="7C9B62B4" w14:textId="10046CA0" w:rsidR="004C7863" w:rsidRPr="00363C69" w:rsidRDefault="0084665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 xml:space="preserve">The management must establish a setting where staff members may express their worries about the current procedures and offer recommendations without worrying about receiving </w:t>
      </w:r>
      <w:r w:rsidRPr="00363C69">
        <w:rPr>
          <w:rFonts w:ascii="Arial" w:hAnsi="Arial" w:cs="Arial"/>
          <w:color w:val="000000" w:themeColor="text1"/>
          <w:sz w:val="24"/>
          <w:szCs w:val="24"/>
        </w:rPr>
        <w:lastRenderedPageBreak/>
        <w:t>unfair treatment. Psychological safety and explicit accountability must coexist in a healthcare technology company</w:t>
      </w:r>
      <w:r w:rsidR="00830F50" w:rsidRPr="00363C69">
        <w:rPr>
          <w:rFonts w:ascii="Arial" w:hAnsi="Arial" w:cs="Arial"/>
          <w:color w:val="000000" w:themeColor="text1"/>
          <w:sz w:val="24"/>
          <w:szCs w:val="24"/>
        </w:rPr>
        <w:t xml:space="preserve"> </w:t>
      </w:r>
      <w:r w:rsidR="004C7863" w:rsidRPr="00363C69">
        <w:rPr>
          <w:rFonts w:ascii="Arial" w:hAnsi="Arial" w:cs="Arial"/>
          <w:color w:val="000000" w:themeColor="text1"/>
          <w:sz w:val="24"/>
          <w:szCs w:val="24"/>
        </w:rPr>
        <w:t>(Farmanesh et al., 2023).</w:t>
      </w:r>
    </w:p>
    <w:p w14:paraId="48ED8618" w14:textId="67D9D2D5" w:rsidR="00830F50" w:rsidRPr="00363C69" w:rsidRDefault="00830F50"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3. Work-Life Balance and Performance Management</w:t>
      </w:r>
    </w:p>
    <w:p w14:paraId="0E79A6E3" w14:textId="14C7E8DB" w:rsidR="009F71D4" w:rsidRPr="00363C69" w:rsidRDefault="00830F50"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It is imperative for managers to talk about work-life balance in routine reviews and make sure their employees are equipped with all the necessary resources to deliver the set goals. Performance evaluations should also look into work efficiency, teamwork, personal development, and organizational success</w:t>
      </w:r>
      <w:r w:rsidR="00973B69" w:rsidRPr="00363C69">
        <w:rPr>
          <w:rFonts w:ascii="Arial" w:hAnsi="Arial" w:cs="Arial"/>
          <w:color w:val="000000" w:themeColor="text1"/>
          <w:sz w:val="24"/>
          <w:szCs w:val="24"/>
        </w:rPr>
        <w:t xml:space="preserve"> (</w:t>
      </w:r>
      <w:r w:rsidR="00973B69" w:rsidRPr="00363C69">
        <w:rPr>
          <w:rFonts w:ascii="Arial" w:hAnsi="Arial" w:cs="Arial"/>
          <w:color w:val="000000" w:themeColor="text1"/>
          <w:sz w:val="24"/>
          <w:szCs w:val="24"/>
          <w:shd w:val="clear" w:color="auto" w:fill="FFFFFF"/>
        </w:rPr>
        <w:t>Wijaya et al., 2025)</w:t>
      </w:r>
      <w:r w:rsidR="009F71D4" w:rsidRPr="00363C69">
        <w:rPr>
          <w:rFonts w:ascii="Arial" w:hAnsi="Arial" w:cs="Arial"/>
          <w:color w:val="000000" w:themeColor="text1"/>
          <w:sz w:val="24"/>
          <w:szCs w:val="24"/>
        </w:rPr>
        <w:t xml:space="preserve">. </w:t>
      </w:r>
    </w:p>
    <w:p w14:paraId="46AE7615" w14:textId="77777777" w:rsidR="00903DF7" w:rsidRPr="00363C69" w:rsidRDefault="00285C3A" w:rsidP="00363C69">
      <w:pPr>
        <w:pStyle w:val="Heading2"/>
        <w:spacing w:line="360" w:lineRule="auto"/>
        <w:jc w:val="both"/>
        <w:rPr>
          <w:rFonts w:ascii="Arial" w:hAnsi="Arial" w:cs="Arial"/>
          <w:color w:val="000000" w:themeColor="text1"/>
          <w:szCs w:val="24"/>
        </w:rPr>
      </w:pPr>
      <w:bookmarkStart w:id="7" w:name="_Toc242804332"/>
      <w:r w:rsidRPr="00363C69">
        <w:rPr>
          <w:rFonts w:ascii="Arial" w:hAnsi="Arial" w:cs="Arial"/>
          <w:color w:val="000000" w:themeColor="text1"/>
          <w:szCs w:val="24"/>
        </w:rPr>
        <w:t>B3. Talent governance and implementation roadmap</w:t>
      </w:r>
      <w:bookmarkEnd w:id="7"/>
    </w:p>
    <w:p w14:paraId="3CB74F16" w14:textId="45DAD864" w:rsidR="00830F50" w:rsidRPr="00363C69" w:rsidRDefault="00973B69"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Table 4: Phases and its roadmap</w:t>
      </w:r>
    </w:p>
    <w:tbl>
      <w:tblPr>
        <w:tblStyle w:val="TableGrid"/>
        <w:tblW w:w="0" w:type="auto"/>
        <w:tblLook w:val="04A0" w:firstRow="1" w:lastRow="0" w:firstColumn="1" w:lastColumn="0" w:noHBand="0" w:noVBand="1"/>
      </w:tblPr>
      <w:tblGrid>
        <w:gridCol w:w="1544"/>
        <w:gridCol w:w="8608"/>
      </w:tblGrid>
      <w:tr w:rsidR="00363C69" w:rsidRPr="00363C69" w14:paraId="61127E07" w14:textId="77777777" w:rsidTr="00830F50">
        <w:tc>
          <w:tcPr>
            <w:tcW w:w="0" w:type="auto"/>
            <w:hideMark/>
          </w:tcPr>
          <w:p w14:paraId="5F61CBDE" w14:textId="77777777" w:rsidR="00830F50" w:rsidRPr="00363C69" w:rsidRDefault="00830F50" w:rsidP="00363C69">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63C69">
              <w:rPr>
                <w:rFonts w:ascii="Arial" w:eastAsia="Times New Roman" w:hAnsi="Arial" w:cs="Arial"/>
                <w:b/>
                <w:bCs/>
                <w:color w:val="000000" w:themeColor="text1"/>
                <w:sz w:val="24"/>
                <w:szCs w:val="24"/>
                <w:lang w:val="en-IN" w:eastAsia="en-GB"/>
              </w:rPr>
              <w:t>Phase</w:t>
            </w:r>
          </w:p>
        </w:tc>
        <w:tc>
          <w:tcPr>
            <w:tcW w:w="0" w:type="auto"/>
            <w:hideMark/>
          </w:tcPr>
          <w:p w14:paraId="45D6EB6D" w14:textId="77777777" w:rsidR="00830F50" w:rsidRPr="00363C69" w:rsidRDefault="00830F50" w:rsidP="00363C69">
            <w:pPr>
              <w:spacing w:before="100" w:beforeAutospacing="1" w:afterAutospacing="1" w:line="360" w:lineRule="auto"/>
              <w:jc w:val="both"/>
              <w:rPr>
                <w:rFonts w:ascii="Arial" w:eastAsia="Times New Roman" w:hAnsi="Arial" w:cs="Arial"/>
                <w:b/>
                <w:bCs/>
                <w:color w:val="000000" w:themeColor="text1"/>
                <w:sz w:val="24"/>
                <w:szCs w:val="24"/>
                <w:lang w:val="en-IN" w:eastAsia="en-GB"/>
              </w:rPr>
            </w:pPr>
            <w:r w:rsidRPr="00363C69">
              <w:rPr>
                <w:rFonts w:ascii="Arial" w:eastAsia="Times New Roman" w:hAnsi="Arial" w:cs="Arial"/>
                <w:b/>
                <w:bCs/>
                <w:color w:val="000000" w:themeColor="text1"/>
                <w:sz w:val="24"/>
                <w:szCs w:val="24"/>
                <w:lang w:val="en-IN" w:eastAsia="en-GB"/>
              </w:rPr>
              <w:t>Main actions</w:t>
            </w:r>
          </w:p>
        </w:tc>
      </w:tr>
      <w:tr w:rsidR="00363C69" w:rsidRPr="00363C69" w14:paraId="0ED8E763" w14:textId="77777777" w:rsidTr="00830F50">
        <w:tc>
          <w:tcPr>
            <w:tcW w:w="0" w:type="auto"/>
            <w:hideMark/>
          </w:tcPr>
          <w:p w14:paraId="1D79ACAF"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First 60 days</w:t>
            </w:r>
          </w:p>
        </w:tc>
        <w:tc>
          <w:tcPr>
            <w:tcW w:w="0" w:type="auto"/>
            <w:hideMark/>
          </w:tcPr>
          <w:p w14:paraId="5FE27CC1" w14:textId="77777777"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Establish baseline measures for engagement, turnover, skills, workload and performance.</w:t>
            </w:r>
          </w:p>
        </w:tc>
      </w:tr>
      <w:tr w:rsidR="00363C69" w:rsidRPr="00363C69" w14:paraId="2FCD8F5C" w14:textId="77777777" w:rsidTr="00830F50">
        <w:tc>
          <w:tcPr>
            <w:tcW w:w="0" w:type="auto"/>
            <w:hideMark/>
          </w:tcPr>
          <w:p w14:paraId="32316A54" w14:textId="54FDBCB0"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Months 3 - 6</w:t>
            </w:r>
          </w:p>
        </w:tc>
        <w:tc>
          <w:tcPr>
            <w:tcW w:w="0" w:type="auto"/>
            <w:hideMark/>
          </w:tcPr>
          <w:p w14:paraId="2CC8D62F" w14:textId="37F173AD" w:rsidR="00830F50" w:rsidRPr="00363C69" w:rsidRDefault="00363C69"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Establish the learning process, provide management training and get feedback from employees</w:t>
            </w:r>
            <w:r w:rsidR="00830F50" w:rsidRPr="00363C69">
              <w:rPr>
                <w:rFonts w:ascii="Arial" w:eastAsia="Times New Roman" w:hAnsi="Arial" w:cs="Arial"/>
                <w:color w:val="000000" w:themeColor="text1"/>
                <w:sz w:val="24"/>
                <w:szCs w:val="24"/>
                <w:lang w:val="en-IN" w:eastAsia="en-GB"/>
              </w:rPr>
              <w:t>.</w:t>
            </w:r>
          </w:p>
        </w:tc>
      </w:tr>
      <w:tr w:rsidR="00363C69" w:rsidRPr="00363C69" w14:paraId="4E88753F" w14:textId="77777777" w:rsidTr="00830F50">
        <w:tc>
          <w:tcPr>
            <w:tcW w:w="0" w:type="auto"/>
            <w:hideMark/>
          </w:tcPr>
          <w:p w14:paraId="7C017E6E" w14:textId="41A3FDA1" w:rsidR="00830F50" w:rsidRPr="00363C69" w:rsidRDefault="00830F50" w:rsidP="00363C69">
            <w:pPr>
              <w:spacing w:before="100" w:beforeAutospacing="1" w:afterAutospacing="1" w:line="360" w:lineRule="auto"/>
              <w:jc w:val="both"/>
              <w:rPr>
                <w:rFonts w:ascii="Arial" w:eastAsia="Times New Roman" w:hAnsi="Arial" w:cs="Arial"/>
                <w:color w:val="000000" w:themeColor="text1"/>
                <w:sz w:val="24"/>
                <w:szCs w:val="24"/>
                <w:lang w:val="en-IN" w:eastAsia="en-GB"/>
              </w:rPr>
            </w:pPr>
            <w:r w:rsidRPr="00363C69">
              <w:rPr>
                <w:rFonts w:ascii="Arial" w:eastAsia="Times New Roman" w:hAnsi="Arial" w:cs="Arial"/>
                <w:color w:val="000000" w:themeColor="text1"/>
                <w:sz w:val="24"/>
                <w:szCs w:val="24"/>
                <w:lang w:val="en-IN" w:eastAsia="en-GB"/>
              </w:rPr>
              <w:t>Months 7 - 12</w:t>
            </w:r>
          </w:p>
        </w:tc>
        <w:tc>
          <w:tcPr>
            <w:tcW w:w="0" w:type="auto"/>
            <w:hideMark/>
          </w:tcPr>
          <w:p w14:paraId="605C4323" w14:textId="3F5A213F" w:rsidR="00830F50" w:rsidRPr="00363C69" w:rsidRDefault="00363C69"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Analyze the outcomes and refine the intervention strategy through performance metrics</w:t>
            </w:r>
            <w:r w:rsidR="00830F50" w:rsidRPr="00363C69">
              <w:rPr>
                <w:rFonts w:ascii="Arial" w:eastAsia="Times New Roman" w:hAnsi="Arial" w:cs="Arial"/>
                <w:color w:val="000000" w:themeColor="text1"/>
                <w:sz w:val="24"/>
                <w:szCs w:val="24"/>
                <w:lang w:val="en-IN" w:eastAsia="en-GB"/>
              </w:rPr>
              <w:t>.</w:t>
            </w:r>
          </w:p>
        </w:tc>
      </w:tr>
    </w:tbl>
    <w:p w14:paraId="18F6026F" w14:textId="428CAE31" w:rsidR="009F71D4" w:rsidRPr="00363C69" w:rsidRDefault="00363C69"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Governance needs to come with an executive sponsor that is backed by HR/People, Technology, Clinical Safety, and business leadership. People/innovation dashboard needs to be consistent with organizational results and created quarterly</w:t>
      </w:r>
      <w:r w:rsidR="004C7863" w:rsidRPr="00363C69">
        <w:rPr>
          <w:rFonts w:ascii="Arial" w:hAnsi="Arial" w:cs="Arial"/>
          <w:color w:val="000000" w:themeColor="text1"/>
          <w:sz w:val="24"/>
          <w:szCs w:val="24"/>
        </w:rPr>
        <w:t>. Here is a list of "measures" to consider: regrettable attrition, internal mobility, learning adoption, engagement, psychological safety, decision-making cycle time, experiments cycle time, delivery reliability, customer results (Anjani and Prabavathi, 2025). In this way, talent management will not be divorced from performance management</w:t>
      </w:r>
      <w:r w:rsidR="009F71D4" w:rsidRPr="00363C69">
        <w:rPr>
          <w:rFonts w:ascii="Arial" w:hAnsi="Arial" w:cs="Arial"/>
          <w:color w:val="000000" w:themeColor="text1"/>
          <w:sz w:val="24"/>
          <w:szCs w:val="24"/>
        </w:rPr>
        <w:t>.</w:t>
      </w:r>
    </w:p>
    <w:p w14:paraId="30C81772" w14:textId="77777777" w:rsidR="009F71D4" w:rsidRPr="00363C69" w:rsidRDefault="009F71D4" w:rsidP="00363C69">
      <w:pPr>
        <w:pStyle w:val="Heading1"/>
        <w:spacing w:line="360" w:lineRule="auto"/>
        <w:jc w:val="both"/>
        <w:rPr>
          <w:rFonts w:ascii="Arial" w:hAnsi="Arial" w:cs="Arial"/>
          <w:color w:val="000000" w:themeColor="text1"/>
          <w:sz w:val="24"/>
          <w:szCs w:val="24"/>
        </w:rPr>
      </w:pPr>
      <w:bookmarkStart w:id="8" w:name="_Toc242804333"/>
      <w:r w:rsidRPr="00363C69">
        <w:rPr>
          <w:rFonts w:ascii="Arial" w:hAnsi="Arial" w:cs="Arial"/>
          <w:color w:val="000000" w:themeColor="text1"/>
          <w:sz w:val="24"/>
          <w:szCs w:val="24"/>
        </w:rPr>
        <w:t>Task C: Reflective Report</w:t>
      </w:r>
      <w:bookmarkEnd w:id="8"/>
    </w:p>
    <w:p w14:paraId="07382FF5" w14:textId="7C1F0157" w:rsidR="009F71D4" w:rsidRPr="00363C69" w:rsidRDefault="009F71D4" w:rsidP="00363C69">
      <w:pPr>
        <w:pStyle w:val="Heading2"/>
        <w:spacing w:line="360" w:lineRule="auto"/>
        <w:jc w:val="both"/>
        <w:rPr>
          <w:rFonts w:ascii="Arial" w:hAnsi="Arial" w:cs="Arial"/>
          <w:color w:val="000000" w:themeColor="text1"/>
          <w:szCs w:val="24"/>
        </w:rPr>
      </w:pPr>
      <w:bookmarkStart w:id="9" w:name="_Toc242804334"/>
      <w:r w:rsidRPr="00363C69">
        <w:rPr>
          <w:rFonts w:ascii="Arial" w:hAnsi="Arial" w:cs="Arial"/>
          <w:color w:val="000000" w:themeColor="text1"/>
          <w:szCs w:val="24"/>
        </w:rPr>
        <w:t>C1. AI as a strategic HRM decision-support tool</w:t>
      </w:r>
      <w:bookmarkEnd w:id="9"/>
      <w:r w:rsidRPr="00363C69">
        <w:rPr>
          <w:rFonts w:ascii="Arial" w:hAnsi="Arial" w:cs="Arial"/>
          <w:color w:val="000000" w:themeColor="text1"/>
          <w:szCs w:val="24"/>
        </w:rPr>
        <w:t xml:space="preserve"> </w:t>
      </w:r>
    </w:p>
    <w:p w14:paraId="2301CA59" w14:textId="5AF896E3" w:rsidR="00363C69" w:rsidRPr="00363C69" w:rsidRDefault="0084665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 see AI as a tool that will support professional judgement rather than take its place in my goal of becoming an HRM author.</w:t>
      </w:r>
      <w:r w:rsidR="00363C69" w:rsidRPr="00363C69">
        <w:rPr>
          <w:rFonts w:ascii="Arial" w:hAnsi="Arial" w:cs="Arial"/>
          <w:color w:val="000000" w:themeColor="text1"/>
          <w:sz w:val="24"/>
          <w:szCs w:val="24"/>
        </w:rPr>
        <w:t xml:space="preserve"> This technology may analyze workforce trends, detect skills gaps, be used for workforce planning, gather feedback from employees, personalize learning advice, and even detect signs of staff attrition. In terms of the capabilities of artificial intelligence, it may allow NHSX to correlate skills data, learning engagement, project </w:t>
      </w:r>
      <w:r w:rsidR="00363C69" w:rsidRPr="00363C69">
        <w:rPr>
          <w:rFonts w:ascii="Arial" w:hAnsi="Arial" w:cs="Arial"/>
          <w:color w:val="000000" w:themeColor="text1"/>
          <w:sz w:val="24"/>
          <w:szCs w:val="24"/>
        </w:rPr>
        <w:lastRenderedPageBreak/>
        <w:t>demands, and employees' experience data in order to predict future skill shortages. This may help improve the HR decision-making process in terms of speed and consistency.</w:t>
      </w:r>
    </w:p>
    <w:p w14:paraId="222618BF" w14:textId="51DEA164" w:rsidR="00903DF7" w:rsidRPr="00363C69" w:rsidRDefault="00363C69"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However, the ability to predict does not mean that the use of the technology is ethical. The HR data may contain certain biases, stand-ins for protected classes, be incomplete, or even represent the bias of the past manager. The ability to predict attrition may lead managers to treat employees differently just because they do not want to quit</w:t>
      </w:r>
      <w:r w:rsidR="0084665A" w:rsidRPr="00363C69">
        <w:rPr>
          <w:rFonts w:ascii="Arial" w:hAnsi="Arial" w:cs="Arial"/>
          <w:color w:val="000000" w:themeColor="text1"/>
          <w:sz w:val="24"/>
          <w:szCs w:val="24"/>
        </w:rPr>
        <w:t>. Transparency, explainability, data minimisation, human interaction, access control, and frequent bias testing are crucial</w:t>
      </w:r>
      <w:r w:rsidR="009F71D4" w:rsidRPr="00363C69">
        <w:rPr>
          <w:rFonts w:ascii="Arial" w:hAnsi="Arial" w:cs="Arial"/>
          <w:color w:val="000000" w:themeColor="text1"/>
          <w:sz w:val="24"/>
          <w:szCs w:val="24"/>
        </w:rPr>
        <w:t xml:space="preserve">. </w:t>
      </w:r>
    </w:p>
    <w:p w14:paraId="2A9017AD" w14:textId="77777777" w:rsidR="00903DF7" w:rsidRPr="00363C69" w:rsidRDefault="00285C3A" w:rsidP="00363C69">
      <w:pPr>
        <w:pStyle w:val="Heading2"/>
        <w:spacing w:line="360" w:lineRule="auto"/>
        <w:jc w:val="both"/>
        <w:rPr>
          <w:rFonts w:ascii="Arial" w:hAnsi="Arial" w:cs="Arial"/>
          <w:color w:val="000000" w:themeColor="text1"/>
          <w:szCs w:val="24"/>
        </w:rPr>
      </w:pPr>
      <w:bookmarkStart w:id="10" w:name="_Toc242804335"/>
      <w:r w:rsidRPr="00363C69">
        <w:rPr>
          <w:rFonts w:ascii="Arial" w:hAnsi="Arial" w:cs="Arial"/>
          <w:color w:val="000000" w:themeColor="text1"/>
          <w:szCs w:val="24"/>
        </w:rPr>
        <w:t>C2. Three examples of AI use and capability reflection</w:t>
      </w:r>
      <w:bookmarkEnd w:id="10"/>
    </w:p>
    <w:p w14:paraId="0EC4F13B" w14:textId="5F2325CF" w:rsidR="00973B69" w:rsidRPr="00363C69" w:rsidRDefault="00973B69"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Table 5: AI use and how its helped</w:t>
      </w:r>
    </w:p>
    <w:tbl>
      <w:tblPr>
        <w:tblStyle w:val="TableGrid"/>
        <w:tblW w:w="0" w:type="auto"/>
        <w:jc w:val="center"/>
        <w:tblLook w:val="04A0" w:firstRow="1" w:lastRow="0" w:firstColumn="1" w:lastColumn="0" w:noHBand="0" w:noVBand="1"/>
      </w:tblPr>
      <w:tblGrid>
        <w:gridCol w:w="2298"/>
        <w:gridCol w:w="1979"/>
        <w:gridCol w:w="1952"/>
        <w:gridCol w:w="1961"/>
        <w:gridCol w:w="1962"/>
      </w:tblGrid>
      <w:tr w:rsidR="00363C69" w:rsidRPr="00363C69" w14:paraId="5465023D" w14:textId="77777777">
        <w:trPr>
          <w:jc w:val="center"/>
        </w:trPr>
        <w:tc>
          <w:tcPr>
            <w:tcW w:w="1987" w:type="dxa"/>
            <w:shd w:val="clear" w:color="auto" w:fill="D9EAF7"/>
          </w:tcPr>
          <w:p w14:paraId="74E91BD7"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AI use</w:t>
            </w:r>
          </w:p>
        </w:tc>
        <w:tc>
          <w:tcPr>
            <w:tcW w:w="1987" w:type="dxa"/>
            <w:shd w:val="clear" w:color="auto" w:fill="D9EAF7"/>
          </w:tcPr>
          <w:p w14:paraId="2DDDF8B3"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Capability gained</w:t>
            </w:r>
          </w:p>
        </w:tc>
        <w:tc>
          <w:tcPr>
            <w:tcW w:w="1987" w:type="dxa"/>
            <w:shd w:val="clear" w:color="auto" w:fill="D9EAF7"/>
          </w:tcPr>
          <w:p w14:paraId="379AAC97"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How AI helped</w:t>
            </w:r>
          </w:p>
        </w:tc>
        <w:tc>
          <w:tcPr>
            <w:tcW w:w="1987" w:type="dxa"/>
            <w:shd w:val="clear" w:color="auto" w:fill="D9EAF7"/>
          </w:tcPr>
          <w:p w14:paraId="43DBF439"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Limitation</w:t>
            </w:r>
          </w:p>
        </w:tc>
        <w:tc>
          <w:tcPr>
            <w:tcW w:w="1987" w:type="dxa"/>
            <w:shd w:val="clear" w:color="auto" w:fill="D9EAF7"/>
          </w:tcPr>
          <w:p w14:paraId="6835009A"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Professional response</w:t>
            </w:r>
          </w:p>
        </w:tc>
      </w:tr>
      <w:tr w:rsidR="00363C69" w:rsidRPr="00363C69" w14:paraId="616F7B0A" w14:textId="77777777">
        <w:trPr>
          <w:jc w:val="center"/>
        </w:trPr>
        <w:tc>
          <w:tcPr>
            <w:tcW w:w="1987" w:type="dxa"/>
            <w:vAlign w:val="center"/>
          </w:tcPr>
          <w:p w14:paraId="4213C663"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Literature/report research</w:t>
            </w:r>
          </w:p>
        </w:tc>
        <w:tc>
          <w:tcPr>
            <w:tcW w:w="1987" w:type="dxa"/>
            <w:vAlign w:val="center"/>
          </w:tcPr>
          <w:p w14:paraId="0BAE90D8"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Critical synthesis and research structuring</w:t>
            </w:r>
          </w:p>
        </w:tc>
        <w:tc>
          <w:tcPr>
            <w:tcW w:w="1987" w:type="dxa"/>
            <w:vAlign w:val="center"/>
          </w:tcPr>
          <w:p w14:paraId="42F76FE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Accelerated identification of themes and alternative arguments</w:t>
            </w:r>
          </w:p>
        </w:tc>
        <w:tc>
          <w:tcPr>
            <w:tcW w:w="1987" w:type="dxa"/>
            <w:vAlign w:val="center"/>
          </w:tcPr>
          <w:p w14:paraId="298BFA88"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Risk of plausible but unsupported claims</w:t>
            </w:r>
          </w:p>
        </w:tc>
        <w:tc>
          <w:tcPr>
            <w:tcW w:w="1987" w:type="dxa"/>
            <w:vAlign w:val="center"/>
          </w:tcPr>
          <w:p w14:paraId="7A170D8B"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Verify sources and distinguish evidence from AI interpretation</w:t>
            </w:r>
          </w:p>
        </w:tc>
      </w:tr>
      <w:tr w:rsidR="00363C69" w:rsidRPr="00363C69" w14:paraId="5DA96857" w14:textId="77777777">
        <w:trPr>
          <w:jc w:val="center"/>
        </w:trPr>
        <w:tc>
          <w:tcPr>
            <w:tcW w:w="1987" w:type="dxa"/>
            <w:vAlign w:val="center"/>
          </w:tcPr>
          <w:p w14:paraId="0CD01DE8"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Data analysis/KPI interpretation</w:t>
            </w:r>
          </w:p>
        </w:tc>
        <w:tc>
          <w:tcPr>
            <w:tcW w:w="1987" w:type="dxa"/>
            <w:vAlign w:val="center"/>
          </w:tcPr>
          <w:p w14:paraId="2717F6A5"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Analytical reasoning and communication</w:t>
            </w:r>
          </w:p>
        </w:tc>
        <w:tc>
          <w:tcPr>
            <w:tcW w:w="1987" w:type="dxa"/>
            <w:vAlign w:val="center"/>
          </w:tcPr>
          <w:p w14:paraId="5D5DD59B"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Helped explain patterns, formulas and scenario implications</w:t>
            </w:r>
          </w:p>
        </w:tc>
        <w:tc>
          <w:tcPr>
            <w:tcW w:w="1987" w:type="dxa"/>
            <w:vAlign w:val="center"/>
          </w:tcPr>
          <w:p w14:paraId="73D887F4"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Can produce incorrect calculations or overconfident conclusions</w:t>
            </w:r>
          </w:p>
        </w:tc>
        <w:tc>
          <w:tcPr>
            <w:tcW w:w="1987" w:type="dxa"/>
            <w:vAlign w:val="center"/>
          </w:tcPr>
          <w:p w14:paraId="54E48404"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Recalculate key results and document assumptions</w:t>
            </w:r>
          </w:p>
        </w:tc>
      </w:tr>
      <w:tr w:rsidR="00363C69" w:rsidRPr="00363C69" w14:paraId="201C5CF3" w14:textId="77777777">
        <w:trPr>
          <w:jc w:val="center"/>
        </w:trPr>
        <w:tc>
          <w:tcPr>
            <w:tcW w:w="1987" w:type="dxa"/>
            <w:vAlign w:val="center"/>
          </w:tcPr>
          <w:p w14:paraId="4714B81B"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Professional writing/presentation</w:t>
            </w:r>
          </w:p>
        </w:tc>
        <w:tc>
          <w:tcPr>
            <w:tcW w:w="1987" w:type="dxa"/>
            <w:vAlign w:val="center"/>
          </w:tcPr>
          <w:p w14:paraId="00E7D03C"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Communication and executive storytelling</w:t>
            </w:r>
          </w:p>
        </w:tc>
        <w:tc>
          <w:tcPr>
            <w:tcW w:w="1987" w:type="dxa"/>
            <w:vAlign w:val="center"/>
          </w:tcPr>
          <w:p w14:paraId="582C3AE7"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Improved structure, clarity and audience adaptation</w:t>
            </w:r>
          </w:p>
        </w:tc>
        <w:tc>
          <w:tcPr>
            <w:tcW w:w="1987" w:type="dxa"/>
            <w:vAlign w:val="center"/>
          </w:tcPr>
          <w:p w14:paraId="33DC9719"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May make writing generic and reduce personal voice</w:t>
            </w:r>
          </w:p>
        </w:tc>
        <w:tc>
          <w:tcPr>
            <w:tcW w:w="1987" w:type="dxa"/>
            <w:vAlign w:val="center"/>
          </w:tcPr>
          <w:p w14:paraId="309D5D98"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Edit critically, add own judgement and retain accountability</w:t>
            </w:r>
          </w:p>
        </w:tc>
      </w:tr>
    </w:tbl>
    <w:p w14:paraId="7B2689C0" w14:textId="77777777" w:rsidR="00903DF7" w:rsidRPr="00363C69" w:rsidRDefault="00903DF7" w:rsidP="00363C69">
      <w:pPr>
        <w:spacing w:line="360" w:lineRule="auto"/>
        <w:jc w:val="both"/>
        <w:rPr>
          <w:rFonts w:ascii="Arial" w:hAnsi="Arial" w:cs="Arial"/>
          <w:color w:val="000000" w:themeColor="text1"/>
          <w:sz w:val="24"/>
          <w:szCs w:val="24"/>
        </w:rPr>
      </w:pPr>
    </w:p>
    <w:p w14:paraId="107F82CA" w14:textId="132BDF93" w:rsidR="00903DF7" w:rsidRPr="00363C69" w:rsidRDefault="009F71D4"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My experience suggests that efficient use of AI requires higher-level capabilities rather than lower capabilities. My learning priorities are thus to be an AI-savvy human resource professional able to question outputs, verify evidence, detect bias, and make responsible decisions. Efficiency in the use of AI produces value only if combined with improved human judgement.</w:t>
      </w:r>
    </w:p>
    <w:p w14:paraId="06C9326A" w14:textId="77777777" w:rsidR="00903DF7" w:rsidRPr="00363C69" w:rsidRDefault="00285C3A" w:rsidP="00363C69">
      <w:pPr>
        <w:pStyle w:val="Heading2"/>
        <w:spacing w:line="360" w:lineRule="auto"/>
        <w:jc w:val="both"/>
        <w:rPr>
          <w:rFonts w:ascii="Arial" w:hAnsi="Arial" w:cs="Arial"/>
          <w:color w:val="000000" w:themeColor="text1"/>
          <w:szCs w:val="24"/>
        </w:rPr>
      </w:pPr>
      <w:bookmarkStart w:id="11" w:name="_Toc242804336"/>
      <w:r w:rsidRPr="00363C69">
        <w:rPr>
          <w:rFonts w:ascii="Arial" w:hAnsi="Arial" w:cs="Arial"/>
          <w:color w:val="000000" w:themeColor="text1"/>
          <w:szCs w:val="24"/>
        </w:rPr>
        <w:t>C3. Personal capability development plan</w:t>
      </w:r>
      <w:bookmarkEnd w:id="11"/>
    </w:p>
    <w:p w14:paraId="3EEA0B52" w14:textId="0105F526" w:rsidR="00973B69" w:rsidRPr="00363C69" w:rsidRDefault="00973B69" w:rsidP="00363C69">
      <w:pPr>
        <w:spacing w:line="360" w:lineRule="auto"/>
        <w:jc w:val="both"/>
        <w:rPr>
          <w:rFonts w:ascii="Arial" w:hAnsi="Arial" w:cs="Arial"/>
          <w:b/>
          <w:bCs/>
          <w:color w:val="000000" w:themeColor="text1"/>
          <w:sz w:val="24"/>
          <w:szCs w:val="24"/>
        </w:rPr>
      </w:pPr>
      <w:r w:rsidRPr="00363C69">
        <w:rPr>
          <w:rFonts w:ascii="Arial" w:hAnsi="Arial" w:cs="Arial"/>
          <w:b/>
          <w:bCs/>
          <w:color w:val="000000" w:themeColor="text1"/>
          <w:sz w:val="24"/>
          <w:szCs w:val="24"/>
        </w:rPr>
        <w:t>Table 6: Personal capability development plan</w:t>
      </w:r>
    </w:p>
    <w:tbl>
      <w:tblPr>
        <w:tblStyle w:val="TableGrid"/>
        <w:tblW w:w="0" w:type="auto"/>
        <w:jc w:val="center"/>
        <w:tblLook w:val="04A0" w:firstRow="1" w:lastRow="0" w:firstColumn="1" w:lastColumn="0" w:noHBand="0" w:noVBand="1"/>
      </w:tblPr>
      <w:tblGrid>
        <w:gridCol w:w="2431"/>
        <w:gridCol w:w="2004"/>
        <w:gridCol w:w="2271"/>
        <w:gridCol w:w="1802"/>
        <w:gridCol w:w="1644"/>
      </w:tblGrid>
      <w:tr w:rsidR="00363C69" w:rsidRPr="00363C69" w14:paraId="2BE78F02" w14:textId="77777777">
        <w:trPr>
          <w:jc w:val="center"/>
        </w:trPr>
        <w:tc>
          <w:tcPr>
            <w:tcW w:w="1987" w:type="dxa"/>
            <w:shd w:val="clear" w:color="auto" w:fill="D9EAF7"/>
          </w:tcPr>
          <w:p w14:paraId="6F9FB45E"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Capability</w:t>
            </w:r>
          </w:p>
        </w:tc>
        <w:tc>
          <w:tcPr>
            <w:tcW w:w="1987" w:type="dxa"/>
            <w:shd w:val="clear" w:color="auto" w:fill="D9EAF7"/>
          </w:tcPr>
          <w:p w14:paraId="5CD76C43"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Development need</w:t>
            </w:r>
          </w:p>
        </w:tc>
        <w:tc>
          <w:tcPr>
            <w:tcW w:w="1987" w:type="dxa"/>
            <w:shd w:val="clear" w:color="auto" w:fill="D9EAF7"/>
          </w:tcPr>
          <w:p w14:paraId="4F6138C1"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Action</w:t>
            </w:r>
          </w:p>
        </w:tc>
        <w:tc>
          <w:tcPr>
            <w:tcW w:w="1987" w:type="dxa"/>
            <w:shd w:val="clear" w:color="auto" w:fill="D9EAF7"/>
          </w:tcPr>
          <w:p w14:paraId="5FCB2BF6"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Measure</w:t>
            </w:r>
          </w:p>
        </w:tc>
        <w:tc>
          <w:tcPr>
            <w:tcW w:w="1987" w:type="dxa"/>
            <w:shd w:val="clear" w:color="auto" w:fill="D9EAF7"/>
          </w:tcPr>
          <w:p w14:paraId="1062732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b/>
                <w:color w:val="000000" w:themeColor="text1"/>
                <w:sz w:val="24"/>
                <w:szCs w:val="24"/>
              </w:rPr>
              <w:t>Timescale</w:t>
            </w:r>
          </w:p>
        </w:tc>
      </w:tr>
      <w:tr w:rsidR="00363C69" w:rsidRPr="00363C69" w14:paraId="3E04C0F6" w14:textId="77777777">
        <w:trPr>
          <w:jc w:val="center"/>
        </w:trPr>
        <w:tc>
          <w:tcPr>
            <w:tcW w:w="1987" w:type="dxa"/>
            <w:vAlign w:val="center"/>
          </w:tcPr>
          <w:p w14:paraId="6D660748"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AI &amp; people analytics</w:t>
            </w:r>
          </w:p>
        </w:tc>
        <w:tc>
          <w:tcPr>
            <w:tcW w:w="1987" w:type="dxa"/>
            <w:vAlign w:val="center"/>
          </w:tcPr>
          <w:p w14:paraId="7E3240E6"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Strengthen predictive HR and responsible AI knowledge</w:t>
            </w:r>
          </w:p>
        </w:tc>
        <w:tc>
          <w:tcPr>
            <w:tcW w:w="1987" w:type="dxa"/>
            <w:vAlign w:val="center"/>
          </w:tcPr>
          <w:p w14:paraId="68F0BF66"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Complete applied people-analytics projects using Python/SQL/R and HR datasets</w:t>
            </w:r>
          </w:p>
        </w:tc>
        <w:tc>
          <w:tcPr>
            <w:tcW w:w="1987" w:type="dxa"/>
            <w:vAlign w:val="center"/>
          </w:tcPr>
          <w:p w14:paraId="76EB9207"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2 portfolio projects + ethical review</w:t>
            </w:r>
          </w:p>
        </w:tc>
        <w:tc>
          <w:tcPr>
            <w:tcW w:w="1987" w:type="dxa"/>
            <w:vAlign w:val="center"/>
          </w:tcPr>
          <w:p w14:paraId="464E1EEA"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0–6 months</w:t>
            </w:r>
          </w:p>
        </w:tc>
      </w:tr>
      <w:tr w:rsidR="00363C69" w:rsidRPr="00363C69" w14:paraId="23899CB2" w14:textId="77777777">
        <w:trPr>
          <w:jc w:val="center"/>
        </w:trPr>
        <w:tc>
          <w:tcPr>
            <w:tcW w:w="1987" w:type="dxa"/>
            <w:vAlign w:val="center"/>
          </w:tcPr>
          <w:p w14:paraId="576B81EB"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Evidence-based HR</w:t>
            </w:r>
          </w:p>
        </w:tc>
        <w:tc>
          <w:tcPr>
            <w:tcW w:w="1987" w:type="dxa"/>
            <w:vAlign w:val="center"/>
          </w:tcPr>
          <w:p w14:paraId="52640B6E"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Improve critical evaluation of sources and models</w:t>
            </w:r>
          </w:p>
        </w:tc>
        <w:tc>
          <w:tcPr>
            <w:tcW w:w="1987" w:type="dxa"/>
            <w:vAlign w:val="center"/>
          </w:tcPr>
          <w:p w14:paraId="63176CDA"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Use systematic search, triangulation and source-quality checks</w:t>
            </w:r>
          </w:p>
        </w:tc>
        <w:tc>
          <w:tcPr>
            <w:tcW w:w="1987" w:type="dxa"/>
            <w:vAlign w:val="center"/>
          </w:tcPr>
          <w:p w14:paraId="14B7C4A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Source audit in major reports</w:t>
            </w:r>
          </w:p>
        </w:tc>
        <w:tc>
          <w:tcPr>
            <w:tcW w:w="1987" w:type="dxa"/>
            <w:vAlign w:val="center"/>
          </w:tcPr>
          <w:p w14:paraId="68FF41BB"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0–6 months</w:t>
            </w:r>
          </w:p>
        </w:tc>
      </w:tr>
      <w:tr w:rsidR="00363C69" w:rsidRPr="00363C69" w14:paraId="48532995" w14:textId="77777777">
        <w:trPr>
          <w:jc w:val="center"/>
        </w:trPr>
        <w:tc>
          <w:tcPr>
            <w:tcW w:w="1987" w:type="dxa"/>
            <w:vAlign w:val="center"/>
          </w:tcPr>
          <w:p w14:paraId="714D128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Strategic HRM</w:t>
            </w:r>
          </w:p>
        </w:tc>
        <w:tc>
          <w:tcPr>
            <w:tcW w:w="1987" w:type="dxa"/>
            <w:vAlign w:val="center"/>
          </w:tcPr>
          <w:p w14:paraId="34CBE7C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Connect people interventions to business outcomes</w:t>
            </w:r>
          </w:p>
        </w:tc>
        <w:tc>
          <w:tcPr>
            <w:tcW w:w="1987" w:type="dxa"/>
            <w:vAlign w:val="center"/>
          </w:tcPr>
          <w:p w14:paraId="0D86D1ED"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Study HPWS, talent management, EX and workforce planning</w:t>
            </w:r>
          </w:p>
        </w:tc>
        <w:tc>
          <w:tcPr>
            <w:tcW w:w="1987" w:type="dxa"/>
            <w:vAlign w:val="center"/>
          </w:tcPr>
          <w:p w14:paraId="0830196A"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3 strategic case analyses</w:t>
            </w:r>
          </w:p>
        </w:tc>
        <w:tc>
          <w:tcPr>
            <w:tcW w:w="1987" w:type="dxa"/>
            <w:vAlign w:val="center"/>
          </w:tcPr>
          <w:p w14:paraId="384BA058"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3–9 months</w:t>
            </w:r>
          </w:p>
        </w:tc>
      </w:tr>
      <w:tr w:rsidR="00363C69" w:rsidRPr="00363C69" w14:paraId="777D76E2" w14:textId="77777777">
        <w:trPr>
          <w:jc w:val="center"/>
        </w:trPr>
        <w:tc>
          <w:tcPr>
            <w:tcW w:w="1987" w:type="dxa"/>
            <w:vAlign w:val="center"/>
          </w:tcPr>
          <w:p w14:paraId="396F1C4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Communication</w:t>
            </w:r>
          </w:p>
        </w:tc>
        <w:tc>
          <w:tcPr>
            <w:tcW w:w="1987" w:type="dxa"/>
            <w:vAlign w:val="center"/>
          </w:tcPr>
          <w:p w14:paraId="769BF5BA"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Develop executive recommendation skills</w:t>
            </w:r>
          </w:p>
        </w:tc>
        <w:tc>
          <w:tcPr>
            <w:tcW w:w="1987" w:type="dxa"/>
            <w:vAlign w:val="center"/>
          </w:tcPr>
          <w:p w14:paraId="582ED409"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Practise concise dashboards and board presentations</w:t>
            </w:r>
          </w:p>
        </w:tc>
        <w:tc>
          <w:tcPr>
            <w:tcW w:w="1987" w:type="dxa"/>
            <w:vAlign w:val="center"/>
          </w:tcPr>
          <w:p w14:paraId="178933AA"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4 presentations with feedback</w:t>
            </w:r>
          </w:p>
        </w:tc>
        <w:tc>
          <w:tcPr>
            <w:tcW w:w="1987" w:type="dxa"/>
            <w:vAlign w:val="center"/>
          </w:tcPr>
          <w:p w14:paraId="058FC4CC"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3–9 months</w:t>
            </w:r>
          </w:p>
        </w:tc>
      </w:tr>
      <w:tr w:rsidR="00363C69" w:rsidRPr="00363C69" w14:paraId="2DE3A235" w14:textId="77777777">
        <w:trPr>
          <w:jc w:val="center"/>
        </w:trPr>
        <w:tc>
          <w:tcPr>
            <w:tcW w:w="1987" w:type="dxa"/>
            <w:vAlign w:val="center"/>
          </w:tcPr>
          <w:p w14:paraId="2346C5D2"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Leadership/coaching</w:t>
            </w:r>
          </w:p>
        </w:tc>
        <w:tc>
          <w:tcPr>
            <w:tcW w:w="1987" w:type="dxa"/>
            <w:vAlign w:val="center"/>
          </w:tcPr>
          <w:p w14:paraId="6D1FDD95"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Build capability to facilitate development</w:t>
            </w:r>
          </w:p>
        </w:tc>
        <w:tc>
          <w:tcPr>
            <w:tcW w:w="1987" w:type="dxa"/>
            <w:vAlign w:val="center"/>
          </w:tcPr>
          <w:p w14:paraId="7A84843A"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Coaching/feedback training and team exercises</w:t>
            </w:r>
          </w:p>
        </w:tc>
        <w:tc>
          <w:tcPr>
            <w:tcW w:w="1987" w:type="dxa"/>
            <w:vAlign w:val="center"/>
          </w:tcPr>
          <w:p w14:paraId="48D1A2E0"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Feedback ≥4/5</w:t>
            </w:r>
          </w:p>
        </w:tc>
        <w:tc>
          <w:tcPr>
            <w:tcW w:w="1987" w:type="dxa"/>
            <w:vAlign w:val="center"/>
          </w:tcPr>
          <w:p w14:paraId="2D624451"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6–12 months</w:t>
            </w:r>
          </w:p>
        </w:tc>
      </w:tr>
      <w:tr w:rsidR="00363C69" w:rsidRPr="00363C69" w14:paraId="3A6622BB" w14:textId="77777777">
        <w:trPr>
          <w:jc w:val="center"/>
        </w:trPr>
        <w:tc>
          <w:tcPr>
            <w:tcW w:w="1987" w:type="dxa"/>
            <w:vAlign w:val="center"/>
          </w:tcPr>
          <w:p w14:paraId="10D2895F"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Ethical judgement</w:t>
            </w:r>
          </w:p>
        </w:tc>
        <w:tc>
          <w:tcPr>
            <w:tcW w:w="1987" w:type="dxa"/>
            <w:vAlign w:val="center"/>
          </w:tcPr>
          <w:p w14:paraId="77ECCB3D"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Deepen responsible AI and employment ethics</w:t>
            </w:r>
          </w:p>
        </w:tc>
        <w:tc>
          <w:tcPr>
            <w:tcW w:w="1987" w:type="dxa"/>
            <w:vAlign w:val="center"/>
          </w:tcPr>
          <w:p w14:paraId="523DD92C"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Maintain AI-HR ethics checklist for projects</w:t>
            </w:r>
          </w:p>
        </w:tc>
        <w:tc>
          <w:tcPr>
            <w:tcW w:w="1987" w:type="dxa"/>
            <w:vAlign w:val="center"/>
          </w:tcPr>
          <w:p w14:paraId="29C14A1F"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100% projects reviewed</w:t>
            </w:r>
          </w:p>
        </w:tc>
        <w:tc>
          <w:tcPr>
            <w:tcW w:w="1987" w:type="dxa"/>
            <w:vAlign w:val="center"/>
          </w:tcPr>
          <w:p w14:paraId="774558A1" w14:textId="77777777" w:rsidR="00903DF7" w:rsidRPr="00363C69" w:rsidRDefault="00285C3A"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Ongoing</w:t>
            </w:r>
          </w:p>
        </w:tc>
      </w:tr>
    </w:tbl>
    <w:p w14:paraId="2A25EA11" w14:textId="77777777" w:rsidR="00903DF7" w:rsidRPr="00363C69" w:rsidRDefault="00285C3A" w:rsidP="00363C69">
      <w:pPr>
        <w:pStyle w:val="Heading1"/>
        <w:spacing w:line="360" w:lineRule="auto"/>
        <w:jc w:val="both"/>
        <w:rPr>
          <w:rFonts w:ascii="Arial" w:hAnsi="Arial" w:cs="Arial"/>
          <w:color w:val="000000" w:themeColor="text1"/>
          <w:sz w:val="24"/>
          <w:szCs w:val="24"/>
        </w:rPr>
      </w:pPr>
      <w:bookmarkStart w:id="12" w:name="_Toc242804337"/>
      <w:r w:rsidRPr="00363C69">
        <w:rPr>
          <w:rFonts w:ascii="Arial" w:hAnsi="Arial" w:cs="Arial"/>
          <w:color w:val="000000" w:themeColor="text1"/>
          <w:sz w:val="24"/>
          <w:szCs w:val="24"/>
        </w:rPr>
        <w:t>Conclusion</w:t>
      </w:r>
      <w:bookmarkEnd w:id="12"/>
    </w:p>
    <w:p w14:paraId="63BAB9D9" w14:textId="44C9B74D" w:rsidR="00903DF7" w:rsidRPr="00363C69" w:rsidRDefault="00830F50" w:rsidP="00363C69">
      <w:pPr>
        <w:spacing w:line="360" w:lineRule="auto"/>
        <w:jc w:val="both"/>
        <w:rPr>
          <w:rFonts w:ascii="Arial" w:hAnsi="Arial" w:cs="Arial"/>
          <w:color w:val="000000" w:themeColor="text1"/>
          <w:sz w:val="24"/>
          <w:szCs w:val="24"/>
        </w:rPr>
      </w:pPr>
      <w:r w:rsidRPr="00363C69">
        <w:rPr>
          <w:rFonts w:ascii="Arial" w:hAnsi="Arial" w:cs="Arial"/>
          <w:color w:val="000000" w:themeColor="text1"/>
          <w:sz w:val="24"/>
          <w:szCs w:val="24"/>
        </w:rPr>
        <w:t>The report above has explored ways in which NHSX may enhance its organisational performance using working practices and talent management. Working flexibly, high-performance working practices, and employee experimentation could promote teamwork, productivity and constant improvement. Talent management should involve continuous learning and career development, psychological safety and engagement of employees, and well-being of employees through performance management. All this needs to be carried out clearly allocating responsibilities, having appropriate resources and measuring outcomes. Evaluation will be necessary for NHSX in order to know what works, what does not work and how employee development impacts on organizational performance.</w:t>
      </w:r>
      <w:r w:rsidR="009F71D4" w:rsidRPr="00363C69">
        <w:rPr>
          <w:rFonts w:ascii="Arial" w:hAnsi="Arial" w:cs="Arial"/>
          <w:color w:val="000000" w:themeColor="text1"/>
          <w:sz w:val="24"/>
          <w:szCs w:val="24"/>
        </w:rPr>
        <w:t xml:space="preserve"> </w:t>
      </w:r>
    </w:p>
    <w:p w14:paraId="19C1623C" w14:textId="77777777" w:rsidR="00973B69" w:rsidRPr="00363C69" w:rsidRDefault="00973B69" w:rsidP="00363C69">
      <w:pPr>
        <w:spacing w:after="200" w:line="360" w:lineRule="auto"/>
        <w:jc w:val="both"/>
        <w:rPr>
          <w:rFonts w:ascii="Arial" w:eastAsiaTheme="majorEastAsia" w:hAnsi="Arial" w:cs="Arial"/>
          <w:b/>
          <w:bCs/>
          <w:color w:val="000000" w:themeColor="text1"/>
          <w:sz w:val="24"/>
          <w:szCs w:val="24"/>
        </w:rPr>
      </w:pPr>
      <w:r w:rsidRPr="00363C69">
        <w:rPr>
          <w:rFonts w:ascii="Arial" w:hAnsi="Arial" w:cs="Arial"/>
          <w:color w:val="000000" w:themeColor="text1"/>
          <w:sz w:val="24"/>
          <w:szCs w:val="24"/>
        </w:rPr>
        <w:br w:type="page"/>
      </w:r>
    </w:p>
    <w:p w14:paraId="0804F0DC" w14:textId="55E05247" w:rsidR="00973B69" w:rsidRPr="00363C69" w:rsidRDefault="00285C3A" w:rsidP="00363C69">
      <w:pPr>
        <w:pStyle w:val="Heading1"/>
        <w:spacing w:line="360" w:lineRule="auto"/>
        <w:jc w:val="both"/>
        <w:rPr>
          <w:rFonts w:ascii="Arial" w:hAnsi="Arial" w:cs="Arial"/>
          <w:color w:val="000000" w:themeColor="text1"/>
          <w:sz w:val="24"/>
          <w:szCs w:val="24"/>
        </w:rPr>
      </w:pPr>
      <w:bookmarkStart w:id="13" w:name="_Toc242804338"/>
      <w:r w:rsidRPr="00363C69">
        <w:rPr>
          <w:rFonts w:ascii="Arial" w:hAnsi="Arial" w:cs="Arial"/>
          <w:color w:val="000000" w:themeColor="text1"/>
          <w:sz w:val="24"/>
          <w:szCs w:val="24"/>
        </w:rPr>
        <w:t>References</w:t>
      </w:r>
      <w:bookmarkEnd w:id="13"/>
    </w:p>
    <w:p w14:paraId="050FB4BD"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Anjani, P.K. and Prabavathi, D., 2025. How Does Talent Management Infl uence Organizational Performance? The Role of a Healthy Workplace Environment in ITES Firms in Bengaluru. </w:t>
      </w:r>
      <w:r w:rsidRPr="00363C69">
        <w:rPr>
          <w:rFonts w:ascii="Arial" w:hAnsi="Arial" w:cs="Arial"/>
          <w:i/>
          <w:iCs/>
          <w:color w:val="000000" w:themeColor="text1"/>
          <w:sz w:val="24"/>
          <w:szCs w:val="24"/>
          <w:shd w:val="clear" w:color="auto" w:fill="FFFFFF"/>
        </w:rPr>
        <w:t>Revista de Cercetare si Interventie Sociala</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88</w:t>
      </w:r>
      <w:r w:rsidRPr="00363C69">
        <w:rPr>
          <w:rFonts w:ascii="Arial" w:hAnsi="Arial" w:cs="Arial"/>
          <w:color w:val="000000" w:themeColor="text1"/>
          <w:sz w:val="24"/>
          <w:szCs w:val="24"/>
          <w:shd w:val="clear" w:color="auto" w:fill="FFFFFF"/>
        </w:rPr>
        <w:t>, p.187.</w:t>
      </w:r>
      <w:r w:rsidRPr="00363C69">
        <w:rPr>
          <w:rFonts w:ascii="Arial" w:hAnsi="Arial" w:cs="Arial"/>
          <w:color w:val="000000" w:themeColor="text1"/>
          <w:sz w:val="24"/>
          <w:szCs w:val="24"/>
        </w:rPr>
        <w:t xml:space="preserve"> </w:t>
      </w:r>
      <w:hyperlink r:id="rId10" w:history="1">
        <w:r w:rsidRPr="00363C69">
          <w:rPr>
            <w:rStyle w:val="Hyperlink"/>
            <w:rFonts w:ascii="Arial" w:hAnsi="Arial" w:cs="Arial"/>
            <w:color w:val="000000" w:themeColor="text1"/>
            <w:sz w:val="24"/>
            <w:szCs w:val="24"/>
            <w:shd w:val="clear" w:color="auto" w:fill="FFFFFF"/>
          </w:rPr>
          <w:t>https://www.ceeol.com/search/article-detail?id=1325430</w:t>
        </w:r>
      </w:hyperlink>
      <w:r w:rsidRPr="00363C69">
        <w:rPr>
          <w:rFonts w:ascii="Arial" w:hAnsi="Arial" w:cs="Arial"/>
          <w:color w:val="000000" w:themeColor="text1"/>
          <w:sz w:val="24"/>
          <w:szCs w:val="24"/>
          <w:shd w:val="clear" w:color="auto" w:fill="FFFFFF"/>
        </w:rPr>
        <w:t xml:space="preserve"> </w:t>
      </w:r>
    </w:p>
    <w:p w14:paraId="46956A23"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Bristol-Alagbariya, B., Ayanponle, O.L. and Ogedengbe, D.E., 2024. Leadership development and talent management in constrained resource settings: A strategic HR perspective. </w:t>
      </w:r>
      <w:r w:rsidRPr="00363C69">
        <w:rPr>
          <w:rFonts w:ascii="Arial" w:hAnsi="Arial" w:cs="Arial"/>
          <w:i/>
          <w:iCs/>
          <w:color w:val="000000" w:themeColor="text1"/>
          <w:sz w:val="24"/>
          <w:szCs w:val="24"/>
          <w:shd w:val="clear" w:color="auto" w:fill="FFFFFF"/>
        </w:rPr>
        <w:t>Comprehensive Research and Reviews Journal</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2</w:t>
      </w:r>
      <w:r w:rsidRPr="00363C69">
        <w:rPr>
          <w:rFonts w:ascii="Arial" w:hAnsi="Arial" w:cs="Arial"/>
          <w:color w:val="000000" w:themeColor="text1"/>
          <w:sz w:val="24"/>
          <w:szCs w:val="24"/>
          <w:shd w:val="clear" w:color="auto" w:fill="FFFFFF"/>
        </w:rPr>
        <w:t>(02), pp.013-022.</w:t>
      </w:r>
      <w:r w:rsidRPr="00363C69">
        <w:rPr>
          <w:rFonts w:ascii="Arial" w:hAnsi="Arial" w:cs="Arial"/>
          <w:color w:val="000000" w:themeColor="text1"/>
          <w:sz w:val="24"/>
          <w:szCs w:val="24"/>
        </w:rPr>
        <w:t xml:space="preserve"> </w:t>
      </w:r>
      <w:hyperlink r:id="rId11" w:history="1">
        <w:r w:rsidRPr="00363C69">
          <w:rPr>
            <w:rStyle w:val="Hyperlink"/>
            <w:rFonts w:ascii="Arial" w:hAnsi="Arial" w:cs="Arial"/>
            <w:color w:val="000000" w:themeColor="text1"/>
            <w:sz w:val="24"/>
            <w:szCs w:val="24"/>
            <w:shd w:val="clear" w:color="auto" w:fill="FFFFFF"/>
          </w:rPr>
          <w:t>https://crrjournals.com/crrj/sites/default/files/CRRJ-2024-0031.pdf</w:t>
        </w:r>
      </w:hyperlink>
      <w:r w:rsidRPr="00363C69">
        <w:rPr>
          <w:rFonts w:ascii="Arial" w:hAnsi="Arial" w:cs="Arial"/>
          <w:color w:val="000000" w:themeColor="text1"/>
          <w:sz w:val="24"/>
          <w:szCs w:val="24"/>
          <w:shd w:val="clear" w:color="auto" w:fill="FFFFFF"/>
        </w:rPr>
        <w:t xml:space="preserve"> </w:t>
      </w:r>
    </w:p>
    <w:p w14:paraId="6D159262"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Farmanesh, P., Mostepaniuk, A., Khoshkar, P.G. and Alhamdan, R., 2023. Fostering employees’ job performance through sustainable human resources management and trust in leaders—a mediation analysis. </w:t>
      </w:r>
      <w:r w:rsidRPr="00363C69">
        <w:rPr>
          <w:rFonts w:ascii="Arial" w:hAnsi="Arial" w:cs="Arial"/>
          <w:i/>
          <w:iCs/>
          <w:color w:val="000000" w:themeColor="text1"/>
          <w:sz w:val="24"/>
          <w:szCs w:val="24"/>
          <w:shd w:val="clear" w:color="auto" w:fill="FFFFFF"/>
        </w:rPr>
        <w:t>Sustainability</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15</w:t>
      </w:r>
      <w:r w:rsidRPr="00363C69">
        <w:rPr>
          <w:rFonts w:ascii="Arial" w:hAnsi="Arial" w:cs="Arial"/>
          <w:color w:val="000000" w:themeColor="text1"/>
          <w:sz w:val="24"/>
          <w:szCs w:val="24"/>
          <w:shd w:val="clear" w:color="auto" w:fill="FFFFFF"/>
        </w:rPr>
        <w:t>(19), p.14223.</w:t>
      </w:r>
      <w:r w:rsidRPr="00363C69">
        <w:rPr>
          <w:rFonts w:ascii="Arial" w:hAnsi="Arial" w:cs="Arial"/>
          <w:color w:val="000000" w:themeColor="text1"/>
          <w:sz w:val="24"/>
          <w:szCs w:val="24"/>
        </w:rPr>
        <w:t xml:space="preserve"> </w:t>
      </w:r>
      <w:hyperlink r:id="rId12" w:history="1">
        <w:r w:rsidRPr="00363C69">
          <w:rPr>
            <w:rStyle w:val="Hyperlink"/>
            <w:rFonts w:ascii="Arial" w:hAnsi="Arial" w:cs="Arial"/>
            <w:color w:val="000000" w:themeColor="text1"/>
            <w:sz w:val="24"/>
            <w:szCs w:val="24"/>
            <w:shd w:val="clear" w:color="auto" w:fill="FFFFFF"/>
          </w:rPr>
          <w:t>https://www.mdpi.com/2071-1050/15/19/14223</w:t>
        </w:r>
      </w:hyperlink>
      <w:r w:rsidRPr="00363C69">
        <w:rPr>
          <w:rFonts w:ascii="Arial" w:hAnsi="Arial" w:cs="Arial"/>
          <w:color w:val="000000" w:themeColor="text1"/>
          <w:sz w:val="24"/>
          <w:szCs w:val="24"/>
          <w:shd w:val="clear" w:color="auto" w:fill="FFFFFF"/>
        </w:rPr>
        <w:t xml:space="preserve"> </w:t>
      </w:r>
    </w:p>
    <w:p w14:paraId="6F9DB95A"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Habib, M., 2026. </w:t>
      </w:r>
      <w:r w:rsidRPr="00363C69">
        <w:rPr>
          <w:rFonts w:ascii="Arial" w:hAnsi="Arial" w:cs="Arial"/>
          <w:i/>
          <w:iCs/>
          <w:color w:val="000000" w:themeColor="text1"/>
          <w:sz w:val="24"/>
          <w:szCs w:val="24"/>
          <w:shd w:val="clear" w:color="auto" w:fill="FFFFFF"/>
        </w:rPr>
        <w:t>Navigating Competition And Collaboration: A Labour Process Study Of Nhs Workforce Experiences With Integrated Care Systems</w:t>
      </w:r>
      <w:r w:rsidRPr="00363C69">
        <w:rPr>
          <w:rFonts w:ascii="Arial" w:hAnsi="Arial" w:cs="Arial"/>
          <w:color w:val="000000" w:themeColor="text1"/>
          <w:sz w:val="24"/>
          <w:szCs w:val="24"/>
          <w:shd w:val="clear" w:color="auto" w:fill="FFFFFF"/>
        </w:rPr>
        <w:t xml:space="preserve"> (Doctoral dissertation, University of Leicester).</w:t>
      </w:r>
      <w:r w:rsidRPr="00363C69">
        <w:rPr>
          <w:rFonts w:ascii="Arial" w:hAnsi="Arial" w:cs="Arial"/>
          <w:color w:val="000000" w:themeColor="text1"/>
          <w:sz w:val="24"/>
          <w:szCs w:val="24"/>
        </w:rPr>
        <w:t xml:space="preserve"> </w:t>
      </w:r>
      <w:hyperlink r:id="rId13" w:history="1">
        <w:r w:rsidRPr="00363C69">
          <w:rPr>
            <w:rStyle w:val="Hyperlink"/>
            <w:rFonts w:ascii="Arial" w:hAnsi="Arial" w:cs="Arial"/>
            <w:color w:val="000000" w:themeColor="text1"/>
            <w:sz w:val="24"/>
            <w:szCs w:val="24"/>
            <w:shd w:val="clear" w:color="auto" w:fill="FFFFFF"/>
          </w:rPr>
          <w:t>https://figshare.le.ac.uk/articles/thesis/Navigating_Competition_And_Collaboration_A_Labour_Process_Study_Of_Nhs_Workforce_Experiences_With_Integrated_Care_Systems/31095541</w:t>
        </w:r>
      </w:hyperlink>
      <w:r w:rsidRPr="00363C69">
        <w:rPr>
          <w:rFonts w:ascii="Arial" w:hAnsi="Arial" w:cs="Arial"/>
          <w:color w:val="000000" w:themeColor="text1"/>
          <w:sz w:val="24"/>
          <w:szCs w:val="24"/>
          <w:shd w:val="clear" w:color="auto" w:fill="FFFFFF"/>
        </w:rPr>
        <w:t xml:space="preserve"> </w:t>
      </w:r>
    </w:p>
    <w:p w14:paraId="10DCA65D"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Hoxha, G., Simeli, I., Theocharis, D., Vasileiou, A. and Tsekouropoulos, G., 2024. Sustainable healthcare quality and job satisfaction through organizational culture: Approaches and outcomes. </w:t>
      </w:r>
      <w:r w:rsidRPr="00363C69">
        <w:rPr>
          <w:rFonts w:ascii="Arial" w:hAnsi="Arial" w:cs="Arial"/>
          <w:i/>
          <w:iCs/>
          <w:color w:val="000000" w:themeColor="text1"/>
          <w:sz w:val="24"/>
          <w:szCs w:val="24"/>
          <w:shd w:val="clear" w:color="auto" w:fill="FFFFFF"/>
        </w:rPr>
        <w:t>Sustainability</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16</w:t>
      </w:r>
      <w:r w:rsidRPr="00363C69">
        <w:rPr>
          <w:rFonts w:ascii="Arial" w:hAnsi="Arial" w:cs="Arial"/>
          <w:color w:val="000000" w:themeColor="text1"/>
          <w:sz w:val="24"/>
          <w:szCs w:val="24"/>
          <w:shd w:val="clear" w:color="auto" w:fill="FFFFFF"/>
        </w:rPr>
        <w:t>(9), p.3603.</w:t>
      </w:r>
      <w:r w:rsidRPr="00363C69">
        <w:rPr>
          <w:rFonts w:ascii="Arial" w:hAnsi="Arial" w:cs="Arial"/>
          <w:color w:val="000000" w:themeColor="text1"/>
          <w:sz w:val="24"/>
          <w:szCs w:val="24"/>
        </w:rPr>
        <w:t xml:space="preserve"> </w:t>
      </w:r>
      <w:hyperlink r:id="rId14" w:history="1">
        <w:r w:rsidRPr="00363C69">
          <w:rPr>
            <w:rStyle w:val="Hyperlink"/>
            <w:rFonts w:ascii="Arial" w:hAnsi="Arial" w:cs="Arial"/>
            <w:color w:val="000000" w:themeColor="text1"/>
            <w:sz w:val="24"/>
            <w:szCs w:val="24"/>
            <w:shd w:val="clear" w:color="auto" w:fill="FFFFFF"/>
          </w:rPr>
          <w:t>https://www.mdpi.com/2071-1050/16/9/3603</w:t>
        </w:r>
      </w:hyperlink>
      <w:r w:rsidRPr="00363C69">
        <w:rPr>
          <w:rFonts w:ascii="Arial" w:hAnsi="Arial" w:cs="Arial"/>
          <w:color w:val="000000" w:themeColor="text1"/>
          <w:sz w:val="24"/>
          <w:szCs w:val="24"/>
          <w:shd w:val="clear" w:color="auto" w:fill="FFFFFF"/>
        </w:rPr>
        <w:t xml:space="preserve"> </w:t>
      </w:r>
    </w:p>
    <w:p w14:paraId="7BE6EA37"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Mujtaba, B.G. and Lawrence, E.T., 2024. Workplaces of today and tomorrow to attract and retain top talent: challenges and opportunities with remote/hybrid practices. </w:t>
      </w:r>
      <w:r w:rsidRPr="00363C69">
        <w:rPr>
          <w:rFonts w:ascii="Arial" w:hAnsi="Arial" w:cs="Arial"/>
          <w:i/>
          <w:iCs/>
          <w:color w:val="000000" w:themeColor="text1"/>
          <w:sz w:val="24"/>
          <w:szCs w:val="24"/>
          <w:shd w:val="clear" w:color="auto" w:fill="FFFFFF"/>
        </w:rPr>
        <w:t>SocioEconomic Challenges</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8</w:t>
      </w:r>
      <w:r w:rsidRPr="00363C69">
        <w:rPr>
          <w:rFonts w:ascii="Arial" w:hAnsi="Arial" w:cs="Arial"/>
          <w:color w:val="000000" w:themeColor="text1"/>
          <w:sz w:val="24"/>
          <w:szCs w:val="24"/>
          <w:shd w:val="clear" w:color="auto" w:fill="FFFFFF"/>
        </w:rPr>
        <w:t>(2), pp.12-30.</w:t>
      </w:r>
      <w:r w:rsidRPr="00363C69">
        <w:rPr>
          <w:rFonts w:ascii="Arial" w:hAnsi="Arial" w:cs="Arial"/>
          <w:color w:val="000000" w:themeColor="text1"/>
          <w:sz w:val="24"/>
          <w:szCs w:val="24"/>
        </w:rPr>
        <w:t xml:space="preserve"> </w:t>
      </w:r>
      <w:hyperlink r:id="rId15" w:history="1">
        <w:r w:rsidRPr="00363C69">
          <w:rPr>
            <w:rStyle w:val="Hyperlink"/>
            <w:rFonts w:ascii="Arial" w:hAnsi="Arial" w:cs="Arial"/>
            <w:color w:val="000000" w:themeColor="text1"/>
            <w:sz w:val="24"/>
            <w:szCs w:val="24"/>
            <w:shd w:val="clear" w:color="auto" w:fill="FFFFFF"/>
          </w:rPr>
          <w:t>https://armgpublishing.com/journals/sec/volume-8-issue-2/article-2/</w:t>
        </w:r>
      </w:hyperlink>
      <w:r w:rsidRPr="00363C69">
        <w:rPr>
          <w:rFonts w:ascii="Arial" w:hAnsi="Arial" w:cs="Arial"/>
          <w:color w:val="000000" w:themeColor="text1"/>
          <w:sz w:val="24"/>
          <w:szCs w:val="24"/>
          <w:shd w:val="clear" w:color="auto" w:fill="FFFFFF"/>
        </w:rPr>
        <w:t xml:space="preserve"> </w:t>
      </w:r>
    </w:p>
    <w:p w14:paraId="64B4352B"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Muzaffar Zargar, S. and Gani, A., 2025. Fostering talent: the nexus of workplace well-being and enhanced employee performance. </w:t>
      </w:r>
      <w:r w:rsidRPr="00363C69">
        <w:rPr>
          <w:rFonts w:ascii="Arial" w:hAnsi="Arial" w:cs="Arial"/>
          <w:i/>
          <w:iCs/>
          <w:color w:val="000000" w:themeColor="text1"/>
          <w:sz w:val="24"/>
          <w:szCs w:val="24"/>
          <w:shd w:val="clear" w:color="auto" w:fill="FFFFFF"/>
        </w:rPr>
        <w:t>Industrial and Commercial Training</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57</w:t>
      </w:r>
      <w:r w:rsidRPr="00363C69">
        <w:rPr>
          <w:rFonts w:ascii="Arial" w:hAnsi="Arial" w:cs="Arial"/>
          <w:color w:val="000000" w:themeColor="text1"/>
          <w:sz w:val="24"/>
          <w:szCs w:val="24"/>
          <w:shd w:val="clear" w:color="auto" w:fill="FFFFFF"/>
        </w:rPr>
        <w:t>(3), pp.291-308.</w:t>
      </w:r>
      <w:r w:rsidRPr="00363C69">
        <w:rPr>
          <w:rFonts w:ascii="Arial" w:hAnsi="Arial" w:cs="Arial"/>
          <w:color w:val="000000" w:themeColor="text1"/>
          <w:sz w:val="24"/>
          <w:szCs w:val="24"/>
        </w:rPr>
        <w:t xml:space="preserve"> </w:t>
      </w:r>
      <w:hyperlink r:id="rId16" w:history="1">
        <w:r w:rsidRPr="00363C69">
          <w:rPr>
            <w:rStyle w:val="Hyperlink"/>
            <w:rFonts w:ascii="Arial" w:hAnsi="Arial" w:cs="Arial"/>
            <w:color w:val="000000" w:themeColor="text1"/>
            <w:sz w:val="24"/>
            <w:szCs w:val="24"/>
            <w:shd w:val="clear" w:color="auto" w:fill="FFFFFF"/>
          </w:rPr>
          <w:t>https://www.emerald.com/ict/article/57/3/291/1249624</w:t>
        </w:r>
      </w:hyperlink>
      <w:r w:rsidRPr="00363C69">
        <w:rPr>
          <w:rFonts w:ascii="Arial" w:hAnsi="Arial" w:cs="Arial"/>
          <w:color w:val="000000" w:themeColor="text1"/>
          <w:sz w:val="24"/>
          <w:szCs w:val="24"/>
          <w:shd w:val="clear" w:color="auto" w:fill="FFFFFF"/>
        </w:rPr>
        <w:t xml:space="preserve"> </w:t>
      </w:r>
    </w:p>
    <w:p w14:paraId="70688FC1"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Radu, C., 2023. Fostering a positive workplace culture: Impacts on performance and agility. </w:t>
      </w:r>
      <w:r w:rsidRPr="00363C69">
        <w:rPr>
          <w:rFonts w:ascii="Arial" w:hAnsi="Arial" w:cs="Arial"/>
          <w:i/>
          <w:iCs/>
          <w:color w:val="000000" w:themeColor="text1"/>
          <w:sz w:val="24"/>
          <w:szCs w:val="24"/>
          <w:shd w:val="clear" w:color="auto" w:fill="FFFFFF"/>
        </w:rPr>
        <w:t>Human resource management-an update</w:t>
      </w:r>
      <w:r w:rsidRPr="00363C69">
        <w:rPr>
          <w:rFonts w:ascii="Arial" w:hAnsi="Arial" w:cs="Arial"/>
          <w:color w:val="000000" w:themeColor="text1"/>
          <w:sz w:val="24"/>
          <w:szCs w:val="24"/>
          <w:shd w:val="clear" w:color="auto" w:fill="FFFFFF"/>
        </w:rPr>
        <w:t>.</w:t>
      </w:r>
      <w:r w:rsidRPr="00363C69">
        <w:rPr>
          <w:rFonts w:ascii="Arial" w:hAnsi="Arial" w:cs="Arial"/>
          <w:color w:val="000000" w:themeColor="text1"/>
          <w:sz w:val="24"/>
          <w:szCs w:val="24"/>
        </w:rPr>
        <w:t xml:space="preserve"> </w:t>
      </w:r>
      <w:hyperlink r:id="rId17" w:history="1">
        <w:r w:rsidRPr="00363C69">
          <w:rPr>
            <w:rStyle w:val="Hyperlink"/>
            <w:rFonts w:ascii="Arial" w:hAnsi="Arial" w:cs="Arial"/>
            <w:color w:val="000000" w:themeColor="text1"/>
            <w:sz w:val="24"/>
            <w:szCs w:val="24"/>
            <w:shd w:val="clear" w:color="auto" w:fill="FFFFFF"/>
          </w:rPr>
          <w:t>https://www.academia.edu/download/109034770/Fostering_a_Positive_Workplace_Culture_Impacts_on_.pdf</w:t>
        </w:r>
      </w:hyperlink>
      <w:r w:rsidRPr="00363C69">
        <w:rPr>
          <w:rFonts w:ascii="Arial" w:hAnsi="Arial" w:cs="Arial"/>
          <w:color w:val="000000" w:themeColor="text1"/>
          <w:sz w:val="24"/>
          <w:szCs w:val="24"/>
          <w:shd w:val="clear" w:color="auto" w:fill="FFFFFF"/>
        </w:rPr>
        <w:t xml:space="preserve"> </w:t>
      </w:r>
    </w:p>
    <w:p w14:paraId="765FD6D8"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Ray, K. and Sahu, S., 2025. Building a Resilient Healthcare Workforce in India: A Talent Management Perspective. </w:t>
      </w:r>
      <w:r w:rsidRPr="00363C69">
        <w:rPr>
          <w:rFonts w:ascii="Arial" w:hAnsi="Arial" w:cs="Arial"/>
          <w:i/>
          <w:iCs/>
          <w:color w:val="000000" w:themeColor="text1"/>
          <w:sz w:val="24"/>
          <w:szCs w:val="24"/>
          <w:shd w:val="clear" w:color="auto" w:fill="FFFFFF"/>
        </w:rPr>
        <w:t>NHRD Network Journal</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18</w:t>
      </w:r>
      <w:r w:rsidRPr="00363C69">
        <w:rPr>
          <w:rFonts w:ascii="Arial" w:hAnsi="Arial" w:cs="Arial"/>
          <w:color w:val="000000" w:themeColor="text1"/>
          <w:sz w:val="24"/>
          <w:szCs w:val="24"/>
          <w:shd w:val="clear" w:color="auto" w:fill="FFFFFF"/>
        </w:rPr>
        <w:t>(1), pp.15-27.</w:t>
      </w:r>
      <w:r w:rsidRPr="00363C69">
        <w:rPr>
          <w:rFonts w:ascii="Arial" w:hAnsi="Arial" w:cs="Arial"/>
          <w:color w:val="000000" w:themeColor="text1"/>
          <w:sz w:val="24"/>
          <w:szCs w:val="24"/>
        </w:rPr>
        <w:t xml:space="preserve"> </w:t>
      </w:r>
      <w:hyperlink r:id="rId18" w:history="1">
        <w:r w:rsidRPr="00363C69">
          <w:rPr>
            <w:rStyle w:val="Hyperlink"/>
            <w:rFonts w:ascii="Arial" w:hAnsi="Arial" w:cs="Arial"/>
            <w:color w:val="000000" w:themeColor="text1"/>
            <w:sz w:val="24"/>
            <w:szCs w:val="24"/>
            <w:shd w:val="clear" w:color="auto" w:fill="FFFFFF"/>
          </w:rPr>
          <w:t>https://journals.sagepub.com/doi/abs/10.1177/26314541251325699</w:t>
        </w:r>
      </w:hyperlink>
      <w:r w:rsidRPr="00363C69">
        <w:rPr>
          <w:rFonts w:ascii="Arial" w:hAnsi="Arial" w:cs="Arial"/>
          <w:color w:val="000000" w:themeColor="text1"/>
          <w:sz w:val="24"/>
          <w:szCs w:val="24"/>
          <w:shd w:val="clear" w:color="auto" w:fill="FFFFFF"/>
        </w:rPr>
        <w:t xml:space="preserve"> </w:t>
      </w:r>
    </w:p>
    <w:p w14:paraId="55C226B6"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Sinker, C., Rutter, K.A., Steve Bates, O., Nicola Perrin, M.B.E., Chappell, L., Roberts, S., Campion, R., Diwakar, V., Stocker, V., Ellingworth, P. and Stubbs, R., 2024. The innovation ecosystem programme–how the UK can lead the way globally in health gains and life sciences powered growth. </w:t>
      </w:r>
      <w:r w:rsidRPr="00363C69">
        <w:rPr>
          <w:rFonts w:ascii="Arial" w:hAnsi="Arial" w:cs="Arial"/>
          <w:i/>
          <w:iCs/>
          <w:color w:val="000000" w:themeColor="text1"/>
          <w:sz w:val="24"/>
          <w:szCs w:val="24"/>
          <w:shd w:val="clear" w:color="auto" w:fill="FFFFFF"/>
        </w:rPr>
        <w:t>NHS England. Nov</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24</w:t>
      </w:r>
      <w:r w:rsidRPr="00363C69">
        <w:rPr>
          <w:rFonts w:ascii="Arial" w:hAnsi="Arial" w:cs="Arial"/>
          <w:color w:val="000000" w:themeColor="text1"/>
          <w:sz w:val="24"/>
          <w:szCs w:val="24"/>
          <w:shd w:val="clear" w:color="auto" w:fill="FFFFFF"/>
        </w:rPr>
        <w:t>.</w:t>
      </w:r>
      <w:r w:rsidRPr="00363C69">
        <w:rPr>
          <w:rFonts w:ascii="Arial" w:hAnsi="Arial" w:cs="Arial"/>
          <w:color w:val="000000" w:themeColor="text1"/>
          <w:sz w:val="24"/>
          <w:szCs w:val="24"/>
        </w:rPr>
        <w:t xml:space="preserve"> </w:t>
      </w:r>
      <w:hyperlink r:id="rId19" w:history="1">
        <w:r w:rsidRPr="00363C69">
          <w:rPr>
            <w:rStyle w:val="Hyperlink"/>
            <w:rFonts w:ascii="Arial" w:hAnsi="Arial" w:cs="Arial"/>
            <w:color w:val="000000" w:themeColor="text1"/>
            <w:sz w:val="24"/>
            <w:szCs w:val="24"/>
            <w:shd w:val="clear" w:color="auto" w:fill="FFFFFF"/>
          </w:rPr>
          <w:t>https://www.england.nhs.uk/long-read/the-innovation-ecosystem-programme/</w:t>
        </w:r>
      </w:hyperlink>
      <w:r w:rsidRPr="00363C69">
        <w:rPr>
          <w:rFonts w:ascii="Arial" w:hAnsi="Arial" w:cs="Arial"/>
          <w:color w:val="000000" w:themeColor="text1"/>
          <w:sz w:val="24"/>
          <w:szCs w:val="24"/>
          <w:shd w:val="clear" w:color="auto" w:fill="FFFFFF"/>
        </w:rPr>
        <w:t xml:space="preserve"> </w:t>
      </w:r>
    </w:p>
    <w:p w14:paraId="1453F2E8"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Syafri, M., Pramono, D.W. and Suhara, A., 2025. Strategic talent management practices for enhancing employee retention in competitive work environments. </w:t>
      </w:r>
      <w:r w:rsidRPr="00363C69">
        <w:rPr>
          <w:rFonts w:ascii="Arial" w:hAnsi="Arial" w:cs="Arial"/>
          <w:i/>
          <w:iCs/>
          <w:color w:val="000000" w:themeColor="text1"/>
          <w:sz w:val="24"/>
          <w:szCs w:val="24"/>
          <w:shd w:val="clear" w:color="auto" w:fill="FFFFFF"/>
        </w:rPr>
        <w:t>Jurnal Ilmiah Manajemen Kesatuan</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13</w:t>
      </w:r>
      <w:r w:rsidRPr="00363C69">
        <w:rPr>
          <w:rFonts w:ascii="Arial" w:hAnsi="Arial" w:cs="Arial"/>
          <w:color w:val="000000" w:themeColor="text1"/>
          <w:sz w:val="24"/>
          <w:szCs w:val="24"/>
          <w:shd w:val="clear" w:color="auto" w:fill="FFFFFF"/>
        </w:rPr>
        <w:t>(6), pp.5597-5608.</w:t>
      </w:r>
      <w:r w:rsidRPr="00363C69">
        <w:rPr>
          <w:rFonts w:ascii="Arial" w:hAnsi="Arial" w:cs="Arial"/>
          <w:color w:val="000000" w:themeColor="text1"/>
          <w:sz w:val="24"/>
          <w:szCs w:val="24"/>
        </w:rPr>
        <w:t xml:space="preserve"> </w:t>
      </w:r>
      <w:hyperlink r:id="rId20" w:history="1">
        <w:r w:rsidRPr="00363C69">
          <w:rPr>
            <w:rStyle w:val="Hyperlink"/>
            <w:rFonts w:ascii="Arial" w:hAnsi="Arial" w:cs="Arial"/>
            <w:color w:val="000000" w:themeColor="text1"/>
            <w:sz w:val="24"/>
            <w:szCs w:val="24"/>
            <w:shd w:val="clear" w:color="auto" w:fill="FFFFFF"/>
          </w:rPr>
          <w:t>https://www.researchgate.net/profile/Muhammad-Syafri-4/publication/398939101_Strategic_Talent_Management_Practices_for_Enhancing_Employee_Retention_in_Competitive_Work_Environments/links/69dd7ac26d9f9a760b985edf/Strategic-Talent-Management-Practices-for-Enhancing-Employee-Retention-in-Competitive-Work-Environments.pdf</w:t>
        </w:r>
      </w:hyperlink>
      <w:r w:rsidRPr="00363C69">
        <w:rPr>
          <w:rFonts w:ascii="Arial" w:hAnsi="Arial" w:cs="Arial"/>
          <w:color w:val="000000" w:themeColor="text1"/>
          <w:sz w:val="24"/>
          <w:szCs w:val="24"/>
          <w:shd w:val="clear" w:color="auto" w:fill="FFFFFF"/>
        </w:rPr>
        <w:t xml:space="preserve"> </w:t>
      </w:r>
    </w:p>
    <w:p w14:paraId="739A5923"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 xml:space="preserve">Wijaya, D.M., Nst, V.F.H., Azaman, A. and Isnaini, D.B.Y., 2025. Designing A Talent Management Strategy To Address Organizational Transformation Challenges: A Case Study of PT. Sentosa Deli Mandiri. </w:t>
      </w:r>
      <w:r w:rsidRPr="00363C69">
        <w:rPr>
          <w:rFonts w:ascii="Arial" w:hAnsi="Arial" w:cs="Arial"/>
          <w:i/>
          <w:iCs/>
          <w:color w:val="000000" w:themeColor="text1"/>
          <w:sz w:val="24"/>
          <w:szCs w:val="24"/>
          <w:shd w:val="clear" w:color="auto" w:fill="FFFFFF"/>
        </w:rPr>
        <w:t>Moneter: Jurnal Keuangan dan Perbankan</w:t>
      </w:r>
      <w:r w:rsidRPr="00363C69">
        <w:rPr>
          <w:rFonts w:ascii="Arial" w:hAnsi="Arial" w:cs="Arial"/>
          <w:color w:val="000000" w:themeColor="text1"/>
          <w:sz w:val="24"/>
          <w:szCs w:val="24"/>
          <w:shd w:val="clear" w:color="auto" w:fill="FFFFFF"/>
        </w:rPr>
        <w:t xml:space="preserve">, </w:t>
      </w:r>
      <w:r w:rsidRPr="00363C69">
        <w:rPr>
          <w:rFonts w:ascii="Arial" w:hAnsi="Arial" w:cs="Arial"/>
          <w:i/>
          <w:iCs/>
          <w:color w:val="000000" w:themeColor="text1"/>
          <w:sz w:val="24"/>
          <w:szCs w:val="24"/>
          <w:shd w:val="clear" w:color="auto" w:fill="FFFFFF"/>
        </w:rPr>
        <w:t>13</w:t>
      </w:r>
      <w:r w:rsidRPr="00363C69">
        <w:rPr>
          <w:rFonts w:ascii="Arial" w:hAnsi="Arial" w:cs="Arial"/>
          <w:color w:val="000000" w:themeColor="text1"/>
          <w:sz w:val="24"/>
          <w:szCs w:val="24"/>
          <w:shd w:val="clear" w:color="auto" w:fill="FFFFFF"/>
        </w:rPr>
        <w:t>(1), pp.125-138.</w:t>
      </w:r>
      <w:r w:rsidRPr="00363C69">
        <w:rPr>
          <w:rFonts w:ascii="Arial" w:hAnsi="Arial" w:cs="Arial"/>
          <w:color w:val="000000" w:themeColor="text1"/>
          <w:sz w:val="24"/>
          <w:szCs w:val="24"/>
        </w:rPr>
        <w:t xml:space="preserve"> </w:t>
      </w:r>
      <w:hyperlink r:id="rId21" w:history="1">
        <w:r w:rsidRPr="00363C69">
          <w:rPr>
            <w:rStyle w:val="Hyperlink"/>
            <w:rFonts w:ascii="Arial" w:hAnsi="Arial" w:cs="Arial"/>
            <w:color w:val="000000" w:themeColor="text1"/>
            <w:sz w:val="24"/>
            <w:szCs w:val="24"/>
            <w:shd w:val="clear" w:color="auto" w:fill="FFFFFF"/>
          </w:rPr>
          <w:t>https://ejournal2.uika-bogor.ac.id/index.php/MONETER/article/view/1699</w:t>
        </w:r>
      </w:hyperlink>
      <w:r w:rsidRPr="00363C69">
        <w:rPr>
          <w:rFonts w:ascii="Arial" w:hAnsi="Arial" w:cs="Arial"/>
          <w:color w:val="000000" w:themeColor="text1"/>
          <w:sz w:val="24"/>
          <w:szCs w:val="24"/>
          <w:shd w:val="clear" w:color="auto" w:fill="FFFFFF"/>
        </w:rPr>
        <w:t xml:space="preserve"> </w:t>
      </w:r>
    </w:p>
    <w:p w14:paraId="035A9006" w14:textId="77777777" w:rsidR="00364556" w:rsidRPr="00363C69" w:rsidRDefault="00364556" w:rsidP="00363C69">
      <w:pPr>
        <w:spacing w:line="360" w:lineRule="auto"/>
        <w:jc w:val="both"/>
        <w:rPr>
          <w:rFonts w:ascii="Arial" w:hAnsi="Arial" w:cs="Arial"/>
          <w:color w:val="000000" w:themeColor="text1"/>
          <w:sz w:val="24"/>
          <w:szCs w:val="24"/>
          <w:shd w:val="clear" w:color="auto" w:fill="FFFFFF"/>
        </w:rPr>
      </w:pPr>
      <w:r w:rsidRPr="00363C69">
        <w:rPr>
          <w:rFonts w:ascii="Arial" w:hAnsi="Arial" w:cs="Arial"/>
          <w:color w:val="000000" w:themeColor="text1"/>
          <w:sz w:val="24"/>
          <w:szCs w:val="24"/>
          <w:shd w:val="clear" w:color="auto" w:fill="FFFFFF"/>
        </w:rPr>
        <w:t>Yijia, Z., Fauzi, N.F.S.N. and Loang, O.K., 2025. Workplace Culture and Talent Retention: Framework Analysis.</w:t>
      </w:r>
      <w:r w:rsidRPr="00363C69">
        <w:rPr>
          <w:rFonts w:ascii="Arial" w:hAnsi="Arial" w:cs="Arial"/>
          <w:color w:val="000000" w:themeColor="text1"/>
          <w:sz w:val="24"/>
          <w:szCs w:val="24"/>
        </w:rPr>
        <w:t xml:space="preserve"> </w:t>
      </w:r>
      <w:hyperlink r:id="rId22" w:history="1">
        <w:r w:rsidRPr="00363C69">
          <w:rPr>
            <w:rStyle w:val="Hyperlink"/>
            <w:rFonts w:ascii="Arial" w:hAnsi="Arial" w:cs="Arial"/>
            <w:color w:val="000000" w:themeColor="text1"/>
            <w:sz w:val="24"/>
            <w:szCs w:val="24"/>
            <w:shd w:val="clear" w:color="auto" w:fill="FFFFFF"/>
          </w:rPr>
          <w:t>https://www.researchgate.net/profile/Ooi-Kok-Loang/publication/391190419_Workplace_Culture_and_Talent_Retention_Framework_Analysis/links/680cb5b7bfbe974b23bc088a/Workplace-Culture-and-Talent-Retention-Framework-Analysis.pdf</w:t>
        </w:r>
      </w:hyperlink>
      <w:r w:rsidRPr="00363C69">
        <w:rPr>
          <w:rFonts w:ascii="Arial" w:hAnsi="Arial" w:cs="Arial"/>
          <w:color w:val="000000" w:themeColor="text1"/>
          <w:sz w:val="24"/>
          <w:szCs w:val="24"/>
          <w:shd w:val="clear" w:color="auto" w:fill="FFFFFF"/>
        </w:rPr>
        <w:t xml:space="preserve"> </w:t>
      </w:r>
    </w:p>
    <w:p w14:paraId="6F99A522" w14:textId="7D8AB4F9" w:rsidR="00EF6F0C" w:rsidRPr="00363C69" w:rsidRDefault="00EF6F0C" w:rsidP="00363C69">
      <w:pPr>
        <w:spacing w:after="200" w:line="360" w:lineRule="auto"/>
        <w:jc w:val="both"/>
        <w:rPr>
          <w:rFonts w:ascii="Arial" w:hAnsi="Arial" w:cs="Arial"/>
          <w:color w:val="000000" w:themeColor="text1"/>
          <w:sz w:val="24"/>
          <w:szCs w:val="24"/>
          <w:shd w:val="clear" w:color="auto" w:fill="FFFFFF"/>
        </w:rPr>
      </w:pPr>
    </w:p>
    <w:p w14:paraId="09EA993A" w14:textId="77777777" w:rsidR="00973B69" w:rsidRPr="00363C69" w:rsidRDefault="00973B69" w:rsidP="00363C69">
      <w:pPr>
        <w:spacing w:line="360" w:lineRule="auto"/>
        <w:jc w:val="both"/>
        <w:rPr>
          <w:rFonts w:ascii="Arial" w:hAnsi="Arial" w:cs="Arial"/>
          <w:color w:val="000000" w:themeColor="text1"/>
          <w:sz w:val="24"/>
          <w:szCs w:val="24"/>
        </w:rPr>
      </w:pPr>
    </w:p>
    <w:p w14:paraId="7E5C5830" w14:textId="45EE784D" w:rsidR="00903DF7" w:rsidRPr="00363C69" w:rsidRDefault="00903DF7" w:rsidP="00363C69">
      <w:pPr>
        <w:spacing w:line="360" w:lineRule="auto"/>
        <w:jc w:val="both"/>
        <w:rPr>
          <w:rFonts w:ascii="Arial" w:hAnsi="Arial" w:cs="Arial"/>
          <w:color w:val="000000" w:themeColor="text1"/>
          <w:sz w:val="24"/>
          <w:szCs w:val="24"/>
        </w:rPr>
      </w:pPr>
    </w:p>
    <w:sectPr w:rsidR="00903DF7" w:rsidRPr="00363C69" w:rsidSect="00034616">
      <w:headerReference w:type="default" r:id="rId23"/>
      <w:footerReference w:type="even" r:id="rId24"/>
      <w:footerReference w:type="default" r:id="rId25"/>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9F275E" w14:textId="77777777" w:rsidR="00285C3A" w:rsidRDefault="00285C3A">
      <w:pPr>
        <w:spacing w:after="0" w:line="240" w:lineRule="auto"/>
      </w:pPr>
      <w:r>
        <w:separator/>
      </w:r>
    </w:p>
  </w:endnote>
  <w:endnote w:type="continuationSeparator" w:id="0">
    <w:p w14:paraId="7F5F70D4" w14:textId="77777777" w:rsidR="00285C3A" w:rsidRDefault="00285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407179453"/>
      <w:docPartObj>
        <w:docPartGallery w:val="Page Numbers (Bottom of Page)"/>
        <w:docPartUnique/>
      </w:docPartObj>
    </w:sdtPr>
    <w:sdtEndPr>
      <w:rPr>
        <w:rStyle w:val="PageNumber"/>
      </w:rPr>
    </w:sdtEndPr>
    <w:sdtContent>
      <w:p w14:paraId="646659E8" w14:textId="5C8308A6" w:rsidR="00973B69" w:rsidRDefault="00973B69" w:rsidP="00B12C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88293A2" w14:textId="77777777" w:rsidR="00973B69" w:rsidRDefault="00973B69" w:rsidP="00973B6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31086553"/>
      <w:docPartObj>
        <w:docPartGallery w:val="Page Numbers (Bottom of Page)"/>
        <w:docPartUnique/>
      </w:docPartObj>
    </w:sdtPr>
    <w:sdtEndPr>
      <w:rPr>
        <w:rStyle w:val="PageNumber"/>
      </w:rPr>
    </w:sdtEndPr>
    <w:sdtContent>
      <w:p w14:paraId="7B29E008" w14:textId="488279B1" w:rsidR="00973B69" w:rsidRDefault="00973B69" w:rsidP="00B12CEC">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3E2FAC">
          <w:rPr>
            <w:rStyle w:val="PageNumber"/>
            <w:noProof/>
          </w:rPr>
          <w:t>2</w:t>
        </w:r>
        <w:r>
          <w:rPr>
            <w:rStyle w:val="PageNumber"/>
          </w:rPr>
          <w:fldChar w:fldCharType="end"/>
        </w:r>
      </w:p>
    </w:sdtContent>
  </w:sdt>
  <w:p w14:paraId="55164757" w14:textId="6056F07D" w:rsidR="00903DF7" w:rsidRDefault="00903DF7" w:rsidP="00973B69">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B7E4CA" w14:textId="77777777" w:rsidR="00285C3A" w:rsidRDefault="00285C3A">
      <w:pPr>
        <w:spacing w:after="0" w:line="240" w:lineRule="auto"/>
      </w:pPr>
      <w:r>
        <w:separator/>
      </w:r>
    </w:p>
  </w:footnote>
  <w:footnote w:type="continuationSeparator" w:id="0">
    <w:p w14:paraId="6843610D" w14:textId="77777777" w:rsidR="00285C3A" w:rsidRDefault="00285C3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2ED1F" w14:textId="0254D104" w:rsidR="00903DF7" w:rsidRDefault="00903DF7">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045913752">
    <w:abstractNumId w:val="8"/>
  </w:num>
  <w:num w:numId="2" w16cid:durableId="1192886360">
    <w:abstractNumId w:val="6"/>
  </w:num>
  <w:num w:numId="3" w16cid:durableId="1855420704">
    <w:abstractNumId w:val="5"/>
  </w:num>
  <w:num w:numId="4" w16cid:durableId="390542576">
    <w:abstractNumId w:val="4"/>
  </w:num>
  <w:num w:numId="5" w16cid:durableId="819003903">
    <w:abstractNumId w:val="7"/>
  </w:num>
  <w:num w:numId="6" w16cid:durableId="936252164">
    <w:abstractNumId w:val="3"/>
  </w:num>
  <w:num w:numId="7" w16cid:durableId="100880115">
    <w:abstractNumId w:val="2"/>
  </w:num>
  <w:num w:numId="8" w16cid:durableId="1924993209">
    <w:abstractNumId w:val="1"/>
  </w:num>
  <w:num w:numId="9" w16cid:durableId="14851234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30"/>
  <w:removePersonalInformation/>
  <w:removeDateAndTime/>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087B7F"/>
    <w:rsid w:val="000E443F"/>
    <w:rsid w:val="0015074B"/>
    <w:rsid w:val="00285C3A"/>
    <w:rsid w:val="0029639D"/>
    <w:rsid w:val="003046A9"/>
    <w:rsid w:val="00326F90"/>
    <w:rsid w:val="00342CAA"/>
    <w:rsid w:val="00363C69"/>
    <w:rsid w:val="00364556"/>
    <w:rsid w:val="003E2FAC"/>
    <w:rsid w:val="00467C41"/>
    <w:rsid w:val="00497C72"/>
    <w:rsid w:val="004C3285"/>
    <w:rsid w:val="004C7863"/>
    <w:rsid w:val="004E0AAB"/>
    <w:rsid w:val="00581360"/>
    <w:rsid w:val="006024FE"/>
    <w:rsid w:val="00641F8B"/>
    <w:rsid w:val="006425AE"/>
    <w:rsid w:val="006A36AE"/>
    <w:rsid w:val="00830F50"/>
    <w:rsid w:val="0084665A"/>
    <w:rsid w:val="00903DF7"/>
    <w:rsid w:val="00932C9B"/>
    <w:rsid w:val="0095144E"/>
    <w:rsid w:val="00973B69"/>
    <w:rsid w:val="00980F37"/>
    <w:rsid w:val="009866DB"/>
    <w:rsid w:val="009F71D4"/>
    <w:rsid w:val="00AA1D8D"/>
    <w:rsid w:val="00AC5410"/>
    <w:rsid w:val="00AC5C8F"/>
    <w:rsid w:val="00B47730"/>
    <w:rsid w:val="00CB0664"/>
    <w:rsid w:val="00CF26F7"/>
    <w:rsid w:val="00D76606"/>
    <w:rsid w:val="00EF6F0C"/>
    <w:rsid w:val="00F4594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36DEA27"/>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0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4"/>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36"/>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PageNumber">
    <w:name w:val="page number"/>
    <w:basedOn w:val="DefaultParagraphFont"/>
    <w:uiPriority w:val="99"/>
    <w:semiHidden/>
    <w:unhideWhenUsed/>
    <w:rsid w:val="00973B69"/>
  </w:style>
  <w:style w:type="paragraph" w:styleId="TOC1">
    <w:name w:val="toc 1"/>
    <w:basedOn w:val="Normal"/>
    <w:next w:val="Normal"/>
    <w:autoRedefine/>
    <w:uiPriority w:val="39"/>
    <w:unhideWhenUsed/>
    <w:rsid w:val="00830F50"/>
    <w:pPr>
      <w:tabs>
        <w:tab w:val="right" w:leader="dot" w:pos="9926"/>
      </w:tabs>
    </w:pPr>
  </w:style>
  <w:style w:type="paragraph" w:styleId="TOC2">
    <w:name w:val="toc 2"/>
    <w:basedOn w:val="Normal"/>
    <w:next w:val="Normal"/>
    <w:autoRedefine/>
    <w:uiPriority w:val="39"/>
    <w:unhideWhenUsed/>
    <w:rsid w:val="00973B69"/>
    <w:pPr>
      <w:ind w:left="210"/>
    </w:pPr>
  </w:style>
  <w:style w:type="character" w:styleId="Hyperlink">
    <w:name w:val="Hyperlink"/>
    <w:basedOn w:val="DefaultParagraphFont"/>
    <w:uiPriority w:val="99"/>
    <w:unhideWhenUsed/>
    <w:rsid w:val="00973B69"/>
    <w:rPr>
      <w:color w:val="0000FF" w:themeColor="hyperlink"/>
      <w:u w:val="single"/>
    </w:rPr>
  </w:style>
  <w:style w:type="paragraph" w:styleId="NormalWeb">
    <w:name w:val="Normal (Web)"/>
    <w:basedOn w:val="Normal"/>
    <w:uiPriority w:val="99"/>
    <w:unhideWhenUsed/>
    <w:rsid w:val="006A36AE"/>
    <w:pPr>
      <w:spacing w:before="100" w:beforeAutospacing="1" w:afterAutospacing="1" w:line="240" w:lineRule="auto"/>
    </w:pPr>
    <w:rPr>
      <w:rFonts w:ascii="Times New Roman" w:eastAsia="Times New Roman" w:hAnsi="Times New Roman" w:cs="Times New Roman"/>
      <w:sz w:val="24"/>
      <w:szCs w:val="24"/>
      <w:lang w:val="en-IN" w:eastAsia="en-GB"/>
    </w:rPr>
  </w:style>
  <w:style w:type="character" w:styleId="FollowedHyperlink">
    <w:name w:val="FollowedHyperlink"/>
    <w:basedOn w:val="DefaultParagraphFont"/>
    <w:uiPriority w:val="99"/>
    <w:semiHidden/>
    <w:unhideWhenUsed/>
    <w:rsid w:val="00EF6F0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hyperlink" Target="https://figshare.le.ac.uk/articles/thesis/Navigating_Competition_And_Collaboration_A_Labour_Process_Study_Of_Nhs_Workforce_Experiences_With_Integrated_Care_Systems/31095541" TargetMode="External" /><Relationship Id="rId18" Type="http://schemas.openxmlformats.org/officeDocument/2006/relationships/hyperlink" Target="https://journals.sagepub.com/doi/abs/10.1177/26314541251325699" TargetMode="External" /><Relationship Id="rId26" Type="http://schemas.openxmlformats.org/officeDocument/2006/relationships/fontTable" Target="fontTable.xml" /><Relationship Id="rId3" Type="http://schemas.openxmlformats.org/officeDocument/2006/relationships/styles" Target="styles.xml" /><Relationship Id="rId21" Type="http://schemas.openxmlformats.org/officeDocument/2006/relationships/hyperlink" Target="https://ejournal2.uika-bogor.ac.id/index.php/MONETER/article/view/1699" TargetMode="External" /><Relationship Id="rId7" Type="http://schemas.openxmlformats.org/officeDocument/2006/relationships/endnotes" Target="endnotes.xml" /><Relationship Id="rId12" Type="http://schemas.openxmlformats.org/officeDocument/2006/relationships/hyperlink" Target="https://www.mdpi.com/2071-1050/15/19/14223" TargetMode="External" /><Relationship Id="rId17" Type="http://schemas.openxmlformats.org/officeDocument/2006/relationships/hyperlink" Target="https://www.academia.edu/download/109034770/Fostering_a_Positive_Workplace_Culture_Impacts_on_.pdf" TargetMode="External" /><Relationship Id="rId25" Type="http://schemas.openxmlformats.org/officeDocument/2006/relationships/footer" Target="footer2.xml" /><Relationship Id="rId2" Type="http://schemas.openxmlformats.org/officeDocument/2006/relationships/numbering" Target="numbering.xml" /><Relationship Id="rId16" Type="http://schemas.openxmlformats.org/officeDocument/2006/relationships/hyperlink" Target="https://www.emerald.com/ict/article/57/3/291/1249624" TargetMode="External" /><Relationship Id="rId20" Type="http://schemas.openxmlformats.org/officeDocument/2006/relationships/hyperlink" Target="https://www.researchgate.net/profile/Muhammad-Syafri-4/publication/398939101_Strategic_Talent_Management_Practices_for_Enhancing_Employee_Retention_in_Competitive_Work_Environments/links/69dd7ac26d9f9a760b985edf/Strategic-Talent-Management-Practices-for-Enhancing-Employee-Retention-in-Competitive-Work-Environments.pdf" TargetMode="Externa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crrjournals.com/crrj/sites/default/files/CRRJ-2024-0031.pdf" TargetMode="External" /><Relationship Id="rId24" Type="http://schemas.openxmlformats.org/officeDocument/2006/relationships/footer" Target="footer1.xml" /><Relationship Id="rId5" Type="http://schemas.openxmlformats.org/officeDocument/2006/relationships/webSettings" Target="webSettings.xml" /><Relationship Id="rId15" Type="http://schemas.openxmlformats.org/officeDocument/2006/relationships/hyperlink" Target="https://armgpublishing.com/journals/sec/volume-8-issue-2/article-2/" TargetMode="External" /><Relationship Id="rId23" Type="http://schemas.openxmlformats.org/officeDocument/2006/relationships/header" Target="header1.xml" /><Relationship Id="rId10" Type="http://schemas.openxmlformats.org/officeDocument/2006/relationships/hyperlink" Target="https://www.ceeol.com/search/article-detail?id=1325430" TargetMode="External" /><Relationship Id="rId19" Type="http://schemas.openxmlformats.org/officeDocument/2006/relationships/hyperlink" Target="https://www.england.nhs.uk/long-read/the-innovation-ecosystem-programme/" TargetMode="External" /><Relationship Id="rId4" Type="http://schemas.openxmlformats.org/officeDocument/2006/relationships/settings" Target="settings.xml" /><Relationship Id="rId9" Type="http://schemas.openxmlformats.org/officeDocument/2006/relationships/image" Target="cid:image001.png@01D0EA4A.2BD679A0" TargetMode="External" /><Relationship Id="rId14" Type="http://schemas.openxmlformats.org/officeDocument/2006/relationships/hyperlink" Target="https://www.mdpi.com/2071-1050/16/9/3603" TargetMode="External" /><Relationship Id="rId22" Type="http://schemas.openxmlformats.org/officeDocument/2006/relationships/hyperlink" Target="https://www.researchgate.net/profile/Ooi-Kok-Loang/publication/391190419_Workplace_Culture_and_Talent_Retention_Framework_Analysis/links/680cb5b7bfbe974b23bc088a/Workplace-Culture-and-Talent-Retention-Framework-Analysis.pdf" TargetMode="External" /><Relationship Id="rId27"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00F85E-1ACE-4818-AA80-C15781CF20C5}">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3604</Words>
  <Characters>20546</Characters>
  <Application>Microsoft Office Word</Application>
  <DocSecurity>0</DocSecurity>
  <Lines>171</Lines>
  <Paragraphs>48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24102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generated by python-docx</dc:description>
  <cp:lastModifiedBy/>
  <cp:revision>1</cp:revision>
  <dcterms:created xsi:type="dcterms:W3CDTF">2026-10-14T17:23:00Z</dcterms:created>
  <dcterms:modified xsi:type="dcterms:W3CDTF">2026-10-14T17:23:00Z</dcterms:modified>
  <cp:category/>
</cp:coreProperties>
</file>