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550A99" w14:textId="77777777" w:rsidR="005F2FE3" w:rsidRPr="00375510" w:rsidRDefault="005F2FE3" w:rsidP="00375510">
      <w:pPr>
        <w:spacing w:line="360" w:lineRule="auto"/>
        <w:ind w:firstLine="720"/>
        <w:jc w:val="left"/>
        <w:rPr>
          <w:rFonts w:ascii="Arial" w:hAnsi="Arial" w:cs="Arial"/>
          <w:b/>
          <w:bCs/>
          <w:sz w:val="22"/>
          <w:lang w:val="en-NG"/>
        </w:rPr>
      </w:pPr>
      <w:r w:rsidRPr="00375510">
        <w:rPr>
          <w:rFonts w:ascii="Arial" w:hAnsi="Arial" w:cs="Arial"/>
          <w:b/>
          <w:bCs/>
          <w:sz w:val="22"/>
          <w:lang w:val="en-NG"/>
        </w:rPr>
        <w:t>BSc (Hons) Health and Social Care</w:t>
      </w:r>
    </w:p>
    <w:p w14:paraId="58845185" w14:textId="77777777"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t>Module: Introduction to Independent Research Skills (BMHP5019)</w:t>
      </w:r>
    </w:p>
    <w:p w14:paraId="67382F29" w14:textId="21EBFAD6" w:rsidR="005F2FE3" w:rsidRPr="00375510" w:rsidRDefault="005F2FE3" w:rsidP="00375510">
      <w:pPr>
        <w:spacing w:line="360" w:lineRule="auto"/>
        <w:jc w:val="left"/>
        <w:rPr>
          <w:rFonts w:ascii="Arial" w:hAnsi="Arial" w:cs="Arial"/>
          <w:b/>
          <w:bCs/>
          <w:sz w:val="22"/>
          <w:lang w:val="en-NG"/>
        </w:rPr>
      </w:pPr>
    </w:p>
    <w:p w14:paraId="71761B8C" w14:textId="77777777"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t>Assessment 1 – Research Proposal</w:t>
      </w:r>
    </w:p>
    <w:p w14:paraId="0B5F6C79" w14:textId="77777777" w:rsidR="005F2FE3" w:rsidRPr="00375510" w:rsidRDefault="005F2FE3" w:rsidP="00375510">
      <w:pPr>
        <w:spacing w:line="360" w:lineRule="auto"/>
        <w:rPr>
          <w:rFonts w:ascii="Arial" w:hAnsi="Arial" w:cs="Arial"/>
          <w:sz w:val="22"/>
          <w:lang w:val="en-NG"/>
        </w:rPr>
      </w:pPr>
      <w:r w:rsidRPr="00375510">
        <w:rPr>
          <w:rFonts w:ascii="Arial" w:hAnsi="Arial" w:cs="Arial"/>
          <w:b/>
          <w:bCs/>
          <w:sz w:val="22"/>
          <w:lang w:val="en-NG"/>
        </w:rPr>
        <w:t>Waiting Time for Treatment and Consultation in the National Health Service (NHS): A Scoping Review of Contributing Factors, Patient Outcomes and Strategies for Improvement</w:t>
      </w:r>
    </w:p>
    <w:p w14:paraId="695A5EB4" w14:textId="77E787AA"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t xml:space="preserve">Student ID: </w:t>
      </w:r>
      <w:r w:rsidR="006C01FD" w:rsidRPr="00375510">
        <w:rPr>
          <w:rFonts w:ascii="Arial" w:hAnsi="Arial" w:cs="Arial"/>
          <w:b/>
          <w:bCs/>
          <w:sz w:val="22"/>
          <w:lang w:val="en-NG"/>
        </w:rPr>
        <w:t>1817626</w:t>
      </w:r>
    </w:p>
    <w:p w14:paraId="4AF00C69" w14:textId="306471B6"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t xml:space="preserve">Student Name: </w:t>
      </w:r>
      <w:r w:rsidR="00900405" w:rsidRPr="00375510">
        <w:rPr>
          <w:rFonts w:ascii="Arial" w:hAnsi="Arial" w:cs="Arial"/>
          <w:b/>
          <w:bCs/>
          <w:sz w:val="22"/>
          <w:lang w:val="en-NG"/>
        </w:rPr>
        <w:t>Folasade Oluwakemi Alabi</w:t>
      </w:r>
    </w:p>
    <w:p w14:paraId="7618FCFF" w14:textId="16DE07CD"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t xml:space="preserve">Date of Submission: </w:t>
      </w:r>
      <w:r w:rsidR="005D25FF" w:rsidRPr="00375510">
        <w:rPr>
          <w:rFonts w:ascii="Arial" w:hAnsi="Arial" w:cs="Arial"/>
          <w:b/>
          <w:bCs/>
          <w:sz w:val="22"/>
          <w:lang w:val="en-NG"/>
        </w:rPr>
        <w:t>10/07/2026</w:t>
      </w:r>
    </w:p>
    <w:p w14:paraId="37AEAF35" w14:textId="325CF3DF"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t xml:space="preserve">Lecturer's Name: </w:t>
      </w:r>
    </w:p>
    <w:p w14:paraId="0A4A245B" w14:textId="77777777" w:rsidR="005F2FE3" w:rsidRPr="00375510" w:rsidRDefault="005F2FE3" w:rsidP="00375510">
      <w:pPr>
        <w:spacing w:line="360" w:lineRule="auto"/>
        <w:jc w:val="left"/>
        <w:rPr>
          <w:rFonts w:ascii="Arial" w:hAnsi="Arial" w:cs="Arial"/>
          <w:b/>
          <w:bCs/>
          <w:sz w:val="22"/>
          <w:lang w:val="en-NG"/>
        </w:rPr>
      </w:pPr>
      <w:r w:rsidRPr="00375510">
        <w:rPr>
          <w:rFonts w:ascii="Arial" w:hAnsi="Arial" w:cs="Arial"/>
          <w:b/>
          <w:bCs/>
          <w:sz w:val="22"/>
          <w:lang w:val="en-NG"/>
        </w:rPr>
        <w:br w:type="page"/>
      </w:r>
    </w:p>
    <w:p w14:paraId="5D51932B" w14:textId="77777777" w:rsidR="00C72CDA" w:rsidRPr="00C72CDA" w:rsidRDefault="00C72CDA" w:rsidP="00C72CDA">
      <w:pPr>
        <w:spacing w:line="360" w:lineRule="auto"/>
        <w:rPr>
          <w:rFonts w:ascii="Arial" w:hAnsi="Arial" w:cs="Arial"/>
          <w:b/>
          <w:bCs/>
          <w:sz w:val="22"/>
          <w:lang w:val="en-NG"/>
        </w:rPr>
      </w:pPr>
      <w:r w:rsidRPr="00C72CDA">
        <w:rPr>
          <w:rFonts w:ascii="Arial" w:hAnsi="Arial" w:cs="Arial"/>
          <w:b/>
          <w:bCs/>
          <w:sz w:val="22"/>
          <w:lang w:val="en-NG"/>
        </w:rPr>
        <w:lastRenderedPageBreak/>
        <w:t>1) Review Question</w:t>
      </w:r>
    </w:p>
    <w:p w14:paraId="1D87D395"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What factors contribute to waiting times for treatment and consultation within the National Health Service (NHS), what impact do prolonged waiting times have on patients and healthcare delivery, and what strategies have been proposed to reduce these delays?</w:t>
      </w:r>
    </w:p>
    <w:p w14:paraId="7ECCB160" w14:textId="71D3B713" w:rsidR="00C72CDA" w:rsidRPr="00C72CDA" w:rsidRDefault="00C72CDA" w:rsidP="00C72CDA">
      <w:pPr>
        <w:spacing w:line="360" w:lineRule="auto"/>
        <w:rPr>
          <w:rFonts w:ascii="Arial" w:hAnsi="Arial" w:cs="Arial"/>
          <w:b/>
          <w:bCs/>
          <w:sz w:val="22"/>
          <w:lang w:val="en-NG"/>
        </w:rPr>
      </w:pPr>
    </w:p>
    <w:p w14:paraId="0DBD9D33" w14:textId="77777777" w:rsidR="00C72CDA" w:rsidRPr="00C72CDA" w:rsidRDefault="00C72CDA" w:rsidP="00C72CDA">
      <w:pPr>
        <w:spacing w:line="360" w:lineRule="auto"/>
        <w:rPr>
          <w:rFonts w:ascii="Arial" w:hAnsi="Arial" w:cs="Arial"/>
          <w:b/>
          <w:bCs/>
          <w:sz w:val="22"/>
          <w:lang w:val="en-NG"/>
        </w:rPr>
      </w:pPr>
      <w:r w:rsidRPr="00C72CDA">
        <w:rPr>
          <w:rFonts w:ascii="Arial" w:hAnsi="Arial" w:cs="Arial"/>
          <w:b/>
          <w:bCs/>
          <w:sz w:val="22"/>
          <w:lang w:val="en-NG"/>
        </w:rPr>
        <w:t>2) Objectives</w:t>
      </w:r>
    </w:p>
    <w:p w14:paraId="3E44619A" w14:textId="77777777" w:rsidR="00C72CDA" w:rsidRPr="00C72CDA" w:rsidRDefault="00C72CDA" w:rsidP="00C72CDA">
      <w:pPr>
        <w:numPr>
          <w:ilvl w:val="0"/>
          <w:numId w:val="5"/>
        </w:numPr>
        <w:spacing w:line="360" w:lineRule="auto"/>
        <w:rPr>
          <w:rFonts w:ascii="Arial" w:hAnsi="Arial" w:cs="Arial"/>
          <w:sz w:val="22"/>
          <w:lang w:val="en-NG"/>
        </w:rPr>
      </w:pPr>
      <w:r w:rsidRPr="00C72CDA">
        <w:rPr>
          <w:rFonts w:ascii="Arial" w:hAnsi="Arial" w:cs="Arial"/>
          <w:sz w:val="22"/>
          <w:lang w:val="en-NG"/>
        </w:rPr>
        <w:t xml:space="preserve">To define the concept of waiting time for consultation and treatment within the NHS. </w:t>
      </w:r>
    </w:p>
    <w:p w14:paraId="60613400" w14:textId="77777777" w:rsidR="00C72CDA" w:rsidRPr="00C72CDA" w:rsidRDefault="00C72CDA" w:rsidP="00C72CDA">
      <w:pPr>
        <w:numPr>
          <w:ilvl w:val="0"/>
          <w:numId w:val="5"/>
        </w:numPr>
        <w:spacing w:line="360" w:lineRule="auto"/>
        <w:rPr>
          <w:rFonts w:ascii="Arial" w:hAnsi="Arial" w:cs="Arial"/>
          <w:sz w:val="22"/>
          <w:lang w:val="en-NG"/>
        </w:rPr>
      </w:pPr>
      <w:r w:rsidRPr="00C72CDA">
        <w:rPr>
          <w:rFonts w:ascii="Arial" w:hAnsi="Arial" w:cs="Arial"/>
          <w:sz w:val="22"/>
          <w:lang w:val="en-NG"/>
        </w:rPr>
        <w:t xml:space="preserve">To examine the current evidence on the causes of prolonged waiting times across NHS healthcare services. </w:t>
      </w:r>
    </w:p>
    <w:p w14:paraId="0C14C2CA" w14:textId="77777777" w:rsidR="00C72CDA" w:rsidRPr="00C72CDA" w:rsidRDefault="00C72CDA" w:rsidP="00C72CDA">
      <w:pPr>
        <w:numPr>
          <w:ilvl w:val="0"/>
          <w:numId w:val="5"/>
        </w:numPr>
        <w:spacing w:line="360" w:lineRule="auto"/>
        <w:rPr>
          <w:rFonts w:ascii="Arial" w:hAnsi="Arial" w:cs="Arial"/>
          <w:sz w:val="22"/>
          <w:lang w:val="en-NG"/>
        </w:rPr>
      </w:pPr>
      <w:r w:rsidRPr="00C72CDA">
        <w:rPr>
          <w:rFonts w:ascii="Arial" w:hAnsi="Arial" w:cs="Arial"/>
          <w:sz w:val="22"/>
          <w:lang w:val="en-NG"/>
        </w:rPr>
        <w:t xml:space="preserve">To evaluate the effects of waiting times on patient health outcomes, patient satisfaction and healthcare service delivery. </w:t>
      </w:r>
    </w:p>
    <w:p w14:paraId="13816A3F" w14:textId="77777777" w:rsidR="00C72CDA" w:rsidRPr="00C72CDA" w:rsidRDefault="00C72CDA" w:rsidP="00C72CDA">
      <w:pPr>
        <w:numPr>
          <w:ilvl w:val="0"/>
          <w:numId w:val="5"/>
        </w:numPr>
        <w:spacing w:line="360" w:lineRule="auto"/>
        <w:rPr>
          <w:rFonts w:ascii="Arial" w:hAnsi="Arial" w:cs="Arial"/>
          <w:sz w:val="22"/>
          <w:lang w:val="en-NG"/>
        </w:rPr>
      </w:pPr>
      <w:r w:rsidRPr="00C72CDA">
        <w:rPr>
          <w:rFonts w:ascii="Arial" w:hAnsi="Arial" w:cs="Arial"/>
          <w:sz w:val="22"/>
          <w:lang w:val="en-NG"/>
        </w:rPr>
        <w:t xml:space="preserve">To review current NHS policies and strategies introduced to reduce waiting times. </w:t>
      </w:r>
    </w:p>
    <w:p w14:paraId="66D5A277" w14:textId="77777777" w:rsidR="00C72CDA" w:rsidRPr="00C72CDA" w:rsidRDefault="00C72CDA" w:rsidP="00C72CDA">
      <w:pPr>
        <w:numPr>
          <w:ilvl w:val="0"/>
          <w:numId w:val="5"/>
        </w:numPr>
        <w:spacing w:line="360" w:lineRule="auto"/>
        <w:rPr>
          <w:rFonts w:ascii="Arial" w:hAnsi="Arial" w:cs="Arial"/>
          <w:sz w:val="22"/>
          <w:lang w:val="en-NG"/>
        </w:rPr>
      </w:pPr>
      <w:r w:rsidRPr="00C72CDA">
        <w:rPr>
          <w:rFonts w:ascii="Arial" w:hAnsi="Arial" w:cs="Arial"/>
          <w:sz w:val="22"/>
          <w:lang w:val="en-NG"/>
        </w:rPr>
        <w:t xml:space="preserve">To identify gaps in the literature and recommend areas for future research and policy development. </w:t>
      </w:r>
    </w:p>
    <w:p w14:paraId="597C5294" w14:textId="77777777" w:rsidR="00C72CDA" w:rsidRPr="00C72CDA" w:rsidRDefault="00C72CDA" w:rsidP="00C72CDA">
      <w:pPr>
        <w:spacing w:line="360" w:lineRule="auto"/>
        <w:rPr>
          <w:rFonts w:ascii="Arial" w:hAnsi="Arial" w:cs="Arial"/>
          <w:b/>
          <w:bCs/>
          <w:sz w:val="22"/>
          <w:lang w:val="en-NG"/>
        </w:rPr>
      </w:pPr>
      <w:r w:rsidRPr="00C72CDA">
        <w:rPr>
          <w:rFonts w:ascii="Arial" w:hAnsi="Arial" w:cs="Arial"/>
          <w:b/>
          <w:bCs/>
          <w:sz w:val="22"/>
          <w:lang w:val="en-NG"/>
        </w:rPr>
        <w:t>3) Rationale</w:t>
      </w:r>
    </w:p>
    <w:p w14:paraId="1178D8E0"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Timely access to healthcare is an important indicator of good health. Although the National Health Service (NHS) provides healthcare based on clinical need rather than ability to pay, increasing demand, workforce shortages, financial pressures and the COVID-19 backlog have resulted in prolonged waiting times for consultation and treatment (NHS England, 2024).</w:t>
      </w:r>
    </w:p>
    <w:p w14:paraId="6424CC6F"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These delays can worsen patients' physical and mental health, reduce quality of life, delay diagnosis, produce poorer treatment outcomes and increase pressure on emergency services. Long waiting lists may also reduce patient trust and contribute to inequalities in access to care (The King's Fund, 2024).</w:t>
      </w:r>
    </w:p>
    <w:p w14:paraId="72C3ADF7"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Although many studies have examined NHS waiting times, the evidence is spread across emergency care, elective surgery, cancer and mental health services. Bringing this evidence together through a scoping review will provide a clearer understanding of the causes of delays and the effectiveness of current strategies. The findings will support future healthcare policy, service planning and research aimed at improving patient access and NHS service quality.</w:t>
      </w:r>
    </w:p>
    <w:p w14:paraId="57F5CF4B" w14:textId="524C5F80" w:rsidR="00C72CDA" w:rsidRPr="00C72CDA" w:rsidRDefault="00C72CDA" w:rsidP="00C72CDA">
      <w:pPr>
        <w:spacing w:line="360" w:lineRule="auto"/>
        <w:rPr>
          <w:rFonts w:ascii="Arial" w:hAnsi="Arial" w:cs="Arial"/>
          <w:b/>
          <w:bCs/>
          <w:sz w:val="22"/>
          <w:lang w:val="en-NG"/>
        </w:rPr>
      </w:pPr>
    </w:p>
    <w:p w14:paraId="0C1E661D" w14:textId="77777777" w:rsidR="00C72CDA" w:rsidRPr="00C72CDA" w:rsidRDefault="00C72CDA" w:rsidP="00C72CDA">
      <w:pPr>
        <w:spacing w:line="360" w:lineRule="auto"/>
        <w:rPr>
          <w:rFonts w:ascii="Arial" w:hAnsi="Arial" w:cs="Arial"/>
          <w:b/>
          <w:bCs/>
          <w:sz w:val="22"/>
          <w:lang w:val="en-NG"/>
        </w:rPr>
      </w:pPr>
      <w:r w:rsidRPr="00C72CDA">
        <w:rPr>
          <w:rFonts w:ascii="Arial" w:hAnsi="Arial" w:cs="Arial"/>
          <w:b/>
          <w:bCs/>
          <w:sz w:val="22"/>
          <w:lang w:val="en-NG"/>
        </w:rPr>
        <w:t>4) Methods</w:t>
      </w:r>
    </w:p>
    <w:p w14:paraId="05400F4D"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lastRenderedPageBreak/>
        <w:t>This study will adopt a scoping literature review.</w:t>
      </w:r>
    </w:p>
    <w:p w14:paraId="0597A942"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 xml:space="preserve">Literature will be identified from PubMed, Scopus, CINAHL, Web of Science and Google Scholar, together with reports from NHS England, NICE and The King's Fund. Searches will use terms including </w:t>
      </w:r>
      <w:r w:rsidRPr="00C72CDA">
        <w:rPr>
          <w:rFonts w:ascii="Arial" w:hAnsi="Arial" w:cs="Arial"/>
          <w:i/>
          <w:iCs/>
          <w:sz w:val="22"/>
          <w:lang w:val="en-NG"/>
        </w:rPr>
        <w:t>NHS waiting times, treatment delay, consultation waiting time, patient access</w:t>
      </w:r>
      <w:r w:rsidRPr="00C72CDA">
        <w:rPr>
          <w:rFonts w:ascii="Arial" w:hAnsi="Arial" w:cs="Arial"/>
          <w:sz w:val="22"/>
          <w:lang w:val="en-NG"/>
        </w:rPr>
        <w:t xml:space="preserve"> and </w:t>
      </w:r>
      <w:r w:rsidRPr="00C72CDA">
        <w:rPr>
          <w:rFonts w:ascii="Arial" w:hAnsi="Arial" w:cs="Arial"/>
          <w:i/>
          <w:iCs/>
          <w:sz w:val="22"/>
          <w:lang w:val="en-NG"/>
        </w:rPr>
        <w:t>elective care backlog</w:t>
      </w:r>
      <w:r w:rsidRPr="00C72CDA">
        <w:rPr>
          <w:rFonts w:ascii="Arial" w:hAnsi="Arial" w:cs="Arial"/>
          <w:sz w:val="22"/>
          <w:lang w:val="en-NG"/>
        </w:rPr>
        <w:t>.</w:t>
      </w:r>
    </w:p>
    <w:p w14:paraId="264509DE"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Only English-language publications from 2015–2026 will be included. Eligible sources will comprise peer-reviewed articles, systematic reviews, government reports and policy documents relating to NHS waiting times.</w:t>
      </w:r>
    </w:p>
    <w:p w14:paraId="419848AA"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Data will be analysed using thematic synthesis to identify the causes of waiting times, their impacts on patients and healthcare services, and interventions to reduce delays. The review will follow the PRISMA-</w:t>
      </w:r>
      <w:proofErr w:type="spellStart"/>
      <w:r w:rsidRPr="00C72CDA">
        <w:rPr>
          <w:rFonts w:ascii="Arial" w:hAnsi="Arial" w:cs="Arial"/>
          <w:sz w:val="22"/>
          <w:lang w:val="en-NG"/>
        </w:rPr>
        <w:t>ScR</w:t>
      </w:r>
      <w:proofErr w:type="spellEnd"/>
      <w:r w:rsidRPr="00C72CDA">
        <w:rPr>
          <w:rFonts w:ascii="Arial" w:hAnsi="Arial" w:cs="Arial"/>
          <w:sz w:val="22"/>
          <w:lang w:val="en-NG"/>
        </w:rPr>
        <w:t xml:space="preserve"> framework.</w:t>
      </w:r>
    </w:p>
    <w:p w14:paraId="4CB8DE29" w14:textId="77777777" w:rsidR="00C72CDA" w:rsidRPr="00C72CDA" w:rsidRDefault="00C72CDA" w:rsidP="00C72CDA">
      <w:pPr>
        <w:spacing w:line="360" w:lineRule="auto"/>
        <w:rPr>
          <w:rFonts w:ascii="Arial" w:hAnsi="Arial" w:cs="Arial"/>
          <w:b/>
          <w:bCs/>
          <w:sz w:val="22"/>
          <w:lang w:val="en-NG"/>
        </w:rPr>
      </w:pPr>
      <w:r w:rsidRPr="00C72CDA">
        <w:rPr>
          <w:rFonts w:ascii="Arial" w:hAnsi="Arial" w:cs="Arial"/>
          <w:b/>
          <w:bCs/>
          <w:sz w:val="22"/>
          <w:lang w:val="en-NG"/>
        </w:rPr>
        <w:t>5) Ethical Considerations</w:t>
      </w:r>
    </w:p>
    <w:p w14:paraId="6B2FAC73" w14:textId="77777777" w:rsidR="00C72CDA" w:rsidRPr="00C72CDA" w:rsidRDefault="00C72CDA" w:rsidP="00C72CDA">
      <w:pPr>
        <w:spacing w:line="360" w:lineRule="auto"/>
        <w:rPr>
          <w:rFonts w:ascii="Arial" w:hAnsi="Arial" w:cs="Arial"/>
          <w:sz w:val="22"/>
          <w:lang w:val="en-NG"/>
        </w:rPr>
      </w:pPr>
      <w:r w:rsidRPr="00C72CDA">
        <w:rPr>
          <w:rFonts w:ascii="Arial" w:hAnsi="Arial" w:cs="Arial"/>
          <w:sz w:val="22"/>
          <w:lang w:val="en-NG"/>
        </w:rPr>
        <w:t>Ethical approval will not be required because the study uses published literature only. However, the review will follow the principles of academic integrity through accurate referencing, objective reporting and transparent interpretation of the evidence.</w:t>
      </w:r>
    </w:p>
    <w:p w14:paraId="7FA6AE8E" w14:textId="38837BD7" w:rsidR="005F2FE3" w:rsidRPr="00C72CDA" w:rsidRDefault="005F2FE3" w:rsidP="00375510">
      <w:pPr>
        <w:spacing w:line="360" w:lineRule="auto"/>
        <w:jc w:val="left"/>
        <w:rPr>
          <w:rFonts w:ascii="Arial" w:hAnsi="Arial" w:cs="Arial"/>
          <w:sz w:val="22"/>
          <w:lang w:val="en-NG"/>
        </w:rPr>
      </w:pPr>
      <w:r w:rsidRPr="00C72CDA">
        <w:rPr>
          <w:rFonts w:ascii="Arial" w:hAnsi="Arial" w:cs="Arial"/>
          <w:sz w:val="22"/>
          <w:lang w:val="en-NG"/>
        </w:rPr>
        <w:br w:type="page"/>
      </w:r>
    </w:p>
    <w:p w14:paraId="2732C37E" w14:textId="65DDE83C" w:rsidR="005F2FE3" w:rsidRPr="00375510" w:rsidRDefault="005F2FE3" w:rsidP="00375510">
      <w:pPr>
        <w:spacing w:line="360" w:lineRule="auto"/>
        <w:rPr>
          <w:rFonts w:ascii="Arial" w:hAnsi="Arial" w:cs="Arial"/>
          <w:b/>
          <w:bCs/>
          <w:sz w:val="22"/>
          <w:lang w:val="en-NG"/>
        </w:rPr>
      </w:pPr>
      <w:r w:rsidRPr="00375510">
        <w:rPr>
          <w:rFonts w:ascii="Arial" w:hAnsi="Arial" w:cs="Arial"/>
          <w:b/>
          <w:bCs/>
          <w:sz w:val="22"/>
          <w:lang w:val="en-NG"/>
        </w:rPr>
        <w:lastRenderedPageBreak/>
        <w:t xml:space="preserve">Potential References </w:t>
      </w:r>
    </w:p>
    <w:p w14:paraId="40CD6534" w14:textId="77777777" w:rsidR="005F2FE3" w:rsidRPr="00375510" w:rsidRDefault="005F2FE3" w:rsidP="00375510">
      <w:pPr>
        <w:spacing w:line="360" w:lineRule="auto"/>
        <w:ind w:left="720" w:hanging="720"/>
        <w:rPr>
          <w:rFonts w:ascii="Arial" w:hAnsi="Arial" w:cs="Arial"/>
          <w:sz w:val="22"/>
          <w:lang w:val="en-NG"/>
        </w:rPr>
      </w:pPr>
      <w:proofErr w:type="spellStart"/>
      <w:r w:rsidRPr="00375510">
        <w:rPr>
          <w:rFonts w:ascii="Arial" w:hAnsi="Arial" w:cs="Arial"/>
          <w:sz w:val="22"/>
          <w:lang w:val="en-NG"/>
        </w:rPr>
        <w:t>Aromataris</w:t>
      </w:r>
      <w:proofErr w:type="spellEnd"/>
      <w:r w:rsidRPr="00375510">
        <w:rPr>
          <w:rFonts w:ascii="Arial" w:hAnsi="Arial" w:cs="Arial"/>
          <w:sz w:val="22"/>
          <w:lang w:val="en-NG"/>
        </w:rPr>
        <w:t xml:space="preserve">, E. and Munn, Z. (eds.) (2020) </w:t>
      </w:r>
      <w:r w:rsidRPr="00375510">
        <w:rPr>
          <w:rFonts w:ascii="Arial" w:hAnsi="Arial" w:cs="Arial"/>
          <w:i/>
          <w:iCs/>
          <w:sz w:val="22"/>
          <w:lang w:val="en-NG"/>
        </w:rPr>
        <w:t>JBI Manual for Evidence Synthesis</w:t>
      </w:r>
      <w:r w:rsidRPr="00375510">
        <w:rPr>
          <w:rFonts w:ascii="Arial" w:hAnsi="Arial" w:cs="Arial"/>
          <w:sz w:val="22"/>
          <w:lang w:val="en-NG"/>
        </w:rPr>
        <w:t xml:space="preserve">. Adelaide: Joanna Briggs Institute. Available at: </w:t>
      </w:r>
      <w:hyperlink r:id="rId7" w:tgtFrame="_new" w:history="1">
        <w:r w:rsidRPr="00375510">
          <w:rPr>
            <w:rStyle w:val="Hyperlink"/>
            <w:rFonts w:ascii="Arial" w:hAnsi="Arial" w:cs="Arial"/>
            <w:sz w:val="22"/>
            <w:lang w:val="en-NG"/>
          </w:rPr>
          <w:t>https://doi.org/10.46658/JBIMES-20-01</w:t>
        </w:r>
      </w:hyperlink>
      <w:r w:rsidRPr="00375510">
        <w:rPr>
          <w:rFonts w:ascii="Arial" w:hAnsi="Arial" w:cs="Arial"/>
          <w:sz w:val="22"/>
          <w:lang w:val="en-NG"/>
        </w:rPr>
        <w:t xml:space="preserve"> (Accessed: 3 July 2026).</w:t>
      </w:r>
    </w:p>
    <w:p w14:paraId="22B05728"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Arksey, H. and O'Malley, L. (2005) 'Scoping studies: Towards a methodological framework', </w:t>
      </w:r>
      <w:r w:rsidRPr="00375510">
        <w:rPr>
          <w:rFonts w:ascii="Arial" w:hAnsi="Arial" w:cs="Arial"/>
          <w:i/>
          <w:iCs/>
          <w:sz w:val="22"/>
          <w:lang w:val="en-NG"/>
        </w:rPr>
        <w:t>International Journal of Social Research Methodology</w:t>
      </w:r>
      <w:r w:rsidRPr="00375510">
        <w:rPr>
          <w:rFonts w:ascii="Arial" w:hAnsi="Arial" w:cs="Arial"/>
          <w:sz w:val="22"/>
          <w:lang w:val="en-NG"/>
        </w:rPr>
        <w:t xml:space="preserve">, 8(1), pp. 19–32. Available at: </w:t>
      </w:r>
      <w:hyperlink r:id="rId8" w:tgtFrame="_new" w:history="1">
        <w:r w:rsidRPr="00375510">
          <w:rPr>
            <w:rStyle w:val="Hyperlink"/>
            <w:rFonts w:ascii="Arial" w:hAnsi="Arial" w:cs="Arial"/>
            <w:sz w:val="22"/>
            <w:lang w:val="en-NG"/>
          </w:rPr>
          <w:t>https://doi.org/10.1080/1364557032000119616</w:t>
        </w:r>
      </w:hyperlink>
      <w:r w:rsidRPr="00375510">
        <w:rPr>
          <w:rFonts w:ascii="Arial" w:hAnsi="Arial" w:cs="Arial"/>
          <w:sz w:val="22"/>
          <w:lang w:val="en-NG"/>
        </w:rPr>
        <w:t>.</w:t>
      </w:r>
    </w:p>
    <w:p w14:paraId="620C5626"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Munn, Z., Peters, M.D.J., Stern, C., Tufanaru, C., McArthur, A. and </w:t>
      </w:r>
      <w:proofErr w:type="spellStart"/>
      <w:r w:rsidRPr="00375510">
        <w:rPr>
          <w:rFonts w:ascii="Arial" w:hAnsi="Arial" w:cs="Arial"/>
          <w:sz w:val="22"/>
          <w:lang w:val="en-NG"/>
        </w:rPr>
        <w:t>Aromataris</w:t>
      </w:r>
      <w:proofErr w:type="spellEnd"/>
      <w:r w:rsidRPr="00375510">
        <w:rPr>
          <w:rFonts w:ascii="Arial" w:hAnsi="Arial" w:cs="Arial"/>
          <w:sz w:val="22"/>
          <w:lang w:val="en-NG"/>
        </w:rPr>
        <w:t xml:space="preserve">, E. (2018) 'Systematic review or scoping review? Guidance for authors when choosing between a systematic review or scoping review approach', </w:t>
      </w:r>
      <w:r w:rsidRPr="00375510">
        <w:rPr>
          <w:rFonts w:ascii="Arial" w:hAnsi="Arial" w:cs="Arial"/>
          <w:i/>
          <w:iCs/>
          <w:sz w:val="22"/>
          <w:lang w:val="en-NG"/>
        </w:rPr>
        <w:t>BMC Medical Research Methodology</w:t>
      </w:r>
      <w:r w:rsidRPr="00375510">
        <w:rPr>
          <w:rFonts w:ascii="Arial" w:hAnsi="Arial" w:cs="Arial"/>
          <w:sz w:val="22"/>
          <w:lang w:val="en-NG"/>
        </w:rPr>
        <w:t xml:space="preserve">, 18(143). Available at: </w:t>
      </w:r>
      <w:hyperlink r:id="rId9" w:tgtFrame="_new" w:history="1">
        <w:r w:rsidRPr="00375510">
          <w:rPr>
            <w:rStyle w:val="Hyperlink"/>
            <w:rFonts w:ascii="Arial" w:hAnsi="Arial" w:cs="Arial"/>
            <w:sz w:val="22"/>
            <w:lang w:val="en-NG"/>
          </w:rPr>
          <w:t>https://doi.org/10.1186/s12874-018-0611-x</w:t>
        </w:r>
      </w:hyperlink>
      <w:r w:rsidRPr="00375510">
        <w:rPr>
          <w:rFonts w:ascii="Arial" w:hAnsi="Arial" w:cs="Arial"/>
          <w:sz w:val="22"/>
          <w:lang w:val="en-NG"/>
        </w:rPr>
        <w:t>.</w:t>
      </w:r>
    </w:p>
    <w:p w14:paraId="0E51C7A0"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National Institute for Health and Care Excellence (NICE) (2023) </w:t>
      </w:r>
      <w:r w:rsidRPr="00375510">
        <w:rPr>
          <w:rFonts w:ascii="Arial" w:hAnsi="Arial" w:cs="Arial"/>
          <w:i/>
          <w:iCs/>
          <w:sz w:val="22"/>
          <w:lang w:val="en-NG"/>
        </w:rPr>
        <w:t>Principles for delivering high-quality healthcare</w:t>
      </w:r>
      <w:r w:rsidRPr="00375510">
        <w:rPr>
          <w:rFonts w:ascii="Arial" w:hAnsi="Arial" w:cs="Arial"/>
          <w:sz w:val="22"/>
          <w:lang w:val="en-NG"/>
        </w:rPr>
        <w:t xml:space="preserve">. Available at: </w:t>
      </w:r>
      <w:hyperlink r:id="rId10" w:tgtFrame="_new" w:history="1">
        <w:r w:rsidRPr="00375510">
          <w:rPr>
            <w:rStyle w:val="Hyperlink"/>
            <w:rFonts w:ascii="Arial" w:hAnsi="Arial" w:cs="Arial"/>
            <w:sz w:val="22"/>
            <w:lang w:val="en-NG"/>
          </w:rPr>
          <w:t>https://www.nice.org.uk</w:t>
        </w:r>
      </w:hyperlink>
      <w:r w:rsidRPr="00375510">
        <w:rPr>
          <w:rFonts w:ascii="Arial" w:hAnsi="Arial" w:cs="Arial"/>
          <w:sz w:val="22"/>
          <w:lang w:val="en-NG"/>
        </w:rPr>
        <w:t xml:space="preserve"> (Accessed: 3 July 2026).</w:t>
      </w:r>
    </w:p>
    <w:p w14:paraId="7263F41A"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NHS England (2024) </w:t>
      </w:r>
      <w:r w:rsidRPr="00375510">
        <w:rPr>
          <w:rFonts w:ascii="Arial" w:hAnsi="Arial" w:cs="Arial"/>
          <w:i/>
          <w:iCs/>
          <w:sz w:val="22"/>
          <w:lang w:val="en-NG"/>
        </w:rPr>
        <w:t>Delivery plan for tackling the COVID-19 backlog of elective care</w:t>
      </w:r>
      <w:r w:rsidRPr="00375510">
        <w:rPr>
          <w:rFonts w:ascii="Arial" w:hAnsi="Arial" w:cs="Arial"/>
          <w:sz w:val="22"/>
          <w:lang w:val="en-NG"/>
        </w:rPr>
        <w:t xml:space="preserve">. Available at: </w:t>
      </w:r>
      <w:hyperlink r:id="rId11" w:tgtFrame="_new" w:history="1">
        <w:r w:rsidRPr="00375510">
          <w:rPr>
            <w:rStyle w:val="Hyperlink"/>
            <w:rFonts w:ascii="Arial" w:hAnsi="Arial" w:cs="Arial"/>
            <w:sz w:val="22"/>
            <w:lang w:val="en-NG"/>
          </w:rPr>
          <w:t>https://www.england.nhs.uk/coronavirus/publication/delivery-plan-for-tackling-the-covid-19-backlog-of-elective-care/</w:t>
        </w:r>
      </w:hyperlink>
      <w:r w:rsidRPr="00375510">
        <w:rPr>
          <w:rFonts w:ascii="Arial" w:hAnsi="Arial" w:cs="Arial"/>
          <w:sz w:val="22"/>
          <w:lang w:val="en-NG"/>
        </w:rPr>
        <w:t xml:space="preserve"> (Accessed: 3 July 2026).</w:t>
      </w:r>
    </w:p>
    <w:p w14:paraId="7F988560"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NHS England (2024) </w:t>
      </w:r>
      <w:r w:rsidRPr="00375510">
        <w:rPr>
          <w:rFonts w:ascii="Arial" w:hAnsi="Arial" w:cs="Arial"/>
          <w:i/>
          <w:iCs/>
          <w:sz w:val="22"/>
          <w:lang w:val="en-NG"/>
        </w:rPr>
        <w:t>Referral to Treatment (RTT) Waiting Times Statistics</w:t>
      </w:r>
      <w:r w:rsidRPr="00375510">
        <w:rPr>
          <w:rFonts w:ascii="Arial" w:hAnsi="Arial" w:cs="Arial"/>
          <w:sz w:val="22"/>
          <w:lang w:val="en-NG"/>
        </w:rPr>
        <w:t xml:space="preserve">. Available at: </w:t>
      </w:r>
      <w:hyperlink r:id="rId12" w:tgtFrame="_new" w:history="1">
        <w:r w:rsidRPr="00375510">
          <w:rPr>
            <w:rStyle w:val="Hyperlink"/>
            <w:rFonts w:ascii="Arial" w:hAnsi="Arial" w:cs="Arial"/>
            <w:sz w:val="22"/>
            <w:lang w:val="en-NG"/>
          </w:rPr>
          <w:t>https://www.england.nhs.uk/statistics/statistical-work-areas/rtt-waiting-times/</w:t>
        </w:r>
      </w:hyperlink>
      <w:r w:rsidRPr="00375510">
        <w:rPr>
          <w:rFonts w:ascii="Arial" w:hAnsi="Arial" w:cs="Arial"/>
          <w:sz w:val="22"/>
          <w:lang w:val="en-NG"/>
        </w:rPr>
        <w:t xml:space="preserve"> (Accessed: 3 July 2026).</w:t>
      </w:r>
    </w:p>
    <w:p w14:paraId="19419E80"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Page, M.J., McKenzie, J.E., Bossuyt, P.M., </w:t>
      </w:r>
      <w:proofErr w:type="spellStart"/>
      <w:r w:rsidRPr="00375510">
        <w:rPr>
          <w:rFonts w:ascii="Arial" w:hAnsi="Arial" w:cs="Arial"/>
          <w:sz w:val="22"/>
          <w:lang w:val="en-NG"/>
        </w:rPr>
        <w:t>Boutron</w:t>
      </w:r>
      <w:proofErr w:type="spellEnd"/>
      <w:r w:rsidRPr="00375510">
        <w:rPr>
          <w:rFonts w:ascii="Arial" w:hAnsi="Arial" w:cs="Arial"/>
          <w:sz w:val="22"/>
          <w:lang w:val="en-NG"/>
        </w:rPr>
        <w:t xml:space="preserve">, I., Hoffmann, T.C., Mulrow, C.D., et al. (2021) 'The PRISMA 2020 statement: An updated guideline for reporting systematic reviews', </w:t>
      </w:r>
      <w:r w:rsidRPr="00375510">
        <w:rPr>
          <w:rFonts w:ascii="Arial" w:hAnsi="Arial" w:cs="Arial"/>
          <w:i/>
          <w:iCs/>
          <w:sz w:val="22"/>
          <w:lang w:val="en-NG"/>
        </w:rPr>
        <w:t>The BMJ</w:t>
      </w:r>
      <w:r w:rsidRPr="00375510">
        <w:rPr>
          <w:rFonts w:ascii="Arial" w:hAnsi="Arial" w:cs="Arial"/>
          <w:sz w:val="22"/>
          <w:lang w:val="en-NG"/>
        </w:rPr>
        <w:t xml:space="preserve">, 372, n71. Available at: </w:t>
      </w:r>
      <w:hyperlink r:id="rId13" w:tgtFrame="_new" w:history="1">
        <w:r w:rsidRPr="00375510">
          <w:rPr>
            <w:rStyle w:val="Hyperlink"/>
            <w:rFonts w:ascii="Arial" w:hAnsi="Arial" w:cs="Arial"/>
            <w:sz w:val="22"/>
            <w:lang w:val="en-NG"/>
          </w:rPr>
          <w:t>https://doi.org/10.1136/bmj.n71</w:t>
        </w:r>
      </w:hyperlink>
      <w:r w:rsidRPr="00375510">
        <w:rPr>
          <w:rFonts w:ascii="Arial" w:hAnsi="Arial" w:cs="Arial"/>
          <w:sz w:val="22"/>
          <w:lang w:val="en-NG"/>
        </w:rPr>
        <w:t>.</w:t>
      </w:r>
    </w:p>
    <w:p w14:paraId="056A5A43"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Peters, M.D.J., Godfrey, C., McInerney, P., Munn, Z., </w:t>
      </w:r>
      <w:proofErr w:type="spellStart"/>
      <w:r w:rsidRPr="00375510">
        <w:rPr>
          <w:rFonts w:ascii="Arial" w:hAnsi="Arial" w:cs="Arial"/>
          <w:sz w:val="22"/>
          <w:lang w:val="en-NG"/>
        </w:rPr>
        <w:t>Tricco</w:t>
      </w:r>
      <w:proofErr w:type="spellEnd"/>
      <w:r w:rsidRPr="00375510">
        <w:rPr>
          <w:rFonts w:ascii="Arial" w:hAnsi="Arial" w:cs="Arial"/>
          <w:sz w:val="22"/>
          <w:lang w:val="en-NG"/>
        </w:rPr>
        <w:t xml:space="preserve">, A.C. and Khalil, H. (2020) 'Chapter 11: Scoping Reviews', in </w:t>
      </w:r>
      <w:proofErr w:type="spellStart"/>
      <w:r w:rsidRPr="00375510">
        <w:rPr>
          <w:rFonts w:ascii="Arial" w:hAnsi="Arial" w:cs="Arial"/>
          <w:sz w:val="22"/>
          <w:lang w:val="en-NG"/>
        </w:rPr>
        <w:t>Aromataris</w:t>
      </w:r>
      <w:proofErr w:type="spellEnd"/>
      <w:r w:rsidRPr="00375510">
        <w:rPr>
          <w:rFonts w:ascii="Arial" w:hAnsi="Arial" w:cs="Arial"/>
          <w:sz w:val="22"/>
          <w:lang w:val="en-NG"/>
        </w:rPr>
        <w:t xml:space="preserve">, E. and Munn, Z. (eds.) </w:t>
      </w:r>
      <w:r w:rsidRPr="00375510">
        <w:rPr>
          <w:rFonts w:ascii="Arial" w:hAnsi="Arial" w:cs="Arial"/>
          <w:i/>
          <w:iCs/>
          <w:sz w:val="22"/>
          <w:lang w:val="en-NG"/>
        </w:rPr>
        <w:t>JBI Manual for Evidence Synthesis</w:t>
      </w:r>
      <w:r w:rsidRPr="00375510">
        <w:rPr>
          <w:rFonts w:ascii="Arial" w:hAnsi="Arial" w:cs="Arial"/>
          <w:sz w:val="22"/>
          <w:lang w:val="en-NG"/>
        </w:rPr>
        <w:t>. Adelaide: Joanna Briggs Institute.</w:t>
      </w:r>
    </w:p>
    <w:p w14:paraId="5C1573EF"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The King's Fund (2024) </w:t>
      </w:r>
      <w:r w:rsidRPr="00375510">
        <w:rPr>
          <w:rFonts w:ascii="Arial" w:hAnsi="Arial" w:cs="Arial"/>
          <w:i/>
          <w:iCs/>
          <w:sz w:val="22"/>
          <w:lang w:val="en-NG"/>
        </w:rPr>
        <w:t>NHS waiting times</w:t>
      </w:r>
      <w:r w:rsidRPr="00375510">
        <w:rPr>
          <w:rFonts w:ascii="Arial" w:hAnsi="Arial" w:cs="Arial"/>
          <w:sz w:val="22"/>
          <w:lang w:val="en-NG"/>
        </w:rPr>
        <w:t xml:space="preserve">. Available at: </w:t>
      </w:r>
      <w:hyperlink r:id="rId14" w:tgtFrame="_new" w:history="1">
        <w:r w:rsidRPr="00375510">
          <w:rPr>
            <w:rStyle w:val="Hyperlink"/>
            <w:rFonts w:ascii="Arial" w:hAnsi="Arial" w:cs="Arial"/>
            <w:sz w:val="22"/>
            <w:lang w:val="en-NG"/>
          </w:rPr>
          <w:t>https://www.kingsfund.org.uk</w:t>
        </w:r>
      </w:hyperlink>
      <w:r w:rsidRPr="00375510">
        <w:rPr>
          <w:rFonts w:ascii="Arial" w:hAnsi="Arial" w:cs="Arial"/>
          <w:sz w:val="22"/>
          <w:lang w:val="en-NG"/>
        </w:rPr>
        <w:t xml:space="preserve"> (Accessed: 3 July 2026).</w:t>
      </w:r>
    </w:p>
    <w:p w14:paraId="3E0D8F7C" w14:textId="77777777" w:rsidR="005F2FE3" w:rsidRPr="00375510" w:rsidRDefault="005F2FE3" w:rsidP="00375510">
      <w:pPr>
        <w:spacing w:line="360" w:lineRule="auto"/>
        <w:ind w:left="720" w:hanging="720"/>
        <w:rPr>
          <w:rFonts w:ascii="Arial" w:hAnsi="Arial" w:cs="Arial"/>
          <w:sz w:val="22"/>
          <w:lang w:val="en-NG"/>
        </w:rPr>
      </w:pPr>
      <w:r w:rsidRPr="00375510">
        <w:rPr>
          <w:rFonts w:ascii="Arial" w:hAnsi="Arial" w:cs="Arial"/>
          <w:sz w:val="22"/>
          <w:lang w:val="en-NG"/>
        </w:rPr>
        <w:t xml:space="preserve">The King's Fund (2024) </w:t>
      </w:r>
      <w:r w:rsidRPr="00375510">
        <w:rPr>
          <w:rFonts w:ascii="Arial" w:hAnsi="Arial" w:cs="Arial"/>
          <w:i/>
          <w:iCs/>
          <w:sz w:val="22"/>
          <w:lang w:val="en-NG"/>
        </w:rPr>
        <w:t>The NHS in a nutshell</w:t>
      </w:r>
      <w:r w:rsidRPr="00375510">
        <w:rPr>
          <w:rFonts w:ascii="Arial" w:hAnsi="Arial" w:cs="Arial"/>
          <w:sz w:val="22"/>
          <w:lang w:val="en-NG"/>
        </w:rPr>
        <w:t xml:space="preserve">. Available at: </w:t>
      </w:r>
      <w:hyperlink r:id="rId15" w:tgtFrame="_new" w:history="1">
        <w:r w:rsidRPr="00375510">
          <w:rPr>
            <w:rStyle w:val="Hyperlink"/>
            <w:rFonts w:ascii="Arial" w:hAnsi="Arial" w:cs="Arial"/>
            <w:sz w:val="22"/>
            <w:lang w:val="en-NG"/>
          </w:rPr>
          <w:t>https://www.kingsfund.org.uk</w:t>
        </w:r>
      </w:hyperlink>
      <w:r w:rsidRPr="00375510">
        <w:rPr>
          <w:rFonts w:ascii="Arial" w:hAnsi="Arial" w:cs="Arial"/>
          <w:sz w:val="22"/>
          <w:lang w:val="en-NG"/>
        </w:rPr>
        <w:t xml:space="preserve"> (Accessed: 3 July 2026).</w:t>
      </w:r>
    </w:p>
    <w:p w14:paraId="294664F6" w14:textId="77777777" w:rsidR="005F2FE3" w:rsidRPr="00375510" w:rsidRDefault="005F2FE3" w:rsidP="00375510">
      <w:pPr>
        <w:spacing w:line="360" w:lineRule="auto"/>
        <w:ind w:left="720" w:hanging="720"/>
        <w:rPr>
          <w:rFonts w:ascii="Arial" w:hAnsi="Arial" w:cs="Arial"/>
          <w:sz w:val="22"/>
          <w:lang w:val="en-NG"/>
        </w:rPr>
      </w:pPr>
      <w:proofErr w:type="spellStart"/>
      <w:r w:rsidRPr="00375510">
        <w:rPr>
          <w:rFonts w:ascii="Arial" w:hAnsi="Arial" w:cs="Arial"/>
          <w:sz w:val="22"/>
          <w:lang w:val="en-NG"/>
        </w:rPr>
        <w:t>Tricco</w:t>
      </w:r>
      <w:proofErr w:type="spellEnd"/>
      <w:r w:rsidRPr="00375510">
        <w:rPr>
          <w:rFonts w:ascii="Arial" w:hAnsi="Arial" w:cs="Arial"/>
          <w:sz w:val="22"/>
          <w:lang w:val="en-NG"/>
        </w:rPr>
        <w:t>, A.C., Lillie, E., Zarin, W., O'Brien, K.K., Colquhoun, H., Levac, D., et al. (2018) 'PRISMA extension for Scoping Reviews (PRISMA-</w:t>
      </w:r>
      <w:proofErr w:type="spellStart"/>
      <w:r w:rsidRPr="00375510">
        <w:rPr>
          <w:rFonts w:ascii="Arial" w:hAnsi="Arial" w:cs="Arial"/>
          <w:sz w:val="22"/>
          <w:lang w:val="en-NG"/>
        </w:rPr>
        <w:t>ScR</w:t>
      </w:r>
      <w:proofErr w:type="spellEnd"/>
      <w:r w:rsidRPr="00375510">
        <w:rPr>
          <w:rFonts w:ascii="Arial" w:hAnsi="Arial" w:cs="Arial"/>
          <w:sz w:val="22"/>
          <w:lang w:val="en-NG"/>
        </w:rPr>
        <w:t xml:space="preserve">): Checklist and explanation', </w:t>
      </w:r>
      <w:r w:rsidRPr="00375510">
        <w:rPr>
          <w:rFonts w:ascii="Arial" w:hAnsi="Arial" w:cs="Arial"/>
          <w:i/>
          <w:iCs/>
          <w:sz w:val="22"/>
          <w:lang w:val="en-NG"/>
        </w:rPr>
        <w:lastRenderedPageBreak/>
        <w:t>Annals of Internal Medicine</w:t>
      </w:r>
      <w:r w:rsidRPr="00375510">
        <w:rPr>
          <w:rFonts w:ascii="Arial" w:hAnsi="Arial" w:cs="Arial"/>
          <w:sz w:val="22"/>
          <w:lang w:val="en-NG"/>
        </w:rPr>
        <w:t xml:space="preserve">, 169(7), pp. 467–473. Available at: </w:t>
      </w:r>
      <w:hyperlink r:id="rId16" w:tgtFrame="_new" w:history="1">
        <w:r w:rsidRPr="00375510">
          <w:rPr>
            <w:rStyle w:val="Hyperlink"/>
            <w:rFonts w:ascii="Arial" w:hAnsi="Arial" w:cs="Arial"/>
            <w:sz w:val="22"/>
            <w:lang w:val="en-NG"/>
          </w:rPr>
          <w:t>https://doi.org/10.7326/M18-0850</w:t>
        </w:r>
      </w:hyperlink>
      <w:r w:rsidRPr="00375510">
        <w:rPr>
          <w:rFonts w:ascii="Arial" w:hAnsi="Arial" w:cs="Arial"/>
          <w:sz w:val="22"/>
          <w:lang w:val="en-NG"/>
        </w:rPr>
        <w:t>.</w:t>
      </w:r>
    </w:p>
    <w:p w14:paraId="7D69B2DC" w14:textId="77777777" w:rsidR="005F2FE3" w:rsidRPr="00375510" w:rsidRDefault="005F2FE3" w:rsidP="00375510">
      <w:pPr>
        <w:spacing w:line="360" w:lineRule="auto"/>
        <w:rPr>
          <w:rFonts w:ascii="Arial" w:hAnsi="Arial" w:cs="Arial"/>
          <w:sz w:val="22"/>
          <w:lang w:val="en-NG"/>
        </w:rPr>
      </w:pPr>
    </w:p>
    <w:p w14:paraId="6FA85085" w14:textId="77777777" w:rsidR="00841A65" w:rsidRPr="00375510" w:rsidRDefault="00841A65" w:rsidP="00375510">
      <w:pPr>
        <w:spacing w:line="360" w:lineRule="auto"/>
        <w:rPr>
          <w:rFonts w:ascii="Arial" w:hAnsi="Arial" w:cs="Arial"/>
          <w:sz w:val="22"/>
        </w:rPr>
      </w:pPr>
    </w:p>
    <w:sectPr w:rsidR="00841A65" w:rsidRPr="003755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919D6" w14:textId="77777777" w:rsidR="003904E1" w:rsidRDefault="003904E1" w:rsidP="005F2FE3">
      <w:pPr>
        <w:spacing w:after="0" w:line="240" w:lineRule="auto"/>
      </w:pPr>
      <w:r>
        <w:separator/>
      </w:r>
    </w:p>
  </w:endnote>
  <w:endnote w:type="continuationSeparator" w:id="0">
    <w:p w14:paraId="33E93BA4" w14:textId="77777777" w:rsidR="003904E1" w:rsidRDefault="003904E1" w:rsidP="005F2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9CC43B" w14:textId="77777777" w:rsidR="003904E1" w:rsidRDefault="003904E1" w:rsidP="005F2FE3">
      <w:pPr>
        <w:spacing w:after="0" w:line="240" w:lineRule="auto"/>
      </w:pPr>
      <w:r>
        <w:separator/>
      </w:r>
    </w:p>
  </w:footnote>
  <w:footnote w:type="continuationSeparator" w:id="0">
    <w:p w14:paraId="3722336E" w14:textId="77777777" w:rsidR="003904E1" w:rsidRDefault="003904E1" w:rsidP="005F2F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6559F"/>
    <w:multiLevelType w:val="multilevel"/>
    <w:tmpl w:val="F0E87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00740E"/>
    <w:multiLevelType w:val="multilevel"/>
    <w:tmpl w:val="0158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0412CC"/>
    <w:multiLevelType w:val="multilevel"/>
    <w:tmpl w:val="A35C7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9568B7"/>
    <w:multiLevelType w:val="multilevel"/>
    <w:tmpl w:val="1760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1B10E0"/>
    <w:multiLevelType w:val="multilevel"/>
    <w:tmpl w:val="4AA0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3785209">
    <w:abstractNumId w:val="2"/>
  </w:num>
  <w:num w:numId="2" w16cid:durableId="407919557">
    <w:abstractNumId w:val="1"/>
  </w:num>
  <w:num w:numId="3" w16cid:durableId="1677658541">
    <w:abstractNumId w:val="3"/>
  </w:num>
  <w:num w:numId="4" w16cid:durableId="816341446">
    <w:abstractNumId w:val="4"/>
  </w:num>
  <w:num w:numId="5" w16cid:durableId="1711539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FE3"/>
    <w:rsid w:val="0018553C"/>
    <w:rsid w:val="001D40F1"/>
    <w:rsid w:val="002728DE"/>
    <w:rsid w:val="002767BF"/>
    <w:rsid w:val="00375510"/>
    <w:rsid w:val="003904E1"/>
    <w:rsid w:val="004B259D"/>
    <w:rsid w:val="00505C1D"/>
    <w:rsid w:val="005D25FF"/>
    <w:rsid w:val="005F2FE3"/>
    <w:rsid w:val="006C01FD"/>
    <w:rsid w:val="00750812"/>
    <w:rsid w:val="008124AA"/>
    <w:rsid w:val="00841A65"/>
    <w:rsid w:val="00900405"/>
    <w:rsid w:val="009B0FD3"/>
    <w:rsid w:val="00A72190"/>
    <w:rsid w:val="00C72CDA"/>
    <w:rsid w:val="00EB77B2"/>
    <w:rsid w:val="00F31A51"/>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C5F4F"/>
  <w15:chartTrackingRefBased/>
  <w15:docId w15:val="{E226FF7C-C2BE-4450-8FB0-0E0E430BF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4AA"/>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8124AA"/>
    <w:pPr>
      <w:keepNext/>
      <w:keepLines/>
      <w:spacing w:before="240" w:after="0"/>
      <w:jc w:val="center"/>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8124AA"/>
    <w:pPr>
      <w:keepNext/>
      <w:keepLines/>
      <w:spacing w:before="40" w:after="0" w:line="259" w:lineRule="auto"/>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124AA"/>
    <w:pPr>
      <w:keepNext/>
      <w:keepLines/>
      <w:spacing w:before="40" w:after="0"/>
      <w:jc w:val="left"/>
      <w:outlineLvl w:val="2"/>
    </w:pPr>
    <w:rPr>
      <w:rFonts w:eastAsiaTheme="majorEastAsia" w:cstheme="majorBidi"/>
      <w:b/>
      <w:color w:val="000000" w:themeColor="text1"/>
      <w:kern w:val="2"/>
      <w:szCs w:val="24"/>
      <w:lang w:val="en-NG"/>
      <w14:ligatures w14:val="standardContextual"/>
    </w:rPr>
  </w:style>
  <w:style w:type="paragraph" w:styleId="Heading4">
    <w:name w:val="heading 4"/>
    <w:basedOn w:val="Normal"/>
    <w:next w:val="Normal"/>
    <w:link w:val="Heading4Char"/>
    <w:uiPriority w:val="9"/>
    <w:semiHidden/>
    <w:unhideWhenUsed/>
    <w:qFormat/>
    <w:rsid w:val="005F2FE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F2FE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F2F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2F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2F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2F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4AA"/>
    <w:rPr>
      <w:rFonts w:ascii="Times New Roman" w:eastAsiaTheme="majorEastAsia" w:hAnsi="Times New Roman" w:cstheme="majorBidi"/>
      <w:color w:val="000000" w:themeColor="text1"/>
      <w:sz w:val="24"/>
      <w:szCs w:val="32"/>
    </w:rPr>
  </w:style>
  <w:style w:type="character" w:customStyle="1" w:styleId="Heading2Char">
    <w:name w:val="Heading 2 Char"/>
    <w:basedOn w:val="DefaultParagraphFont"/>
    <w:link w:val="Heading2"/>
    <w:uiPriority w:val="9"/>
    <w:rsid w:val="008124AA"/>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8124AA"/>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5F2FE3"/>
    <w:rPr>
      <w:rFonts w:eastAsiaTheme="majorEastAsia" w:cstheme="majorBidi"/>
      <w:i/>
      <w:iCs/>
      <w:color w:val="2F5496" w:themeColor="accent1" w:themeShade="BF"/>
      <w:kern w:val="0"/>
      <w:sz w:val="24"/>
      <w:lang w:val="en-US"/>
      <w14:ligatures w14:val="none"/>
    </w:rPr>
  </w:style>
  <w:style w:type="character" w:customStyle="1" w:styleId="Heading5Char">
    <w:name w:val="Heading 5 Char"/>
    <w:basedOn w:val="DefaultParagraphFont"/>
    <w:link w:val="Heading5"/>
    <w:uiPriority w:val="9"/>
    <w:semiHidden/>
    <w:rsid w:val="005F2FE3"/>
    <w:rPr>
      <w:rFonts w:eastAsiaTheme="majorEastAsia" w:cstheme="majorBidi"/>
      <w:color w:val="2F5496" w:themeColor="accent1" w:themeShade="BF"/>
      <w:kern w:val="0"/>
      <w:sz w:val="24"/>
      <w:lang w:val="en-US"/>
      <w14:ligatures w14:val="none"/>
    </w:rPr>
  </w:style>
  <w:style w:type="character" w:customStyle="1" w:styleId="Heading6Char">
    <w:name w:val="Heading 6 Char"/>
    <w:basedOn w:val="DefaultParagraphFont"/>
    <w:link w:val="Heading6"/>
    <w:uiPriority w:val="9"/>
    <w:semiHidden/>
    <w:rsid w:val="005F2FE3"/>
    <w:rPr>
      <w:rFonts w:eastAsiaTheme="majorEastAsia" w:cstheme="majorBidi"/>
      <w:i/>
      <w:iCs/>
      <w:color w:val="595959" w:themeColor="text1" w:themeTint="A6"/>
      <w:kern w:val="0"/>
      <w:sz w:val="24"/>
      <w:lang w:val="en-US"/>
      <w14:ligatures w14:val="none"/>
    </w:rPr>
  </w:style>
  <w:style w:type="character" w:customStyle="1" w:styleId="Heading7Char">
    <w:name w:val="Heading 7 Char"/>
    <w:basedOn w:val="DefaultParagraphFont"/>
    <w:link w:val="Heading7"/>
    <w:uiPriority w:val="9"/>
    <w:semiHidden/>
    <w:rsid w:val="005F2FE3"/>
    <w:rPr>
      <w:rFonts w:eastAsiaTheme="majorEastAsia" w:cstheme="majorBidi"/>
      <w:color w:val="595959" w:themeColor="text1" w:themeTint="A6"/>
      <w:kern w:val="0"/>
      <w:sz w:val="24"/>
      <w:lang w:val="en-US"/>
      <w14:ligatures w14:val="none"/>
    </w:rPr>
  </w:style>
  <w:style w:type="character" w:customStyle="1" w:styleId="Heading8Char">
    <w:name w:val="Heading 8 Char"/>
    <w:basedOn w:val="DefaultParagraphFont"/>
    <w:link w:val="Heading8"/>
    <w:uiPriority w:val="9"/>
    <w:semiHidden/>
    <w:rsid w:val="005F2FE3"/>
    <w:rPr>
      <w:rFonts w:eastAsiaTheme="majorEastAsia" w:cstheme="majorBidi"/>
      <w:i/>
      <w:iCs/>
      <w:color w:val="272727" w:themeColor="text1" w:themeTint="D8"/>
      <w:kern w:val="0"/>
      <w:sz w:val="24"/>
      <w:lang w:val="en-US"/>
      <w14:ligatures w14:val="none"/>
    </w:rPr>
  </w:style>
  <w:style w:type="character" w:customStyle="1" w:styleId="Heading9Char">
    <w:name w:val="Heading 9 Char"/>
    <w:basedOn w:val="DefaultParagraphFont"/>
    <w:link w:val="Heading9"/>
    <w:uiPriority w:val="9"/>
    <w:semiHidden/>
    <w:rsid w:val="005F2FE3"/>
    <w:rPr>
      <w:rFonts w:eastAsiaTheme="majorEastAsia" w:cstheme="majorBidi"/>
      <w:color w:val="272727" w:themeColor="text1" w:themeTint="D8"/>
      <w:kern w:val="0"/>
      <w:sz w:val="24"/>
      <w:lang w:val="en-US"/>
      <w14:ligatures w14:val="none"/>
    </w:rPr>
  </w:style>
  <w:style w:type="paragraph" w:styleId="Title">
    <w:name w:val="Title"/>
    <w:basedOn w:val="Normal"/>
    <w:next w:val="Normal"/>
    <w:link w:val="TitleChar"/>
    <w:uiPriority w:val="10"/>
    <w:qFormat/>
    <w:rsid w:val="005F2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2FE3"/>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5F2F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2FE3"/>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5F2FE3"/>
    <w:pPr>
      <w:spacing w:before="160"/>
      <w:jc w:val="center"/>
    </w:pPr>
    <w:rPr>
      <w:i/>
      <w:iCs/>
      <w:color w:val="404040" w:themeColor="text1" w:themeTint="BF"/>
    </w:rPr>
  </w:style>
  <w:style w:type="character" w:customStyle="1" w:styleId="QuoteChar">
    <w:name w:val="Quote Char"/>
    <w:basedOn w:val="DefaultParagraphFont"/>
    <w:link w:val="Quote"/>
    <w:uiPriority w:val="29"/>
    <w:rsid w:val="005F2FE3"/>
    <w:rPr>
      <w:rFonts w:ascii="Times New Roman" w:hAnsi="Times New Roman"/>
      <w:i/>
      <w:iCs/>
      <w:color w:val="404040" w:themeColor="text1" w:themeTint="BF"/>
      <w:kern w:val="0"/>
      <w:sz w:val="24"/>
      <w:lang w:val="en-US"/>
      <w14:ligatures w14:val="none"/>
    </w:rPr>
  </w:style>
  <w:style w:type="paragraph" w:styleId="ListParagraph">
    <w:name w:val="List Paragraph"/>
    <w:basedOn w:val="Normal"/>
    <w:uiPriority w:val="34"/>
    <w:qFormat/>
    <w:rsid w:val="005F2FE3"/>
    <w:pPr>
      <w:ind w:left="720"/>
      <w:contextualSpacing/>
    </w:pPr>
  </w:style>
  <w:style w:type="character" w:styleId="IntenseEmphasis">
    <w:name w:val="Intense Emphasis"/>
    <w:basedOn w:val="DefaultParagraphFont"/>
    <w:uiPriority w:val="21"/>
    <w:qFormat/>
    <w:rsid w:val="005F2FE3"/>
    <w:rPr>
      <w:i/>
      <w:iCs/>
      <w:color w:val="2F5496" w:themeColor="accent1" w:themeShade="BF"/>
    </w:rPr>
  </w:style>
  <w:style w:type="paragraph" w:styleId="IntenseQuote">
    <w:name w:val="Intense Quote"/>
    <w:basedOn w:val="Normal"/>
    <w:next w:val="Normal"/>
    <w:link w:val="IntenseQuoteChar"/>
    <w:uiPriority w:val="30"/>
    <w:qFormat/>
    <w:rsid w:val="005F2F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2FE3"/>
    <w:rPr>
      <w:rFonts w:ascii="Times New Roman" w:hAnsi="Times New Roman"/>
      <w:i/>
      <w:iCs/>
      <w:color w:val="2F5496" w:themeColor="accent1" w:themeShade="BF"/>
      <w:kern w:val="0"/>
      <w:sz w:val="24"/>
      <w:lang w:val="en-US"/>
      <w14:ligatures w14:val="none"/>
    </w:rPr>
  </w:style>
  <w:style w:type="character" w:styleId="IntenseReference">
    <w:name w:val="Intense Reference"/>
    <w:basedOn w:val="DefaultParagraphFont"/>
    <w:uiPriority w:val="32"/>
    <w:qFormat/>
    <w:rsid w:val="005F2FE3"/>
    <w:rPr>
      <w:b/>
      <w:bCs/>
      <w:smallCaps/>
      <w:color w:val="2F5496" w:themeColor="accent1" w:themeShade="BF"/>
      <w:spacing w:val="5"/>
    </w:rPr>
  </w:style>
  <w:style w:type="paragraph" w:styleId="Header">
    <w:name w:val="header"/>
    <w:basedOn w:val="Normal"/>
    <w:link w:val="HeaderChar"/>
    <w:uiPriority w:val="99"/>
    <w:unhideWhenUsed/>
    <w:rsid w:val="005F2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FE3"/>
    <w:rPr>
      <w:rFonts w:ascii="Times New Roman" w:hAnsi="Times New Roman"/>
      <w:kern w:val="0"/>
      <w:sz w:val="24"/>
      <w:lang w:val="en-US"/>
      <w14:ligatures w14:val="none"/>
    </w:rPr>
  </w:style>
  <w:style w:type="paragraph" w:styleId="Footer">
    <w:name w:val="footer"/>
    <w:basedOn w:val="Normal"/>
    <w:link w:val="FooterChar"/>
    <w:uiPriority w:val="99"/>
    <w:unhideWhenUsed/>
    <w:rsid w:val="005F2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FE3"/>
    <w:rPr>
      <w:rFonts w:ascii="Times New Roman" w:hAnsi="Times New Roman"/>
      <w:kern w:val="0"/>
      <w:sz w:val="24"/>
      <w:lang w:val="en-US"/>
      <w14:ligatures w14:val="none"/>
    </w:rPr>
  </w:style>
  <w:style w:type="character" w:styleId="Hyperlink">
    <w:name w:val="Hyperlink"/>
    <w:basedOn w:val="DefaultParagraphFont"/>
    <w:uiPriority w:val="99"/>
    <w:unhideWhenUsed/>
    <w:rsid w:val="005F2FE3"/>
    <w:rPr>
      <w:color w:val="0563C1" w:themeColor="hyperlink"/>
      <w:u w:val="single"/>
    </w:rPr>
  </w:style>
  <w:style w:type="character" w:styleId="UnresolvedMention">
    <w:name w:val="Unresolved Mention"/>
    <w:basedOn w:val="DefaultParagraphFont"/>
    <w:uiPriority w:val="99"/>
    <w:semiHidden/>
    <w:unhideWhenUsed/>
    <w:rsid w:val="005F2F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hyperlink" Target="https://doi.org/10.1136/bmj.n7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46658/JBIMES-20-01" TargetMode="External"/><Relationship Id="rId12" Type="http://schemas.openxmlformats.org/officeDocument/2006/relationships/hyperlink" Target="https://www.england.nhs.uk/statistics/statistical-work-areas/rtt-waiting-tim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7326/M18-08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coronavirus/publication/delivery-plan-for-tackling-the-covid-19-backlog-of-elective-care/" TargetMode="External"/><Relationship Id="rId5" Type="http://schemas.openxmlformats.org/officeDocument/2006/relationships/footnotes" Target="footnotes.xml"/><Relationship Id="rId15" Type="http://schemas.openxmlformats.org/officeDocument/2006/relationships/hyperlink" Target="https://www.kingsfund.org.uk" TargetMode="Externa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doi.org/10.1186/s12874-018-0611-x" TargetMode="External"/><Relationship Id="rId14" Type="http://schemas.openxmlformats.org/officeDocument/2006/relationships/hyperlink" Target="https://www.kingsfu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5</Pages>
  <Words>967</Words>
  <Characters>5512</Characters>
  <Application>Microsoft Office Word</Application>
  <DocSecurity>0</DocSecurity>
  <Lines>45</Lines>
  <Paragraphs>12</Paragraphs>
  <ScaleCrop>false</ScaleCrop>
  <Company/>
  <LinksUpToDate>false</LinksUpToDate>
  <CharactersWithSpaces>6467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chike osuala</dc:creator>
  <cp:keywords/>
  <dc:description/>
  <cp:lastModifiedBy>chike osuala</cp:lastModifiedBy>
  <cp:revision>8</cp:revision>
  <dcterms:created xsi:type="dcterms:W3CDTF">2026-07-03T08:05:00Z</dcterms:created>
  <dcterms:modified xsi:type="dcterms:W3CDTF">2026-07-09T17:30:00Z</dcterms:modified>
</cp:coreProperties>
</file>