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92AEF7" w14:textId="77777777" w:rsidR="00E26636" w:rsidRDefault="00E26636" w:rsidP="00E26636">
      <w:pPr>
        <w:pStyle w:val="ListParagraph"/>
        <w:spacing w:after="0" w:line="240" w:lineRule="auto"/>
        <w:ind w:left="0"/>
        <w:rPr>
          <w:rFonts w:ascii="Arial" w:hAnsi="Arial" w:cs="Arial"/>
          <w:sz w:val="24"/>
          <w:szCs w:val="24"/>
          <w:u w:val="single"/>
        </w:rPr>
      </w:pPr>
      <w:r>
        <w:rPr>
          <w:rFonts w:ascii="Arial" w:hAnsi="Arial" w:cs="Arial"/>
          <w:sz w:val="24"/>
          <w:szCs w:val="24"/>
          <w:u w:val="single"/>
        </w:rPr>
        <w:t>Share-based payments</w:t>
      </w:r>
    </w:p>
    <w:p w14:paraId="764F21F4" w14:textId="77777777" w:rsidR="00E26636" w:rsidRDefault="00E26636" w:rsidP="00E26636">
      <w:pPr>
        <w:pStyle w:val="ListParagraph"/>
        <w:spacing w:after="0" w:line="240" w:lineRule="auto"/>
        <w:ind w:left="0"/>
        <w:rPr>
          <w:rFonts w:ascii="Arial" w:hAnsi="Arial" w:cs="Arial"/>
          <w:sz w:val="24"/>
          <w:szCs w:val="24"/>
          <w:u w:val="single"/>
        </w:rPr>
      </w:pPr>
    </w:p>
    <w:p w14:paraId="61A1AAD0" w14:textId="77777777" w:rsidR="009E5BC9" w:rsidRDefault="00E26636" w:rsidP="00E26636">
      <w:pPr>
        <w:pStyle w:val="ListParagraph"/>
        <w:spacing w:after="0" w:line="240" w:lineRule="auto"/>
        <w:ind w:left="0"/>
        <w:rPr>
          <w:rFonts w:ascii="Arial" w:hAnsi="Arial" w:cs="Arial"/>
          <w:sz w:val="24"/>
          <w:szCs w:val="24"/>
        </w:rPr>
      </w:pPr>
      <w:r w:rsidRPr="00DE03D4">
        <w:rPr>
          <w:rFonts w:ascii="Arial" w:hAnsi="Arial" w:cs="Arial"/>
          <w:sz w:val="24"/>
          <w:szCs w:val="24"/>
        </w:rPr>
        <w:t>The</w:t>
      </w:r>
      <w:r>
        <w:rPr>
          <w:rFonts w:ascii="Arial" w:hAnsi="Arial" w:cs="Arial"/>
          <w:sz w:val="24"/>
          <w:szCs w:val="24"/>
        </w:rPr>
        <w:t xml:space="preserve"> granting of share options represents an equity-settled share-based payment transaction. Entitlement to the award is based upon a qualifying period of employment service in this instance. The vesting period is 3 years. </w:t>
      </w:r>
    </w:p>
    <w:p w14:paraId="5F985A6D" w14:textId="77777777" w:rsidR="009E5BC9" w:rsidRDefault="009E5BC9" w:rsidP="00E26636">
      <w:pPr>
        <w:pStyle w:val="ListParagraph"/>
        <w:spacing w:after="0" w:line="240" w:lineRule="auto"/>
        <w:ind w:left="0"/>
        <w:rPr>
          <w:rFonts w:ascii="Arial" w:hAnsi="Arial" w:cs="Arial"/>
          <w:sz w:val="24"/>
          <w:szCs w:val="24"/>
        </w:rPr>
      </w:pPr>
    </w:p>
    <w:p w14:paraId="54D680E1" w14:textId="72D1FDC2" w:rsidR="00E26636" w:rsidRDefault="00E26636" w:rsidP="00E26636">
      <w:pPr>
        <w:pStyle w:val="ListParagraph"/>
        <w:spacing w:after="0" w:line="240" w:lineRule="auto"/>
        <w:ind w:left="0"/>
        <w:rPr>
          <w:rFonts w:ascii="Arial" w:hAnsi="Arial" w:cs="Arial"/>
          <w:sz w:val="24"/>
          <w:szCs w:val="24"/>
        </w:rPr>
      </w:pPr>
      <w:r>
        <w:rPr>
          <w:rFonts w:ascii="Arial" w:hAnsi="Arial" w:cs="Arial"/>
          <w:sz w:val="24"/>
          <w:szCs w:val="24"/>
        </w:rPr>
        <w:t xml:space="preserve">An expense should be recognised over the vesting period based on the expected overall cost and charged as the qualifying period of service increases. The expected cost is based upon the fair value of the option </w:t>
      </w:r>
      <w:r w:rsidRPr="00DE03D4">
        <w:rPr>
          <w:rFonts w:ascii="Arial" w:hAnsi="Arial" w:cs="Arial"/>
          <w:b/>
          <w:sz w:val="24"/>
          <w:szCs w:val="24"/>
        </w:rPr>
        <w:t>at the grant date</w:t>
      </w:r>
      <w:r>
        <w:rPr>
          <w:rFonts w:ascii="Arial" w:hAnsi="Arial" w:cs="Arial"/>
          <w:sz w:val="24"/>
          <w:szCs w:val="24"/>
        </w:rPr>
        <w:t>.</w:t>
      </w:r>
    </w:p>
    <w:p w14:paraId="7D00E679" w14:textId="77777777" w:rsidR="009E5BC9" w:rsidRDefault="009E5BC9" w:rsidP="00E26636">
      <w:pPr>
        <w:pStyle w:val="ListParagraph"/>
        <w:spacing w:after="0" w:line="240" w:lineRule="auto"/>
        <w:ind w:left="0"/>
        <w:rPr>
          <w:rFonts w:ascii="Arial" w:hAnsi="Arial" w:cs="Arial"/>
          <w:sz w:val="24"/>
          <w:szCs w:val="24"/>
        </w:rPr>
      </w:pPr>
    </w:p>
    <w:p w14:paraId="441B1FAA" w14:textId="77777777" w:rsidR="00E26636" w:rsidRDefault="00E26636" w:rsidP="00E26636">
      <w:pPr>
        <w:pStyle w:val="ListParagraph"/>
        <w:spacing w:after="0" w:line="240" w:lineRule="auto"/>
        <w:ind w:left="0"/>
        <w:rPr>
          <w:rFonts w:ascii="Arial" w:hAnsi="Arial" w:cs="Arial"/>
          <w:sz w:val="24"/>
          <w:szCs w:val="24"/>
        </w:rPr>
      </w:pPr>
      <w:r>
        <w:rPr>
          <w:rFonts w:ascii="Arial" w:hAnsi="Arial" w:cs="Arial"/>
          <w:sz w:val="24"/>
          <w:szCs w:val="24"/>
        </w:rPr>
        <w:t>The reported expense of £150,000 is correctly calculated.</w:t>
      </w:r>
    </w:p>
    <w:p w14:paraId="5F9A941F" w14:textId="2696987C" w:rsidR="00E26636" w:rsidRDefault="00E26636" w:rsidP="00E26636">
      <w:pPr>
        <w:pStyle w:val="ListParagraph"/>
        <w:spacing w:after="0" w:line="240" w:lineRule="auto"/>
        <w:ind w:left="0"/>
        <w:rPr>
          <w:rFonts w:ascii="Arial" w:hAnsi="Arial" w:cs="Arial"/>
          <w:sz w:val="24"/>
          <w:szCs w:val="24"/>
        </w:rPr>
      </w:pPr>
      <w:r>
        <w:rPr>
          <w:rFonts w:ascii="Arial" w:hAnsi="Arial" w:cs="Arial"/>
          <w:sz w:val="24"/>
          <w:szCs w:val="24"/>
        </w:rPr>
        <w:t>The basis of calculation is 5,000 x (20-3-2) x £6 x 1/3 = £150,000.</w:t>
      </w:r>
    </w:p>
    <w:p w14:paraId="7A648F81" w14:textId="77777777" w:rsidR="009E5BC9" w:rsidRDefault="009E5BC9" w:rsidP="00E26636">
      <w:pPr>
        <w:pStyle w:val="ListParagraph"/>
        <w:spacing w:after="0" w:line="240" w:lineRule="auto"/>
        <w:ind w:left="0"/>
        <w:rPr>
          <w:rFonts w:ascii="Arial" w:hAnsi="Arial" w:cs="Arial"/>
          <w:sz w:val="24"/>
          <w:szCs w:val="24"/>
        </w:rPr>
      </w:pPr>
    </w:p>
    <w:p w14:paraId="48316185" w14:textId="77777777" w:rsidR="00E26636" w:rsidRDefault="00E26636" w:rsidP="00E26636">
      <w:pPr>
        <w:pStyle w:val="ListParagraph"/>
        <w:spacing w:after="0" w:line="240" w:lineRule="auto"/>
        <w:ind w:left="0"/>
        <w:rPr>
          <w:rFonts w:ascii="Arial" w:hAnsi="Arial" w:cs="Arial"/>
          <w:sz w:val="24"/>
          <w:szCs w:val="24"/>
        </w:rPr>
      </w:pPr>
      <w:r>
        <w:rPr>
          <w:rFonts w:ascii="Arial" w:hAnsi="Arial" w:cs="Arial"/>
          <w:sz w:val="24"/>
          <w:szCs w:val="24"/>
        </w:rPr>
        <w:t xml:space="preserve">However, the corresponding credit is incorrect in that the credit should be to </w:t>
      </w:r>
      <w:r w:rsidRPr="003C18E4">
        <w:rPr>
          <w:rFonts w:ascii="Arial" w:hAnsi="Arial" w:cs="Arial"/>
          <w:b/>
          <w:sz w:val="24"/>
          <w:szCs w:val="24"/>
        </w:rPr>
        <w:t>equity</w:t>
      </w:r>
      <w:r>
        <w:rPr>
          <w:rFonts w:ascii="Arial" w:hAnsi="Arial" w:cs="Arial"/>
          <w:sz w:val="24"/>
          <w:szCs w:val="24"/>
        </w:rPr>
        <w:t>.</w:t>
      </w:r>
    </w:p>
    <w:p w14:paraId="2977199D" w14:textId="5FC3EFCE" w:rsidR="00E26636" w:rsidRDefault="00E26636" w:rsidP="00E26636">
      <w:pPr>
        <w:pStyle w:val="ListParagraph"/>
        <w:spacing w:after="0" w:line="240" w:lineRule="auto"/>
        <w:ind w:left="0"/>
        <w:rPr>
          <w:rFonts w:ascii="Arial" w:hAnsi="Arial" w:cs="Arial"/>
          <w:sz w:val="24"/>
          <w:szCs w:val="24"/>
        </w:rPr>
      </w:pPr>
      <w:r>
        <w:rPr>
          <w:rFonts w:ascii="Arial" w:hAnsi="Arial" w:cs="Arial"/>
          <w:sz w:val="24"/>
          <w:szCs w:val="24"/>
        </w:rPr>
        <w:t xml:space="preserve">If this adjustment were made, it would increase capital employed and in turn reduce the return on capital employed, which may mean </w:t>
      </w:r>
      <w:r w:rsidR="009E5BC9">
        <w:rPr>
          <w:rFonts w:ascii="Arial" w:hAnsi="Arial" w:cs="Arial"/>
          <w:sz w:val="24"/>
          <w:szCs w:val="24"/>
        </w:rPr>
        <w:t>any</w:t>
      </w:r>
      <w:r>
        <w:rPr>
          <w:rFonts w:ascii="Arial" w:hAnsi="Arial" w:cs="Arial"/>
          <w:sz w:val="24"/>
          <w:szCs w:val="24"/>
        </w:rPr>
        <w:t xml:space="preserve"> target level of ROCE</w:t>
      </w:r>
      <w:r w:rsidR="009E5BC9">
        <w:rPr>
          <w:rFonts w:ascii="Arial" w:hAnsi="Arial" w:cs="Arial"/>
          <w:sz w:val="24"/>
          <w:szCs w:val="24"/>
        </w:rPr>
        <w:t xml:space="preserve">, for example, </w:t>
      </w:r>
      <w:r>
        <w:rPr>
          <w:rFonts w:ascii="Arial" w:hAnsi="Arial" w:cs="Arial"/>
          <w:sz w:val="24"/>
          <w:szCs w:val="24"/>
        </w:rPr>
        <w:t>to achieve bonuses is not achieved.</w:t>
      </w:r>
    </w:p>
    <w:p w14:paraId="4A9D1E5E" w14:textId="77777777" w:rsidR="009E5BC9" w:rsidRDefault="009E5BC9" w:rsidP="00E26636">
      <w:pPr>
        <w:pStyle w:val="ListParagraph"/>
        <w:spacing w:after="0" w:line="240" w:lineRule="auto"/>
        <w:ind w:left="0"/>
        <w:rPr>
          <w:rFonts w:ascii="Arial" w:hAnsi="Arial" w:cs="Arial"/>
          <w:sz w:val="24"/>
          <w:szCs w:val="24"/>
        </w:rPr>
      </w:pPr>
    </w:p>
    <w:p w14:paraId="591E5DE5" w14:textId="77777777" w:rsidR="00E26636" w:rsidRPr="00DE03D4" w:rsidRDefault="00E26636" w:rsidP="00E26636">
      <w:pPr>
        <w:pStyle w:val="ListParagraph"/>
        <w:spacing w:after="0" w:line="240" w:lineRule="auto"/>
        <w:ind w:left="0"/>
        <w:rPr>
          <w:rFonts w:ascii="Arial" w:hAnsi="Arial" w:cs="Arial"/>
          <w:sz w:val="24"/>
          <w:szCs w:val="24"/>
        </w:rPr>
      </w:pPr>
      <w:r>
        <w:rPr>
          <w:rFonts w:ascii="Arial" w:hAnsi="Arial" w:cs="Arial"/>
          <w:sz w:val="24"/>
          <w:szCs w:val="24"/>
        </w:rPr>
        <w:t xml:space="preserve">The accounting requirements in respect of equity-settled share-based based payment transactions can be contrasted with cash-settled transactions where the fair value is restated at each period end and the corresponding credit is to liabilities. </w:t>
      </w:r>
    </w:p>
    <w:p w14:paraId="7532BC5B" w14:textId="77777777" w:rsidR="009A6A88" w:rsidRDefault="009A6A88"/>
    <w:sectPr w:rsidR="009A6A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636"/>
    <w:rsid w:val="009A6A88"/>
    <w:rsid w:val="009E5BC9"/>
    <w:rsid w:val="00E26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66589"/>
  <w15:chartTrackingRefBased/>
  <w15:docId w15:val="{B3161A32-43D5-4CBE-82BF-60B74ADD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636"/>
    <w:pPr>
      <w:spacing w:after="200" w:line="276" w:lineRule="auto"/>
      <w:ind w:left="720"/>
      <w:contextualSpacing/>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170</Words>
  <Characters>975</Characters>
  <Application>Microsoft Office Word</Application>
  <DocSecurity>0</DocSecurity>
  <Lines>8</Lines>
  <Paragraphs>2</Paragraphs>
  <ScaleCrop>false</ScaleCrop>
  <Company/>
  <LinksUpToDate>false</LinksUpToDate>
  <CharactersWithSpaces>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RichardDunstan66@outlook.com</dc:creator>
  <cp:keywords/>
  <dc:description/>
  <cp:lastModifiedBy>RichardDunstan66@outlook.com</cp:lastModifiedBy>
  <cp:revision>3</cp:revision>
  <dcterms:created xsi:type="dcterms:W3CDTF">2021-03-10T11:45:00Z</dcterms:created>
  <dcterms:modified xsi:type="dcterms:W3CDTF">2021-03-23T11:55:00Z</dcterms:modified>
</cp:coreProperties>
</file>