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51D7" w14:textId="77777777" w:rsidR="000866FB" w:rsidRDefault="000866FB" w:rsidP="006E53D2">
      <w:pPr>
        <w:spacing w:line="240" w:lineRule="auto"/>
        <w:rPr>
          <w:rFonts w:ascii="Trebuchet MS" w:hAnsi="Trebuchet MS" w:cstheme="minorHAnsi"/>
          <w:b/>
          <w:bCs/>
          <w:color w:val="833C0B" w:themeColor="accent2" w:themeShade="80"/>
          <w:sz w:val="24"/>
        </w:rPr>
      </w:pPr>
    </w:p>
    <w:p w14:paraId="513022A1" w14:textId="77777777" w:rsidR="00D7077E" w:rsidRDefault="00D7077E" w:rsidP="006E53D2">
      <w:pPr>
        <w:spacing w:line="240" w:lineRule="auto"/>
        <w:rPr>
          <w:rFonts w:ascii="Trebuchet MS" w:hAnsi="Trebuchet MS" w:cstheme="minorHAnsi"/>
          <w:b/>
          <w:bCs/>
          <w:color w:val="833C0B" w:themeColor="accent2" w:themeShade="80"/>
          <w:sz w:val="24"/>
        </w:rPr>
      </w:pPr>
    </w:p>
    <w:p w14:paraId="1C159A58" w14:textId="77777777" w:rsidR="00D7077E" w:rsidRDefault="00D7077E" w:rsidP="006E53D2">
      <w:pPr>
        <w:spacing w:line="240" w:lineRule="auto"/>
        <w:rPr>
          <w:rFonts w:ascii="Trebuchet MS" w:hAnsi="Trebuchet MS" w:cstheme="minorHAnsi"/>
          <w:b/>
          <w:bCs/>
          <w:color w:val="833C0B" w:themeColor="accent2" w:themeShade="80"/>
          <w:sz w:val="24"/>
        </w:rPr>
      </w:pPr>
    </w:p>
    <w:p w14:paraId="31D0BD39" w14:textId="77777777" w:rsidR="00D7077E" w:rsidRDefault="00D7077E" w:rsidP="006E53D2">
      <w:pPr>
        <w:spacing w:line="240" w:lineRule="auto"/>
        <w:rPr>
          <w:rFonts w:ascii="Trebuchet MS" w:hAnsi="Trebuchet MS" w:cstheme="minorHAnsi"/>
          <w:b/>
          <w:bCs/>
          <w:color w:val="833C0B" w:themeColor="accent2" w:themeShade="80"/>
          <w:sz w:val="24"/>
        </w:rPr>
      </w:pPr>
    </w:p>
    <w:p w14:paraId="59F8C7DC" w14:textId="77777777" w:rsidR="00D7077E" w:rsidRDefault="00D7077E" w:rsidP="006E53D2">
      <w:pPr>
        <w:spacing w:line="240" w:lineRule="auto"/>
        <w:rPr>
          <w:rFonts w:ascii="Trebuchet MS" w:hAnsi="Trebuchet MS" w:cstheme="minorHAnsi"/>
          <w:b/>
          <w:bCs/>
          <w:color w:val="833C0B" w:themeColor="accent2" w:themeShade="80"/>
          <w:sz w:val="24"/>
        </w:rPr>
      </w:pPr>
    </w:p>
    <w:p w14:paraId="0FA13BB0" w14:textId="77777777" w:rsidR="00D7077E" w:rsidRDefault="00D7077E" w:rsidP="006E53D2">
      <w:pPr>
        <w:spacing w:line="240" w:lineRule="auto"/>
        <w:rPr>
          <w:rFonts w:ascii="Trebuchet MS" w:hAnsi="Trebuchet MS" w:cstheme="minorHAnsi"/>
          <w:b/>
          <w:bCs/>
          <w:color w:val="833C0B" w:themeColor="accent2" w:themeShade="80"/>
          <w:sz w:val="24"/>
        </w:rPr>
      </w:pPr>
    </w:p>
    <w:p w14:paraId="19EA9B4D" w14:textId="77777777" w:rsidR="00D7077E" w:rsidRDefault="00D7077E" w:rsidP="006E53D2">
      <w:pPr>
        <w:spacing w:line="240" w:lineRule="auto"/>
        <w:rPr>
          <w:rFonts w:ascii="Trebuchet MS" w:hAnsi="Trebuchet MS" w:cstheme="minorHAnsi"/>
          <w:b/>
          <w:bCs/>
          <w:color w:val="833C0B" w:themeColor="accent2" w:themeShade="80"/>
          <w:sz w:val="24"/>
        </w:rPr>
      </w:pPr>
    </w:p>
    <w:p w14:paraId="405D5546" w14:textId="77777777" w:rsidR="00D7077E" w:rsidRDefault="00D7077E" w:rsidP="006E53D2">
      <w:pPr>
        <w:spacing w:line="240" w:lineRule="auto"/>
        <w:rPr>
          <w:rFonts w:ascii="Trebuchet MS" w:hAnsi="Trebuchet MS" w:cstheme="minorHAnsi"/>
          <w:b/>
          <w:bCs/>
          <w:color w:val="833C0B" w:themeColor="accent2" w:themeShade="80"/>
          <w:sz w:val="24"/>
        </w:rPr>
      </w:pPr>
    </w:p>
    <w:p w14:paraId="46D7B17A" w14:textId="77777777" w:rsidR="00D7077E" w:rsidRDefault="00D7077E" w:rsidP="006E53D2">
      <w:pPr>
        <w:spacing w:line="240" w:lineRule="auto"/>
        <w:rPr>
          <w:rFonts w:ascii="Trebuchet MS" w:hAnsi="Trebuchet MS" w:cstheme="minorHAnsi"/>
          <w:b/>
          <w:bCs/>
          <w:color w:val="833C0B" w:themeColor="accent2" w:themeShade="80"/>
          <w:sz w:val="24"/>
        </w:rPr>
      </w:pPr>
    </w:p>
    <w:p w14:paraId="024134E1" w14:textId="77777777" w:rsidR="00D7077E" w:rsidRDefault="00D7077E" w:rsidP="006E53D2">
      <w:pPr>
        <w:spacing w:line="240" w:lineRule="auto"/>
        <w:rPr>
          <w:rFonts w:ascii="Trebuchet MS" w:hAnsi="Trebuchet MS" w:cstheme="minorHAnsi"/>
          <w:b/>
          <w:bCs/>
          <w:color w:val="833C0B" w:themeColor="accent2" w:themeShade="80"/>
          <w:sz w:val="24"/>
        </w:rPr>
      </w:pPr>
    </w:p>
    <w:p w14:paraId="12448FD9" w14:textId="77777777" w:rsidR="00D7077E" w:rsidRDefault="00D7077E" w:rsidP="006E53D2">
      <w:pPr>
        <w:spacing w:line="240" w:lineRule="auto"/>
        <w:rPr>
          <w:rFonts w:ascii="Trebuchet MS" w:hAnsi="Trebuchet MS" w:cstheme="minorHAnsi"/>
          <w:b/>
          <w:bCs/>
          <w:color w:val="833C0B" w:themeColor="accent2" w:themeShade="80"/>
          <w:sz w:val="24"/>
        </w:rPr>
      </w:pPr>
    </w:p>
    <w:p w14:paraId="5A5F434A" w14:textId="77777777" w:rsidR="00D7077E" w:rsidRDefault="00D7077E" w:rsidP="006E53D2">
      <w:pPr>
        <w:spacing w:line="240" w:lineRule="auto"/>
        <w:rPr>
          <w:rFonts w:ascii="Trebuchet MS" w:hAnsi="Trebuchet MS" w:cstheme="minorHAnsi"/>
          <w:b/>
          <w:bCs/>
          <w:color w:val="833C0B" w:themeColor="accent2" w:themeShade="80"/>
          <w:sz w:val="24"/>
        </w:rPr>
      </w:pPr>
    </w:p>
    <w:p w14:paraId="46DA1496" w14:textId="77777777" w:rsidR="00D7077E" w:rsidRDefault="00D7077E" w:rsidP="006E53D2">
      <w:pPr>
        <w:spacing w:line="240" w:lineRule="auto"/>
        <w:rPr>
          <w:rFonts w:ascii="Trebuchet MS" w:hAnsi="Trebuchet MS" w:cstheme="minorHAnsi"/>
          <w:b/>
          <w:bCs/>
          <w:color w:val="833C0B" w:themeColor="accent2" w:themeShade="80"/>
          <w:sz w:val="24"/>
        </w:rPr>
      </w:pPr>
    </w:p>
    <w:p w14:paraId="42E64C3E" w14:textId="77777777" w:rsidR="00D7077E" w:rsidRDefault="00D7077E" w:rsidP="006E53D2">
      <w:pPr>
        <w:spacing w:line="240" w:lineRule="auto"/>
        <w:rPr>
          <w:rFonts w:ascii="Trebuchet MS" w:hAnsi="Trebuchet MS" w:cstheme="minorHAnsi"/>
          <w:b/>
          <w:bCs/>
          <w:color w:val="833C0B" w:themeColor="accent2" w:themeShade="80"/>
          <w:sz w:val="24"/>
        </w:rPr>
      </w:pPr>
    </w:p>
    <w:p w14:paraId="7AC7D456" w14:textId="77777777" w:rsidR="00D7077E" w:rsidRDefault="00D7077E" w:rsidP="006E53D2">
      <w:pPr>
        <w:spacing w:line="240" w:lineRule="auto"/>
        <w:rPr>
          <w:rFonts w:ascii="Trebuchet MS" w:hAnsi="Trebuchet MS" w:cstheme="minorHAnsi"/>
          <w:b/>
          <w:bCs/>
          <w:color w:val="833C0B" w:themeColor="accent2" w:themeShade="80"/>
          <w:sz w:val="24"/>
        </w:rPr>
      </w:pPr>
    </w:p>
    <w:p w14:paraId="63BDE7E3" w14:textId="77777777" w:rsidR="00D7077E" w:rsidRDefault="00D7077E" w:rsidP="006E53D2">
      <w:pPr>
        <w:spacing w:line="240" w:lineRule="auto"/>
        <w:rPr>
          <w:rFonts w:ascii="Trebuchet MS" w:hAnsi="Trebuchet MS" w:cstheme="minorHAnsi"/>
          <w:b/>
          <w:bCs/>
          <w:color w:val="833C0B" w:themeColor="accent2" w:themeShade="80"/>
          <w:sz w:val="24"/>
        </w:rPr>
      </w:pPr>
    </w:p>
    <w:p w14:paraId="4DF798A7" w14:textId="77777777" w:rsidR="00D7077E" w:rsidRDefault="00D7077E" w:rsidP="006E53D2">
      <w:pPr>
        <w:spacing w:line="240" w:lineRule="auto"/>
        <w:rPr>
          <w:rFonts w:ascii="Trebuchet MS" w:hAnsi="Trebuchet MS" w:cstheme="minorHAnsi"/>
          <w:b/>
          <w:bCs/>
          <w:color w:val="833C0B" w:themeColor="accent2" w:themeShade="80"/>
          <w:sz w:val="24"/>
        </w:rPr>
      </w:pPr>
    </w:p>
    <w:p w14:paraId="021FE0A2" w14:textId="77777777" w:rsidR="00D7077E" w:rsidRDefault="00D7077E" w:rsidP="006E53D2">
      <w:pPr>
        <w:spacing w:line="240" w:lineRule="auto"/>
        <w:rPr>
          <w:rFonts w:ascii="Trebuchet MS" w:hAnsi="Trebuchet MS" w:cstheme="minorHAnsi"/>
          <w:b/>
          <w:bCs/>
          <w:color w:val="833C0B" w:themeColor="accent2" w:themeShade="80"/>
          <w:sz w:val="24"/>
        </w:rPr>
      </w:pPr>
    </w:p>
    <w:p w14:paraId="08D5BEBF" w14:textId="389CE3D0" w:rsidR="00D7077E" w:rsidRDefault="00D7077E" w:rsidP="0082362D">
      <w:pPr>
        <w:spacing w:line="240" w:lineRule="auto"/>
        <w:jc w:val="center"/>
        <w:rPr>
          <w:rFonts w:ascii="Trebuchet MS" w:eastAsia="Arial" w:hAnsi="Trebuchet MS" w:cs="Arial"/>
          <w:sz w:val="44"/>
          <w:szCs w:val="44"/>
        </w:rPr>
      </w:pPr>
      <w:r w:rsidRPr="00DB4D74">
        <w:rPr>
          <w:rFonts w:ascii="Trebuchet MS" w:eastAsia="Arial" w:hAnsi="Trebuchet MS" w:cs="Arial"/>
          <w:sz w:val="44"/>
          <w:szCs w:val="44"/>
        </w:rPr>
        <w:t>5OS01</w:t>
      </w:r>
    </w:p>
    <w:p w14:paraId="0E8E18F0" w14:textId="77777777" w:rsidR="00DB4D74" w:rsidRPr="00DB4D74" w:rsidRDefault="00DB4D74" w:rsidP="00DB4D74">
      <w:pPr>
        <w:spacing w:line="240" w:lineRule="auto"/>
        <w:jc w:val="center"/>
        <w:rPr>
          <w:rFonts w:ascii="Trebuchet MS" w:eastAsia="Arial" w:hAnsi="Trebuchet MS" w:cs="Arial"/>
          <w:sz w:val="44"/>
          <w:szCs w:val="44"/>
        </w:rPr>
      </w:pPr>
    </w:p>
    <w:p w14:paraId="44A05471" w14:textId="535662DA" w:rsidR="00D7077E" w:rsidRDefault="00D7077E" w:rsidP="00DB4D74">
      <w:pPr>
        <w:spacing w:line="240" w:lineRule="auto"/>
        <w:jc w:val="center"/>
        <w:rPr>
          <w:rFonts w:ascii="Trebuchet MS" w:eastAsia="Arial" w:hAnsi="Trebuchet MS" w:cs="Arial"/>
          <w:sz w:val="44"/>
          <w:szCs w:val="44"/>
        </w:rPr>
      </w:pPr>
      <w:r w:rsidRPr="00DB4D74">
        <w:rPr>
          <w:rFonts w:ascii="Trebuchet MS" w:eastAsia="Arial" w:hAnsi="Trebuchet MS" w:cs="Arial"/>
          <w:sz w:val="44"/>
          <w:szCs w:val="44"/>
        </w:rPr>
        <w:t>Specialist Employment Law</w:t>
      </w:r>
    </w:p>
    <w:p w14:paraId="73083D8A" w14:textId="77777777" w:rsidR="00DB4D74" w:rsidRPr="00DB4D74" w:rsidRDefault="00DB4D74" w:rsidP="00DB4D74">
      <w:pPr>
        <w:spacing w:line="240" w:lineRule="auto"/>
        <w:jc w:val="center"/>
        <w:rPr>
          <w:rFonts w:ascii="Trebuchet MS" w:eastAsia="Arial" w:hAnsi="Trebuchet MS" w:cs="Arial"/>
          <w:sz w:val="44"/>
          <w:szCs w:val="44"/>
        </w:rPr>
      </w:pPr>
    </w:p>
    <w:p w14:paraId="6E3F50B1" w14:textId="6772EF56" w:rsidR="00D7077E" w:rsidRPr="00DB4D74" w:rsidRDefault="00D7077E" w:rsidP="00DB4D74">
      <w:pPr>
        <w:spacing w:line="240" w:lineRule="auto"/>
        <w:jc w:val="center"/>
        <w:rPr>
          <w:rFonts w:ascii="Trebuchet MS" w:hAnsi="Trebuchet MS" w:cstheme="minorHAnsi"/>
          <w:b/>
          <w:bCs/>
          <w:color w:val="833C0B" w:themeColor="accent2" w:themeShade="80"/>
          <w:sz w:val="44"/>
          <w:szCs w:val="44"/>
        </w:rPr>
      </w:pPr>
      <w:r w:rsidRPr="00DB4D74">
        <w:rPr>
          <w:rFonts w:ascii="Trebuchet MS" w:eastAsia="Arial" w:hAnsi="Trebuchet MS" w:cs="Arial"/>
          <w:sz w:val="44"/>
          <w:szCs w:val="44"/>
        </w:rPr>
        <w:t xml:space="preserve">Word count: </w:t>
      </w:r>
      <w:r w:rsidR="0065128A">
        <w:rPr>
          <w:rFonts w:ascii="Trebuchet MS" w:eastAsia="Arial" w:hAnsi="Trebuchet MS" w:cs="Arial"/>
          <w:sz w:val="44"/>
          <w:szCs w:val="44"/>
        </w:rPr>
        <w:t>42</w:t>
      </w:r>
      <w:r w:rsidR="004552A6">
        <w:rPr>
          <w:rFonts w:ascii="Trebuchet MS" w:eastAsia="Arial" w:hAnsi="Trebuchet MS" w:cs="Arial"/>
          <w:sz w:val="44"/>
          <w:szCs w:val="44"/>
        </w:rPr>
        <w:t>59</w:t>
      </w:r>
      <w:r w:rsidR="0049096D">
        <w:rPr>
          <w:rFonts w:ascii="Trebuchet MS" w:eastAsia="Arial" w:hAnsi="Trebuchet MS" w:cs="Arial"/>
          <w:sz w:val="44"/>
          <w:szCs w:val="44"/>
        </w:rPr>
        <w:t xml:space="preserve"> </w:t>
      </w:r>
    </w:p>
    <w:p w14:paraId="1CA28EDF" w14:textId="77777777" w:rsidR="00D7077E" w:rsidRDefault="00D7077E" w:rsidP="006E53D2">
      <w:pPr>
        <w:spacing w:line="240" w:lineRule="auto"/>
        <w:rPr>
          <w:rFonts w:ascii="Trebuchet MS" w:hAnsi="Trebuchet MS" w:cstheme="minorHAnsi"/>
          <w:b/>
          <w:bCs/>
          <w:color w:val="833C0B" w:themeColor="accent2" w:themeShade="80"/>
          <w:sz w:val="24"/>
        </w:rPr>
      </w:pPr>
    </w:p>
    <w:p w14:paraId="44A66741" w14:textId="77777777" w:rsidR="00D7077E" w:rsidRDefault="00D7077E" w:rsidP="006E53D2">
      <w:pPr>
        <w:spacing w:line="240" w:lineRule="auto"/>
        <w:rPr>
          <w:rFonts w:ascii="Trebuchet MS" w:hAnsi="Trebuchet MS" w:cstheme="minorHAnsi"/>
          <w:b/>
          <w:bCs/>
          <w:color w:val="833C0B" w:themeColor="accent2" w:themeShade="80"/>
          <w:sz w:val="24"/>
        </w:rPr>
      </w:pPr>
    </w:p>
    <w:p w14:paraId="656C3973" w14:textId="77777777" w:rsidR="00D7077E" w:rsidRDefault="00D7077E" w:rsidP="006E53D2">
      <w:pPr>
        <w:spacing w:line="240" w:lineRule="auto"/>
        <w:rPr>
          <w:rFonts w:ascii="Trebuchet MS" w:hAnsi="Trebuchet MS" w:cstheme="minorHAnsi"/>
          <w:b/>
          <w:bCs/>
          <w:color w:val="833C0B" w:themeColor="accent2" w:themeShade="80"/>
          <w:sz w:val="24"/>
        </w:rPr>
      </w:pPr>
    </w:p>
    <w:p w14:paraId="7F03B59D" w14:textId="77777777" w:rsidR="00D7077E" w:rsidRDefault="00D7077E" w:rsidP="006E53D2">
      <w:pPr>
        <w:spacing w:line="240" w:lineRule="auto"/>
        <w:rPr>
          <w:rFonts w:ascii="Trebuchet MS" w:hAnsi="Trebuchet MS" w:cstheme="minorHAnsi"/>
          <w:b/>
          <w:bCs/>
          <w:color w:val="833C0B" w:themeColor="accent2" w:themeShade="80"/>
          <w:sz w:val="24"/>
        </w:rPr>
      </w:pPr>
    </w:p>
    <w:p w14:paraId="6453E4E3" w14:textId="77777777" w:rsidR="00D7077E" w:rsidRDefault="00D7077E" w:rsidP="006E53D2">
      <w:pPr>
        <w:spacing w:line="240" w:lineRule="auto"/>
        <w:rPr>
          <w:rFonts w:ascii="Trebuchet MS" w:hAnsi="Trebuchet MS" w:cstheme="minorHAnsi"/>
          <w:b/>
          <w:bCs/>
          <w:color w:val="833C0B" w:themeColor="accent2" w:themeShade="80"/>
          <w:sz w:val="24"/>
        </w:rPr>
      </w:pPr>
    </w:p>
    <w:p w14:paraId="46D9CBBC" w14:textId="77777777" w:rsidR="00D7077E" w:rsidRDefault="00D7077E" w:rsidP="006E53D2">
      <w:pPr>
        <w:spacing w:line="240" w:lineRule="auto"/>
        <w:rPr>
          <w:rFonts w:ascii="Trebuchet MS" w:hAnsi="Trebuchet MS" w:cstheme="minorHAnsi"/>
          <w:b/>
          <w:bCs/>
          <w:color w:val="833C0B" w:themeColor="accent2" w:themeShade="80"/>
          <w:sz w:val="24"/>
        </w:rPr>
      </w:pPr>
    </w:p>
    <w:p w14:paraId="6E6F675C" w14:textId="77777777" w:rsidR="00D7077E" w:rsidRDefault="00D7077E" w:rsidP="006E53D2">
      <w:pPr>
        <w:spacing w:line="240" w:lineRule="auto"/>
        <w:rPr>
          <w:rFonts w:ascii="Trebuchet MS" w:hAnsi="Trebuchet MS" w:cstheme="minorHAnsi"/>
          <w:b/>
          <w:bCs/>
          <w:color w:val="833C0B" w:themeColor="accent2" w:themeShade="80"/>
          <w:sz w:val="24"/>
        </w:rPr>
      </w:pPr>
    </w:p>
    <w:p w14:paraId="3A137D10" w14:textId="77777777" w:rsidR="00D7077E" w:rsidRDefault="00D7077E" w:rsidP="006E53D2">
      <w:pPr>
        <w:spacing w:line="240" w:lineRule="auto"/>
        <w:rPr>
          <w:rFonts w:ascii="Trebuchet MS" w:hAnsi="Trebuchet MS" w:cstheme="minorHAnsi"/>
          <w:b/>
          <w:bCs/>
          <w:color w:val="833C0B" w:themeColor="accent2" w:themeShade="80"/>
          <w:sz w:val="24"/>
        </w:rPr>
      </w:pPr>
    </w:p>
    <w:p w14:paraId="735AB7EE" w14:textId="77777777" w:rsidR="00D7077E" w:rsidRDefault="00D7077E" w:rsidP="006E53D2">
      <w:pPr>
        <w:spacing w:line="240" w:lineRule="auto"/>
        <w:rPr>
          <w:rFonts w:ascii="Trebuchet MS" w:hAnsi="Trebuchet MS" w:cstheme="minorHAnsi"/>
          <w:b/>
          <w:bCs/>
          <w:color w:val="833C0B" w:themeColor="accent2" w:themeShade="80"/>
          <w:sz w:val="24"/>
        </w:rPr>
      </w:pPr>
    </w:p>
    <w:p w14:paraId="496D5C31" w14:textId="77777777" w:rsidR="00D7077E" w:rsidRDefault="00D7077E" w:rsidP="006E53D2">
      <w:pPr>
        <w:spacing w:line="240" w:lineRule="auto"/>
        <w:rPr>
          <w:rFonts w:ascii="Trebuchet MS" w:hAnsi="Trebuchet MS" w:cstheme="minorHAnsi"/>
          <w:b/>
          <w:bCs/>
          <w:color w:val="833C0B" w:themeColor="accent2" w:themeShade="80"/>
          <w:sz w:val="24"/>
        </w:rPr>
      </w:pPr>
    </w:p>
    <w:p w14:paraId="78B86C2D" w14:textId="77777777" w:rsidR="00D7077E" w:rsidRDefault="00D7077E" w:rsidP="006E53D2">
      <w:pPr>
        <w:spacing w:line="240" w:lineRule="auto"/>
        <w:rPr>
          <w:rFonts w:ascii="Trebuchet MS" w:hAnsi="Trebuchet MS" w:cstheme="minorHAnsi"/>
          <w:b/>
          <w:bCs/>
          <w:color w:val="833C0B" w:themeColor="accent2" w:themeShade="80"/>
          <w:sz w:val="24"/>
        </w:rPr>
      </w:pPr>
    </w:p>
    <w:p w14:paraId="6597731F" w14:textId="77777777" w:rsidR="00D7077E" w:rsidRDefault="00D7077E" w:rsidP="006E53D2">
      <w:pPr>
        <w:spacing w:line="240" w:lineRule="auto"/>
        <w:rPr>
          <w:rFonts w:ascii="Trebuchet MS" w:hAnsi="Trebuchet MS" w:cstheme="minorHAnsi"/>
          <w:b/>
          <w:bCs/>
          <w:color w:val="833C0B" w:themeColor="accent2" w:themeShade="80"/>
          <w:sz w:val="24"/>
        </w:rPr>
      </w:pPr>
    </w:p>
    <w:p w14:paraId="6C12EE39" w14:textId="77777777" w:rsidR="00D7077E" w:rsidRDefault="00D7077E" w:rsidP="006E53D2">
      <w:pPr>
        <w:spacing w:line="240" w:lineRule="auto"/>
        <w:rPr>
          <w:rFonts w:ascii="Trebuchet MS" w:hAnsi="Trebuchet MS" w:cstheme="minorHAnsi"/>
          <w:b/>
          <w:bCs/>
          <w:color w:val="833C0B" w:themeColor="accent2" w:themeShade="80"/>
          <w:sz w:val="24"/>
        </w:rPr>
      </w:pPr>
    </w:p>
    <w:p w14:paraId="0AEF3DF2" w14:textId="77777777" w:rsidR="00D7077E" w:rsidRDefault="00D7077E" w:rsidP="006E53D2">
      <w:pPr>
        <w:spacing w:line="240" w:lineRule="auto"/>
        <w:rPr>
          <w:rFonts w:ascii="Trebuchet MS" w:hAnsi="Trebuchet MS" w:cstheme="minorHAnsi"/>
          <w:b/>
          <w:bCs/>
          <w:color w:val="833C0B" w:themeColor="accent2" w:themeShade="80"/>
          <w:sz w:val="24"/>
        </w:rPr>
      </w:pPr>
    </w:p>
    <w:p w14:paraId="7C12EF9B" w14:textId="77777777" w:rsidR="00D7077E" w:rsidRDefault="00D7077E" w:rsidP="006E53D2">
      <w:pPr>
        <w:spacing w:line="240" w:lineRule="auto"/>
        <w:rPr>
          <w:rFonts w:ascii="Trebuchet MS" w:hAnsi="Trebuchet MS" w:cstheme="minorHAnsi"/>
          <w:b/>
          <w:bCs/>
          <w:color w:val="833C0B" w:themeColor="accent2" w:themeShade="80"/>
          <w:sz w:val="24"/>
        </w:rPr>
      </w:pPr>
    </w:p>
    <w:p w14:paraId="0CBD9D35" w14:textId="77777777" w:rsidR="00D7077E" w:rsidRDefault="00D7077E" w:rsidP="006E53D2">
      <w:pPr>
        <w:spacing w:line="240" w:lineRule="auto"/>
        <w:rPr>
          <w:rFonts w:ascii="Trebuchet MS" w:hAnsi="Trebuchet MS" w:cstheme="minorHAnsi"/>
          <w:b/>
          <w:bCs/>
          <w:color w:val="833C0B" w:themeColor="accent2" w:themeShade="80"/>
          <w:sz w:val="24"/>
        </w:rPr>
      </w:pPr>
    </w:p>
    <w:p w14:paraId="2325AC78" w14:textId="77777777" w:rsidR="00D7077E" w:rsidRDefault="00D7077E" w:rsidP="006E53D2">
      <w:pPr>
        <w:spacing w:line="240" w:lineRule="auto"/>
        <w:rPr>
          <w:rFonts w:ascii="Trebuchet MS" w:hAnsi="Trebuchet MS" w:cstheme="minorHAnsi"/>
          <w:b/>
          <w:bCs/>
          <w:color w:val="833C0B" w:themeColor="accent2" w:themeShade="80"/>
          <w:sz w:val="24"/>
        </w:rPr>
      </w:pPr>
    </w:p>
    <w:p w14:paraId="44D7A619" w14:textId="77777777" w:rsidR="00D7077E" w:rsidRDefault="00D7077E" w:rsidP="006E53D2">
      <w:pPr>
        <w:spacing w:line="240" w:lineRule="auto"/>
        <w:rPr>
          <w:rFonts w:ascii="Trebuchet MS" w:hAnsi="Trebuchet MS" w:cstheme="minorHAnsi"/>
          <w:b/>
          <w:bCs/>
          <w:color w:val="833C0B" w:themeColor="accent2" w:themeShade="80"/>
          <w:sz w:val="24"/>
        </w:rPr>
      </w:pPr>
    </w:p>
    <w:p w14:paraId="2D1B6400" w14:textId="77777777" w:rsidR="0082362D" w:rsidRDefault="0082362D" w:rsidP="006E53D2">
      <w:pPr>
        <w:spacing w:line="240" w:lineRule="auto"/>
        <w:rPr>
          <w:rFonts w:ascii="Trebuchet MS" w:hAnsi="Trebuchet MS" w:cstheme="minorHAnsi"/>
          <w:b/>
          <w:bCs/>
          <w:color w:val="833C0B" w:themeColor="accent2" w:themeShade="80"/>
          <w:sz w:val="24"/>
        </w:rPr>
      </w:pPr>
    </w:p>
    <w:p w14:paraId="15ED8815" w14:textId="77777777" w:rsidR="0082362D" w:rsidRDefault="0082362D" w:rsidP="006E53D2">
      <w:pPr>
        <w:spacing w:line="240" w:lineRule="auto"/>
        <w:rPr>
          <w:rFonts w:ascii="Trebuchet MS" w:hAnsi="Trebuchet MS" w:cstheme="minorHAnsi"/>
          <w:b/>
          <w:bCs/>
          <w:color w:val="833C0B" w:themeColor="accent2" w:themeShade="80"/>
          <w:sz w:val="24"/>
        </w:rPr>
      </w:pPr>
    </w:p>
    <w:p w14:paraId="037B9F5A" w14:textId="77777777" w:rsidR="00D7077E" w:rsidRDefault="00D7077E" w:rsidP="006E53D2">
      <w:pPr>
        <w:spacing w:line="240" w:lineRule="auto"/>
        <w:rPr>
          <w:rFonts w:ascii="Trebuchet MS" w:hAnsi="Trebuchet MS" w:cstheme="minorHAnsi"/>
          <w:b/>
          <w:bCs/>
          <w:color w:val="833C0B" w:themeColor="accent2" w:themeShade="80"/>
          <w:sz w:val="24"/>
        </w:rPr>
      </w:pPr>
    </w:p>
    <w:p w14:paraId="05E96BC3" w14:textId="77777777" w:rsidR="006C48F2" w:rsidRDefault="006C48F2" w:rsidP="006C48F2">
      <w:pPr>
        <w:pStyle w:val="Heading"/>
        <w:rPr>
          <w:rFonts w:ascii="Trebuchet MS" w:eastAsia="Trebuchet MS" w:hAnsi="Trebuchet MS" w:cs="Trebuchet MS"/>
        </w:rPr>
      </w:pPr>
      <w:r>
        <w:rPr>
          <w:rFonts w:ascii="Trebuchet MS" w:hAnsi="Trebuchet MS"/>
        </w:rPr>
        <w:lastRenderedPageBreak/>
        <w:t>Scenario</w:t>
      </w:r>
    </w:p>
    <w:p w14:paraId="66D7BE80" w14:textId="77777777" w:rsidR="006C48F2" w:rsidRDefault="006C48F2" w:rsidP="006C48F2">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571E5788" w14:textId="77777777" w:rsidR="006C48F2" w:rsidRDefault="006C48F2" w:rsidP="000866FB">
      <w:pPr>
        <w:spacing w:line="240" w:lineRule="auto"/>
        <w:rPr>
          <w:rFonts w:ascii="Trebuchet MS" w:hAnsi="Trebuchet MS" w:cstheme="minorHAnsi"/>
          <w:b/>
          <w:bCs/>
          <w:color w:val="833C0B" w:themeColor="accent2" w:themeShade="80"/>
          <w:sz w:val="24"/>
        </w:rPr>
      </w:pPr>
    </w:p>
    <w:p w14:paraId="1B722B07" w14:textId="77777777" w:rsidR="006C48F2" w:rsidRDefault="006C48F2" w:rsidP="000866FB">
      <w:pPr>
        <w:spacing w:line="240" w:lineRule="auto"/>
        <w:rPr>
          <w:rFonts w:ascii="Trebuchet MS" w:hAnsi="Trebuchet MS" w:cstheme="minorHAnsi"/>
          <w:b/>
          <w:bCs/>
          <w:color w:val="833C0B" w:themeColor="accent2" w:themeShade="80"/>
          <w:sz w:val="24"/>
        </w:rPr>
      </w:pPr>
    </w:p>
    <w:p w14:paraId="37688BBA" w14:textId="4210D96E"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1 (AC 1.1)</w:t>
      </w:r>
    </w:p>
    <w:p w14:paraId="40C52F0B" w14:textId="77777777" w:rsidR="000866FB" w:rsidRPr="00922731" w:rsidRDefault="000866FB" w:rsidP="000866FB">
      <w:pPr>
        <w:spacing w:line="240" w:lineRule="auto"/>
        <w:rPr>
          <w:rFonts w:ascii="Trebuchet MS" w:hAnsi="Trebuchet MS"/>
          <w:b/>
          <w:bCs/>
        </w:rPr>
      </w:pPr>
    </w:p>
    <w:p w14:paraId="67AA95FB" w14:textId="77777777" w:rsidR="000866FB" w:rsidRDefault="000866FB" w:rsidP="000866FB">
      <w:pPr>
        <w:spacing w:line="240" w:lineRule="auto"/>
        <w:rPr>
          <w:rFonts w:ascii="Trebuchet MS" w:hAnsi="Trebuchet MS"/>
        </w:rPr>
      </w:pPr>
      <w:r w:rsidRPr="00922731">
        <w:rPr>
          <w:rFonts w:ascii="Trebuchet MS" w:hAnsi="Trebuchet MS"/>
        </w:rPr>
        <w:t>A fellow people management officer estimates that 20% or so of her working days are taken up with activity that is created as a result of regulations</w:t>
      </w:r>
      <w:r>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Pr>
          <w:rFonts w:ascii="Trebuchet MS" w:hAnsi="Trebuchet MS"/>
        </w:rPr>
        <w:t>the Trust</w:t>
      </w:r>
      <w:r w:rsidRPr="00922731">
        <w:rPr>
          <w:rFonts w:ascii="Trebuchet MS" w:hAnsi="Trebuchet MS"/>
        </w:rPr>
        <w:t xml:space="preserve"> provides. </w:t>
      </w:r>
      <w:r>
        <w:rPr>
          <w:rFonts w:ascii="Trebuchet MS" w:hAnsi="Trebuchet MS"/>
        </w:rPr>
        <w:t>To help her understand why it is important to spend time dealing with issues that relate to employment law, send a reply that includes an evaluation of the aims and objectives of employment regulation.</w:t>
      </w:r>
    </w:p>
    <w:p w14:paraId="743054B8" w14:textId="77777777" w:rsidR="008B76EA" w:rsidRPr="00685D5A" w:rsidRDefault="008B76EA" w:rsidP="00685D5A"/>
    <w:p w14:paraId="7A63FF86" w14:textId="53A0E3DB" w:rsidR="00BD7390" w:rsidRPr="00BD7390" w:rsidRDefault="00BD7390" w:rsidP="3ED70C7D">
      <w:pPr>
        <w:rPr>
          <w:color w:val="FF0000"/>
        </w:rPr>
      </w:pPr>
      <w:r>
        <w:t>I understand your concern about the time spent on regulatory matters. However, employment regulations are crucial in shaping our work environment. As an organi</w:t>
      </w:r>
      <w:r w:rsidR="008A2D33">
        <w:t>s</w:t>
      </w:r>
      <w:r>
        <w:t>ation, we have a duty to meet the needs of our employees by embedding these regulations into our culture</w:t>
      </w:r>
      <w:r w:rsidR="00414E1F">
        <w:t>, t</w:t>
      </w:r>
      <w:r>
        <w:t>his shows our commitment to compliance and accountability</w:t>
      </w:r>
      <w:r w:rsidR="003C7C8F">
        <w:t xml:space="preserve"> (Daniels, 2022). </w:t>
      </w:r>
      <w:r>
        <w:t xml:space="preserve">While regulatory activities may seem time-consuming, they are essential for creating a safe, </w:t>
      </w:r>
      <w:r w:rsidR="00934E13">
        <w:t>equitable</w:t>
      </w:r>
      <w:r>
        <w:t xml:space="preserve"> and productive </w:t>
      </w:r>
      <w:r w:rsidR="0019287C">
        <w:t>work environment</w:t>
      </w:r>
      <w:r w:rsidR="005A4F52">
        <w:t xml:space="preserve"> (CIPD, n</w:t>
      </w:r>
      <w:r w:rsidR="005632E0">
        <w:t>o date b</w:t>
      </w:r>
      <w:r w:rsidR="005A4F52">
        <w:t>).</w:t>
      </w:r>
      <w:r>
        <w:t xml:space="preserve"> By ensuring compliance, we protect our employees and contribute to the overall success and </w:t>
      </w:r>
      <w:r w:rsidR="00265930">
        <w:t>reputation</w:t>
      </w:r>
      <w:r>
        <w:t xml:space="preserve"> of the </w:t>
      </w:r>
      <w:r w:rsidR="00265930">
        <w:t>organisation.</w:t>
      </w:r>
    </w:p>
    <w:p w14:paraId="41A60B08" w14:textId="77777777" w:rsidR="002D171A" w:rsidRDefault="002D171A" w:rsidP="003A1D46">
      <w:pPr>
        <w:rPr>
          <w:lang w:eastAsia="en-GB"/>
        </w:rPr>
      </w:pPr>
    </w:p>
    <w:p w14:paraId="1B34E08E" w14:textId="03396715" w:rsidR="00396549" w:rsidRDefault="00230EF2" w:rsidP="003A1D46">
      <w:pPr>
        <w:rPr>
          <w:lang w:eastAsia="en-GB"/>
        </w:rPr>
      </w:pPr>
      <w:r>
        <w:rPr>
          <w:lang w:eastAsia="en-GB"/>
        </w:rPr>
        <w:t xml:space="preserve">Here </w:t>
      </w:r>
      <w:r w:rsidR="00C57F6C">
        <w:rPr>
          <w:lang w:eastAsia="en-GB"/>
        </w:rPr>
        <w:t xml:space="preserve">are a few </w:t>
      </w:r>
      <w:r w:rsidR="0028019A">
        <w:rPr>
          <w:lang w:eastAsia="en-GB"/>
        </w:rPr>
        <w:t xml:space="preserve">examples which demonstrate the aims and objectives of employment regulation and how this can support employment experience. </w:t>
      </w:r>
      <w:r w:rsidR="00091FDE">
        <w:rPr>
          <w:lang w:eastAsia="en-GB"/>
        </w:rPr>
        <w:t xml:space="preserve">Regulations such as </w:t>
      </w:r>
      <w:r w:rsidR="7A021B5F">
        <w:rPr>
          <w:lang w:eastAsia="en-GB"/>
        </w:rPr>
        <w:t>H</w:t>
      </w:r>
      <w:r w:rsidR="00091FDE">
        <w:rPr>
          <w:lang w:eastAsia="en-GB"/>
        </w:rPr>
        <w:t xml:space="preserve">ealth and </w:t>
      </w:r>
      <w:r w:rsidR="5B179E44">
        <w:rPr>
          <w:lang w:eastAsia="en-GB"/>
        </w:rPr>
        <w:t>S</w:t>
      </w:r>
      <w:r w:rsidR="00091FDE">
        <w:rPr>
          <w:lang w:eastAsia="en-GB"/>
        </w:rPr>
        <w:t>afety</w:t>
      </w:r>
      <w:r w:rsidR="00FD772C">
        <w:rPr>
          <w:lang w:eastAsia="en-GB"/>
        </w:rPr>
        <w:t xml:space="preserve"> </w:t>
      </w:r>
      <w:r w:rsidR="07BB2116">
        <w:rPr>
          <w:lang w:eastAsia="en-GB"/>
        </w:rPr>
        <w:t>W</w:t>
      </w:r>
      <w:r w:rsidR="00FD772C">
        <w:rPr>
          <w:lang w:eastAsia="en-GB"/>
        </w:rPr>
        <w:t xml:space="preserve">ork </w:t>
      </w:r>
      <w:r w:rsidR="48715FC7">
        <w:rPr>
          <w:lang w:eastAsia="en-GB"/>
        </w:rPr>
        <w:t>A</w:t>
      </w:r>
      <w:r w:rsidR="00FD772C">
        <w:rPr>
          <w:lang w:eastAsia="en-GB"/>
        </w:rPr>
        <w:t>ct 1974</w:t>
      </w:r>
      <w:r w:rsidR="00FD772C" w:rsidRPr="00FD772C">
        <w:rPr>
          <w:rFonts w:ascii="Poppins" w:hAnsi="Poppins" w:cs="Poppins"/>
          <w:color w:val="808080"/>
          <w:sz w:val="23"/>
          <w:szCs w:val="23"/>
          <w:shd w:val="clear" w:color="auto" w:fill="FFFFFF"/>
        </w:rPr>
        <w:t xml:space="preserve"> </w:t>
      </w:r>
      <w:r w:rsidR="00091FDE">
        <w:rPr>
          <w:lang w:eastAsia="en-GB"/>
        </w:rPr>
        <w:t xml:space="preserve">mandate safe </w:t>
      </w:r>
      <w:r w:rsidR="009F50BD">
        <w:rPr>
          <w:lang w:eastAsia="en-GB"/>
        </w:rPr>
        <w:t>working</w:t>
      </w:r>
      <w:r w:rsidR="00091FDE">
        <w:rPr>
          <w:lang w:eastAsia="en-GB"/>
        </w:rPr>
        <w:t xml:space="preserve"> conditions for our staff</w:t>
      </w:r>
      <w:r w:rsidR="00D64BEF">
        <w:rPr>
          <w:lang w:eastAsia="en-GB"/>
        </w:rPr>
        <w:t xml:space="preserve"> to help mitigate the potential for workplace injury or illness</w:t>
      </w:r>
      <w:r w:rsidR="00177752">
        <w:rPr>
          <w:lang w:eastAsia="en-GB"/>
        </w:rPr>
        <w:t xml:space="preserve"> (UK Gov, 2023a).</w:t>
      </w:r>
      <w:r w:rsidR="00360C56">
        <w:rPr>
          <w:lang w:eastAsia="en-GB"/>
        </w:rPr>
        <w:t xml:space="preserve"> </w:t>
      </w:r>
      <w:r w:rsidR="00F43631">
        <w:rPr>
          <w:lang w:eastAsia="en-GB"/>
        </w:rPr>
        <w:t>W</w:t>
      </w:r>
      <w:r w:rsidR="00E63621">
        <w:rPr>
          <w:lang w:eastAsia="en-GB"/>
        </w:rPr>
        <w:t xml:space="preserve">e can </w:t>
      </w:r>
      <w:r w:rsidR="000F13D0">
        <w:rPr>
          <w:lang w:eastAsia="en-GB"/>
        </w:rPr>
        <w:t>contribute to this by ensuring</w:t>
      </w:r>
      <w:r w:rsidR="00F43631">
        <w:rPr>
          <w:lang w:eastAsia="en-GB"/>
        </w:rPr>
        <w:t xml:space="preserve"> </w:t>
      </w:r>
      <w:r w:rsidR="00661BCC">
        <w:rPr>
          <w:lang w:eastAsia="en-GB"/>
        </w:rPr>
        <w:t xml:space="preserve">appropriate </w:t>
      </w:r>
      <w:r w:rsidR="00F43631">
        <w:rPr>
          <w:lang w:eastAsia="en-GB"/>
        </w:rPr>
        <w:t>standards are established</w:t>
      </w:r>
      <w:r w:rsidR="00C7128E">
        <w:rPr>
          <w:lang w:eastAsia="en-GB"/>
        </w:rPr>
        <w:t xml:space="preserve"> for example handling of equipment, this will</w:t>
      </w:r>
      <w:r w:rsidR="00F43631">
        <w:rPr>
          <w:lang w:eastAsia="en-GB"/>
        </w:rPr>
        <w:t xml:space="preserve"> creat</w:t>
      </w:r>
      <w:r w:rsidR="00C7128E">
        <w:rPr>
          <w:lang w:eastAsia="en-GB"/>
        </w:rPr>
        <w:t xml:space="preserve">e </w:t>
      </w:r>
      <w:r w:rsidR="008F6DDD">
        <w:rPr>
          <w:lang w:eastAsia="en-GB"/>
        </w:rPr>
        <w:t xml:space="preserve">a work environment where </w:t>
      </w:r>
      <w:r w:rsidR="00E4185F">
        <w:rPr>
          <w:lang w:eastAsia="en-GB"/>
        </w:rPr>
        <w:t xml:space="preserve">staff are safe to </w:t>
      </w:r>
      <w:r w:rsidR="00C7128E">
        <w:rPr>
          <w:lang w:eastAsia="en-GB"/>
        </w:rPr>
        <w:t>practice and reduce the potential of</w:t>
      </w:r>
      <w:r w:rsidR="00B44928">
        <w:rPr>
          <w:lang w:eastAsia="en-GB"/>
        </w:rPr>
        <w:t xml:space="preserve"> sickness </w:t>
      </w:r>
      <w:r w:rsidR="004B238F">
        <w:rPr>
          <w:lang w:eastAsia="en-GB"/>
        </w:rPr>
        <w:t xml:space="preserve">and increases productivity. </w:t>
      </w:r>
      <w:r w:rsidR="00790CC2">
        <w:rPr>
          <w:lang w:eastAsia="en-GB"/>
        </w:rPr>
        <w:t xml:space="preserve">The Equality Act 2010 </w:t>
      </w:r>
      <w:r w:rsidR="00F54CEC">
        <w:rPr>
          <w:lang w:eastAsia="en-GB"/>
        </w:rPr>
        <w:t xml:space="preserve">promotes </w:t>
      </w:r>
      <w:r w:rsidR="003F309E">
        <w:rPr>
          <w:lang w:eastAsia="en-GB"/>
        </w:rPr>
        <w:t>fairness within the workplace</w:t>
      </w:r>
      <w:r w:rsidR="0094420A">
        <w:rPr>
          <w:lang w:eastAsia="en-GB"/>
        </w:rPr>
        <w:t xml:space="preserve"> by protecting </w:t>
      </w:r>
      <w:r w:rsidR="00CF6FE1">
        <w:rPr>
          <w:lang w:eastAsia="en-GB"/>
        </w:rPr>
        <w:t>employees’</w:t>
      </w:r>
      <w:r w:rsidR="0094420A">
        <w:rPr>
          <w:lang w:eastAsia="en-GB"/>
        </w:rPr>
        <w:t xml:space="preserve"> rights, this helps</w:t>
      </w:r>
      <w:r w:rsidR="003F309E">
        <w:rPr>
          <w:lang w:eastAsia="en-GB"/>
        </w:rPr>
        <w:t xml:space="preserve"> to </w:t>
      </w:r>
      <w:r w:rsidR="0094420A">
        <w:rPr>
          <w:lang w:eastAsia="en-GB"/>
        </w:rPr>
        <w:t>mitigate</w:t>
      </w:r>
      <w:r w:rsidR="003F309E">
        <w:rPr>
          <w:lang w:eastAsia="en-GB"/>
        </w:rPr>
        <w:t xml:space="preserve"> any form of discrimination</w:t>
      </w:r>
      <w:r w:rsidR="0094420A">
        <w:rPr>
          <w:lang w:eastAsia="en-GB"/>
        </w:rPr>
        <w:t xml:space="preserve"> </w:t>
      </w:r>
      <w:r w:rsidR="00CF4A80">
        <w:rPr>
          <w:lang w:eastAsia="en-GB"/>
        </w:rPr>
        <w:t xml:space="preserve">promoting equal opportunities </w:t>
      </w:r>
      <w:r w:rsidR="0094420A">
        <w:rPr>
          <w:lang w:eastAsia="en-GB"/>
        </w:rPr>
        <w:t xml:space="preserve">and safeguard </w:t>
      </w:r>
      <w:r w:rsidR="00C03213">
        <w:rPr>
          <w:lang w:eastAsia="en-GB"/>
        </w:rPr>
        <w:t>against unfair dismissal</w:t>
      </w:r>
      <w:r w:rsidR="00B31EC9">
        <w:rPr>
          <w:lang w:eastAsia="en-GB"/>
        </w:rPr>
        <w:t xml:space="preserve">, </w:t>
      </w:r>
      <w:r w:rsidR="000C445B">
        <w:rPr>
          <w:lang w:eastAsia="en-GB"/>
        </w:rPr>
        <w:t xml:space="preserve">ensuring standards of pay </w:t>
      </w:r>
      <w:r w:rsidR="00E63621">
        <w:rPr>
          <w:lang w:eastAsia="en-GB"/>
        </w:rPr>
        <w:t xml:space="preserve">are </w:t>
      </w:r>
      <w:r w:rsidR="00750B47">
        <w:rPr>
          <w:lang w:eastAsia="en-GB"/>
        </w:rPr>
        <w:t>equal</w:t>
      </w:r>
      <w:r w:rsidR="003E16F2">
        <w:rPr>
          <w:lang w:eastAsia="en-GB"/>
        </w:rPr>
        <w:t xml:space="preserve"> </w:t>
      </w:r>
      <w:r w:rsidR="00DC12D3">
        <w:rPr>
          <w:lang w:eastAsia="en-GB"/>
        </w:rPr>
        <w:t>(CIPD, n</w:t>
      </w:r>
      <w:r w:rsidR="005632E0">
        <w:rPr>
          <w:lang w:eastAsia="en-GB"/>
        </w:rPr>
        <w:t>o date b</w:t>
      </w:r>
      <w:r w:rsidR="00DC12D3">
        <w:rPr>
          <w:lang w:eastAsia="en-GB"/>
        </w:rPr>
        <w:t xml:space="preserve">). </w:t>
      </w:r>
      <w:r w:rsidR="00B31EC9">
        <w:rPr>
          <w:lang w:eastAsia="en-GB"/>
        </w:rPr>
        <w:t>T</w:t>
      </w:r>
      <w:r w:rsidR="00F767DA">
        <w:rPr>
          <w:lang w:eastAsia="en-GB"/>
        </w:rPr>
        <w:t xml:space="preserve">his contributes to an inclusive workplace </w:t>
      </w:r>
      <w:r w:rsidR="00B31EC9">
        <w:rPr>
          <w:lang w:eastAsia="en-GB"/>
        </w:rPr>
        <w:t>which</w:t>
      </w:r>
      <w:r w:rsidR="001D2827">
        <w:rPr>
          <w:lang w:eastAsia="en-GB"/>
        </w:rPr>
        <w:t xml:space="preserve"> can foster a positive work en</w:t>
      </w:r>
      <w:r w:rsidR="00B31EC9">
        <w:rPr>
          <w:lang w:eastAsia="en-GB"/>
        </w:rPr>
        <w:t>vironment and boost staff morale</w:t>
      </w:r>
      <w:r w:rsidR="002B7C32">
        <w:rPr>
          <w:lang w:eastAsia="en-GB"/>
        </w:rPr>
        <w:t xml:space="preserve"> (Daniels, 2022).</w:t>
      </w:r>
    </w:p>
    <w:p w14:paraId="0B365C54" w14:textId="77777777" w:rsidR="00396549" w:rsidRDefault="00396549" w:rsidP="003A1D46">
      <w:pPr>
        <w:rPr>
          <w:lang w:eastAsia="en-GB"/>
        </w:rPr>
      </w:pPr>
    </w:p>
    <w:p w14:paraId="096449C1" w14:textId="32742510" w:rsidR="00C35CCC" w:rsidRPr="00F31511" w:rsidRDefault="00396549" w:rsidP="3ED70C7D">
      <w:pPr>
        <w:rPr>
          <w:color w:val="FF0000"/>
        </w:rPr>
      </w:pPr>
      <w:r w:rsidRPr="3D800FAE">
        <w:rPr>
          <w:lang w:eastAsia="en-GB"/>
        </w:rPr>
        <w:t xml:space="preserve">To support staff morale </w:t>
      </w:r>
      <w:r w:rsidR="0090390C" w:rsidRPr="3D800FAE">
        <w:rPr>
          <w:lang w:eastAsia="en-GB"/>
        </w:rPr>
        <w:t xml:space="preserve">and retention </w:t>
      </w:r>
      <w:r w:rsidRPr="3D800FAE">
        <w:rPr>
          <w:lang w:eastAsia="en-GB"/>
        </w:rPr>
        <w:t xml:space="preserve">we can </w:t>
      </w:r>
      <w:r w:rsidR="0090390C" w:rsidRPr="3D800FAE">
        <w:rPr>
          <w:lang w:eastAsia="en-GB"/>
        </w:rPr>
        <w:t>promote a better work-life balance for our employees by</w:t>
      </w:r>
      <w:r w:rsidR="004421FD" w:rsidRPr="3D800FAE">
        <w:rPr>
          <w:lang w:eastAsia="en-GB"/>
        </w:rPr>
        <w:t xml:space="preserve"> sharing </w:t>
      </w:r>
      <w:r w:rsidR="004B0DB5" w:rsidRPr="3D800FAE">
        <w:rPr>
          <w:lang w:eastAsia="en-GB"/>
        </w:rPr>
        <w:t>regulations on working hours such as flexible working</w:t>
      </w:r>
      <w:r w:rsidR="002078CF" w:rsidRPr="3D800FAE">
        <w:rPr>
          <w:lang w:eastAsia="en-GB"/>
        </w:rPr>
        <w:t>, rest breaks</w:t>
      </w:r>
      <w:r w:rsidR="00B34698" w:rsidRPr="3D800FAE">
        <w:rPr>
          <w:lang w:eastAsia="en-GB"/>
        </w:rPr>
        <w:t xml:space="preserve"> and other leave entitlement</w:t>
      </w:r>
      <w:r w:rsidR="0098145A" w:rsidRPr="3D800FAE">
        <w:rPr>
          <w:lang w:eastAsia="en-GB"/>
        </w:rPr>
        <w:t xml:space="preserve"> </w:t>
      </w:r>
      <w:r w:rsidR="00DD1BFD" w:rsidRPr="3D800FAE">
        <w:rPr>
          <w:lang w:eastAsia="en-GB"/>
        </w:rPr>
        <w:t>(CIPD n</w:t>
      </w:r>
      <w:r w:rsidR="0032678E">
        <w:rPr>
          <w:lang w:eastAsia="en-GB"/>
        </w:rPr>
        <w:t xml:space="preserve">o date </w:t>
      </w:r>
      <w:r w:rsidR="005632E0">
        <w:rPr>
          <w:lang w:eastAsia="en-GB"/>
        </w:rPr>
        <w:t>b</w:t>
      </w:r>
      <w:r w:rsidR="00DD1BFD" w:rsidRPr="3D800FAE">
        <w:rPr>
          <w:lang w:eastAsia="en-GB"/>
        </w:rPr>
        <w:t xml:space="preserve">). </w:t>
      </w:r>
      <w:r w:rsidR="00F31511">
        <w:t xml:space="preserve">It's also important to show our commitment to </w:t>
      </w:r>
      <w:r w:rsidR="00610B9A">
        <w:t xml:space="preserve">positively supporting </w:t>
      </w:r>
      <w:r w:rsidR="00F31511">
        <w:t xml:space="preserve">staff morale by informing employees about relevant policies that address and manage workplace conflicts, which may </w:t>
      </w:r>
      <w:r w:rsidR="00755370">
        <w:t>foster a</w:t>
      </w:r>
      <w:r w:rsidR="00F31511">
        <w:t xml:space="preserve"> negative environment</w:t>
      </w:r>
      <w:r w:rsidR="00EE490D">
        <w:t xml:space="preserve"> (UK Gov, 2023a).</w:t>
      </w:r>
      <w:r w:rsidR="00290DDD">
        <w:t xml:space="preserve"> </w:t>
      </w:r>
      <w:r w:rsidR="00CE5254">
        <w:t xml:space="preserve">Early informal intervention can support the </w:t>
      </w:r>
      <w:r w:rsidR="00755370">
        <w:t>organisation</w:t>
      </w:r>
      <w:r w:rsidR="00CE5254">
        <w:t xml:space="preserve"> to avoid legal disputes</w:t>
      </w:r>
      <w:r w:rsidR="00787ED7">
        <w:t xml:space="preserve"> which can be costly and time consuming therefore </w:t>
      </w:r>
      <w:r w:rsidR="00E91F84">
        <w:t>understanding</w:t>
      </w:r>
      <w:r w:rsidR="00787ED7">
        <w:t xml:space="preserve"> the importanc</w:t>
      </w:r>
      <w:r w:rsidR="00E91F84">
        <w:t xml:space="preserve">e of legal compliance is a vital part of our role. </w:t>
      </w:r>
      <w:r w:rsidR="00755370">
        <w:t xml:space="preserve">This can be achieved through resolving disputes in a timely manner through support services such as mediation or facilitated conversations. </w:t>
      </w:r>
      <w:r w:rsidR="00C35CCC">
        <w:t xml:space="preserve">This </w:t>
      </w:r>
      <w:r w:rsidR="00C35CCC">
        <w:lastRenderedPageBreak/>
        <w:t xml:space="preserve">work ethic will also contribute to long term succession planning and </w:t>
      </w:r>
      <w:r w:rsidR="006F3F84">
        <w:t xml:space="preserve">retention of </w:t>
      </w:r>
      <w:r w:rsidR="3EE52813">
        <w:t>existing</w:t>
      </w:r>
      <w:r w:rsidR="006F3F84">
        <w:t xml:space="preserve"> and future employees. </w:t>
      </w:r>
      <w:r w:rsidR="09754D2F">
        <w:t xml:space="preserve">  </w:t>
      </w:r>
    </w:p>
    <w:p w14:paraId="1C15E197" w14:textId="38B08D6D" w:rsidR="00685D5A" w:rsidRPr="00685D5A" w:rsidRDefault="00685D5A" w:rsidP="00685D5A">
      <w:pPr>
        <w:rPr>
          <w:lang w:eastAsia="en-GB"/>
        </w:rPr>
      </w:pPr>
    </w:p>
    <w:p w14:paraId="0E7C1994" w14:textId="58726C46" w:rsidR="00685D5A" w:rsidRPr="00685D5A" w:rsidRDefault="00685D5A" w:rsidP="00685D5A">
      <w:pPr>
        <w:rPr>
          <w:lang w:eastAsia="en-GB"/>
        </w:rPr>
      </w:pPr>
    </w:p>
    <w:p w14:paraId="7C61344D" w14:textId="77777777" w:rsidR="000866FB" w:rsidRPr="00922731" w:rsidRDefault="000866FB" w:rsidP="000866FB">
      <w:pPr>
        <w:spacing w:line="240" w:lineRule="auto"/>
        <w:rPr>
          <w:rFonts w:ascii="Trebuchet MS" w:hAnsi="Trebuchet MS"/>
          <w:b/>
          <w:bCs/>
        </w:rPr>
      </w:pPr>
    </w:p>
    <w:p w14:paraId="3820724C"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2 (AC 1.2)</w:t>
      </w:r>
    </w:p>
    <w:p w14:paraId="4FCD9F0E" w14:textId="77777777" w:rsidR="000866FB" w:rsidRPr="00922731" w:rsidRDefault="000866FB" w:rsidP="000866FB">
      <w:pPr>
        <w:spacing w:line="240" w:lineRule="auto"/>
        <w:rPr>
          <w:rFonts w:ascii="Trebuchet MS" w:hAnsi="Trebuchet MS"/>
          <w:b/>
          <w:bCs/>
        </w:rPr>
      </w:pPr>
    </w:p>
    <w:p w14:paraId="1E5BC6F0" w14:textId="77777777" w:rsidR="000866FB" w:rsidRDefault="000866FB" w:rsidP="000866FB">
      <w:pPr>
        <w:spacing w:line="240" w:lineRule="auto"/>
        <w:rPr>
          <w:rFonts w:ascii="Trebuchet MS" w:hAnsi="Trebuchet MS"/>
        </w:rPr>
      </w:pPr>
      <w:r w:rsidRPr="00922731">
        <w:rPr>
          <w:rFonts w:ascii="Trebuchet MS" w:hAnsi="Trebuchet M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340447B5" w14:textId="77777777" w:rsidR="00FE7AA5" w:rsidRDefault="00FE7AA5" w:rsidP="000866FB">
      <w:pPr>
        <w:spacing w:line="240" w:lineRule="auto"/>
        <w:rPr>
          <w:rFonts w:ascii="Trebuchet MS" w:hAnsi="Trebuchet MS"/>
        </w:rPr>
      </w:pPr>
    </w:p>
    <w:p w14:paraId="795CEAF3" w14:textId="77777777" w:rsidR="00E661A7" w:rsidRDefault="00E661A7" w:rsidP="000866FB">
      <w:pPr>
        <w:spacing w:line="240" w:lineRule="auto"/>
        <w:rPr>
          <w:rFonts w:ascii="Trebuchet MS" w:hAnsi="Trebuchet MS"/>
        </w:rPr>
      </w:pPr>
    </w:p>
    <w:p w14:paraId="4C2DE94A" w14:textId="00C4042E" w:rsidR="00E661A7" w:rsidRPr="00E661A7" w:rsidRDefault="00E661A7" w:rsidP="00E661A7">
      <w:r w:rsidRPr="00E661A7">
        <w:t>The UK voted to leave the EU in 2016 and completed Brexit on December 31, 2020 (CIPD, no date c). This gave the UK Government the power to change or override existing EU laws. Most EU laws remain unless amended or repealed. The Retained EU Law (Revocation and Reform) Act 2023 revokes certain retained EU laws, introduces sunset clauses for many laws to expire by the end of 2023 unless preserved, abolishes EU law supremacy, creates 'assimilated law' to adapt former EU laws to the UK framework, and allows the UK Government to update or replace retained EU laws (CIPD, no date c). A 'non-regression' arrangement ensures that employment standards from 2020 are largely maintained. The UK is not required to adopt new EU regulations, except in certain areas of Northern Ireland (CIPD, no date c).</w:t>
      </w:r>
    </w:p>
    <w:p w14:paraId="25EEA9A2" w14:textId="77777777" w:rsidR="009B5F8D" w:rsidRDefault="009B5F8D" w:rsidP="00614473"/>
    <w:p w14:paraId="7FEBE7DF" w14:textId="77777777" w:rsidR="001E330E" w:rsidRDefault="001E330E" w:rsidP="00614473"/>
    <w:p w14:paraId="65B3D4D9" w14:textId="14794943" w:rsidR="000715AA" w:rsidRPr="00C71949" w:rsidRDefault="008855FC" w:rsidP="00C71949">
      <w:r w:rsidRPr="00C71949">
        <w:t xml:space="preserve">Key retained provisions include maintaining working time records, rolled-up holiday pay, and a 12.07% holiday accrual rate for irregular workers. Additionally, there are adjusted TUPE consultation rules and specific definitions for leave carryover and the "normal" pay rate for statutory </w:t>
      </w:r>
      <w:r w:rsidR="000715AA" w:rsidRPr="00C71949">
        <w:t>leave</w:t>
      </w:r>
      <w:r w:rsidR="004837B5">
        <w:t xml:space="preserve"> (CIPD, n</w:t>
      </w:r>
      <w:r w:rsidR="00C23552">
        <w:t>o date c</w:t>
      </w:r>
      <w:r w:rsidR="004837B5">
        <w:t xml:space="preserve">). </w:t>
      </w:r>
      <w:r w:rsidR="000715AA" w:rsidRPr="00C71949">
        <w:t>These</w:t>
      </w:r>
      <w:r w:rsidR="00F95D6E" w:rsidRPr="00C71949">
        <w:t xml:space="preserve"> judgments continue to be binding on UK courts until they are either overturned by a higher UK court or replaced by new UK legislation.</w:t>
      </w:r>
      <w:r w:rsidR="00684F62" w:rsidRPr="00C71949">
        <w:t xml:space="preserve"> However, although pre-Brexit ECJ judgments remain binding, UK courts now have the discretion to depart from them. The UK Supreme Court and the Court of Appeal can choose to deviate from retained EU case law if they deem it appropriate.</w:t>
      </w:r>
      <w:r w:rsidR="00F67413" w:rsidRPr="00C71949">
        <w:t xml:space="preserve"> </w:t>
      </w:r>
    </w:p>
    <w:p w14:paraId="78F0B5CC" w14:textId="77777777" w:rsidR="000715AA" w:rsidRDefault="000715AA" w:rsidP="00614473"/>
    <w:p w14:paraId="07541C7C" w14:textId="19E8CFC8" w:rsidR="00DB25EA" w:rsidRDefault="00EA7891" w:rsidP="00614473">
      <w:r>
        <w:t>The Retained EU Law referral process involves several steps through the UK judicial system</w:t>
      </w:r>
      <w:r w:rsidR="00E65426">
        <w:t xml:space="preserve">. If a legal issue emerges from an employment tribunal decision, it can be appealed to the Employment Appeal Tribunal (EAT). The EAT examines cases to identify any legal errors in the original tribunal's </w:t>
      </w:r>
      <w:r w:rsidR="00E11171">
        <w:t>decision.</w:t>
      </w:r>
      <w:r w:rsidR="00E07330">
        <w:t xml:space="preserve"> If the EAT's decision is challenged, the case can be escalated to the Court of Appeal. This court reviews the legal principles and interpretations used by the EAT</w:t>
      </w:r>
      <w:r w:rsidR="00EB3025">
        <w:t>.</w:t>
      </w:r>
      <w:r w:rsidR="002F6C08">
        <w:t xml:space="preserve"> The final stage of appeal is the UK Supreme Court. This court has the authority to make definitive rulings on legal issues, including those involving retained EU law.</w:t>
      </w:r>
    </w:p>
    <w:p w14:paraId="24FCE0D7" w14:textId="77777777" w:rsidR="000F0E0C" w:rsidRDefault="000F0E0C" w:rsidP="00614473"/>
    <w:p w14:paraId="6874E447" w14:textId="7289AE86" w:rsidR="00F7493A" w:rsidRPr="000D5EFB" w:rsidRDefault="00F7493A" w:rsidP="5EEF6F9E">
      <w:pPr>
        <w:spacing w:line="240" w:lineRule="auto"/>
        <w:rPr>
          <w:rFonts w:eastAsia="Arial" w:cs="Arial"/>
          <w:color w:val="000000" w:themeColor="text1"/>
          <w:szCs w:val="22"/>
        </w:rPr>
      </w:pPr>
    </w:p>
    <w:p w14:paraId="07872168" w14:textId="5CE4BD61" w:rsidR="00D27E76" w:rsidRPr="00063137" w:rsidRDefault="00D27E76" w:rsidP="00063137">
      <w:r>
        <w:rPr>
          <w:rFonts w:eastAsia="Arial" w:cs="Arial"/>
          <w:color w:val="000000" w:themeColor="text1"/>
          <w:szCs w:val="22"/>
        </w:rPr>
        <w:t xml:space="preserve">The following </w:t>
      </w:r>
      <w:r w:rsidR="00063137">
        <w:rPr>
          <w:rFonts w:eastAsia="Arial" w:cs="Arial"/>
          <w:color w:val="000000" w:themeColor="text1"/>
          <w:szCs w:val="22"/>
        </w:rPr>
        <w:t xml:space="preserve">case </w:t>
      </w:r>
      <w:r w:rsidR="00063137">
        <w:rPr>
          <w:rFonts w:eastAsia="Arial" w:cs="Arial"/>
          <w:color w:val="000000" w:themeColor="text1"/>
          <w:szCs w:val="22"/>
          <w:lang w:val="en-US"/>
        </w:rPr>
        <w:t>“</w:t>
      </w:r>
      <w:r w:rsidR="00063137" w:rsidRPr="000D5EFB">
        <w:rPr>
          <w:rFonts w:eastAsia="Arial" w:cs="Arial"/>
          <w:i/>
          <w:iCs/>
          <w:color w:val="000000" w:themeColor="text1"/>
          <w:szCs w:val="22"/>
          <w:lang w:val="en-US"/>
        </w:rPr>
        <w:t>Federación de Servicios de Comisiones Obreras (CCOO) v Deutsche Bank SAE (CJEU Case C-55/18)</w:t>
      </w:r>
      <w:r w:rsidR="00063137">
        <w:rPr>
          <w:rFonts w:eastAsia="Arial" w:cs="Arial"/>
          <w:color w:val="000000" w:themeColor="text1"/>
          <w:szCs w:val="22"/>
          <w:lang w:val="en-US"/>
        </w:rPr>
        <w:t>”</w:t>
      </w:r>
      <w:r w:rsidR="00063137">
        <w:rPr>
          <w:rFonts w:eastAsia="Arial" w:cs="Arial"/>
          <w:color w:val="000000" w:themeColor="text1"/>
          <w:szCs w:val="22"/>
          <w:lang w:val="en-US"/>
        </w:rPr>
        <w:t xml:space="preserve">, </w:t>
      </w:r>
      <w:r w:rsidRPr="000D5EFB">
        <w:rPr>
          <w:rFonts w:eastAsia="Arial" w:cs="Arial"/>
          <w:color w:val="000000" w:themeColor="text1"/>
          <w:szCs w:val="22"/>
        </w:rPr>
        <w:t>illustrates how pre-Brexit ECJ judgments continue to influence UK employment law, ensuring that workers' rights are protected.</w:t>
      </w:r>
    </w:p>
    <w:p w14:paraId="37593B5A" w14:textId="77777777" w:rsidR="003F6646" w:rsidRDefault="003F6646" w:rsidP="5EEF6F9E">
      <w:pPr>
        <w:spacing w:line="240" w:lineRule="auto"/>
        <w:rPr>
          <w:rFonts w:eastAsia="Arial" w:cs="Arial"/>
          <w:color w:val="000000" w:themeColor="text1"/>
          <w:szCs w:val="22"/>
        </w:rPr>
      </w:pPr>
    </w:p>
    <w:p w14:paraId="355534D8" w14:textId="3716FA25" w:rsidR="0615AFFB" w:rsidRPr="000D5EFB" w:rsidRDefault="0615AFFB" w:rsidP="5EEF6F9E">
      <w:pPr>
        <w:spacing w:line="240" w:lineRule="auto"/>
        <w:rPr>
          <w:rFonts w:eastAsia="Arial" w:cs="Arial"/>
          <w:color w:val="000000" w:themeColor="text1"/>
          <w:szCs w:val="22"/>
        </w:rPr>
      </w:pPr>
      <w:r w:rsidRPr="000D5EFB">
        <w:rPr>
          <w:rFonts w:eastAsia="Arial" w:cs="Arial"/>
          <w:color w:val="000000" w:themeColor="text1"/>
          <w:szCs w:val="22"/>
        </w:rPr>
        <w:t xml:space="preserve">This ECJ case addressed the requirement for employers to implement a system for recording employees' actual daily working hours to ensure compliance with the Working Time Directive. The ECJ ruled that employers must establish such a system to guarantee workers' rights to rest breaks and maximum working hours are respected. As this judgment was made before the UK's departure from the EU, it is considered retained EU law and </w:t>
      </w:r>
      <w:r w:rsidRPr="000D5EFB">
        <w:rPr>
          <w:rFonts w:eastAsia="Arial" w:cs="Arial"/>
          <w:color w:val="000000" w:themeColor="text1"/>
          <w:szCs w:val="22"/>
        </w:rPr>
        <w:lastRenderedPageBreak/>
        <w:t xml:space="preserve">remains binding on UK courts. UK courts must follow this ECJ judgment unless the UK Supreme Court or the Court of Appeal decides to depart from it. For example, if a similar case arises in the UK, the courts will likely refer to this ECJ judgment to ensure compliance with the Working Time Regulations. </w:t>
      </w:r>
    </w:p>
    <w:p w14:paraId="5DCEE912" w14:textId="77777777" w:rsidR="00F7493A" w:rsidRDefault="00F7493A" w:rsidP="000866FB">
      <w:pPr>
        <w:spacing w:line="240" w:lineRule="auto"/>
        <w:rPr>
          <w:rFonts w:ascii="Trebuchet MS" w:hAnsi="Trebuchet MS"/>
        </w:rPr>
      </w:pPr>
    </w:p>
    <w:p w14:paraId="010E5061" w14:textId="77777777" w:rsidR="00F7493A" w:rsidRPr="00922731" w:rsidRDefault="00F7493A" w:rsidP="000866FB">
      <w:pPr>
        <w:spacing w:line="240" w:lineRule="auto"/>
        <w:rPr>
          <w:rFonts w:ascii="Trebuchet MS" w:hAnsi="Trebuchet MS"/>
          <w:b/>
          <w:bCs/>
        </w:rPr>
      </w:pPr>
    </w:p>
    <w:p w14:paraId="5FEA37B9" w14:textId="77777777" w:rsidR="000866FB" w:rsidRDefault="000866FB" w:rsidP="006E53D2">
      <w:pPr>
        <w:spacing w:line="240" w:lineRule="auto"/>
        <w:rPr>
          <w:rFonts w:ascii="Trebuchet MS" w:hAnsi="Trebuchet MS" w:cstheme="minorHAnsi"/>
          <w:b/>
          <w:bCs/>
          <w:color w:val="833C0B" w:themeColor="accent2" w:themeShade="80"/>
          <w:sz w:val="24"/>
        </w:rPr>
      </w:pPr>
    </w:p>
    <w:p w14:paraId="6F05AD39" w14:textId="02505C1B" w:rsidR="006E53D2" w:rsidRPr="00A3238A" w:rsidRDefault="006E53D2" w:rsidP="006E53D2">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 xml:space="preserve">Email 3 (AC 2.1) </w:t>
      </w:r>
    </w:p>
    <w:p w14:paraId="47D346D6" w14:textId="77777777" w:rsidR="006E53D2" w:rsidRPr="00922731" w:rsidRDefault="006E53D2" w:rsidP="006E53D2">
      <w:pPr>
        <w:spacing w:line="240" w:lineRule="auto"/>
        <w:rPr>
          <w:rFonts w:ascii="Trebuchet MS" w:hAnsi="Trebuchet MS"/>
          <w:b/>
          <w:bCs/>
        </w:rPr>
      </w:pPr>
    </w:p>
    <w:p w14:paraId="0F516593" w14:textId="77777777" w:rsidR="006E53D2" w:rsidRPr="00922731" w:rsidRDefault="006E53D2" w:rsidP="006E53D2">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Pr>
          <w:rFonts w:ascii="Trebuchet MS" w:hAnsi="Trebuchet MS"/>
        </w:rPr>
        <w:t xml:space="preserve">Explain this to her, considering the maim principles of discrimination law in recruitment and selection in your email </w:t>
      </w:r>
      <w:r w:rsidRPr="00922731">
        <w:rPr>
          <w:rFonts w:ascii="Trebuchet MS" w:hAnsi="Trebuchet MS"/>
        </w:rPr>
        <w:t xml:space="preserve">with reference to specific examples.  </w:t>
      </w:r>
    </w:p>
    <w:p w14:paraId="40B2661C" w14:textId="77777777" w:rsidR="006E53D2" w:rsidRPr="00922731" w:rsidRDefault="006E53D2" w:rsidP="006E53D2">
      <w:pPr>
        <w:spacing w:line="240" w:lineRule="auto"/>
        <w:rPr>
          <w:rFonts w:ascii="Trebuchet MS" w:hAnsi="Trebuchet MS"/>
          <w:b/>
          <w:bCs/>
        </w:rPr>
      </w:pPr>
    </w:p>
    <w:p w14:paraId="781BDAED" w14:textId="26D8D0D8" w:rsidR="009933F2" w:rsidRDefault="00AE102B" w:rsidP="009933F2">
      <w:r>
        <w:rPr>
          <w:rFonts w:eastAsia="Segoe UI" w:cs="Arial"/>
          <w:color w:val="000000" w:themeColor="text1"/>
          <w:szCs w:val="22"/>
          <w:lang w:val="en-US"/>
        </w:rPr>
        <w:t>General o</w:t>
      </w:r>
      <w:r w:rsidR="23BFA0B6" w:rsidRPr="000D5EFB">
        <w:rPr>
          <w:rFonts w:eastAsia="Segoe UI" w:cs="Arial"/>
          <w:color w:val="000000" w:themeColor="text1"/>
          <w:szCs w:val="22"/>
          <w:lang w:val="en-US"/>
        </w:rPr>
        <w:t xml:space="preserve">ccupational requirements </w:t>
      </w:r>
      <w:r>
        <w:rPr>
          <w:rFonts w:eastAsia="Segoe UI" w:cs="Arial"/>
          <w:color w:val="000000" w:themeColor="text1"/>
          <w:szCs w:val="22"/>
          <w:lang w:val="en-US"/>
        </w:rPr>
        <w:t xml:space="preserve">(GOR) </w:t>
      </w:r>
      <w:r w:rsidR="23BFA0B6" w:rsidRPr="000D5EFB">
        <w:rPr>
          <w:rFonts w:eastAsia="Segoe UI" w:cs="Arial"/>
          <w:color w:val="000000" w:themeColor="text1"/>
          <w:szCs w:val="22"/>
          <w:lang w:val="en-US"/>
        </w:rPr>
        <w:t>refer to specific qualifications or characteristics that are essential for a particular job</w:t>
      </w:r>
      <w:r w:rsidR="00260FB5">
        <w:rPr>
          <w:rFonts w:eastAsia="Segoe UI" w:cs="Arial"/>
          <w:color w:val="000000" w:themeColor="text1"/>
          <w:szCs w:val="22"/>
          <w:lang w:val="en-US"/>
        </w:rPr>
        <w:t xml:space="preserve"> (</w:t>
      </w:r>
      <w:r w:rsidR="004B36A3">
        <w:rPr>
          <w:rFonts w:eastAsia="Segoe UI" w:cs="Arial"/>
          <w:color w:val="000000" w:themeColor="text1"/>
          <w:szCs w:val="22"/>
          <w:lang w:val="en-US"/>
        </w:rPr>
        <w:t>Brodies,</w:t>
      </w:r>
      <w:r w:rsidR="00260FB5">
        <w:rPr>
          <w:rFonts w:eastAsia="Segoe UI" w:cs="Arial"/>
          <w:color w:val="000000" w:themeColor="text1"/>
          <w:szCs w:val="22"/>
          <w:lang w:val="en-US"/>
        </w:rPr>
        <w:t xml:space="preserve"> 202</w:t>
      </w:r>
      <w:r w:rsidR="004B36A3">
        <w:rPr>
          <w:rFonts w:eastAsia="Segoe UI" w:cs="Arial"/>
          <w:color w:val="000000" w:themeColor="text1"/>
          <w:szCs w:val="22"/>
          <w:lang w:val="en-US"/>
        </w:rPr>
        <w:t>4</w:t>
      </w:r>
      <w:r w:rsidR="00260FB5">
        <w:rPr>
          <w:rFonts w:eastAsia="Segoe UI" w:cs="Arial"/>
          <w:color w:val="000000" w:themeColor="text1"/>
          <w:szCs w:val="22"/>
          <w:lang w:val="en-US"/>
        </w:rPr>
        <w:t>).</w:t>
      </w:r>
      <w:r w:rsidR="23BFA0B6" w:rsidRPr="000D5EFB">
        <w:rPr>
          <w:rFonts w:eastAsia="Segoe UI" w:cs="Arial"/>
          <w:color w:val="000000" w:themeColor="text1"/>
          <w:szCs w:val="22"/>
          <w:lang w:val="en-US"/>
        </w:rPr>
        <w:t xml:space="preserve"> These requirements can sometimes intersect with anti-discrimination laws, and there are legal provisions that allow certain </w:t>
      </w:r>
      <w:r w:rsidR="3C5162E7" w:rsidRPr="000D5EFB">
        <w:rPr>
          <w:rFonts w:eastAsia="Segoe UI" w:cs="Arial"/>
          <w:color w:val="000000" w:themeColor="text1"/>
          <w:szCs w:val="22"/>
          <w:lang w:val="en-US"/>
        </w:rPr>
        <w:t>exceptions</w:t>
      </w:r>
      <w:r w:rsidR="23BFA0B6" w:rsidRPr="000D5EFB">
        <w:rPr>
          <w:rFonts w:eastAsia="Segoe UI" w:cs="Arial"/>
          <w:color w:val="000000" w:themeColor="text1"/>
          <w:szCs w:val="22"/>
          <w:lang w:val="en-US"/>
        </w:rPr>
        <w:t>.</w:t>
      </w:r>
      <w:r w:rsidR="146AE51F" w:rsidRPr="000D5EFB">
        <w:rPr>
          <w:rFonts w:eastAsia="Segoe UI" w:cs="Arial"/>
          <w:color w:val="000000" w:themeColor="text1"/>
          <w:szCs w:val="22"/>
        </w:rPr>
        <w:t xml:space="preserve"> </w:t>
      </w:r>
      <w:r w:rsidR="009933F2" w:rsidRPr="000D5EFB">
        <w:t>To comply with discrimination law, it is essential to ensure that recruitment and selection processes are fair and unbiased</w:t>
      </w:r>
      <w:r w:rsidR="009933F2">
        <w:t xml:space="preserve"> </w:t>
      </w:r>
      <w:r w:rsidR="009933F2" w:rsidRPr="000D5EFB">
        <w:t>avoiding direct or indirect discrimination</w:t>
      </w:r>
      <w:r w:rsidR="009933F2">
        <w:t xml:space="preserve"> (CIPD, 2023).</w:t>
      </w:r>
      <w:r w:rsidR="009933F2" w:rsidRPr="000D5EFB">
        <w:t xml:space="preserve"> Employers should have diverse, equality-trained selection panels, use objective interview scoring, and avoid irrelevant questions (CIPD, 2023). For example, not recruiting someone based on a protected characteristic, like pregnancy, is direct discrimination. </w:t>
      </w:r>
      <w:r w:rsidR="00927259" w:rsidRPr="00927259">
        <w:t xml:space="preserve">If an employer restricts </w:t>
      </w:r>
      <w:r w:rsidR="005C76C0" w:rsidRPr="00927259">
        <w:t>recruitment to candidates with a particular protected characteristic, you risk engaging in unlawful direct discrimination</w:t>
      </w:r>
      <w:r w:rsidR="00584CE5">
        <w:t xml:space="preserve"> (Daniels, 2022).</w:t>
      </w:r>
    </w:p>
    <w:p w14:paraId="7634ED1C" w14:textId="5FAAA703" w:rsidR="00201AE9" w:rsidRDefault="00201AE9" w:rsidP="5EEF6F9E">
      <w:pPr>
        <w:rPr>
          <w:rFonts w:eastAsia="Segoe UI" w:cs="Arial"/>
          <w:color w:val="000000" w:themeColor="text1"/>
          <w:szCs w:val="22"/>
        </w:rPr>
      </w:pPr>
    </w:p>
    <w:p w14:paraId="3B483422" w14:textId="6F6A198B" w:rsidR="00715EDE" w:rsidRPr="0049096D" w:rsidRDefault="00EE4FBF" w:rsidP="0049096D">
      <w:r w:rsidRPr="0049096D">
        <w:t>Employers must demonstrate that any discriminatory requirement is a 'proportionate means of achieving a legitimate aim</w:t>
      </w:r>
      <w:r w:rsidR="001804D2" w:rsidRPr="0049096D">
        <w:t>’</w:t>
      </w:r>
      <w:r w:rsidR="00DD35B6" w:rsidRPr="0049096D">
        <w:t>, h</w:t>
      </w:r>
      <w:r w:rsidR="00543520" w:rsidRPr="0049096D">
        <w:t xml:space="preserve">owever, </w:t>
      </w:r>
      <w:r w:rsidR="000B6676" w:rsidRPr="0049096D">
        <w:t xml:space="preserve">GOR </w:t>
      </w:r>
      <w:r w:rsidR="146AE51F" w:rsidRPr="0049096D">
        <w:t>is an exception that permits employers to specify certain characteristics for a job based on the nature of the role</w:t>
      </w:r>
      <w:r w:rsidR="00DD35B6" w:rsidRPr="0049096D">
        <w:t xml:space="preserve"> (Daniels, 2022).</w:t>
      </w:r>
      <w:r w:rsidR="146AE51F" w:rsidRPr="0049096D">
        <w:t xml:space="preserve"> The Equality Act (2010) states GORs can apply to characteristics such as sex, race, disability, religion or belief, sexual orientation, and age. </w:t>
      </w:r>
      <w:r w:rsidR="00715EDE" w:rsidRPr="0049096D">
        <w:t>In July 2024, the EHRC revised its job advert guidelines to clarify GORs</w:t>
      </w:r>
      <w:r w:rsidR="00A2017B" w:rsidRPr="0049096D">
        <w:t>,</w:t>
      </w:r>
      <w:r w:rsidR="009A31C8" w:rsidRPr="0049096D">
        <w:t xml:space="preserve"> this states</w:t>
      </w:r>
      <w:r w:rsidR="00715EDE" w:rsidRPr="0049096D">
        <w:t xml:space="preserve"> occupational requirements concerning 'sex' refer to the legal sex documented on an individual's birth certificate or gender recognition certificate</w:t>
      </w:r>
      <w:r w:rsidR="00CE6E4E" w:rsidRPr="0049096D">
        <w:t xml:space="preserve"> (Brodies, 2024).</w:t>
      </w:r>
    </w:p>
    <w:p w14:paraId="4451BED9" w14:textId="77777777" w:rsidR="005D5807" w:rsidRDefault="005D5807" w:rsidP="00715EDE">
      <w:pPr>
        <w:rPr>
          <w:rFonts w:eastAsia="Segoe UI" w:cs="Arial"/>
          <w:color w:val="000000" w:themeColor="text1"/>
          <w:szCs w:val="22"/>
        </w:rPr>
      </w:pPr>
    </w:p>
    <w:p w14:paraId="2277B2C0" w14:textId="068247D4" w:rsidR="23BFA0B6" w:rsidRPr="000D5EFB" w:rsidRDefault="146AE51F" w:rsidP="5EEF6F9E">
      <w:pPr>
        <w:rPr>
          <w:color w:val="000000" w:themeColor="text1"/>
        </w:rPr>
      </w:pPr>
      <w:r w:rsidRPr="000D5EFB">
        <w:rPr>
          <w:rFonts w:eastAsia="Segoe UI" w:cs="Arial"/>
          <w:color w:val="000000" w:themeColor="text1"/>
          <w:szCs w:val="22"/>
        </w:rPr>
        <w:t>This can be applied in direct discrimination claims where the employer can demonstrate that only individuals with a particular protected characteristic can effectively perform the job</w:t>
      </w:r>
      <w:r w:rsidR="000A2F2C">
        <w:rPr>
          <w:rFonts w:eastAsia="Segoe UI" w:cs="Arial"/>
          <w:color w:val="000000" w:themeColor="text1"/>
          <w:szCs w:val="22"/>
        </w:rPr>
        <w:t xml:space="preserve">. </w:t>
      </w:r>
      <w:r w:rsidR="008D3510">
        <w:rPr>
          <w:rFonts w:eastAsia="Segoe UI" w:cs="Arial"/>
          <w:color w:val="000000" w:themeColor="text1"/>
          <w:szCs w:val="22"/>
        </w:rPr>
        <w:t xml:space="preserve">For </w:t>
      </w:r>
      <w:r w:rsidR="00AD08AB">
        <w:rPr>
          <w:rFonts w:eastAsia="Segoe UI" w:cs="Arial"/>
          <w:color w:val="000000" w:themeColor="text1"/>
          <w:szCs w:val="22"/>
        </w:rPr>
        <w:t>example,</w:t>
      </w:r>
      <w:r w:rsidR="008D3510">
        <w:rPr>
          <w:rFonts w:eastAsia="Segoe UI" w:cs="Arial"/>
          <w:color w:val="000000" w:themeColor="text1"/>
          <w:szCs w:val="22"/>
        </w:rPr>
        <w:t xml:space="preserve"> a job requires a </w:t>
      </w:r>
      <w:r w:rsidR="00FD7579">
        <w:rPr>
          <w:rFonts w:eastAsia="Segoe UI" w:cs="Arial"/>
          <w:color w:val="000000" w:themeColor="text1"/>
          <w:szCs w:val="22"/>
        </w:rPr>
        <w:t xml:space="preserve">certain authenticity in a </w:t>
      </w:r>
      <w:r w:rsidR="00C42F57">
        <w:rPr>
          <w:rFonts w:eastAsia="Segoe UI" w:cs="Arial"/>
          <w:color w:val="000000" w:themeColor="text1"/>
          <w:szCs w:val="22"/>
        </w:rPr>
        <w:t xml:space="preserve">drama </w:t>
      </w:r>
      <w:r w:rsidR="00FD7579">
        <w:rPr>
          <w:rFonts w:eastAsia="Segoe UI" w:cs="Arial"/>
          <w:color w:val="000000" w:themeColor="text1"/>
          <w:szCs w:val="22"/>
        </w:rPr>
        <w:t xml:space="preserve">performance </w:t>
      </w:r>
      <w:r w:rsidR="001258BA">
        <w:rPr>
          <w:rFonts w:eastAsia="Segoe UI" w:cs="Arial"/>
          <w:color w:val="000000" w:themeColor="text1"/>
          <w:szCs w:val="22"/>
        </w:rPr>
        <w:t>and a particular race is required</w:t>
      </w:r>
      <w:r w:rsidR="0027271A">
        <w:rPr>
          <w:rFonts w:eastAsia="Segoe UI" w:cs="Arial"/>
          <w:color w:val="000000" w:themeColor="text1"/>
          <w:szCs w:val="22"/>
        </w:rPr>
        <w:t xml:space="preserve"> or a </w:t>
      </w:r>
      <w:r w:rsidR="0027271A" w:rsidRPr="0027271A">
        <w:t>requirement</w:t>
      </w:r>
      <w:r w:rsidR="0027271A" w:rsidRPr="0027271A">
        <w:t xml:space="preserve"> for changing facilities is that the attendant must be of the same sex as those using the facilities, to ensure privacy and decency.</w:t>
      </w:r>
      <w:r w:rsidR="00AD08AB">
        <w:rPr>
          <w:rFonts w:eastAsia="Segoe UI" w:cs="Arial"/>
          <w:color w:val="000000" w:themeColor="text1"/>
          <w:szCs w:val="22"/>
        </w:rPr>
        <w:t xml:space="preserve"> </w:t>
      </w:r>
      <w:r w:rsidR="009E5E39" w:rsidRPr="009E5E39">
        <w:t>The employer must demonstrate that the GOR</w:t>
      </w:r>
      <w:r w:rsidR="009E5E39" w:rsidRPr="009E5E39">
        <w:t xml:space="preserve"> </w:t>
      </w:r>
      <w:r w:rsidR="009E5E39" w:rsidRPr="009E5E39">
        <w:t xml:space="preserve">is essential for the job and that </w:t>
      </w:r>
      <w:r w:rsidR="00D87F78" w:rsidRPr="009E5E39">
        <w:t>it</w:t>
      </w:r>
      <w:r w:rsidR="00D87F78">
        <w:t>s</w:t>
      </w:r>
      <w:r w:rsidR="009E5E39" w:rsidRPr="009E5E39">
        <w:t xml:space="preserve"> application is proportionate to achieving a legitimate aim. An employer is entitled to apply a GOR only when it serves as a proportionate means of achieving a legitimate aim (HR Zone, 2024)</w:t>
      </w:r>
    </w:p>
    <w:p w14:paraId="5CA96C62" w14:textId="77777777" w:rsidR="00BA26F7" w:rsidRDefault="00BA26F7" w:rsidP="5EEF6F9E">
      <w:pPr>
        <w:rPr>
          <w:color w:val="FF0000"/>
        </w:rPr>
      </w:pPr>
    </w:p>
    <w:p w14:paraId="75C2FFDF" w14:textId="77777777" w:rsidR="00BA26F7" w:rsidRPr="00CE3FCE" w:rsidRDefault="00BA26F7" w:rsidP="5EEF6F9E"/>
    <w:p w14:paraId="66012570" w14:textId="06B97AA3" w:rsidR="5EEF6F9E" w:rsidRPr="000D5EFB" w:rsidRDefault="00BA26F7" w:rsidP="000D5EFB">
      <w:r w:rsidRPr="000D5EFB">
        <w:t>The CIPD (2023) advises against asking candidates about age, health, or disabilities during recruitment, except when necessary for reasonable adjustments. Job descriptions should be clear and justifiable to avoid discrimination. For instance, a job ad stating "young, motivated female needed" discriminates based on gender, age, and potentially disability. Indirect discrimination can occur if applications are discounted due to sickness triggers without considering disabilities. Recruitment panels must apply proportionate thinking to avoid biases and discrimination (CIPD, 2023)</w:t>
      </w:r>
      <w:r w:rsidR="003E1EB6" w:rsidRPr="000D5EFB">
        <w:t>.</w:t>
      </w:r>
    </w:p>
    <w:p w14:paraId="45EB061B" w14:textId="5D218065" w:rsidR="5EEF6F9E" w:rsidRDefault="5EEF6F9E" w:rsidP="5EEF6F9E">
      <w:pPr>
        <w:rPr>
          <w:rFonts w:eastAsia="Arial" w:cs="Arial"/>
          <w:szCs w:val="22"/>
        </w:rPr>
      </w:pPr>
    </w:p>
    <w:p w14:paraId="146FC762" w14:textId="6B01DBCB" w:rsidR="005B279F" w:rsidRDefault="005B279F" w:rsidP="00B3559C">
      <w:pPr>
        <w:rPr>
          <w:rStyle w:val="None"/>
          <w:rFonts w:ascii="Trebuchet MS" w:hAnsi="Trebuchet MS"/>
          <w:color w:val="004147"/>
          <w:szCs w:val="22"/>
          <w:u w:color="004147"/>
          <w:lang w:val="en-US"/>
        </w:rPr>
      </w:pPr>
    </w:p>
    <w:p w14:paraId="5408A0E2" w14:textId="77777777" w:rsidR="005E6EF4" w:rsidRDefault="005E6EF4" w:rsidP="00F72983">
      <w:pPr>
        <w:rPr>
          <w:rStyle w:val="None"/>
          <w:rFonts w:ascii="Trebuchet MS" w:hAnsi="Trebuchet MS"/>
          <w:color w:val="004147"/>
          <w:szCs w:val="22"/>
          <w:u w:color="004147"/>
          <w:lang w:val="en-US"/>
        </w:rPr>
      </w:pPr>
    </w:p>
    <w:p w14:paraId="20F6909D" w14:textId="77777777" w:rsidR="006E53D2" w:rsidRPr="00922731" w:rsidRDefault="006E53D2" w:rsidP="006E53D2">
      <w:pPr>
        <w:spacing w:line="240" w:lineRule="auto"/>
        <w:rPr>
          <w:rFonts w:ascii="Trebuchet MS" w:hAnsi="Trebuchet MS"/>
          <w:b/>
          <w:bCs/>
        </w:rPr>
      </w:pPr>
    </w:p>
    <w:p w14:paraId="2E169C92" w14:textId="77777777" w:rsidR="006E53D2" w:rsidRPr="00A3238A" w:rsidRDefault="006E53D2" w:rsidP="006E53D2">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4 (AC 2.2)</w:t>
      </w:r>
    </w:p>
    <w:p w14:paraId="34816199" w14:textId="77777777" w:rsidR="006E53D2" w:rsidRPr="00922731" w:rsidRDefault="006E53D2" w:rsidP="006E53D2">
      <w:pPr>
        <w:spacing w:line="240" w:lineRule="auto"/>
        <w:rPr>
          <w:rFonts w:ascii="Trebuchet MS" w:hAnsi="Trebuchet MS"/>
          <w:b/>
          <w:bCs/>
        </w:rPr>
      </w:pPr>
    </w:p>
    <w:p w14:paraId="6289F087" w14:textId="77777777" w:rsidR="006E53D2" w:rsidRDefault="006E53D2" w:rsidP="006E53D2">
      <w:pPr>
        <w:spacing w:line="240" w:lineRule="auto"/>
        <w:rPr>
          <w:rFonts w:ascii="Trebuchet MS" w:hAnsi="Trebuchet M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Pr>
          <w:rFonts w:ascii="Trebuchet MS" w:hAnsi="Trebuchet MS"/>
        </w:rPr>
        <w:t xml:space="preserve"> Include discussion of the legal requirements of equal pay in your reply.</w:t>
      </w:r>
    </w:p>
    <w:p w14:paraId="284C5978" w14:textId="77777777" w:rsidR="00B3559C" w:rsidRDefault="00B3559C" w:rsidP="006E53D2">
      <w:pPr>
        <w:spacing w:line="240" w:lineRule="auto"/>
        <w:rPr>
          <w:rFonts w:ascii="Trebuchet MS" w:hAnsi="Trebuchet MS"/>
        </w:rPr>
      </w:pPr>
    </w:p>
    <w:p w14:paraId="0D7A99FF" w14:textId="77777777" w:rsidR="00C40411" w:rsidRDefault="00C40411" w:rsidP="0073160A">
      <w:pPr>
        <w:rPr>
          <w:rFonts w:ascii="Segoe UI" w:hAnsi="Segoe UI" w:cs="Segoe UI"/>
          <w:color w:val="242424"/>
          <w:sz w:val="21"/>
          <w:szCs w:val="21"/>
          <w:shd w:val="clear" w:color="auto" w:fill="FAFAFA"/>
        </w:rPr>
      </w:pPr>
    </w:p>
    <w:p w14:paraId="6273CEE4" w14:textId="118BACE5" w:rsidR="00C71D70" w:rsidRPr="00972F6F" w:rsidRDefault="00EF21B5" w:rsidP="00972F6F">
      <w:r w:rsidRPr="00972F6F">
        <w:t>The Equality Act 2010 mandates that men and women in the same workplace must receive equal pay for equal work. This includes work that is identical, broadly similar, or has been evaluated as equivalent or of equal value</w:t>
      </w:r>
      <w:r w:rsidR="00627AAB" w:rsidRPr="00972F6F">
        <w:t xml:space="preserve"> (Acas, 2024).</w:t>
      </w:r>
      <w:r w:rsidR="00D66A5A" w:rsidRPr="00972F6F">
        <w:t xml:space="preserve"> Equal pay provisions aim to ensure that men and women receive equal pay and contractual terms of employment when their work is comparable</w:t>
      </w:r>
      <w:r w:rsidR="001465EA" w:rsidRPr="00972F6F">
        <w:t>.</w:t>
      </w:r>
      <w:r w:rsidR="003D7D61" w:rsidRPr="00972F6F">
        <w:t xml:space="preserve"> </w:t>
      </w:r>
      <w:r w:rsidR="00AC2EF9" w:rsidRPr="00972F6F">
        <w:t>By law, employers must not pay an employee less or impose terms and conditions that disadvantage them due to disability, race, religion or belief, sexual orientation, or any other protected characteristic (Acas, 2024).</w:t>
      </w:r>
    </w:p>
    <w:p w14:paraId="7902C82C" w14:textId="77777777" w:rsidR="00C71D70" w:rsidRPr="00972F6F" w:rsidRDefault="00C71D70" w:rsidP="00972F6F"/>
    <w:p w14:paraId="1F888691" w14:textId="77777777" w:rsidR="00C71D70" w:rsidRPr="00972F6F" w:rsidRDefault="00C71D70" w:rsidP="00972F6F"/>
    <w:p w14:paraId="7B3F0DA4" w14:textId="4BFCD17F" w:rsidR="00B41550" w:rsidRPr="00972F6F" w:rsidRDefault="00A5082F" w:rsidP="00972F6F">
      <w:r w:rsidRPr="00972F6F">
        <w:t xml:space="preserve">Since 80% of the HCAs in our Trust are women, upgrading only the two male HCAs may raise concerns about gender discrimination. It is essential to ensure that any pay upgrades are based on objective criteria and are not influenced by gender. </w:t>
      </w:r>
      <w:r w:rsidR="0073160A" w:rsidRPr="00972F6F">
        <w:t>Equal pay should be implemented when work is considered "like work." This includes situations where two employees are performing the same or broadly similar roles, work that has been rated as equivalent by an analytical job evaluation study, or work of equal value where two different jobs require the same level of ability or skill</w:t>
      </w:r>
      <w:r w:rsidR="00AE2874" w:rsidRPr="00972F6F">
        <w:t xml:space="preserve"> (</w:t>
      </w:r>
      <w:r w:rsidR="00114ECB">
        <w:t xml:space="preserve">CIPD, no date </w:t>
      </w:r>
      <w:r w:rsidR="0032678E">
        <w:t>b</w:t>
      </w:r>
      <w:r w:rsidR="00AE2874" w:rsidRPr="00972F6F">
        <w:t>).</w:t>
      </w:r>
      <w:r w:rsidR="00CB66BE" w:rsidRPr="00972F6F">
        <w:t xml:space="preserve"> If an organisation cannot support an equal pay claim, it must demonstrate that the comparator is not engaged in "like work," the work has been rated as not equivalent through a bona fide and non-discriminatory job evaluation scheme, the work is not of "equal value," or any pay difference is due to a material factor other than gender (</w:t>
      </w:r>
      <w:r w:rsidR="00114ECB">
        <w:t xml:space="preserve">CIPD, no date </w:t>
      </w:r>
      <w:r w:rsidR="0032678E">
        <w:t>b</w:t>
      </w:r>
      <w:r w:rsidR="00CB66BE" w:rsidRPr="00972F6F">
        <w:t>).</w:t>
      </w:r>
    </w:p>
    <w:p w14:paraId="49150A9B" w14:textId="77777777" w:rsidR="00782A19" w:rsidRPr="00972F6F" w:rsidRDefault="00782A19" w:rsidP="00972F6F"/>
    <w:p w14:paraId="339F0F5F" w14:textId="77777777" w:rsidR="00782A19" w:rsidRPr="00972F6F" w:rsidRDefault="00782A19" w:rsidP="00972F6F"/>
    <w:p w14:paraId="0212D06A" w14:textId="2C4AC493" w:rsidR="00B656FC" w:rsidRPr="00A328EE" w:rsidRDefault="00F534C2" w:rsidP="00A328EE">
      <w:pPr>
        <w:spacing w:line="240" w:lineRule="auto"/>
        <w:rPr>
          <w:rFonts w:ascii="Times New Roman" w:eastAsia="Times New Roman" w:hAnsi="Times New Roman" w:cs="Times New Roman"/>
          <w:sz w:val="24"/>
          <w:lang w:eastAsia="en-GB"/>
        </w:rPr>
      </w:pPr>
      <w:r>
        <w:t>CIPD (no date) implies by n</w:t>
      </w:r>
      <w:r w:rsidR="00E1260F" w:rsidRPr="000D59E9">
        <w:t>ot ensuring equal pay within an organi</w:t>
      </w:r>
      <w:r w:rsidR="00E1260F" w:rsidRPr="000D59E9">
        <w:t>s</w:t>
      </w:r>
      <w:r w:rsidR="00E1260F" w:rsidRPr="000D59E9">
        <w:t xml:space="preserve">ation </w:t>
      </w:r>
      <w:r w:rsidR="00D93A72">
        <w:t xml:space="preserve">it </w:t>
      </w:r>
      <w:r w:rsidR="00E1260F" w:rsidRPr="000D59E9">
        <w:t xml:space="preserve">can lead to serious repercussions. One major risk is reputational damage, as unequal pay practices can </w:t>
      </w:r>
      <w:r w:rsidR="00CF2CFE">
        <w:t>negatively affect</w:t>
      </w:r>
      <w:r w:rsidR="00E1260F" w:rsidRPr="000D59E9">
        <w:t xml:space="preserve"> the organi</w:t>
      </w:r>
      <w:r w:rsidR="00E1260F" w:rsidRPr="000D59E9">
        <w:t>s</w:t>
      </w:r>
      <w:r w:rsidR="00E1260F" w:rsidRPr="000D59E9">
        <w:t>ation's image and erode employee trust. Additionally, employees may file legal claims with an employment tribunal, potentially resulting in expensive settlements and legal fees</w:t>
      </w:r>
      <w:r w:rsidR="00D93A72">
        <w:t xml:space="preserve"> (CIPD, no date).</w:t>
      </w:r>
      <w:r w:rsidR="00E1260F">
        <w:rPr>
          <w:rFonts w:ascii="Segoe UI" w:hAnsi="Segoe UI" w:cs="Segoe UI"/>
          <w:color w:val="242424"/>
          <w:sz w:val="21"/>
          <w:szCs w:val="21"/>
          <w:shd w:val="clear" w:color="auto" w:fill="FAFAFA"/>
        </w:rPr>
        <w:t xml:space="preserve"> </w:t>
      </w:r>
      <w:r w:rsidR="00B656FC" w:rsidRPr="00972F6F">
        <w:t>This can result in remedies such as back pay, compensation for lost earnings, and adjustments to future pay (Acas, 2024). The Equality and Human Rights Commission (EHRC) advises employers to implement pay practices that comply with equal pay legislation</w:t>
      </w:r>
      <w:r w:rsidR="00C37A6B">
        <w:t xml:space="preserve"> to mitigate the potential for disc</w:t>
      </w:r>
      <w:r w:rsidR="00B278B7">
        <w:t>rimination</w:t>
      </w:r>
      <w:r w:rsidR="00B656FC" w:rsidRPr="00972F6F">
        <w:t>. Conducting audits to identify pay disparities allows us to take appropriate actions to ensure equal pay (Acas, 2024).</w:t>
      </w:r>
      <w:r w:rsidR="007E00FF">
        <w:t xml:space="preserve"> </w:t>
      </w:r>
    </w:p>
    <w:p w14:paraId="5E14296D" w14:textId="77777777" w:rsidR="00AF5328" w:rsidRPr="00972F6F" w:rsidRDefault="00AF5328" w:rsidP="00972F6F"/>
    <w:p w14:paraId="5073F904" w14:textId="48183A08" w:rsidR="004A35C0" w:rsidRPr="00972F6F" w:rsidRDefault="00441721" w:rsidP="00972F6F">
      <w:r w:rsidRPr="00972F6F">
        <w:t xml:space="preserve">When evaluating pay fairness, factors such as qualifications, skills, and experience should </w:t>
      </w:r>
      <w:r w:rsidR="005174B3" w:rsidRPr="00972F6F">
        <w:t xml:space="preserve">also </w:t>
      </w:r>
      <w:r w:rsidRPr="00972F6F">
        <w:t>be considered</w:t>
      </w:r>
      <w:r w:rsidR="00162436" w:rsidRPr="00972F6F">
        <w:t xml:space="preserve"> </w:t>
      </w:r>
      <w:r w:rsidR="00D11460" w:rsidRPr="00972F6F">
        <w:t>and</w:t>
      </w:r>
      <w:r w:rsidRPr="00972F6F">
        <w:t xml:space="preserve"> aligning the roles of HCAs with their performance and responsibilities</w:t>
      </w:r>
      <w:r w:rsidR="00F3316C" w:rsidRPr="00972F6F">
        <w:t xml:space="preserve"> demonstrating </w:t>
      </w:r>
      <w:r w:rsidR="004C4954" w:rsidRPr="00972F6F">
        <w:t>equal pay for equal work</w:t>
      </w:r>
      <w:r w:rsidR="00B10FD6" w:rsidRPr="00972F6F">
        <w:t xml:space="preserve"> (Acas, 2024)</w:t>
      </w:r>
      <w:r w:rsidRPr="00972F6F">
        <w:t>.</w:t>
      </w:r>
      <w:r w:rsidR="00B4602F">
        <w:t xml:space="preserve"> </w:t>
      </w:r>
      <w:r w:rsidR="004A35C0" w:rsidRPr="00972F6F">
        <w:t>Therefore</w:t>
      </w:r>
      <w:r w:rsidR="000C726F" w:rsidRPr="00972F6F">
        <w:t>,</w:t>
      </w:r>
      <w:r w:rsidR="004A35C0" w:rsidRPr="00972F6F">
        <w:t xml:space="preserve"> with the information provided </w:t>
      </w:r>
      <w:r w:rsidR="00C30FAB" w:rsidRPr="00972F6F">
        <w:t xml:space="preserve">we are unable to support the </w:t>
      </w:r>
      <w:r w:rsidR="004F0BB5" w:rsidRPr="00972F6F">
        <w:t>uplift</w:t>
      </w:r>
      <w:r w:rsidR="00F96668" w:rsidRPr="00972F6F">
        <w:t xml:space="preserve"> </w:t>
      </w:r>
      <w:r w:rsidR="00C30FAB" w:rsidRPr="00972F6F">
        <w:t xml:space="preserve">as </w:t>
      </w:r>
      <w:r w:rsidR="00F96668" w:rsidRPr="00972F6F">
        <w:t>this would be indicative of gender pay discrimination, which is prohibited under the Equality Act 2010 in the U</w:t>
      </w:r>
      <w:r w:rsidR="00A61B2F">
        <w:t>K.</w:t>
      </w:r>
    </w:p>
    <w:p w14:paraId="5BF34A35" w14:textId="0A7977AE" w:rsidR="005818CE" w:rsidRDefault="00070338" w:rsidP="00813B30">
      <w:r w:rsidRPr="003C1D1A">
        <w:lastRenderedPageBreak/>
        <w:t xml:space="preserve"> </w:t>
      </w:r>
    </w:p>
    <w:p w14:paraId="306250B0" w14:textId="77777777" w:rsidR="003C1D1A" w:rsidRPr="004A04FF" w:rsidRDefault="003C1D1A" w:rsidP="006E53D2">
      <w:pPr>
        <w:spacing w:line="240" w:lineRule="auto"/>
      </w:pPr>
    </w:p>
    <w:p w14:paraId="7150B919" w14:textId="77777777" w:rsidR="00B3559C" w:rsidRPr="00922731" w:rsidRDefault="00B3559C" w:rsidP="006E53D2">
      <w:pPr>
        <w:spacing w:line="240" w:lineRule="auto"/>
        <w:rPr>
          <w:rFonts w:ascii="Trebuchet MS" w:hAnsi="Trebuchet MS"/>
          <w:b/>
          <w:bCs/>
        </w:rPr>
      </w:pPr>
    </w:p>
    <w:p w14:paraId="55D3A6E2"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 xml:space="preserve">Email 5 (AC 3.1)    </w:t>
      </w:r>
    </w:p>
    <w:p w14:paraId="33B609C3" w14:textId="77777777" w:rsidR="000866FB" w:rsidRPr="00922731" w:rsidRDefault="000866FB" w:rsidP="000866FB">
      <w:pPr>
        <w:spacing w:line="240" w:lineRule="auto"/>
        <w:rPr>
          <w:rFonts w:ascii="Trebuchet MS" w:hAnsi="Trebuchet MS"/>
          <w:b/>
          <w:bCs/>
        </w:rPr>
      </w:pPr>
    </w:p>
    <w:p w14:paraId="69A159A0" w14:textId="77777777" w:rsidR="000866FB" w:rsidRPr="00922731" w:rsidRDefault="000866FB" w:rsidP="000866FB">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Pr>
          <w:rFonts w:ascii="Trebuchet MS" w:hAnsi="Trebuchet MS"/>
        </w:rPr>
        <w:t xml:space="preserve">a change that was made recently to his working hours. </w:t>
      </w:r>
      <w:r w:rsidRPr="00807931">
        <w:rPr>
          <w:rFonts w:ascii="Trebuchet MS" w:hAnsi="Trebuchet MS"/>
        </w:rPr>
        <w:t xml:space="preserve"> She asks for your advice about the circumstances in which </w:t>
      </w:r>
      <w:r>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6DF83C85" w14:textId="77777777" w:rsidR="000866FB" w:rsidRDefault="000866FB" w:rsidP="000866FB">
      <w:pPr>
        <w:spacing w:line="240" w:lineRule="auto"/>
        <w:rPr>
          <w:rFonts w:ascii="Trebuchet MS" w:hAnsi="Trebuchet MS"/>
          <w:b/>
          <w:bCs/>
        </w:rPr>
      </w:pPr>
    </w:p>
    <w:p w14:paraId="02B91362" w14:textId="77777777" w:rsidR="00E17B8F" w:rsidRDefault="00E17B8F" w:rsidP="000866FB">
      <w:pPr>
        <w:spacing w:line="240" w:lineRule="auto"/>
        <w:rPr>
          <w:rFonts w:ascii="Trebuchet MS" w:hAnsi="Trebuchet MS"/>
          <w:b/>
          <w:bCs/>
        </w:rPr>
      </w:pPr>
    </w:p>
    <w:p w14:paraId="2021FCD4" w14:textId="77777777" w:rsidR="00A438C6" w:rsidRDefault="00A438C6" w:rsidP="000866FB">
      <w:pPr>
        <w:spacing w:line="240" w:lineRule="auto"/>
        <w:rPr>
          <w:color w:val="FF0000"/>
        </w:rPr>
      </w:pPr>
    </w:p>
    <w:p w14:paraId="6A57500F" w14:textId="208F1D08" w:rsidR="009E04A9" w:rsidRPr="002A25E1" w:rsidRDefault="00BB7414" w:rsidP="002A25E1">
      <w:r w:rsidRPr="002A25E1">
        <w:t xml:space="preserve">In the UK, constructive dismissal is considered a form of unfair dismissal under the Employment Rights Act 1996 and the Equality Act 2010. </w:t>
      </w:r>
      <w:r w:rsidR="00F115B0" w:rsidRPr="002A25E1">
        <w:t xml:space="preserve">According to UK Gov Constructive dismissal occurs when an employee resigns due to their employer's conduct, which constitutes a </w:t>
      </w:r>
      <w:r w:rsidR="009E04A9" w:rsidRPr="002A25E1">
        <w:t xml:space="preserve">fundamental </w:t>
      </w:r>
      <w:r w:rsidR="00F115B0" w:rsidRPr="002A25E1">
        <w:t>serious breach of the employment contract.</w:t>
      </w:r>
      <w:r w:rsidR="00A614F8" w:rsidRPr="002A25E1">
        <w:t xml:space="preserve"> Examples of fundamental breaches include significant reductions in salary, demotion, or substantial changes to job duties</w:t>
      </w:r>
      <w:r w:rsidR="008626BD" w:rsidRPr="002A25E1">
        <w:t xml:space="preserve"> (</w:t>
      </w:r>
      <w:r w:rsidR="008D56A5" w:rsidRPr="002A25E1">
        <w:t>UK Gov n</w:t>
      </w:r>
      <w:r w:rsidR="00F77E81">
        <w:t>o date</w:t>
      </w:r>
      <w:r w:rsidR="008626BD" w:rsidRPr="002A25E1">
        <w:t>).</w:t>
      </w:r>
      <w:r w:rsidR="00A614F8" w:rsidRPr="002A25E1">
        <w:t xml:space="preserve"> </w:t>
      </w:r>
    </w:p>
    <w:p w14:paraId="57B5EAB1" w14:textId="77777777" w:rsidR="009E04A9" w:rsidRPr="002A25E1" w:rsidRDefault="009E04A9" w:rsidP="002A25E1"/>
    <w:p w14:paraId="169526D3" w14:textId="2794E56F" w:rsidR="001C5986" w:rsidRPr="002A25E1" w:rsidRDefault="004F0660" w:rsidP="002A25E1">
      <w:r w:rsidRPr="00C268D9">
        <w:t>Acas (</w:t>
      </w:r>
      <w:r w:rsidR="00440763" w:rsidRPr="00C268D9">
        <w:t xml:space="preserve">2024a) </w:t>
      </w:r>
      <w:r w:rsidR="00C268D9" w:rsidRPr="00C268D9">
        <w:t>implies a</w:t>
      </w:r>
      <w:r w:rsidR="00C268D9" w:rsidRPr="00C268D9">
        <w:t xml:space="preserve"> constructive dismissal claim can be influenced by an employee's experience, such as feeling compelled to resign due to their employer's actions.</w:t>
      </w:r>
      <w:r w:rsidR="00C268D9">
        <w:rPr>
          <w:rFonts w:ascii="Segoe UI" w:hAnsi="Segoe UI" w:cs="Segoe UI"/>
          <w:color w:val="242424"/>
          <w:sz w:val="21"/>
          <w:szCs w:val="21"/>
          <w:shd w:val="clear" w:color="auto" w:fill="FAFAFA"/>
        </w:rPr>
        <w:t xml:space="preserve"> </w:t>
      </w:r>
      <w:r w:rsidR="000D491B" w:rsidRPr="002A25E1">
        <w:t xml:space="preserve">Acas (2024a) state there must be a serious breach in contract to support a constructive dismissal claim such as a grievance which has not been investigated, making unreasonable changes to work pattern, not being paid the agreed amount regularly and being bullied or discriminated against. </w:t>
      </w:r>
      <w:r w:rsidR="00E17B8F" w:rsidRPr="002A25E1">
        <w:t>The resignation must be timely and directly related to the breach</w:t>
      </w:r>
      <w:r w:rsidR="009E53A1" w:rsidRPr="002A25E1">
        <w:t xml:space="preserve">, according to </w:t>
      </w:r>
      <w:r w:rsidR="005C2E41">
        <w:t xml:space="preserve">(CIPD, 2024) </w:t>
      </w:r>
      <w:r w:rsidR="00142EB8" w:rsidRPr="002A25E1">
        <w:t>t</w:t>
      </w:r>
      <w:r w:rsidR="009E53A1" w:rsidRPr="002A25E1">
        <w:t>he most common breach is that of the implied term of ‘mutual trust and confidence’ between the employer and employee</w:t>
      </w:r>
      <w:r w:rsidR="009E53A1" w:rsidRPr="00EF5F53">
        <w:t>.</w:t>
      </w:r>
      <w:r w:rsidR="001F657F">
        <w:t xml:space="preserve"> If</w:t>
      </w:r>
      <w:r w:rsidR="00EF5F53" w:rsidRPr="00EF5F53">
        <w:t xml:space="preserve"> an employee continues to work after a breach of contract by the employer, it can be interpreted as the employee accepting the breach and affirming the contrac</w:t>
      </w:r>
      <w:r w:rsidR="001F657F">
        <w:t>t</w:t>
      </w:r>
      <w:r w:rsidR="001716AF">
        <w:t>, thus t</w:t>
      </w:r>
      <w:r w:rsidR="00252C5A" w:rsidRPr="002A25E1">
        <w:t xml:space="preserve">he employee </w:t>
      </w:r>
      <w:r w:rsidR="00887AB1" w:rsidRPr="002A25E1">
        <w:t>will not be entitled to resign later and claim constructive dismissal (Landy, 2017).</w:t>
      </w:r>
    </w:p>
    <w:p w14:paraId="41FEB276" w14:textId="77777777" w:rsidR="001C5986" w:rsidRPr="002A25E1" w:rsidRDefault="001C5986" w:rsidP="002A25E1"/>
    <w:p w14:paraId="01805C04" w14:textId="77777777" w:rsidR="00E82642" w:rsidRPr="002A25E1" w:rsidRDefault="00E82642" w:rsidP="002A25E1"/>
    <w:p w14:paraId="149FA436" w14:textId="34DE112C" w:rsidR="00E82642" w:rsidRPr="002A25E1" w:rsidRDefault="00E82642" w:rsidP="002A25E1">
      <w:r w:rsidRPr="002A25E1">
        <w:t>Varying contracts can have significant legal implications, especially in the context of constructive dismissal claims,</w:t>
      </w:r>
      <w:r w:rsidR="00092D51" w:rsidRPr="002A25E1">
        <w:t xml:space="preserve"> </w:t>
      </w:r>
      <w:r w:rsidR="007B201D" w:rsidRPr="002A25E1">
        <w:t>if</w:t>
      </w:r>
      <w:r w:rsidR="00092D51" w:rsidRPr="002A25E1">
        <w:t xml:space="preserve"> an employer unilaterally changes the terms of an employee's contract without their consent, it can be considered a breach of contrac</w:t>
      </w:r>
      <w:r w:rsidR="007B201D" w:rsidRPr="002A25E1">
        <w:t>t.</w:t>
      </w:r>
      <w:r w:rsidRPr="002A25E1">
        <w:t xml:space="preserve"> </w:t>
      </w:r>
      <w:r w:rsidR="007B201D" w:rsidRPr="002A25E1">
        <w:t>I</w:t>
      </w:r>
      <w:r w:rsidR="0068738C" w:rsidRPr="002A25E1">
        <w:t>f an employer forces the employee to accept unreasonable changes to how they work</w:t>
      </w:r>
      <w:r w:rsidR="0090571D" w:rsidRPr="002A25E1">
        <w:t xml:space="preserve"> </w:t>
      </w:r>
      <w:r w:rsidR="00C70656" w:rsidRPr="002A25E1">
        <w:t xml:space="preserve">for </w:t>
      </w:r>
      <w:r w:rsidR="0090571D" w:rsidRPr="002A25E1">
        <w:t>example</w:t>
      </w:r>
      <w:r w:rsidR="0031481B" w:rsidRPr="002A25E1">
        <w:t>,</w:t>
      </w:r>
      <w:r w:rsidR="0090571D" w:rsidRPr="002A25E1">
        <w:t xml:space="preserve"> if they’re contract is only working </w:t>
      </w:r>
      <w:r w:rsidR="00DB3A88" w:rsidRPr="002A25E1">
        <w:t>days,</w:t>
      </w:r>
      <w:r w:rsidR="0090571D" w:rsidRPr="002A25E1">
        <w:t xml:space="preserve"> </w:t>
      </w:r>
      <w:r w:rsidR="00EA3BB7" w:rsidRPr="002A25E1">
        <w:t>but the request is to work night shifts this wou</w:t>
      </w:r>
      <w:r w:rsidR="00DB3A88" w:rsidRPr="002A25E1">
        <w:t>l</w:t>
      </w:r>
      <w:r w:rsidR="00EA3BB7" w:rsidRPr="002A25E1">
        <w:t>d be considered as a br</w:t>
      </w:r>
      <w:r w:rsidR="00DB3A88" w:rsidRPr="002A25E1">
        <w:t xml:space="preserve">each </w:t>
      </w:r>
      <w:r w:rsidR="000D1886" w:rsidRPr="002A25E1">
        <w:t xml:space="preserve">of employment contact </w:t>
      </w:r>
      <w:r w:rsidR="00DB3A88" w:rsidRPr="002A25E1">
        <w:t>(Acas,</w:t>
      </w:r>
      <w:r w:rsidR="00554881">
        <w:t xml:space="preserve"> </w:t>
      </w:r>
      <w:r w:rsidR="00DB3A88" w:rsidRPr="002A25E1">
        <w:t xml:space="preserve">2024a). </w:t>
      </w:r>
      <w:r w:rsidR="00367F0C" w:rsidRPr="002A25E1">
        <w:t>Th</w:t>
      </w:r>
      <w:r w:rsidR="000D1886" w:rsidRPr="002A25E1">
        <w:t>us</w:t>
      </w:r>
      <w:r w:rsidR="00367F0C" w:rsidRPr="002A25E1">
        <w:t>,</w:t>
      </w:r>
      <w:r w:rsidR="00053E2C" w:rsidRPr="002A25E1">
        <w:t xml:space="preserve"> if unreasonable </w:t>
      </w:r>
      <w:r w:rsidR="001549CF" w:rsidRPr="002A25E1">
        <w:t xml:space="preserve">fundamental </w:t>
      </w:r>
      <w:r w:rsidR="003E1C93" w:rsidRPr="002A25E1">
        <w:t xml:space="preserve">changes were made to the employees working hours without consultation </w:t>
      </w:r>
      <w:r w:rsidR="00DC52C9" w:rsidRPr="002A25E1">
        <w:t>which</w:t>
      </w:r>
      <w:r w:rsidR="006837BC" w:rsidRPr="002A25E1">
        <w:t xml:space="preserve"> </w:t>
      </w:r>
      <w:r w:rsidR="00367F0C" w:rsidRPr="002A25E1">
        <w:t xml:space="preserve">resulted in </w:t>
      </w:r>
      <w:r w:rsidR="006837BC" w:rsidRPr="002A25E1">
        <w:t xml:space="preserve">the employee resigning </w:t>
      </w:r>
      <w:r w:rsidR="00DC52C9" w:rsidRPr="002A25E1">
        <w:t xml:space="preserve">this could </w:t>
      </w:r>
      <w:r w:rsidR="009D7096" w:rsidRPr="002A25E1">
        <w:t xml:space="preserve">potentially </w:t>
      </w:r>
      <w:r w:rsidR="001549CF" w:rsidRPr="002A25E1">
        <w:t xml:space="preserve">result in a </w:t>
      </w:r>
      <w:r w:rsidR="009D7096" w:rsidRPr="002A25E1">
        <w:t xml:space="preserve">successful </w:t>
      </w:r>
      <w:r w:rsidR="00C87AEC" w:rsidRPr="002A25E1">
        <w:t xml:space="preserve">constructive dismissal claim. </w:t>
      </w:r>
    </w:p>
    <w:p w14:paraId="69ACE980" w14:textId="77777777" w:rsidR="001549CF" w:rsidRPr="002A25E1" w:rsidRDefault="001549CF" w:rsidP="002A25E1"/>
    <w:p w14:paraId="4FEE71E5" w14:textId="0AA56D00" w:rsidR="007C3545" w:rsidRPr="002A25E1" w:rsidRDefault="00892CEE" w:rsidP="002A25E1">
      <w:r w:rsidRPr="002A25E1">
        <w:t>Employers should obtain the employee's consent before implementing any substantial changes to their contract. It is recommended to engage in consultations with employees and, if needed, negotiate adjustments to prevent potential claims</w:t>
      </w:r>
      <w:r w:rsidR="00432EB0">
        <w:t xml:space="preserve"> (CIPD, 2024).</w:t>
      </w:r>
      <w:r w:rsidRPr="002A25E1">
        <w:t xml:space="preserve"> </w:t>
      </w:r>
      <w:r w:rsidR="007E06FD" w:rsidRPr="002A25E1">
        <w:t>Employees can submit a</w:t>
      </w:r>
      <w:r w:rsidR="000D0A13" w:rsidRPr="002A25E1">
        <w:t xml:space="preserve"> grievance </w:t>
      </w:r>
      <w:r w:rsidR="00081CBF" w:rsidRPr="002A25E1">
        <w:t xml:space="preserve">however it </w:t>
      </w:r>
      <w:r w:rsidR="000D0A13" w:rsidRPr="002A25E1">
        <w:t>won't prevent a claim, but it may affect compensation. Tribunals can adjust awards by 25% if the employer or employee unreasonably fails to comply with the ACAS Code of Practice</w:t>
      </w:r>
      <w:r w:rsidR="00A209A3" w:rsidRPr="002A25E1">
        <w:t xml:space="preserve"> (Acas, 2024a).</w:t>
      </w:r>
    </w:p>
    <w:p w14:paraId="1475F0C2" w14:textId="77777777" w:rsidR="007C3545" w:rsidRPr="002A25E1" w:rsidRDefault="007C3545" w:rsidP="002A25E1"/>
    <w:p w14:paraId="6BF9C769" w14:textId="0ECF04C3" w:rsidR="002761E4" w:rsidRPr="002A25E1" w:rsidRDefault="00A614F8" w:rsidP="002A25E1">
      <w:r w:rsidRPr="002A25E1">
        <w:lastRenderedPageBreak/>
        <w:t xml:space="preserve">There </w:t>
      </w:r>
      <w:r w:rsidR="00C87AEC" w:rsidRPr="002A25E1">
        <w:t>are strict limits for making a claim to employment tribunal, former employees have 3 months minus 1 day from the date their employment ended, or the issue occurred to raise a constructive dismissal claim, they must also have a minimum of 2 years' service</w:t>
      </w:r>
      <w:r w:rsidR="000028F3" w:rsidRPr="002A25E1">
        <w:t xml:space="preserve"> within the organisation</w:t>
      </w:r>
      <w:r w:rsidR="00F27BCB" w:rsidRPr="002A25E1">
        <w:t xml:space="preserve"> (CIPD, 2024)</w:t>
      </w:r>
      <w:r w:rsidR="009963C9">
        <w:t>.</w:t>
      </w:r>
    </w:p>
    <w:p w14:paraId="379DECB2" w14:textId="0A18C071" w:rsidR="00B81E22" w:rsidRDefault="00E32489" w:rsidP="000866FB">
      <w:pPr>
        <w:spacing w:line="240" w:lineRule="auto"/>
      </w:pPr>
      <w:r>
        <w:t xml:space="preserve"> </w:t>
      </w:r>
    </w:p>
    <w:p w14:paraId="67369BA5" w14:textId="77777777" w:rsidR="000866FB" w:rsidRDefault="000866FB" w:rsidP="000866FB">
      <w:pPr>
        <w:spacing w:line="240" w:lineRule="auto"/>
      </w:pPr>
    </w:p>
    <w:p w14:paraId="2CD46CB2" w14:textId="77777777" w:rsidR="00252C5A" w:rsidRPr="00922731" w:rsidRDefault="00252C5A" w:rsidP="000866FB">
      <w:pPr>
        <w:spacing w:line="240" w:lineRule="auto"/>
        <w:rPr>
          <w:rFonts w:ascii="Trebuchet MS" w:hAnsi="Trebuchet MS"/>
          <w:b/>
          <w:bCs/>
        </w:rPr>
      </w:pPr>
    </w:p>
    <w:p w14:paraId="34FE0759"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6 (AC 3.2)</w:t>
      </w:r>
    </w:p>
    <w:p w14:paraId="106CA538" w14:textId="77777777" w:rsidR="000866FB" w:rsidRPr="00922731" w:rsidRDefault="000866FB" w:rsidP="000866FB">
      <w:pPr>
        <w:spacing w:line="240" w:lineRule="auto"/>
        <w:rPr>
          <w:rFonts w:ascii="Trebuchet MS" w:hAnsi="Trebuchet MS"/>
          <w:b/>
          <w:bCs/>
        </w:rPr>
      </w:pPr>
    </w:p>
    <w:p w14:paraId="330B1E8D" w14:textId="77777777" w:rsidR="000866FB" w:rsidRDefault="000866FB" w:rsidP="000866FB">
      <w:pPr>
        <w:spacing w:line="240" w:lineRule="auto"/>
        <w:rPr>
          <w:rFonts w:ascii="Trebuchet MS" w:hAnsi="Trebuchet M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Pr>
          <w:rFonts w:ascii="Trebuchet MS" w:hAnsi="Trebuchet MS"/>
        </w:rPr>
        <w:t>Include discussion of the legal requirements relating to redundancy in your answer.</w:t>
      </w:r>
    </w:p>
    <w:p w14:paraId="6A27BB05" w14:textId="77777777" w:rsidR="00545AE4" w:rsidRDefault="00545AE4" w:rsidP="000866FB">
      <w:pPr>
        <w:spacing w:line="240" w:lineRule="auto"/>
        <w:rPr>
          <w:rFonts w:ascii="Trebuchet MS" w:hAnsi="Trebuchet MS"/>
        </w:rPr>
      </w:pPr>
    </w:p>
    <w:p w14:paraId="5893F382" w14:textId="4BB61DEC" w:rsidR="007046E8" w:rsidRPr="001C1C24" w:rsidRDefault="00284035" w:rsidP="001C1C24">
      <w:r w:rsidRPr="001C1C24">
        <w:t>To ensure this process is managed effectively and sensitively, we need to align our actions with legal redundancy requirements</w:t>
      </w:r>
      <w:r w:rsidR="00361029">
        <w:t xml:space="preserve"> and time frames</w:t>
      </w:r>
      <w:r w:rsidRPr="001C1C24">
        <w:t xml:space="preserve">. Since you are considering </w:t>
      </w:r>
      <w:r w:rsidR="00F67B13" w:rsidRPr="001C1C24">
        <w:t>the red</w:t>
      </w:r>
      <w:r w:rsidR="00365A32" w:rsidRPr="001C1C24">
        <w:t>undancy of +</w:t>
      </w:r>
      <w:r w:rsidRPr="001C1C24">
        <w:t>20 employees, an HR1 form must be completed</w:t>
      </w:r>
      <w:r w:rsidR="00365A32" w:rsidRPr="001C1C24">
        <w:t xml:space="preserve"> with +30 days consultation period</w:t>
      </w:r>
      <w:r w:rsidR="0057364D" w:rsidRPr="001C1C24">
        <w:t xml:space="preserve"> (Beacon, 2025).</w:t>
      </w:r>
      <w:r w:rsidR="00AB78CA" w:rsidRPr="001C1C24">
        <w:t xml:space="preserve"> </w:t>
      </w:r>
      <w:r w:rsidRPr="001C1C24">
        <w:t>This legal document must be submitted to the Insolvency Service when proposing collective redundancies (Morris, 2025). Failing to submit an HR1 form poses significant risks for employers, including fines or prosecution, with individual company directors potentially being held personally liable (Morris, 2025).</w:t>
      </w:r>
    </w:p>
    <w:p w14:paraId="569B22BC" w14:textId="77777777" w:rsidR="007046E8" w:rsidRDefault="007046E8" w:rsidP="001C1C24"/>
    <w:p w14:paraId="34C6B18B" w14:textId="18839C6F" w:rsidR="00E23706" w:rsidRPr="001C1C24" w:rsidRDefault="00E23706" w:rsidP="00E23706">
      <w:r>
        <w:t>However, w</w:t>
      </w:r>
      <w:r>
        <w:t xml:space="preserve">e should consider </w:t>
      </w:r>
      <w:r w:rsidRPr="001C1C24">
        <w:t xml:space="preserve">suitable alternative employment within the organisation </w:t>
      </w:r>
      <w:r>
        <w:t xml:space="preserve">as an alternative to redundancy. </w:t>
      </w:r>
      <w:r w:rsidRPr="001C1C24">
        <w:t>This involves offering roles of a similar skill, experience and circumstances and should be representative of pay, duties, status, and location</w:t>
      </w:r>
      <w:r>
        <w:t xml:space="preserve"> (Acas, 2025).</w:t>
      </w:r>
      <w:r w:rsidRPr="001C1C24">
        <w:t xml:space="preserve"> Employees have the right to a 4-week trial period in the new role to determine if it is suitable however</w:t>
      </w:r>
      <w:r>
        <w:t>,</w:t>
      </w:r>
      <w:r w:rsidRPr="001C1C24">
        <w:t xml:space="preserve"> </w:t>
      </w:r>
      <w:r w:rsidR="00150BE3" w:rsidRPr="001C1C24">
        <w:t>if</w:t>
      </w:r>
      <w:r w:rsidRPr="001C1C24">
        <w:t xml:space="preserve"> an employee unreasonably refuses a suitable alternative role, they may lose their right to statutory redundancy pay (Acas, 2025).</w:t>
      </w:r>
    </w:p>
    <w:p w14:paraId="5AC0E2B9" w14:textId="77777777" w:rsidR="00E23706" w:rsidRPr="001C1C24" w:rsidRDefault="00E23706" w:rsidP="001C1C24"/>
    <w:p w14:paraId="57213B32" w14:textId="48F6E7AC" w:rsidR="00326436" w:rsidRPr="001C1C24" w:rsidRDefault="0015190F" w:rsidP="001C1C24">
      <w:r w:rsidRPr="001C1C24">
        <w:t>With 50 posts at risk, please be aware that if an employer plans to make 20 or more employees redundant within a 90-day period, they must follow collective consultation rules to prevent unfair dismissals and avoid protective awards (CIPD, 2024a).</w:t>
      </w:r>
      <w:r w:rsidR="001F0F3F" w:rsidRPr="001C1C24">
        <w:t xml:space="preserve"> Employee representatives </w:t>
      </w:r>
      <w:r w:rsidR="006C73E3" w:rsidRPr="001C1C24">
        <w:t>or trade unions should be present during consultation</w:t>
      </w:r>
      <w:r w:rsidR="00D57866">
        <w:t>, i</w:t>
      </w:r>
      <w:r w:rsidR="00D57866" w:rsidRPr="001C1C24">
        <w:t>f employees choose not to involve a trade union, consider alternative methods such as a ballot to ensure transparency and fairness</w:t>
      </w:r>
      <w:r w:rsidR="00D57866">
        <w:t xml:space="preserve"> (Daniels, 2022).</w:t>
      </w:r>
      <w:r w:rsidR="00D57866">
        <w:t xml:space="preserve"> </w:t>
      </w:r>
      <w:r w:rsidRPr="001C1C24">
        <w:t xml:space="preserve">Ensure you consult staff and inform them </w:t>
      </w:r>
      <w:r w:rsidR="00EF70D8" w:rsidRPr="001C1C24">
        <w:t xml:space="preserve">of the reasoning for redundancy, the roles affected, </w:t>
      </w:r>
      <w:r w:rsidR="00A028F9" w:rsidRPr="001C1C24">
        <w:t xml:space="preserve">how you plan to select employees for redundancy, </w:t>
      </w:r>
      <w:r w:rsidR="00C01C24" w:rsidRPr="001C1C24">
        <w:t xml:space="preserve">how the process will be conducted and pay </w:t>
      </w:r>
      <w:r w:rsidRPr="001C1C24">
        <w:t>(UK Government, 1992). This will help maintain an equitable process, retain staff trust, and minimi</w:t>
      </w:r>
      <w:r w:rsidR="00E2045C" w:rsidRPr="001C1C24">
        <w:t>s</w:t>
      </w:r>
      <w:r w:rsidRPr="001C1C24">
        <w:t xml:space="preserve">e conflict. </w:t>
      </w:r>
    </w:p>
    <w:p w14:paraId="6D88FEA3" w14:textId="77777777" w:rsidR="00326436" w:rsidRDefault="00326436" w:rsidP="001C1C24"/>
    <w:p w14:paraId="75651D18" w14:textId="7C2ACF34" w:rsidR="00D87886" w:rsidRPr="001C1C24" w:rsidRDefault="0078137B" w:rsidP="001C1C24">
      <w:r>
        <w:t>I would advise we consult and discuss</w:t>
      </w:r>
      <w:r w:rsidR="00D87886" w:rsidRPr="001C1C24">
        <w:t xml:space="preserve"> clear and measurable criteria for selecting employees for redundancy. Typical criteria include skills, qualifications, performance, and attendance records (excluding absences due to disability or pregnancy</w:t>
      </w:r>
      <w:r w:rsidR="0072764B">
        <w:t xml:space="preserve"> as this would discriminate against protected characteristics</w:t>
      </w:r>
      <w:r w:rsidR="00D87886" w:rsidRPr="001C1C24">
        <w:t>)</w:t>
      </w:r>
      <w:r w:rsidR="00FC3B08" w:rsidRPr="001C1C24">
        <w:t xml:space="preserve"> (Acas, 2025)</w:t>
      </w:r>
      <w:r w:rsidR="00D87886" w:rsidRPr="001C1C24">
        <w:t xml:space="preserve">. The CIPD (2024a) states employers should exercise caution when defining the initial selection pool for redundancy. Identifying under-performing employees as the selection pool at this early stage can result in claims of unfair dismissal. However, applying a selectin pool can demonstrate equitability and minimise discrimination, additionally, this approach ensures transparency and consistency in the decision-making process (CIPD, 2024a). </w:t>
      </w:r>
    </w:p>
    <w:p w14:paraId="0831B122" w14:textId="77777777" w:rsidR="00D87886" w:rsidRPr="001C1C24" w:rsidRDefault="00D87886" w:rsidP="001C1C24"/>
    <w:p w14:paraId="0FBDD9D0" w14:textId="77777777" w:rsidR="00272485" w:rsidRPr="001C1C24" w:rsidRDefault="00272485" w:rsidP="001C1C24"/>
    <w:p w14:paraId="75F62907" w14:textId="2E99B264" w:rsidR="005C4385" w:rsidRPr="001C1C24" w:rsidRDefault="005C4385" w:rsidP="001C1C24">
      <w:r w:rsidRPr="001C1C24">
        <w:lastRenderedPageBreak/>
        <w:t>Other considerations include the length of service, as it affects the notice period and redundancy pay calculation, employees with 2 years or more of service are entitled to statutory redundancy payments (CIPD, 2024a). Under the Pregnancy and Family Leave Act 2023, eligible employees must be prioritised for suitable alternative vacancies and may have an extended protection period (UK Government, 2023). These measures aim to prevent unfair dismissals and ensure employees on pregnancy or family leave are not disadvantaged during redundancy processes (UK Government, 2023).</w:t>
      </w:r>
    </w:p>
    <w:p w14:paraId="244C07D9" w14:textId="77777777" w:rsidR="00390514" w:rsidRDefault="00390514" w:rsidP="000866FB">
      <w:pPr>
        <w:spacing w:line="240" w:lineRule="auto"/>
        <w:rPr>
          <w:rFonts w:ascii="Trebuchet MS" w:hAnsi="Trebuchet MS"/>
          <w:b/>
          <w:bCs/>
        </w:rPr>
      </w:pPr>
    </w:p>
    <w:p w14:paraId="4C9FCC75" w14:textId="77777777" w:rsidR="000866FB" w:rsidRPr="00922731" w:rsidRDefault="000866FB" w:rsidP="000866FB">
      <w:pPr>
        <w:spacing w:line="240" w:lineRule="auto"/>
        <w:rPr>
          <w:rFonts w:ascii="Trebuchet MS" w:hAnsi="Trebuchet MS"/>
          <w:b/>
          <w:bCs/>
        </w:rPr>
      </w:pPr>
    </w:p>
    <w:p w14:paraId="2973780D" w14:textId="77777777" w:rsidR="000866FB" w:rsidRPr="00922731" w:rsidRDefault="000866FB" w:rsidP="000866FB">
      <w:pPr>
        <w:spacing w:line="240" w:lineRule="auto"/>
        <w:rPr>
          <w:rFonts w:ascii="Trebuchet MS" w:hAnsi="Trebuchet MS"/>
          <w:b/>
          <w:bCs/>
        </w:rPr>
      </w:pPr>
    </w:p>
    <w:p w14:paraId="4DD15281" w14:textId="77777777" w:rsidR="000866FB" w:rsidRPr="00A3238A" w:rsidRDefault="000866FB" w:rsidP="000866FB">
      <w:pPr>
        <w:spacing w:line="240" w:lineRule="auto"/>
        <w:rPr>
          <w:rFonts w:ascii="Trebuchet MS" w:hAnsi="Trebuchet MS"/>
          <w:b/>
          <w:bCs/>
          <w:sz w:val="24"/>
        </w:rPr>
      </w:pPr>
      <w:r w:rsidRPr="00A3238A">
        <w:rPr>
          <w:rFonts w:ascii="Trebuchet MS" w:hAnsi="Trebuchet MS" w:cstheme="minorHAnsi"/>
          <w:b/>
          <w:bCs/>
          <w:color w:val="833C0B" w:themeColor="accent2" w:themeShade="80"/>
          <w:sz w:val="24"/>
        </w:rPr>
        <w:t xml:space="preserve">Email 7 (AC 3.3) </w:t>
      </w:r>
      <w:r w:rsidRPr="00A3238A">
        <w:rPr>
          <w:rFonts w:ascii="Trebuchet MS" w:hAnsi="Trebuchet MS"/>
          <w:b/>
          <w:bCs/>
          <w:sz w:val="24"/>
        </w:rPr>
        <w:t xml:space="preserve">  </w:t>
      </w:r>
    </w:p>
    <w:p w14:paraId="7256F926" w14:textId="77777777" w:rsidR="000866FB" w:rsidRPr="00922731" w:rsidRDefault="000866FB" w:rsidP="000866FB">
      <w:pPr>
        <w:spacing w:line="240" w:lineRule="auto"/>
        <w:rPr>
          <w:rFonts w:ascii="Trebuchet MS" w:hAnsi="Trebuchet MS"/>
          <w:b/>
          <w:bCs/>
        </w:rPr>
      </w:pPr>
    </w:p>
    <w:p w14:paraId="0DA1224A" w14:textId="77777777" w:rsidR="000866FB" w:rsidRPr="00922731" w:rsidRDefault="000866FB" w:rsidP="000866FB">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w:t>
      </w:r>
      <w:r>
        <w:rPr>
          <w:rFonts w:ascii="Trebuchet MS" w:hAnsi="Trebuchet MS"/>
        </w:rPr>
        <w:t xml:space="preserve">explain </w:t>
      </w:r>
      <w:r w:rsidRPr="00922731">
        <w:rPr>
          <w:rFonts w:ascii="Trebuchet MS" w:hAnsi="Trebuchet MS"/>
        </w:rPr>
        <w:t xml:space="preserve">the major relevant rights that any employees involved in the merger might have in respect of the Transfer of Undertakings (i.e. TUPE) regulations should it go ahead at some date in the future.    </w:t>
      </w:r>
    </w:p>
    <w:p w14:paraId="79AD318B" w14:textId="77777777" w:rsidR="000866FB" w:rsidRDefault="000866FB" w:rsidP="000866FB">
      <w:pPr>
        <w:spacing w:line="240" w:lineRule="auto"/>
        <w:rPr>
          <w:rFonts w:ascii="Trebuchet MS" w:hAnsi="Trebuchet MS"/>
          <w:b/>
          <w:bCs/>
        </w:rPr>
      </w:pPr>
    </w:p>
    <w:p w14:paraId="45A7F1FE" w14:textId="0CE3667F" w:rsidR="00D81526" w:rsidRPr="00DD63D6" w:rsidRDefault="00553FC5" w:rsidP="00DD63D6">
      <w:r w:rsidRPr="00DD63D6">
        <w:t xml:space="preserve">As we engage in negotiations with our </w:t>
      </w:r>
      <w:r w:rsidRPr="00DD63D6">
        <w:t>neighbouring</w:t>
      </w:r>
      <w:r w:rsidRPr="00DD63D6">
        <w:t xml:space="preserve"> hospital about the potential merger of our pharmaceutical operations, it is essential to consider the rights of our employees under the Transfer of Undertakings (Protection of Employment) Regulations (TUPE). TUPE safeguards employees' terms and conditions of employment when a business or part of it is transferred to a new employer (Lewis, 2023)</w:t>
      </w:r>
    </w:p>
    <w:p w14:paraId="6E8931D4" w14:textId="77777777" w:rsidR="00553FC5" w:rsidRDefault="00553FC5" w:rsidP="003856FB"/>
    <w:p w14:paraId="70E10345" w14:textId="3F66B755" w:rsidR="00E20F79" w:rsidRPr="003856FB" w:rsidRDefault="00D6109C" w:rsidP="003856FB">
      <w:r w:rsidRPr="003D47D9">
        <w:t>A well-planned pre-transfer period is crucial for the success of the transfer (CIPD, 2024b). The regulations mandate that consultation must occur. Both the current and new employers are required to inform and consult with employee representatives, such as trade unions, about the transfer (Lewis, 2023).</w:t>
      </w:r>
      <w:r w:rsidR="003D47D9">
        <w:t xml:space="preserve"> </w:t>
      </w:r>
      <w:r w:rsidR="00985902" w:rsidRPr="003856FB">
        <w:t>Additionally, the regulations mandate that the transferor employer provide information about the transferring workforce to the new employer 4 weeks prior to the transfer</w:t>
      </w:r>
      <w:r w:rsidR="009C66DD" w:rsidRPr="003856FB">
        <w:t xml:space="preserve"> (Daniels, 2014).</w:t>
      </w:r>
      <w:r w:rsidR="000B54E0" w:rsidRPr="003856FB">
        <w:t xml:space="preserve"> Failure to adhere to</w:t>
      </w:r>
      <w:r w:rsidR="005B1970" w:rsidRPr="003856FB">
        <w:t xml:space="preserve"> consultation</w:t>
      </w:r>
      <w:r w:rsidR="000B54E0" w:rsidRPr="003856FB">
        <w:t xml:space="preserve"> can result</w:t>
      </w:r>
      <w:r w:rsidR="008B6562" w:rsidRPr="003856FB">
        <w:t xml:space="preserve"> in compensation pay</w:t>
      </w:r>
      <w:r w:rsidR="005B1970" w:rsidRPr="003856FB">
        <w:t xml:space="preserve"> for up to 13 weeks for the employee, and </w:t>
      </w:r>
      <w:r w:rsidR="00623582" w:rsidRPr="003856FB">
        <w:t xml:space="preserve">if employee information is not exchanged </w:t>
      </w:r>
      <w:r w:rsidR="00675440" w:rsidRPr="003856FB">
        <w:t>the employment tribunal can award the transferee up to £500 per employee</w:t>
      </w:r>
      <w:r w:rsidR="009C66DD" w:rsidRPr="003856FB">
        <w:t xml:space="preserve"> (Daniels, 2014). </w:t>
      </w:r>
    </w:p>
    <w:p w14:paraId="6272EC05" w14:textId="77777777" w:rsidR="00E20F79" w:rsidRPr="003856FB" w:rsidRDefault="00E20F79" w:rsidP="003856FB"/>
    <w:p w14:paraId="70508C05" w14:textId="62941C5B" w:rsidR="00BF3A7B" w:rsidRPr="00ED58BB" w:rsidRDefault="00CA147D" w:rsidP="003856FB">
      <w:r w:rsidRPr="003856FB">
        <w:t>In the event of a</w:t>
      </w:r>
      <w:r w:rsidR="007E3009" w:rsidRPr="003856FB">
        <w:t xml:space="preserve"> business transfer change</w:t>
      </w:r>
      <w:r w:rsidRPr="003856FB">
        <w:t>, employees assigned to the organised group providing the service will automatically transfer to the new employer under TUPE</w:t>
      </w:r>
      <w:r w:rsidR="008A4C50" w:rsidRPr="003856FB">
        <w:t xml:space="preserve"> (Gateley, 202</w:t>
      </w:r>
      <w:r w:rsidR="00636293" w:rsidRPr="003856FB">
        <w:t>2</w:t>
      </w:r>
      <w:r w:rsidR="008A4C50" w:rsidRPr="003856FB">
        <w:t xml:space="preserve">). </w:t>
      </w:r>
      <w:r w:rsidR="00045814" w:rsidRPr="003856FB">
        <w:t xml:space="preserve">Their employment terms and conditions, including salary, working hours, and other benefits, </w:t>
      </w:r>
      <w:r w:rsidR="00D80EE2" w:rsidRPr="003856FB">
        <w:t xml:space="preserve">will </w:t>
      </w:r>
      <w:r w:rsidR="00045814" w:rsidRPr="003856FB">
        <w:t>remain unchanged</w:t>
      </w:r>
      <w:r w:rsidR="00ED4099" w:rsidRPr="003856FB">
        <w:t xml:space="preserve"> (UK Gov, 2025). </w:t>
      </w:r>
      <w:r w:rsidR="008D53EF" w:rsidRPr="003856FB">
        <w:t xml:space="preserve">In alignment with this, their previous employment continuity length of service </w:t>
      </w:r>
      <w:r w:rsidR="00403DA2" w:rsidRPr="003856FB">
        <w:t xml:space="preserve">and associated rights such as redundancy and </w:t>
      </w:r>
      <w:r w:rsidR="005B012A" w:rsidRPr="003856FB">
        <w:t xml:space="preserve">unfair dismissal will still be maintained by the new employer. </w:t>
      </w:r>
      <w:r w:rsidR="00653DC5" w:rsidRPr="003856FB">
        <w:t>If the transfer was a primary cause for dismissal e</w:t>
      </w:r>
      <w:r w:rsidR="004E7736" w:rsidRPr="003856FB">
        <w:t>mployees will</w:t>
      </w:r>
      <w:r w:rsidR="00B9247D" w:rsidRPr="003856FB">
        <w:t xml:space="preserve"> automatically</w:t>
      </w:r>
      <w:r w:rsidR="004E7736" w:rsidRPr="003856FB">
        <w:t xml:space="preserve"> have the right to be protected against unfair dismissal </w:t>
      </w:r>
      <w:r w:rsidR="00B9247D" w:rsidRPr="003856FB">
        <w:t xml:space="preserve">in exception to </w:t>
      </w:r>
      <w:r w:rsidR="00354C2A" w:rsidRPr="003856FB">
        <w:t xml:space="preserve">organisational changes </w:t>
      </w:r>
      <w:r w:rsidR="0019215B" w:rsidRPr="003856FB">
        <w:t>in the workforce</w:t>
      </w:r>
      <w:r w:rsidR="001D3116" w:rsidRPr="003856FB">
        <w:t xml:space="preserve">, economical </w:t>
      </w:r>
      <w:r w:rsidR="00A27EF8" w:rsidRPr="003856FB">
        <w:t>concerns such as poor performance and technical concerns such as issues with processes or equipment within the organisation</w:t>
      </w:r>
      <w:r w:rsidR="00ED4099" w:rsidRPr="003856FB">
        <w:t xml:space="preserve"> (UK Gov, 2025).</w:t>
      </w:r>
      <w:r w:rsidR="0019215B" w:rsidRPr="003856FB">
        <w:t xml:space="preserve"> </w:t>
      </w:r>
      <w:r w:rsidR="00BB2CFF" w:rsidRPr="003856FB">
        <w:t xml:space="preserve">Failure to comply with TUPE regulations could result in the </w:t>
      </w:r>
      <w:r w:rsidR="00DD0F7C" w:rsidRPr="003856FB">
        <w:t>employe</w:t>
      </w:r>
      <w:r w:rsidR="00F4601B" w:rsidRPr="003856FB">
        <w:t xml:space="preserve">e </w:t>
      </w:r>
      <w:r w:rsidR="00A72682" w:rsidRPr="003856FB">
        <w:t>making an unfair discrimination claim against the new employer</w:t>
      </w:r>
      <w:r w:rsidR="00BF3A7B" w:rsidRPr="003856FB">
        <w:t xml:space="preserve"> (UK GOV, 2025). There </w:t>
      </w:r>
      <w:r w:rsidR="004A0A92" w:rsidRPr="003856FB">
        <w:t xml:space="preserve">are occasions positive </w:t>
      </w:r>
      <w:r w:rsidR="00A11DFB" w:rsidRPr="003856FB">
        <w:t xml:space="preserve">changes to </w:t>
      </w:r>
      <w:r w:rsidR="005B228E" w:rsidRPr="003856FB">
        <w:t>employees’</w:t>
      </w:r>
      <w:r w:rsidR="00A11DFB" w:rsidRPr="003856FB">
        <w:t xml:space="preserve"> terms and conditions can be made </w:t>
      </w:r>
      <w:r w:rsidR="00106624" w:rsidRPr="003856FB">
        <w:t xml:space="preserve">if the employee </w:t>
      </w:r>
      <w:r w:rsidR="00BF3A7B" w:rsidRPr="003856FB">
        <w:t>agrees</w:t>
      </w:r>
      <w:r w:rsidR="00106624" w:rsidRPr="003856FB">
        <w:t xml:space="preserve"> such as increasing holiday entitlement to match the existing allowance </w:t>
      </w:r>
      <w:r w:rsidR="008146FF" w:rsidRPr="003856FB">
        <w:t xml:space="preserve">to promote equality amongst the workforce (UK Gov, 2025). </w:t>
      </w:r>
      <w:r w:rsidR="002A3AED" w:rsidRPr="003856FB">
        <w:t xml:space="preserve">Employees who choose to resign </w:t>
      </w:r>
      <w:r w:rsidR="00686C08" w:rsidRPr="003856FB">
        <w:t>because of</w:t>
      </w:r>
      <w:r w:rsidR="002A3AED" w:rsidRPr="003856FB">
        <w:t xml:space="preserve"> the </w:t>
      </w:r>
      <w:r w:rsidR="005F2300" w:rsidRPr="003856FB">
        <w:t>transfer</w:t>
      </w:r>
      <w:r w:rsidR="002A3AED" w:rsidRPr="003856FB">
        <w:t xml:space="preserve"> will not be entitled to </w:t>
      </w:r>
      <w:r w:rsidR="005D6EE3" w:rsidRPr="003856FB">
        <w:t xml:space="preserve">claim unfair dismissal or </w:t>
      </w:r>
      <w:r w:rsidR="005D6EE3" w:rsidRPr="003856FB">
        <w:lastRenderedPageBreak/>
        <w:t xml:space="preserve">redundancy </w:t>
      </w:r>
      <w:r w:rsidR="005F2300" w:rsidRPr="003856FB">
        <w:t>pay, however no notice is required</w:t>
      </w:r>
      <w:r w:rsidR="00932C43" w:rsidRPr="003856FB">
        <w:t xml:space="preserve">, we would expect employees to inform </w:t>
      </w:r>
      <w:r w:rsidR="007F6B44" w:rsidRPr="003856FB">
        <w:t xml:space="preserve">the employer </w:t>
      </w:r>
      <w:r w:rsidR="00686C08" w:rsidRPr="003856FB">
        <w:t>and employment will end at time of the transfer.</w:t>
      </w:r>
      <w:r w:rsidR="00686C08">
        <w:rPr>
          <w:rFonts w:ascii="Segoe UI" w:hAnsi="Segoe UI" w:cs="Segoe UI"/>
          <w:color w:val="242424"/>
          <w:sz w:val="21"/>
          <w:szCs w:val="21"/>
          <w:shd w:val="clear" w:color="auto" w:fill="FAFAFA"/>
        </w:rPr>
        <w:t xml:space="preserve"> </w:t>
      </w:r>
    </w:p>
    <w:p w14:paraId="628D09AF" w14:textId="77777777" w:rsidR="00A27EF8" w:rsidRDefault="00A27EF8" w:rsidP="000866FB">
      <w:pPr>
        <w:spacing w:line="240" w:lineRule="auto"/>
        <w:rPr>
          <w:rFonts w:ascii="Segoe UI" w:hAnsi="Segoe UI" w:cs="Segoe UI"/>
          <w:color w:val="242424"/>
          <w:sz w:val="21"/>
          <w:szCs w:val="21"/>
          <w:shd w:val="clear" w:color="auto" w:fill="FAFAFA"/>
        </w:rPr>
      </w:pPr>
    </w:p>
    <w:p w14:paraId="14518888" w14:textId="77777777" w:rsidR="00B21926" w:rsidRPr="00922731" w:rsidRDefault="00B21926" w:rsidP="000866FB">
      <w:pPr>
        <w:spacing w:line="240" w:lineRule="auto"/>
        <w:rPr>
          <w:rFonts w:ascii="Trebuchet MS" w:hAnsi="Trebuchet MS"/>
          <w:b/>
          <w:bCs/>
        </w:rPr>
      </w:pPr>
    </w:p>
    <w:p w14:paraId="04529856" w14:textId="77777777" w:rsidR="000866FB" w:rsidRDefault="000866FB" w:rsidP="000866FB">
      <w:pPr>
        <w:spacing w:line="240" w:lineRule="auto"/>
        <w:rPr>
          <w:rFonts w:ascii="Trebuchet MS" w:hAnsi="Trebuchet MS"/>
          <w:b/>
          <w:bCs/>
        </w:rPr>
      </w:pPr>
    </w:p>
    <w:p w14:paraId="3B14E829" w14:textId="77777777" w:rsidR="009C66DD" w:rsidRDefault="009C66DD" w:rsidP="000866FB">
      <w:pPr>
        <w:spacing w:line="240" w:lineRule="auto"/>
        <w:rPr>
          <w:rFonts w:ascii="Trebuchet MS" w:hAnsi="Trebuchet MS"/>
          <w:b/>
          <w:bCs/>
        </w:rPr>
      </w:pPr>
    </w:p>
    <w:p w14:paraId="2D922AAD" w14:textId="77777777" w:rsidR="009C66DD" w:rsidRDefault="009C66DD" w:rsidP="000866FB">
      <w:pPr>
        <w:spacing w:line="240" w:lineRule="auto"/>
        <w:rPr>
          <w:rFonts w:ascii="Trebuchet MS" w:hAnsi="Trebuchet MS"/>
          <w:b/>
          <w:bCs/>
        </w:rPr>
      </w:pPr>
    </w:p>
    <w:p w14:paraId="0747B4D4"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8 (AC 4.1)</w:t>
      </w:r>
    </w:p>
    <w:p w14:paraId="64F0E6AE" w14:textId="77777777" w:rsidR="000866FB" w:rsidRPr="00922731" w:rsidRDefault="000866FB" w:rsidP="000866FB">
      <w:pPr>
        <w:spacing w:line="240" w:lineRule="auto"/>
        <w:rPr>
          <w:rFonts w:ascii="Trebuchet MS" w:hAnsi="Trebuchet MS"/>
          <w:b/>
          <w:bCs/>
        </w:rPr>
      </w:pPr>
    </w:p>
    <w:p w14:paraId="08CE8DDC" w14:textId="77777777" w:rsidR="000866FB" w:rsidRPr="00922731" w:rsidRDefault="000866FB" w:rsidP="000866FB">
      <w:pPr>
        <w:spacing w:line="240" w:lineRule="auto"/>
        <w:rPr>
          <w:rFonts w:ascii="Trebuchet MS" w:hAnsi="Trebuchet MS"/>
          <w:b/>
          <w:bCs/>
        </w:rPr>
      </w:pPr>
      <w:r w:rsidRPr="00922731">
        <w:rPr>
          <w:rFonts w:ascii="Trebuchet MS" w:hAnsi="Trebuchet MS"/>
        </w:rPr>
        <w:t xml:space="preserve">You are asked to </w:t>
      </w:r>
      <w:r>
        <w:rPr>
          <w:rFonts w:ascii="Trebuchet MS" w:hAnsi="Trebuchet MS"/>
        </w:rPr>
        <w:t>explain the</w:t>
      </w:r>
      <w:r w:rsidRPr="00922731">
        <w:rPr>
          <w:rFonts w:ascii="Trebuchet MS" w:hAnsi="Trebuchet MS"/>
        </w:rPr>
        <w:t xml:space="preserve"> regulatory requirements relating to the calculation of holiday pay</w:t>
      </w:r>
      <w:r>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7724F2EE" w14:textId="77777777" w:rsidR="000866FB" w:rsidRDefault="000866FB" w:rsidP="000866FB">
      <w:pPr>
        <w:spacing w:line="240" w:lineRule="auto"/>
        <w:rPr>
          <w:rFonts w:ascii="Trebuchet MS" w:hAnsi="Trebuchet MS"/>
          <w:b/>
          <w:bCs/>
        </w:rPr>
      </w:pPr>
    </w:p>
    <w:p w14:paraId="6432B291" w14:textId="7E11D104" w:rsidR="008201B8" w:rsidRPr="009949F7" w:rsidRDefault="00366213" w:rsidP="009949F7">
      <w:r w:rsidRPr="009949F7">
        <w:t>Statutory holiday entitlement applies to all workers covered by the Working Time Regulations 1998</w:t>
      </w:r>
      <w:r w:rsidR="008E54C3" w:rsidRPr="009949F7">
        <w:t xml:space="preserve"> (CIPD, 2025)</w:t>
      </w:r>
      <w:r w:rsidRPr="009949F7">
        <w:t>. These regulations include agency workers, irregular hours and part-year workers.</w:t>
      </w:r>
      <w:r w:rsidR="00CC44C2" w:rsidRPr="009949F7">
        <w:t xml:space="preserve"> </w:t>
      </w:r>
      <w:r w:rsidR="00C04AB8" w:rsidRPr="009949F7">
        <w:t xml:space="preserve">Bank </w:t>
      </w:r>
      <w:r w:rsidR="00CC44C2" w:rsidRPr="009949F7">
        <w:t>workers are entitled to annual leave pay for the duration of any engagement in the same way as any other worker</w:t>
      </w:r>
      <w:r w:rsidR="008E54C3" w:rsidRPr="009949F7">
        <w:t xml:space="preserve"> (CIPD, 2025).</w:t>
      </w:r>
      <w:r w:rsidR="00F6564D" w:rsidRPr="009949F7">
        <w:t xml:space="preserve"> </w:t>
      </w:r>
      <w:r w:rsidR="00C3374B" w:rsidRPr="009949F7">
        <w:t>The right to the full 28 days of annual leave assumes the individual is a five day a week full-time employee</w:t>
      </w:r>
      <w:r w:rsidR="006166FA" w:rsidRPr="009949F7">
        <w:t xml:space="preserve"> however it is important to </w:t>
      </w:r>
      <w:r w:rsidR="002360F9" w:rsidRPr="009949F7">
        <w:t xml:space="preserve">inform you this will not apply to every worker as the contractual hours will </w:t>
      </w:r>
      <w:r w:rsidR="00C431E7" w:rsidRPr="009949F7">
        <w:t>determine the leave allocation</w:t>
      </w:r>
      <w:r w:rsidR="008E54C3" w:rsidRPr="009949F7">
        <w:t xml:space="preserve"> (CIPD, 2025).</w:t>
      </w:r>
      <w:r w:rsidR="00ED10DB" w:rsidRPr="009949F7">
        <w:t xml:space="preserve"> </w:t>
      </w:r>
      <w:r w:rsidR="008201B8" w:rsidRPr="009949F7">
        <w:t>Other factors which will influence annual leave entitlement within the NHS include length of service</w:t>
      </w:r>
      <w:r w:rsidR="001A6913" w:rsidRPr="009949F7">
        <w:t xml:space="preserve"> as the allowance increases </w:t>
      </w:r>
      <w:r w:rsidR="00CB358D" w:rsidRPr="009949F7">
        <w:t>between 5-10 years</w:t>
      </w:r>
      <w:r w:rsidR="005C627B" w:rsidRPr="009949F7">
        <w:t xml:space="preserve"> (Public sector pay, 2024).</w:t>
      </w:r>
      <w:r w:rsidR="00CF410C" w:rsidRPr="009949F7">
        <w:t xml:space="preserve"> The NHS also accounts for paid public holiday entitlement</w:t>
      </w:r>
      <w:r w:rsidR="004978BB" w:rsidRPr="009949F7">
        <w:t xml:space="preserve"> however for some organisations </w:t>
      </w:r>
      <w:r w:rsidR="00B8657B" w:rsidRPr="009949F7">
        <w:t xml:space="preserve">it is not required by law to include them as paid leave. </w:t>
      </w:r>
    </w:p>
    <w:p w14:paraId="03B45387" w14:textId="77777777" w:rsidR="008201B8" w:rsidRPr="009949F7" w:rsidRDefault="008201B8" w:rsidP="009949F7"/>
    <w:p w14:paraId="5BBD5133" w14:textId="01E88861" w:rsidR="00C431E7" w:rsidRPr="009949F7" w:rsidRDefault="00ED10DB" w:rsidP="009949F7">
      <w:r w:rsidRPr="009949F7">
        <w:t>T</w:t>
      </w:r>
      <w:r w:rsidR="008C7C83" w:rsidRPr="009949F7">
        <w:t xml:space="preserve">he statutory </w:t>
      </w:r>
      <w:r w:rsidR="000022F9" w:rsidRPr="009949F7">
        <w:t>Entitlement</w:t>
      </w:r>
      <w:r w:rsidR="00EF503D" w:rsidRPr="009949F7">
        <w:t xml:space="preserve"> </w:t>
      </w:r>
      <w:r w:rsidR="000022F9" w:rsidRPr="009949F7">
        <w:t>workers</w:t>
      </w:r>
      <w:r w:rsidR="00EE226C" w:rsidRPr="009949F7">
        <w:t xml:space="preserve"> employed regularly but on a casual basis </w:t>
      </w:r>
      <w:r w:rsidR="000022F9" w:rsidRPr="009949F7">
        <w:t>are entitled to a minimum of 5.6 weeks of paid holiday per year</w:t>
      </w:r>
      <w:r w:rsidR="007C639D" w:rsidRPr="009949F7">
        <w:t xml:space="preserve"> if they’re leave </w:t>
      </w:r>
      <w:r w:rsidR="00541B87" w:rsidRPr="009949F7">
        <w:t>begins from 1St April 2024</w:t>
      </w:r>
      <w:r w:rsidR="00A43696" w:rsidRPr="009949F7">
        <w:t>, therefore for workers who work variable hours</w:t>
      </w:r>
      <w:r w:rsidR="00EF503D" w:rsidRPr="009949F7">
        <w:t>, holiday pay is calculated based on their average weekly earnings over a reference period</w:t>
      </w:r>
      <w:r w:rsidR="00B71019" w:rsidRPr="009949F7">
        <w:t xml:space="preserve"> normally 52 weeks</w:t>
      </w:r>
      <w:r w:rsidR="002448B0" w:rsidRPr="009949F7">
        <w:t xml:space="preserve"> </w:t>
      </w:r>
      <w:r w:rsidR="00ED3DF6">
        <w:t xml:space="preserve">and should </w:t>
      </w:r>
      <w:r w:rsidR="007557D1">
        <w:t>be calculated from the last full week that they worked.</w:t>
      </w:r>
      <w:r w:rsidR="007557D1" w:rsidRPr="009949F7">
        <w:t xml:space="preserve"> </w:t>
      </w:r>
      <w:r w:rsidR="002448B0" w:rsidRPr="009949F7">
        <w:t>(ACAS, 2025).</w:t>
      </w:r>
      <w:r w:rsidR="00A43696" w:rsidRPr="009949F7">
        <w:t xml:space="preserve"> </w:t>
      </w:r>
      <w:r w:rsidR="00B20CFB" w:rsidRPr="009949F7">
        <w:t xml:space="preserve">The holiday pay will also account for overtime, and </w:t>
      </w:r>
      <w:r w:rsidR="002D6A5F" w:rsidRPr="009949F7">
        <w:t xml:space="preserve">shift </w:t>
      </w:r>
      <w:r w:rsidR="00B20CFB" w:rsidRPr="009949F7">
        <w:t>enhancement pay</w:t>
      </w:r>
      <w:r w:rsidR="002D6A5F" w:rsidRPr="009949F7">
        <w:t xml:space="preserve"> to ensure workers are not financially disadvantaged</w:t>
      </w:r>
      <w:r w:rsidR="00B71019" w:rsidRPr="009949F7">
        <w:t xml:space="preserve"> when taking leave</w:t>
      </w:r>
      <w:r w:rsidR="002448B0" w:rsidRPr="009949F7">
        <w:t xml:space="preserve"> (ACAS, 2025).</w:t>
      </w:r>
      <w:r w:rsidR="002D6A5F" w:rsidRPr="009949F7">
        <w:t xml:space="preserve"> </w:t>
      </w:r>
      <w:r w:rsidR="006708D3" w:rsidRPr="009949F7">
        <w:t xml:space="preserve">For awareness some employers can </w:t>
      </w:r>
      <w:r w:rsidR="001B39DE" w:rsidRPr="009949F7">
        <w:t xml:space="preserve">use </w:t>
      </w:r>
      <w:r w:rsidR="0024364E" w:rsidRPr="009949F7">
        <w:t xml:space="preserve">rolled-up holiday pay </w:t>
      </w:r>
      <w:r w:rsidR="00021394" w:rsidRPr="009949F7">
        <w:t xml:space="preserve">which </w:t>
      </w:r>
      <w:r w:rsidR="0024364E" w:rsidRPr="009949F7">
        <w:t xml:space="preserve">means employees do not receive pay during their holiday, as their holiday pay is distributed throughout the year by adding an extra amount to their regular </w:t>
      </w:r>
      <w:r w:rsidR="009E6363" w:rsidRPr="009949F7">
        <w:t>pay, but this does not apply to irregular or part time workers.</w:t>
      </w:r>
      <w:r w:rsidR="00667B28" w:rsidRPr="009949F7">
        <w:t xml:space="preserve"> However</w:t>
      </w:r>
      <w:r w:rsidR="009E6363" w:rsidRPr="009949F7">
        <w:t>,</w:t>
      </w:r>
      <w:r w:rsidR="00667B28" w:rsidRPr="009949F7">
        <w:t xml:space="preserve"> this can influence </w:t>
      </w:r>
      <w:r w:rsidR="006925A7" w:rsidRPr="009949F7">
        <w:t>workers not to take their holiday entitlement and can have a negative effect on their health and well-being</w:t>
      </w:r>
      <w:r w:rsidR="008E54C3" w:rsidRPr="009949F7">
        <w:t xml:space="preserve"> (ACAS, 2025).</w:t>
      </w:r>
    </w:p>
    <w:p w14:paraId="44BF081B" w14:textId="77777777" w:rsidR="000103B3" w:rsidRPr="009949F7" w:rsidRDefault="000103B3" w:rsidP="009949F7"/>
    <w:p w14:paraId="6B8E3D99" w14:textId="77777777" w:rsidR="000103B3" w:rsidRPr="009949F7" w:rsidRDefault="000103B3" w:rsidP="009949F7"/>
    <w:p w14:paraId="5F8895A3" w14:textId="11CEE6E8" w:rsidR="000866FB" w:rsidRPr="009949F7" w:rsidRDefault="00F94030" w:rsidP="009949F7">
      <w:r w:rsidRPr="009949F7">
        <w:t xml:space="preserve">As a new employee starting after April 2024, part-time workers are entitled to accrue holidays while on sick leave or statutory leave </w:t>
      </w:r>
      <w:r w:rsidR="009949F7" w:rsidRPr="009949F7">
        <w:t xml:space="preserve">for example </w:t>
      </w:r>
      <w:r w:rsidRPr="009949F7">
        <w:t>maternity, paternity, or carers leave</w:t>
      </w:r>
      <w:r w:rsidR="009949F7" w:rsidRPr="009949F7">
        <w:t xml:space="preserve"> (ACAS, 2024b). </w:t>
      </w:r>
      <w:r w:rsidRPr="009949F7">
        <w:t>To ensure fairness, this allowance is calculated based on the average hours worked during a "relevant period" and applying the 12.07% rate</w:t>
      </w:r>
      <w:r w:rsidR="009949F7" w:rsidRPr="009949F7">
        <w:t xml:space="preserve"> (ACAS, 2024b). </w:t>
      </w:r>
      <w:r w:rsidRPr="009949F7">
        <w:t>Part-time workers on long-term sick leave can carry over up to 5.6 weeks of accrued statutory holiday, which must be taken within 18 months from the end of the leave year in which it was accrued</w:t>
      </w:r>
      <w:r w:rsidR="009949F7" w:rsidRPr="009949F7">
        <w:t xml:space="preserve"> (ACAS, 2024b). </w:t>
      </w:r>
    </w:p>
    <w:p w14:paraId="136D365F" w14:textId="77777777" w:rsidR="00AC1688" w:rsidRDefault="00AC1688" w:rsidP="000866FB">
      <w:pPr>
        <w:spacing w:line="240" w:lineRule="auto"/>
        <w:rPr>
          <w:rFonts w:ascii="Trebuchet MS" w:hAnsi="Trebuchet MS"/>
          <w:b/>
          <w:bCs/>
        </w:rPr>
      </w:pPr>
    </w:p>
    <w:p w14:paraId="734FEE6C" w14:textId="77777777" w:rsidR="00AC1688" w:rsidRDefault="00AC1688" w:rsidP="000866FB">
      <w:pPr>
        <w:spacing w:line="240" w:lineRule="auto"/>
        <w:rPr>
          <w:rFonts w:ascii="Trebuchet MS" w:hAnsi="Trebuchet MS"/>
          <w:b/>
          <w:bCs/>
        </w:rPr>
      </w:pPr>
    </w:p>
    <w:p w14:paraId="2A37F72D" w14:textId="77777777" w:rsidR="009949F7" w:rsidRDefault="009949F7" w:rsidP="000866FB">
      <w:pPr>
        <w:spacing w:line="240" w:lineRule="auto"/>
        <w:rPr>
          <w:rFonts w:ascii="Trebuchet MS" w:hAnsi="Trebuchet MS"/>
          <w:b/>
          <w:bCs/>
        </w:rPr>
      </w:pPr>
    </w:p>
    <w:p w14:paraId="15E16DC0" w14:textId="7D1C1725"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lastRenderedPageBreak/>
        <w:t>Email 9 (AC 4.2)</w:t>
      </w:r>
    </w:p>
    <w:p w14:paraId="043C28EF" w14:textId="77777777" w:rsidR="000866FB" w:rsidRPr="00922731" w:rsidRDefault="000866FB" w:rsidP="000866FB">
      <w:pPr>
        <w:spacing w:line="240" w:lineRule="auto"/>
        <w:rPr>
          <w:rFonts w:ascii="Trebuchet MS" w:hAnsi="Trebuchet MS"/>
          <w:b/>
          <w:bCs/>
        </w:rPr>
      </w:pPr>
    </w:p>
    <w:p w14:paraId="12FB058F" w14:textId="77777777" w:rsidR="000866FB" w:rsidRDefault="000866FB" w:rsidP="000866FB">
      <w:pPr>
        <w:spacing w:line="240" w:lineRule="auto"/>
        <w:rPr>
          <w:rFonts w:ascii="Trebuchet MS" w:hAnsi="Trebuchet M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A80083B" w14:textId="77777777" w:rsidR="00EA7504" w:rsidRDefault="00EA7504" w:rsidP="000866FB">
      <w:pPr>
        <w:spacing w:line="240" w:lineRule="auto"/>
        <w:rPr>
          <w:rFonts w:ascii="Trebuchet MS" w:hAnsi="Trebuchet MS"/>
        </w:rPr>
      </w:pPr>
    </w:p>
    <w:p w14:paraId="4829E084" w14:textId="098105F0" w:rsidR="004A0FCC" w:rsidRPr="004C56F6" w:rsidRDefault="004A0FCC" w:rsidP="004C56F6">
      <w:r w:rsidRPr="004C56F6">
        <w:t>To help inform your decision-making, here are some key differences between maternity leave and shared parental leave. Maternity leave is typically available to biological mothers who have given birth. In contrast, shared parental leave is accessible to both parents, regardless of gender, allowing fathers, same-sex partners, and adoptive parents to take time off work to care for their child</w:t>
      </w:r>
      <w:r w:rsidR="0009421A">
        <w:t xml:space="preserve"> (Ayling and Suff, 2025).</w:t>
      </w:r>
      <w:r w:rsidR="00F86409">
        <w:t xml:space="preserve"> </w:t>
      </w:r>
      <w:r w:rsidRPr="004C56F6">
        <w:t>Shared parental leave offers greater flexibility than maternity leave, as it enables parents to decide how to divide the leave between them, promoting a more balanced sharing of caregiving responsibilities. However, maternity leave generally provides more financial support than shared parental leave. In many countries, the pay rate for maternity leave is higher, making it more financially viable for mothers to take time off work to care for their child. This financial disparity can influence which parent decides to take leave</w:t>
      </w:r>
      <w:r w:rsidR="00D122F4">
        <w:t xml:space="preserve"> (UK Gov no date). </w:t>
      </w:r>
    </w:p>
    <w:p w14:paraId="04E05096" w14:textId="77777777" w:rsidR="006B191A" w:rsidRPr="004C56F6" w:rsidRDefault="006B191A" w:rsidP="004C56F6"/>
    <w:p w14:paraId="72FB2EA6" w14:textId="77777777" w:rsidR="00EA7504" w:rsidRPr="004C56F6" w:rsidRDefault="00EA7504" w:rsidP="004C56F6"/>
    <w:p w14:paraId="43110349" w14:textId="2B263B5F" w:rsidR="000866FB" w:rsidRPr="004C56F6" w:rsidRDefault="00816B3D" w:rsidP="004C56F6">
      <w:r w:rsidRPr="004C56F6">
        <w:t xml:space="preserve">Both maternity leave and shared parental leave can affect parents' careers. However, maternity leave is often viewed as more detrimental to a mother's career due to societal expectations of mothers as primary caregivers, leading to workplace </w:t>
      </w:r>
      <w:r w:rsidR="00234B27" w:rsidRPr="004C56F6">
        <w:t>biases</w:t>
      </w:r>
      <w:r w:rsidR="005A5049">
        <w:t xml:space="preserve"> (Maternity Action, 2025)</w:t>
      </w:r>
      <w:r w:rsidR="00234B27" w:rsidRPr="004C56F6">
        <w:t>.</w:t>
      </w:r>
      <w:r w:rsidR="007F10EC" w:rsidRPr="004C56F6">
        <w:t xml:space="preserve"> Employer support for maternity leave and shared parental leave can differ</w:t>
      </w:r>
      <w:r w:rsidR="005515A3">
        <w:t>, however both</w:t>
      </w:r>
      <w:r w:rsidR="00CA11DB">
        <w:rPr>
          <w:rFonts w:cs="Arial"/>
          <w:color w:val="202020"/>
          <w:sz w:val="27"/>
          <w:szCs w:val="27"/>
          <w:shd w:val="clear" w:color="auto" w:fill="FFFFFF"/>
        </w:rPr>
        <w:t xml:space="preserve"> </w:t>
      </w:r>
      <w:r w:rsidR="00CA11DB" w:rsidRPr="005515A3">
        <w:t>mother and partner must have worked for their employers continuously for at least 26 weeks up to the 15th week before the expected week of childbirth</w:t>
      </w:r>
      <w:r w:rsidR="005515A3">
        <w:t xml:space="preserve"> (Ayling and Suff, 2025). </w:t>
      </w:r>
      <w:r w:rsidR="005515A3">
        <w:rPr>
          <w:rFonts w:cs="Arial"/>
          <w:color w:val="202020"/>
          <w:sz w:val="27"/>
          <w:szCs w:val="27"/>
          <w:shd w:val="clear" w:color="auto" w:fill="FFFFFF"/>
        </w:rPr>
        <w:t xml:space="preserve"> </w:t>
      </w:r>
    </w:p>
    <w:p w14:paraId="22F6AE4B" w14:textId="77777777" w:rsidR="00924F26" w:rsidRPr="004C56F6" w:rsidRDefault="00924F26" w:rsidP="004C56F6"/>
    <w:p w14:paraId="627F3D71" w14:textId="2A8D4C0A" w:rsidR="009D6A3A" w:rsidRPr="004C56F6" w:rsidRDefault="009D6A3A" w:rsidP="004C56F6">
      <w:r w:rsidRPr="004C56F6">
        <w:t>To help inform your decision</w:t>
      </w:r>
      <w:r w:rsidR="000B5F8C">
        <w:t xml:space="preserve"> further</w:t>
      </w:r>
      <w:r w:rsidRPr="004C56F6">
        <w:t>, here are some legal considerations regarding your rights. All employees are entitled to 52 weeks of maternity leave with the right to return to work. During this period, you retain your normal contractual terms and conditions, except for your salary</w:t>
      </w:r>
      <w:r w:rsidR="00A25161">
        <w:t xml:space="preserve"> (Maternity Action, 2025). </w:t>
      </w:r>
      <w:r w:rsidRPr="004C56F6">
        <w:t>You are entitled to 39 weeks of maternity pay if conditions are met. Statutory maternity pay is 90% of your average earnings for the first 6 weeks, followed by a standard rate of £187.18 per week (Apr-25-26) or 90% of your average earnings if lower. The last 13 weeks of maternity leave are unpaid if you choose to take the full 12 months</w:t>
      </w:r>
      <w:r w:rsidR="00A25161">
        <w:t xml:space="preserve"> (Maternity Action, 2025).</w:t>
      </w:r>
    </w:p>
    <w:p w14:paraId="5579D23A" w14:textId="77777777" w:rsidR="00563F21" w:rsidRPr="004C56F6" w:rsidRDefault="00563F21" w:rsidP="004C56F6"/>
    <w:p w14:paraId="56EA59C4" w14:textId="114AD800" w:rsidR="00C1394A" w:rsidRPr="004C56F6" w:rsidRDefault="00147924" w:rsidP="004C56F6">
      <w:r w:rsidRPr="004C56F6">
        <w:t xml:space="preserve">For adoption leave entitlement, Ayling and Suff (2025) state from </w:t>
      </w:r>
      <w:r w:rsidR="00C1394A" w:rsidRPr="004C56F6">
        <w:t>April 2015 statutory adoption leave and pay in the UK have been largely aligned with statutory maternity leave and pay, offering up to 52 weeks of adoption leave.</w:t>
      </w:r>
      <w:r w:rsidR="001D0A5D" w:rsidRPr="004C56F6">
        <w:t xml:space="preserve"> </w:t>
      </w:r>
      <w:r w:rsidR="00C1394A" w:rsidRPr="004C56F6">
        <w:t>Starting from 6 April 2024, parents on adoption leave will be given priority for redeployment offers in the event of redundancy, for a period of 18 months following the child's placement date or entry into Great Britain</w:t>
      </w:r>
      <w:r w:rsidR="00D122F4">
        <w:t xml:space="preserve"> (UK Gov no date).</w:t>
      </w:r>
    </w:p>
    <w:p w14:paraId="1C956F20" w14:textId="77777777" w:rsidR="00924F26" w:rsidRDefault="00924F26" w:rsidP="000866FB">
      <w:pPr>
        <w:spacing w:line="240" w:lineRule="auto"/>
        <w:rPr>
          <w:rFonts w:ascii="Trebuchet MS" w:hAnsi="Trebuchet MS"/>
          <w:b/>
          <w:bCs/>
        </w:rPr>
      </w:pPr>
    </w:p>
    <w:p w14:paraId="138F3F9F" w14:textId="77777777" w:rsidR="0009421A" w:rsidRDefault="0009421A" w:rsidP="000866FB">
      <w:pPr>
        <w:spacing w:line="240" w:lineRule="auto"/>
        <w:rPr>
          <w:rFonts w:ascii="Trebuchet MS" w:hAnsi="Trebuchet MS"/>
          <w:b/>
          <w:bCs/>
        </w:rPr>
      </w:pPr>
    </w:p>
    <w:p w14:paraId="7FEDA883" w14:textId="77777777" w:rsidR="0009421A" w:rsidRDefault="0009421A" w:rsidP="000866FB">
      <w:pPr>
        <w:spacing w:line="240" w:lineRule="auto"/>
        <w:rPr>
          <w:rFonts w:ascii="Trebuchet MS" w:hAnsi="Trebuchet MS"/>
          <w:b/>
          <w:bCs/>
        </w:rPr>
      </w:pPr>
    </w:p>
    <w:p w14:paraId="0BAC6C95" w14:textId="77777777" w:rsidR="0009421A" w:rsidRDefault="0009421A" w:rsidP="000866FB">
      <w:pPr>
        <w:spacing w:line="240" w:lineRule="auto"/>
        <w:rPr>
          <w:rFonts w:ascii="Trebuchet MS" w:hAnsi="Trebuchet MS"/>
          <w:b/>
          <w:bCs/>
        </w:rPr>
      </w:pPr>
    </w:p>
    <w:p w14:paraId="372C1EA4" w14:textId="77777777" w:rsidR="0009421A" w:rsidRDefault="0009421A" w:rsidP="000866FB">
      <w:pPr>
        <w:spacing w:line="240" w:lineRule="auto"/>
        <w:rPr>
          <w:rFonts w:ascii="Trebuchet MS" w:hAnsi="Trebuchet MS"/>
          <w:b/>
          <w:bCs/>
        </w:rPr>
      </w:pPr>
    </w:p>
    <w:p w14:paraId="6D536EDA" w14:textId="77777777" w:rsidR="000866FB" w:rsidRPr="00A3238A" w:rsidRDefault="000866FB" w:rsidP="000866FB">
      <w:pPr>
        <w:spacing w:line="240" w:lineRule="auto"/>
        <w:rPr>
          <w:rFonts w:ascii="Trebuchet MS" w:hAnsi="Trebuchet MS" w:cstheme="minorHAnsi"/>
          <w:b/>
          <w:bCs/>
          <w:color w:val="833C0B" w:themeColor="accent2" w:themeShade="80"/>
          <w:sz w:val="24"/>
        </w:rPr>
      </w:pPr>
      <w:r w:rsidRPr="00A3238A">
        <w:rPr>
          <w:rFonts w:ascii="Trebuchet MS" w:hAnsi="Trebuchet MS" w:cstheme="minorHAnsi"/>
          <w:b/>
          <w:bCs/>
          <w:color w:val="833C0B" w:themeColor="accent2" w:themeShade="80"/>
          <w:sz w:val="24"/>
        </w:rPr>
        <w:t>Email 10 (AC 4.3)</w:t>
      </w:r>
    </w:p>
    <w:p w14:paraId="34D09D81" w14:textId="77777777" w:rsidR="000866FB" w:rsidRPr="00922731" w:rsidRDefault="000866FB" w:rsidP="000866FB">
      <w:pPr>
        <w:spacing w:line="240" w:lineRule="auto"/>
        <w:rPr>
          <w:rFonts w:ascii="Trebuchet MS" w:hAnsi="Trebuchet MS"/>
          <w:b/>
          <w:bCs/>
        </w:rPr>
      </w:pPr>
    </w:p>
    <w:p w14:paraId="42371E87" w14:textId="77777777" w:rsidR="000866FB" w:rsidRPr="00922731" w:rsidRDefault="000866FB" w:rsidP="000866FB">
      <w:pPr>
        <w:pStyle w:val="Listparag"/>
        <w:spacing w:after="0" w:line="240" w:lineRule="auto"/>
        <w:rPr>
          <w:rFonts w:ascii="Trebuchet MS" w:hAnsi="Trebuchet MS"/>
        </w:rPr>
      </w:pPr>
      <w:r w:rsidRPr="00922731">
        <w:rPr>
          <w:rFonts w:ascii="Trebuchet MS" w:hAnsi="Trebuchet MS"/>
        </w:rPr>
        <w:lastRenderedPageBreak/>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Pr>
          <w:rFonts w:ascii="Trebuchet MS" w:hAnsi="Trebuchet MS"/>
        </w:rPr>
        <w:t xml:space="preserve"> Include an explanation of employment rights in relation to flexible working in your answer.</w:t>
      </w:r>
    </w:p>
    <w:p w14:paraId="00F06245" w14:textId="77777777" w:rsidR="006E53D2" w:rsidRDefault="006E53D2"/>
    <w:p w14:paraId="5ED3C224" w14:textId="77777777" w:rsidR="009F61A0" w:rsidRDefault="009F61A0">
      <w:pPr>
        <w:rPr>
          <w:rFonts w:ascii="Segoe UI" w:hAnsi="Segoe UI" w:cs="Segoe UI"/>
          <w:color w:val="242424"/>
          <w:sz w:val="21"/>
          <w:szCs w:val="21"/>
          <w:shd w:val="clear" w:color="auto" w:fill="FAFAFA"/>
        </w:rPr>
      </w:pPr>
    </w:p>
    <w:p w14:paraId="61BA3129" w14:textId="28973AFD" w:rsidR="009C347E" w:rsidRPr="002B5D9E" w:rsidRDefault="00B331C2" w:rsidP="002B5D9E">
      <w:r>
        <w:t>From April 6th</w:t>
      </w:r>
      <w:r w:rsidR="00A97EE2">
        <w:t>, 2024,</w:t>
      </w:r>
      <w:r>
        <w:t xml:space="preserve"> employees now </w:t>
      </w:r>
      <w:r w:rsidR="00304E97">
        <w:t>can</w:t>
      </w:r>
      <w:r>
        <w:t xml:space="preserve"> request </w:t>
      </w:r>
      <w:r w:rsidR="006D7957">
        <w:t xml:space="preserve">flexible working from day 1 of </w:t>
      </w:r>
      <w:r w:rsidR="00407292">
        <w:t>employment, however</w:t>
      </w:r>
      <w:r w:rsidR="006D7957">
        <w:t xml:space="preserve"> the </w:t>
      </w:r>
      <w:r w:rsidR="00853E53">
        <w:t xml:space="preserve">Employment Rights Bill will make flexible working a default day-one right </w:t>
      </w:r>
      <w:r w:rsidR="006D7957">
        <w:t>when this is appropriate to support</w:t>
      </w:r>
      <w:r w:rsidR="00A97EE2">
        <w:t xml:space="preserve"> (</w:t>
      </w:r>
      <w:r w:rsidR="00831593">
        <w:t>McCartney</w:t>
      </w:r>
      <w:r w:rsidR="00A97EE2">
        <w:t>, 2023).</w:t>
      </w:r>
      <w:r w:rsidR="00FF5FDE">
        <w:t xml:space="preserve"> </w:t>
      </w:r>
      <w:r w:rsidR="00116A4C" w:rsidRPr="002B5D9E">
        <w:t>To be eligible to make a flexible working request, a person must: (a) be an employee; and (b) not have made more than one flexible working request in the last 12 months</w:t>
      </w:r>
      <w:r w:rsidR="00A97EE2">
        <w:t xml:space="preserve"> (</w:t>
      </w:r>
      <w:r w:rsidR="00831593" w:rsidRPr="009B48F6">
        <w:t>McCartney</w:t>
      </w:r>
      <w:r w:rsidR="00A97EE2">
        <w:t>, 2023).</w:t>
      </w:r>
      <w:r w:rsidR="00407292" w:rsidRPr="002B5D9E">
        <w:t xml:space="preserve"> Employees can make two requests within a </w:t>
      </w:r>
      <w:r w:rsidR="009C347E" w:rsidRPr="002B5D9E">
        <w:t>12-month</w:t>
      </w:r>
      <w:r w:rsidR="00407292" w:rsidRPr="002B5D9E">
        <w:t xml:space="preserve"> period, </w:t>
      </w:r>
      <w:r w:rsidR="009E6F74" w:rsidRPr="002B5D9E">
        <w:t>without the need to state how the change in working hours can impact the productivity of the employer</w:t>
      </w:r>
      <w:r w:rsidR="00A97EE2">
        <w:t xml:space="preserve"> (</w:t>
      </w:r>
      <w:r w:rsidR="00831593" w:rsidRPr="009B48F6">
        <w:t>McCartney</w:t>
      </w:r>
      <w:r w:rsidR="00A97EE2">
        <w:t>, 2023).</w:t>
      </w:r>
      <w:r w:rsidR="00137A62" w:rsidRPr="002B5D9E">
        <w:t xml:space="preserve"> Once this request has been submitted, informally or formally an employer will have 2 months to consider the outcome but will need to ensure </w:t>
      </w:r>
      <w:r w:rsidR="009C347E" w:rsidRPr="002B5D9E">
        <w:t>this is not refused without consultation with the employee</w:t>
      </w:r>
      <w:r w:rsidR="00A97EE2">
        <w:t xml:space="preserve"> (</w:t>
      </w:r>
      <w:r w:rsidR="00831593" w:rsidRPr="009B48F6">
        <w:t>McCartney</w:t>
      </w:r>
      <w:r w:rsidR="00A97EE2">
        <w:t>, 2023).</w:t>
      </w:r>
    </w:p>
    <w:p w14:paraId="086AA00F" w14:textId="77777777" w:rsidR="009C347E" w:rsidRPr="002B5D9E" w:rsidRDefault="009C347E" w:rsidP="002B5D9E"/>
    <w:p w14:paraId="1290A45B" w14:textId="7B16E76E" w:rsidR="00382EEE" w:rsidRDefault="00E7789C" w:rsidP="002B5D9E">
      <w:r w:rsidRPr="002B5D9E">
        <w:t xml:space="preserve"> </w:t>
      </w:r>
      <w:r w:rsidR="005D1800" w:rsidRPr="002B5D9E">
        <w:t xml:space="preserve">The </w:t>
      </w:r>
      <w:r w:rsidR="00863B60" w:rsidRPr="002B5D9E">
        <w:t xml:space="preserve">ACAS </w:t>
      </w:r>
      <w:r w:rsidR="005D1800" w:rsidRPr="002B5D9E">
        <w:t xml:space="preserve">code of practice on flexible working request </w:t>
      </w:r>
      <w:r w:rsidR="00494A8B" w:rsidRPr="002B5D9E">
        <w:t xml:space="preserve">sets out guidance for employers to consider when determining to support requests. </w:t>
      </w:r>
      <w:r w:rsidR="002B5D9E" w:rsidRPr="002B5D9E">
        <w:t>ACAS, (2024</w:t>
      </w:r>
      <w:r w:rsidR="0083400C">
        <w:t>c</w:t>
      </w:r>
      <w:r w:rsidR="002B5D9E" w:rsidRPr="002B5D9E">
        <w:t>) states a decision to reject a flexible working request must be based on one or more of the business reasons outlined in the Employment Rights Act 1996</w:t>
      </w:r>
      <w:r w:rsidR="007D1D99">
        <w:t xml:space="preserve">, a request should be granted unless there is a genuine reason not to support. </w:t>
      </w:r>
      <w:r w:rsidR="002B5D9E">
        <w:t xml:space="preserve"> </w:t>
      </w:r>
      <w:r w:rsidR="00382EEE">
        <w:t xml:space="preserve">A consultation meeting should be held </w:t>
      </w:r>
      <w:r w:rsidR="0088036D">
        <w:t xml:space="preserve">without unreasonable delay </w:t>
      </w:r>
      <w:r w:rsidR="00382EEE">
        <w:t xml:space="preserve">in </w:t>
      </w:r>
      <w:r w:rsidR="000E67C1">
        <w:t>person or video conference</w:t>
      </w:r>
      <w:r w:rsidR="0051056F">
        <w:t>, th</w:t>
      </w:r>
      <w:r w:rsidR="008F507A">
        <w:t>e discussion should allow for reasonable con</w:t>
      </w:r>
      <w:r w:rsidR="00792239">
        <w:t>sideration (ACAS</w:t>
      </w:r>
      <w:r w:rsidR="0083400C">
        <w:t>, 2024c</w:t>
      </w:r>
      <w:r w:rsidR="00C96DE2" w:rsidRPr="00C96DE2">
        <w:t>).</w:t>
      </w:r>
      <w:r w:rsidR="009E7773" w:rsidRPr="009E7773">
        <w:t xml:space="preserve"> </w:t>
      </w:r>
      <w:r w:rsidR="009E7773" w:rsidRPr="006E1300">
        <w:t>When handling a request and any information disclosed by the employee, employers must ensure they do not unlawfully discriminate against the employee based on any of the protected characteristics outlined in the Equality Act 2010.</w:t>
      </w:r>
      <w:r w:rsidR="00CD285D">
        <w:t xml:space="preserve"> </w:t>
      </w:r>
      <w:r w:rsidR="00C96DE2">
        <w:t>Once a decision has been reached</w:t>
      </w:r>
      <w:r w:rsidR="00C96DE2" w:rsidRPr="00C96DE2">
        <w:t>, the employer must inform the employee of their decision. This decision should be confirmed in writing without undue delay, considering the statutory two-month period for deciding on requests, including any appea</w:t>
      </w:r>
      <w:r w:rsidR="00C96DE2">
        <w:t>l (ACAS, 2024c).</w:t>
      </w:r>
      <w:r w:rsidR="00FD6E2B" w:rsidRPr="00FD6E2B">
        <w:rPr>
          <w:rFonts w:cs="Arial"/>
          <w:color w:val="1E1E1E"/>
          <w:shd w:val="clear" w:color="auto" w:fill="FFFFFF"/>
        </w:rPr>
        <w:t xml:space="preserve"> </w:t>
      </w:r>
      <w:r w:rsidR="00FD6E2B">
        <w:rPr>
          <w:rFonts w:cs="Arial"/>
          <w:color w:val="1E1E1E"/>
          <w:shd w:val="clear" w:color="auto" w:fill="FFFFFF"/>
        </w:rPr>
        <w:t xml:space="preserve">The Employment Relations (Flexible Working) Act 2023 also outlines the expectations required for the effective management of a flexible working request. </w:t>
      </w:r>
    </w:p>
    <w:p w14:paraId="142CC62E" w14:textId="77777777" w:rsidR="00382EEE" w:rsidRDefault="00382EEE" w:rsidP="002B5D9E"/>
    <w:p w14:paraId="3A566C53" w14:textId="77777777" w:rsidR="00CD285D" w:rsidRPr="00CD285D" w:rsidRDefault="00CD285D" w:rsidP="00CD285D">
      <w:r w:rsidRPr="00CD285D">
        <w:t>In addition to requesting flexible working arrangements, employees have the right to reasonable time off for purposes like caring for a sick family member or attending a school event. They are also entitled to unpaid leave for jury duty or military service.</w:t>
      </w:r>
    </w:p>
    <w:p w14:paraId="788AD771" w14:textId="01C34774" w:rsidR="00382EEE" w:rsidRDefault="00CD285D" w:rsidP="3ED70C7D">
      <w:r>
        <w:t>Employees must receive fair treatment, free from discrimination, harassment, and retaliation. They also have the right to join or form a union and engage in collective bargaining.</w:t>
      </w:r>
      <w:r w:rsidR="1B88C178">
        <w:t xml:space="preserve">  </w:t>
      </w:r>
    </w:p>
    <w:p w14:paraId="0881CAD3" w14:textId="77777777" w:rsidR="000560C7" w:rsidRDefault="000560C7" w:rsidP="3ED70C7D"/>
    <w:p w14:paraId="428F7C9C" w14:textId="77777777" w:rsidR="000560C7" w:rsidRDefault="000560C7" w:rsidP="3ED70C7D"/>
    <w:p w14:paraId="0F58C766" w14:textId="77777777" w:rsidR="000560C7" w:rsidRDefault="000560C7" w:rsidP="3ED70C7D"/>
    <w:p w14:paraId="2F389CB7" w14:textId="77777777" w:rsidR="000560C7" w:rsidRDefault="000560C7" w:rsidP="3ED70C7D"/>
    <w:p w14:paraId="318FB592" w14:textId="77777777" w:rsidR="000560C7" w:rsidRDefault="000560C7" w:rsidP="3ED70C7D"/>
    <w:p w14:paraId="2B937BC6" w14:textId="77777777" w:rsidR="000560C7" w:rsidRDefault="000560C7" w:rsidP="3ED70C7D"/>
    <w:p w14:paraId="25B349BA" w14:textId="77777777" w:rsidR="000560C7" w:rsidRDefault="000560C7" w:rsidP="3ED70C7D"/>
    <w:p w14:paraId="026EE4BC" w14:textId="77777777" w:rsidR="00D661A5" w:rsidRDefault="00D661A5" w:rsidP="000560C7">
      <w:pPr>
        <w:spacing w:after="160"/>
        <w:rPr>
          <w:rFonts w:asciiTheme="minorHAnsi" w:hAnsiTheme="minorHAnsi"/>
          <w:kern w:val="2"/>
          <w:szCs w:val="22"/>
          <w:u w:val="single"/>
          <w14:ligatures w14:val="standardContextual"/>
        </w:rPr>
      </w:pPr>
    </w:p>
    <w:p w14:paraId="6FBBAAFF" w14:textId="77777777" w:rsidR="00D661A5" w:rsidRDefault="00D661A5" w:rsidP="000560C7">
      <w:pPr>
        <w:spacing w:after="160"/>
        <w:rPr>
          <w:rFonts w:asciiTheme="minorHAnsi" w:hAnsiTheme="minorHAnsi"/>
          <w:kern w:val="2"/>
          <w:szCs w:val="22"/>
          <w:u w:val="single"/>
          <w14:ligatures w14:val="standardContextual"/>
        </w:rPr>
      </w:pPr>
    </w:p>
    <w:p w14:paraId="2FBDCEDC" w14:textId="77777777" w:rsidR="00D661A5" w:rsidRDefault="00D661A5" w:rsidP="000560C7">
      <w:pPr>
        <w:spacing w:after="160"/>
        <w:rPr>
          <w:rFonts w:asciiTheme="minorHAnsi" w:hAnsiTheme="minorHAnsi"/>
          <w:kern w:val="2"/>
          <w:szCs w:val="22"/>
          <w:u w:val="single"/>
          <w14:ligatures w14:val="standardContextual"/>
        </w:rPr>
      </w:pPr>
    </w:p>
    <w:p w14:paraId="55280F38" w14:textId="3C425427" w:rsidR="000560C7" w:rsidRPr="000560C7" w:rsidRDefault="000560C7" w:rsidP="000560C7">
      <w:pPr>
        <w:spacing w:after="160"/>
        <w:rPr>
          <w:rFonts w:asciiTheme="minorHAnsi" w:hAnsiTheme="minorHAnsi"/>
          <w:kern w:val="2"/>
          <w:szCs w:val="22"/>
          <w:u w:val="single"/>
          <w14:ligatures w14:val="standardContextual"/>
        </w:rPr>
      </w:pPr>
      <w:r w:rsidRPr="000560C7">
        <w:rPr>
          <w:rFonts w:asciiTheme="minorHAnsi" w:hAnsiTheme="minorHAnsi"/>
          <w:kern w:val="2"/>
          <w:szCs w:val="22"/>
          <w:u w:val="single"/>
          <w14:ligatures w14:val="standardContextual"/>
        </w:rPr>
        <w:lastRenderedPageBreak/>
        <w:t>References</w:t>
      </w:r>
    </w:p>
    <w:p w14:paraId="7CDCB2E7" w14:textId="6AEAADE0"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A</w:t>
      </w:r>
      <w:r w:rsidR="00D661A5">
        <w:rPr>
          <w:rFonts w:cs="Arial"/>
          <w:kern w:val="2"/>
          <w:szCs w:val="22"/>
          <w14:ligatures w14:val="standardContextual"/>
        </w:rPr>
        <w:t>cas</w:t>
      </w:r>
      <w:r w:rsidRPr="000560C7">
        <w:rPr>
          <w:rFonts w:cs="Arial"/>
          <w:kern w:val="2"/>
          <w:szCs w:val="22"/>
          <w14:ligatures w14:val="standardContextual"/>
        </w:rPr>
        <w:t>. (2025) </w:t>
      </w:r>
      <w:r w:rsidRPr="000560C7">
        <w:rPr>
          <w:rFonts w:cs="Arial"/>
          <w:i/>
          <w:iCs/>
          <w:kern w:val="2"/>
          <w:szCs w:val="22"/>
          <w14:ligatures w14:val="standardContextual"/>
        </w:rPr>
        <w:t>Irregular hours and part-year workers</w:t>
      </w:r>
      <w:r w:rsidRPr="000560C7">
        <w:rPr>
          <w:rFonts w:cs="Arial"/>
          <w:kern w:val="2"/>
          <w:szCs w:val="22"/>
          <w14:ligatures w14:val="standardContextual"/>
        </w:rPr>
        <w:t>: Carrying over holiday. Available at: </w:t>
      </w:r>
      <w:hyperlink r:id="rId6" w:history="1">
        <w:r w:rsidRPr="000560C7">
          <w:rPr>
            <w:rFonts w:cs="Arial"/>
            <w:color w:val="0563C1" w:themeColor="hyperlink"/>
            <w:kern w:val="2"/>
            <w:szCs w:val="22"/>
            <w:u w:val="single"/>
            <w14:ligatures w14:val="standardContextual"/>
          </w:rPr>
          <w:t>https://www.acas.org.uk/irregular-hours-and-part-year-workers/carrying-over-holiday</w:t>
        </w:r>
      </w:hyperlink>
      <w:r w:rsidRPr="000560C7">
        <w:rPr>
          <w:rFonts w:cs="Arial"/>
          <w:kern w:val="2"/>
          <w:szCs w:val="22"/>
          <w14:ligatures w14:val="standardContextual"/>
        </w:rPr>
        <w:t xml:space="preserve">  (Accessed: 1 March 2025).</w:t>
      </w:r>
    </w:p>
    <w:p w14:paraId="39C846C6" w14:textId="77777777" w:rsidR="000560C7" w:rsidRPr="000560C7" w:rsidRDefault="000560C7" w:rsidP="000560C7">
      <w:pPr>
        <w:spacing w:after="160"/>
        <w:rPr>
          <w:rFonts w:cs="Arial"/>
          <w:kern w:val="2"/>
          <w:szCs w:val="22"/>
          <w14:ligatures w14:val="standardContextual"/>
        </w:rPr>
      </w:pPr>
    </w:p>
    <w:p w14:paraId="534FE156"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Acas. (2024). </w:t>
      </w:r>
      <w:r w:rsidRPr="000560C7">
        <w:rPr>
          <w:rFonts w:cs="Arial"/>
          <w:i/>
          <w:iCs/>
          <w:kern w:val="2"/>
          <w:szCs w:val="22"/>
          <w14:ligatures w14:val="standardContextual"/>
        </w:rPr>
        <w:t>Equal pay law.</w:t>
      </w:r>
      <w:r w:rsidRPr="000560C7">
        <w:rPr>
          <w:rFonts w:cs="Arial"/>
          <w:kern w:val="2"/>
          <w:szCs w:val="22"/>
          <w14:ligatures w14:val="standardContextual"/>
        </w:rPr>
        <w:t xml:space="preserve"> Available at: </w:t>
      </w:r>
      <w:hyperlink r:id="rId7" w:history="1">
        <w:r w:rsidRPr="000560C7">
          <w:rPr>
            <w:rFonts w:cs="Arial"/>
            <w:color w:val="0563C1" w:themeColor="hyperlink"/>
            <w:kern w:val="2"/>
            <w:szCs w:val="22"/>
            <w:u w:val="single"/>
            <w14:ligatures w14:val="standardContextual"/>
          </w:rPr>
          <w:t>https://www.acas.org.uk/equal-pay/equal-pay-law</w:t>
        </w:r>
      </w:hyperlink>
      <w:r w:rsidRPr="000560C7">
        <w:rPr>
          <w:rFonts w:cs="Arial"/>
          <w:kern w:val="2"/>
          <w:szCs w:val="22"/>
          <w14:ligatures w14:val="standardContextual"/>
        </w:rPr>
        <w:t xml:space="preserve">  (Accessed: 22 February 2025).</w:t>
      </w:r>
    </w:p>
    <w:p w14:paraId="3A847E0E" w14:textId="77777777" w:rsidR="000560C7" w:rsidRPr="000560C7" w:rsidRDefault="000560C7" w:rsidP="000560C7">
      <w:pPr>
        <w:spacing w:after="160"/>
        <w:rPr>
          <w:rFonts w:cs="Arial"/>
          <w:kern w:val="2"/>
          <w:szCs w:val="22"/>
          <w14:ligatures w14:val="standardContextual"/>
        </w:rPr>
      </w:pPr>
    </w:p>
    <w:p w14:paraId="07E4A273"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Acas. (2024a). </w:t>
      </w:r>
      <w:r w:rsidRPr="000560C7">
        <w:rPr>
          <w:rFonts w:cs="Arial"/>
          <w:i/>
          <w:iCs/>
          <w:kern w:val="2"/>
          <w:szCs w:val="22"/>
          <w14:ligatures w14:val="standardContextual"/>
        </w:rPr>
        <w:t>Constructive dismissal</w:t>
      </w:r>
      <w:r w:rsidRPr="000560C7">
        <w:rPr>
          <w:rFonts w:cs="Arial"/>
          <w:kern w:val="2"/>
          <w:szCs w:val="22"/>
          <w14:ligatures w14:val="standardContextual"/>
        </w:rPr>
        <w:t>. Available at: https://www.acas.org.uk/dismissals/constructive-dismissal (Accessed: 22 February 2025).</w:t>
      </w:r>
    </w:p>
    <w:p w14:paraId="6938D491" w14:textId="77777777" w:rsidR="000560C7" w:rsidRPr="000560C7" w:rsidRDefault="000560C7" w:rsidP="000560C7">
      <w:pPr>
        <w:spacing w:after="160"/>
        <w:rPr>
          <w:rFonts w:cs="Arial"/>
          <w:kern w:val="2"/>
          <w:szCs w:val="22"/>
          <w14:ligatures w14:val="standardContextual"/>
        </w:rPr>
      </w:pPr>
    </w:p>
    <w:p w14:paraId="443FA0C2"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ACAS. (2024b) </w:t>
      </w:r>
      <w:r w:rsidRPr="000560C7">
        <w:rPr>
          <w:rFonts w:cs="Arial"/>
          <w:i/>
          <w:iCs/>
          <w:kern w:val="2"/>
          <w:szCs w:val="22"/>
          <w14:ligatures w14:val="standardContextual"/>
        </w:rPr>
        <w:t>Irregular hours and part-year workers:</w:t>
      </w:r>
      <w:r w:rsidRPr="000560C7">
        <w:rPr>
          <w:rFonts w:cs="Arial"/>
          <w:kern w:val="2"/>
          <w:szCs w:val="22"/>
          <w14:ligatures w14:val="standardContextual"/>
        </w:rPr>
        <w:t xml:space="preserve"> Rolled-up holiday pay. Available at: </w:t>
      </w:r>
      <w:hyperlink r:id="rId8" w:history="1">
        <w:r w:rsidRPr="000560C7">
          <w:rPr>
            <w:rFonts w:cs="Arial"/>
            <w:color w:val="0563C1" w:themeColor="hyperlink"/>
            <w:kern w:val="2"/>
            <w:szCs w:val="22"/>
            <w:u w:val="single"/>
            <w14:ligatures w14:val="standardContextual"/>
          </w:rPr>
          <w:t>https://www.acas.org.uk/irregular-hours-and-part-year-workers/rolled-up-holiday-pay</w:t>
        </w:r>
      </w:hyperlink>
      <w:r w:rsidRPr="000560C7">
        <w:rPr>
          <w:rFonts w:cs="Arial"/>
          <w:kern w:val="2"/>
          <w:szCs w:val="22"/>
          <w14:ligatures w14:val="standardContextual"/>
        </w:rPr>
        <w:t xml:space="preserve">  (Accessed: 1 March 2025).</w:t>
      </w:r>
    </w:p>
    <w:p w14:paraId="58070366" w14:textId="77777777" w:rsidR="000560C7" w:rsidRPr="000560C7" w:rsidRDefault="000560C7" w:rsidP="000560C7">
      <w:pPr>
        <w:spacing w:after="160"/>
        <w:rPr>
          <w:rFonts w:cs="Arial"/>
          <w:kern w:val="2"/>
          <w:szCs w:val="22"/>
          <w14:ligatures w14:val="standardContextual"/>
        </w:rPr>
      </w:pPr>
    </w:p>
    <w:p w14:paraId="201A407D"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Ayling. L and Suff, R. (no date)</w:t>
      </w:r>
      <w:r w:rsidRPr="000560C7">
        <w:rPr>
          <w:rFonts w:cs="Arial"/>
          <w:color w:val="242424"/>
          <w:kern w:val="2"/>
          <w:szCs w:val="22"/>
          <w:shd w:val="clear" w:color="auto" w:fill="FAFAFA"/>
          <w14:ligatures w14:val="standardContextual"/>
        </w:rPr>
        <w:t> </w:t>
      </w:r>
      <w:r w:rsidRPr="000560C7">
        <w:rPr>
          <w:rFonts w:cs="Arial"/>
          <w:i/>
          <w:iCs/>
          <w:kern w:val="2"/>
          <w:szCs w:val="22"/>
          <w14:ligatures w14:val="standardContextual"/>
        </w:rPr>
        <w:t>Dismissal</w:t>
      </w:r>
      <w:r w:rsidRPr="000560C7">
        <w:rPr>
          <w:rFonts w:cs="Arial"/>
          <w:kern w:val="2"/>
          <w:szCs w:val="22"/>
          <w14:ligatures w14:val="standardContextual"/>
        </w:rPr>
        <w:t>. Available at: </w:t>
      </w:r>
      <w:hyperlink r:id="rId9" w:history="1">
        <w:r w:rsidRPr="000560C7">
          <w:rPr>
            <w:rFonts w:cs="Arial"/>
            <w:color w:val="0563C1" w:themeColor="hyperlink"/>
            <w:kern w:val="2"/>
            <w:szCs w:val="22"/>
            <w:u w:val="single"/>
            <w14:ligatures w14:val="standardContextual"/>
          </w:rPr>
          <w:t>https://www.cipd.org/uk/knowledge/factsheets/dismissal-factsheet/#constructive-dismissal</w:t>
        </w:r>
      </w:hyperlink>
      <w:r w:rsidRPr="000560C7">
        <w:rPr>
          <w:rFonts w:cs="Arial"/>
          <w:kern w:val="2"/>
          <w:szCs w:val="22"/>
          <w14:ligatures w14:val="standardContextual"/>
        </w:rPr>
        <w:t xml:space="preserve">  (Accessed: 22 February 2025).</w:t>
      </w:r>
    </w:p>
    <w:p w14:paraId="2A28CC7C" w14:textId="77777777" w:rsidR="000560C7" w:rsidRPr="000560C7" w:rsidRDefault="000560C7" w:rsidP="000560C7">
      <w:pPr>
        <w:spacing w:after="160"/>
        <w:rPr>
          <w:rFonts w:cs="Arial"/>
          <w:kern w:val="2"/>
          <w:szCs w:val="22"/>
          <w14:ligatures w14:val="standardContextual"/>
        </w:rPr>
      </w:pPr>
    </w:p>
    <w:p w14:paraId="7A39790D" w14:textId="77777777" w:rsid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Ayling, L. and Suff, R. (2025) </w:t>
      </w:r>
      <w:r w:rsidRPr="000560C7">
        <w:rPr>
          <w:rFonts w:cs="Arial"/>
          <w:i/>
          <w:iCs/>
          <w:kern w:val="2"/>
          <w:szCs w:val="22"/>
          <w:lang w:eastAsia="en-GB"/>
          <w14:ligatures w14:val="standardContextual"/>
        </w:rPr>
        <w:t>Maternity, paternity, and adoption rights. Available at:</w:t>
      </w:r>
      <w:r w:rsidRPr="000560C7">
        <w:rPr>
          <w:rFonts w:cs="Arial"/>
          <w:kern w:val="2"/>
          <w:szCs w:val="22"/>
          <w:lang w:eastAsia="en-GB"/>
          <w14:ligatures w14:val="standardContextual"/>
        </w:rPr>
        <w:t xml:space="preserve"> </w:t>
      </w:r>
      <w:hyperlink r:id="rId10" w:history="1">
        <w:r w:rsidRPr="000560C7">
          <w:rPr>
            <w:rFonts w:cs="Arial"/>
            <w:color w:val="0563C1" w:themeColor="hyperlink"/>
            <w:kern w:val="2"/>
            <w:szCs w:val="22"/>
            <w:u w:val="single"/>
            <w14:ligatures w14:val="standardContextual"/>
          </w:rPr>
          <w:t>Maternity, Paternity &amp; Adoption Rights | Factsheets | CIPD</w:t>
        </w:r>
      </w:hyperlink>
      <w:r w:rsidRPr="000560C7">
        <w:rPr>
          <w:rFonts w:cs="Arial"/>
          <w:kern w:val="2"/>
          <w:szCs w:val="22"/>
          <w14:ligatures w14:val="standardContextual"/>
        </w:rPr>
        <w:t xml:space="preserve">. Accessed (31 March 2025). </w:t>
      </w:r>
    </w:p>
    <w:p w14:paraId="305009CE" w14:textId="77777777" w:rsidR="00B63A6D" w:rsidRPr="000560C7" w:rsidRDefault="00B63A6D" w:rsidP="00B63A6D"/>
    <w:p w14:paraId="09E5D6EB" w14:textId="40CCB558" w:rsidR="000560C7" w:rsidRPr="00B63A6D" w:rsidRDefault="00B63A6D" w:rsidP="00B63A6D">
      <w:r w:rsidRPr="00B63A6D">
        <w:t>Brodies LLP. (</w:t>
      </w:r>
      <w:r>
        <w:t>2024</w:t>
      </w:r>
      <w:r w:rsidRPr="00B63A6D">
        <w:t xml:space="preserve">). </w:t>
      </w:r>
      <w:r w:rsidRPr="00B63A6D">
        <w:rPr>
          <w:i/>
          <w:iCs/>
        </w:rPr>
        <w:t>Genuine Occupational Requirements</w:t>
      </w:r>
      <w:r w:rsidRPr="00B63A6D">
        <w:t>. Available at: </w:t>
      </w:r>
      <w:hyperlink r:id="rId11" w:history="1">
        <w:r w:rsidRPr="003F51BD">
          <w:rPr>
            <w:rStyle w:val="Hyperlink"/>
          </w:rPr>
          <w:t>https://brodies.com/insights/employment-and-immigration/genuine-occupational-requirements</w:t>
        </w:r>
      </w:hyperlink>
      <w:r>
        <w:t xml:space="preserve"> </w:t>
      </w:r>
      <w:r w:rsidRPr="00B63A6D">
        <w:t> (Accessed: 14 March 2025).</w:t>
      </w:r>
    </w:p>
    <w:p w14:paraId="33D4A785" w14:textId="77777777" w:rsidR="00B63A6D" w:rsidRPr="000560C7" w:rsidRDefault="00B63A6D" w:rsidP="000560C7">
      <w:pPr>
        <w:spacing w:after="160"/>
        <w:rPr>
          <w:rFonts w:cs="Arial"/>
          <w:kern w:val="2"/>
          <w:szCs w:val="22"/>
          <w14:ligatures w14:val="standardContextual"/>
        </w:rPr>
      </w:pPr>
    </w:p>
    <w:p w14:paraId="5172BE20"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CIPD. (2025) </w:t>
      </w:r>
      <w:r w:rsidRPr="000560C7">
        <w:rPr>
          <w:rFonts w:cs="Arial"/>
          <w:i/>
          <w:iCs/>
          <w:kern w:val="2"/>
          <w:szCs w:val="22"/>
          <w14:ligatures w14:val="standardContextual"/>
        </w:rPr>
        <w:t>Holidays and holiday pay.</w:t>
      </w:r>
      <w:r w:rsidRPr="000560C7">
        <w:rPr>
          <w:rFonts w:cs="Arial"/>
          <w:kern w:val="2"/>
          <w:szCs w:val="22"/>
          <w14:ligatures w14:val="standardContextual"/>
        </w:rPr>
        <w:t xml:space="preserve"> Available at: </w:t>
      </w:r>
      <w:hyperlink r:id="rId12" w:history="1">
        <w:r w:rsidRPr="000560C7">
          <w:rPr>
            <w:rFonts w:cs="Arial"/>
            <w:color w:val="0563C1" w:themeColor="hyperlink"/>
            <w:kern w:val="2"/>
            <w:szCs w:val="22"/>
            <w:u w:val="single"/>
            <w14:ligatures w14:val="standardContextual"/>
          </w:rPr>
          <w:t>https://www.cipd.org/uk/knowledge/employment-law/holidays/</w:t>
        </w:r>
      </w:hyperlink>
      <w:r w:rsidRPr="000560C7">
        <w:rPr>
          <w:rFonts w:cs="Arial"/>
          <w:kern w:val="2"/>
          <w:szCs w:val="22"/>
          <w14:ligatures w14:val="standardContextual"/>
        </w:rPr>
        <w:t xml:space="preserve">  (Accessed: 1 March 2025).</w:t>
      </w:r>
    </w:p>
    <w:p w14:paraId="39F4B9C7" w14:textId="77777777" w:rsidR="000560C7" w:rsidRPr="000560C7" w:rsidRDefault="000560C7" w:rsidP="000560C7">
      <w:pPr>
        <w:spacing w:after="160"/>
        <w:rPr>
          <w:rFonts w:cs="Arial"/>
          <w:kern w:val="2"/>
          <w:szCs w:val="22"/>
          <w14:ligatures w14:val="standardContextual"/>
        </w:rPr>
      </w:pPr>
    </w:p>
    <w:p w14:paraId="7C87CD33"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CIPD. (no date a). </w:t>
      </w:r>
      <w:r w:rsidRPr="000560C7">
        <w:rPr>
          <w:rFonts w:cs="Arial"/>
          <w:i/>
          <w:iCs/>
          <w:kern w:val="2"/>
          <w:szCs w:val="22"/>
          <w14:ligatures w14:val="standardContextual"/>
        </w:rPr>
        <w:t>Employment status, rights and regulation</w:t>
      </w:r>
      <w:r w:rsidRPr="000560C7">
        <w:rPr>
          <w:rFonts w:cs="Arial"/>
          <w:kern w:val="2"/>
          <w:szCs w:val="22"/>
          <w14:ligatures w14:val="standardContextual"/>
        </w:rPr>
        <w:t>. Available at: </w:t>
      </w:r>
      <w:hyperlink r:id="rId13" w:history="1">
        <w:r w:rsidRPr="000560C7">
          <w:rPr>
            <w:rFonts w:cs="Arial"/>
            <w:color w:val="0563C1" w:themeColor="hyperlink"/>
            <w:kern w:val="2"/>
            <w:szCs w:val="22"/>
            <w:u w:val="single"/>
            <w14:ligatures w14:val="standardContextual"/>
          </w:rPr>
          <w:t>https://www.cipd.org/uk/views-and-insights/cipd-viewpoint/employment-status-rights/</w:t>
        </w:r>
      </w:hyperlink>
      <w:r w:rsidRPr="000560C7">
        <w:rPr>
          <w:rFonts w:cs="Arial"/>
          <w:kern w:val="2"/>
          <w:szCs w:val="22"/>
          <w14:ligatures w14:val="standardContextual"/>
        </w:rPr>
        <w:t xml:space="preserve">  (Accessed: 22 February 2025)</w:t>
      </w:r>
    </w:p>
    <w:p w14:paraId="00D8096E" w14:textId="77777777" w:rsidR="000560C7" w:rsidRPr="000560C7" w:rsidRDefault="000560C7" w:rsidP="000560C7">
      <w:pPr>
        <w:spacing w:after="160"/>
        <w:rPr>
          <w:rFonts w:cs="Arial"/>
          <w:kern w:val="2"/>
          <w:szCs w:val="22"/>
          <w14:ligatures w14:val="standardContextual"/>
        </w:rPr>
      </w:pPr>
    </w:p>
    <w:p w14:paraId="7AEE63A6"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CIPD. (no date b). </w:t>
      </w:r>
      <w:r w:rsidRPr="000560C7">
        <w:rPr>
          <w:rFonts w:cs="Arial"/>
          <w:i/>
          <w:iCs/>
          <w:kern w:val="2"/>
          <w:szCs w:val="22"/>
          <w14:ligatures w14:val="standardContextual"/>
        </w:rPr>
        <w:t>Equal pay.</w:t>
      </w:r>
      <w:r w:rsidRPr="000560C7">
        <w:rPr>
          <w:rFonts w:cs="Arial"/>
          <w:kern w:val="2"/>
          <w:szCs w:val="22"/>
          <w14:ligatures w14:val="standardContextual"/>
        </w:rPr>
        <w:t xml:space="preserve"> Available at: </w:t>
      </w:r>
      <w:hyperlink r:id="rId14" w:history="1">
        <w:r w:rsidRPr="000560C7">
          <w:rPr>
            <w:rFonts w:cs="Arial"/>
            <w:color w:val="0563C1" w:themeColor="hyperlink"/>
            <w:kern w:val="2"/>
            <w:szCs w:val="22"/>
            <w:u w:val="single"/>
            <w14:ligatures w14:val="standardContextual"/>
          </w:rPr>
          <w:t>https://www.cipd.org/uk/knowledge/employment-law/equal-pay/</w:t>
        </w:r>
      </w:hyperlink>
      <w:r w:rsidRPr="000560C7">
        <w:rPr>
          <w:rFonts w:cs="Arial"/>
          <w:kern w:val="2"/>
          <w:szCs w:val="22"/>
          <w14:ligatures w14:val="standardContextual"/>
        </w:rPr>
        <w:t xml:space="preserve">  (Accessed: 22 February 2025).</w:t>
      </w:r>
    </w:p>
    <w:p w14:paraId="2671DB55" w14:textId="77777777" w:rsidR="000560C7" w:rsidRPr="000560C7" w:rsidRDefault="000560C7" w:rsidP="000560C7">
      <w:pPr>
        <w:spacing w:after="160"/>
        <w:rPr>
          <w:rFonts w:cs="Arial"/>
          <w:kern w:val="2"/>
          <w:szCs w:val="22"/>
          <w14:ligatures w14:val="standardContextual"/>
        </w:rPr>
      </w:pPr>
    </w:p>
    <w:p w14:paraId="78F80CD7"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CIPD. (no date c). </w:t>
      </w:r>
      <w:r w:rsidRPr="000560C7">
        <w:rPr>
          <w:rFonts w:cs="Arial"/>
          <w:i/>
          <w:iCs/>
          <w:kern w:val="2"/>
          <w:szCs w:val="22"/>
          <w14:ligatures w14:val="standardContextual"/>
        </w:rPr>
        <w:t>UK employment law and the EU</w:t>
      </w:r>
      <w:r w:rsidRPr="000560C7">
        <w:rPr>
          <w:rFonts w:cs="Arial"/>
          <w:kern w:val="2"/>
          <w:szCs w:val="22"/>
          <w14:ligatures w14:val="standardContextual"/>
        </w:rPr>
        <w:t>. Available at: </w:t>
      </w:r>
      <w:hyperlink r:id="rId15" w:history="1">
        <w:r w:rsidRPr="000560C7">
          <w:rPr>
            <w:rFonts w:cs="Arial"/>
            <w:color w:val="0563C1" w:themeColor="hyperlink"/>
            <w:kern w:val="2"/>
            <w:szCs w:val="22"/>
            <w:u w:val="single"/>
            <w14:ligatures w14:val="standardContextual"/>
          </w:rPr>
          <w:t>https://www.cipd.org/uk/knowledge/employment-law/uk-employment-law-eu/</w:t>
        </w:r>
      </w:hyperlink>
      <w:r w:rsidRPr="000560C7">
        <w:rPr>
          <w:rFonts w:cs="Arial"/>
          <w:kern w:val="2"/>
          <w:szCs w:val="22"/>
          <w14:ligatures w14:val="standardContextual"/>
        </w:rPr>
        <w:t xml:space="preserve">  (Accessed: 3 March 2025).</w:t>
      </w:r>
    </w:p>
    <w:p w14:paraId="5F118073" w14:textId="77777777" w:rsidR="000560C7" w:rsidRPr="000560C7" w:rsidRDefault="000560C7" w:rsidP="000560C7">
      <w:pPr>
        <w:spacing w:after="160"/>
        <w:rPr>
          <w:rFonts w:cs="Arial"/>
          <w:kern w:val="2"/>
          <w:szCs w:val="22"/>
          <w14:ligatures w14:val="standardContextual"/>
        </w:rPr>
      </w:pPr>
    </w:p>
    <w:p w14:paraId="3D79AECB"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CIPD. (2024a) </w:t>
      </w:r>
      <w:r w:rsidRPr="000560C7">
        <w:rPr>
          <w:rFonts w:cs="Arial"/>
          <w:i/>
          <w:iCs/>
          <w:kern w:val="2"/>
          <w:szCs w:val="22"/>
          <w14:ligatures w14:val="standardContextual"/>
        </w:rPr>
        <w:t>Redundancy: UK employment law</w:t>
      </w:r>
      <w:r w:rsidRPr="000560C7">
        <w:rPr>
          <w:rFonts w:cs="Arial"/>
          <w:kern w:val="2"/>
          <w:szCs w:val="22"/>
          <w14:ligatures w14:val="standardContextual"/>
        </w:rPr>
        <w:t xml:space="preserve">. Available at: </w:t>
      </w:r>
      <w:hyperlink r:id="rId16" w:history="1">
        <w:r w:rsidRPr="000560C7">
          <w:rPr>
            <w:rFonts w:cs="Arial"/>
            <w:color w:val="0000FF"/>
            <w:kern w:val="2"/>
            <w:szCs w:val="22"/>
            <w:u w:val="single"/>
            <w14:ligatures w14:val="standardContextual"/>
          </w:rPr>
          <w:t>Redundancy: UK employment law | CIPD</w:t>
        </w:r>
      </w:hyperlink>
      <w:r w:rsidRPr="000560C7">
        <w:rPr>
          <w:rFonts w:cs="Arial"/>
          <w:kern w:val="2"/>
          <w:szCs w:val="22"/>
          <w14:ligatures w14:val="standardContextual"/>
        </w:rPr>
        <w:t xml:space="preserve"> (Accessed: 23 February 2025). </w:t>
      </w:r>
    </w:p>
    <w:p w14:paraId="0033749F" w14:textId="77777777" w:rsidR="000560C7" w:rsidRPr="000560C7" w:rsidRDefault="000560C7" w:rsidP="000560C7">
      <w:pPr>
        <w:spacing w:after="160"/>
        <w:rPr>
          <w:rFonts w:cs="Arial"/>
          <w:kern w:val="2"/>
          <w:szCs w:val="22"/>
          <w14:ligatures w14:val="standardContextual"/>
        </w:rPr>
      </w:pPr>
    </w:p>
    <w:p w14:paraId="510DA731"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CIPD. (2024b) </w:t>
      </w:r>
      <w:r w:rsidRPr="000560C7">
        <w:rPr>
          <w:rFonts w:cs="Arial"/>
          <w:i/>
          <w:iCs/>
          <w:kern w:val="2"/>
          <w:szCs w:val="22"/>
          <w14:ligatures w14:val="standardContextual"/>
        </w:rPr>
        <w:t>A guide to TUPE transfers</w:t>
      </w:r>
      <w:r w:rsidRPr="000560C7">
        <w:rPr>
          <w:rFonts w:cs="Arial"/>
          <w:kern w:val="2"/>
          <w:szCs w:val="22"/>
          <w14:ligatures w14:val="standardContextual"/>
        </w:rPr>
        <w:t>. Available at: </w:t>
      </w:r>
      <w:hyperlink r:id="rId17" w:history="1">
        <w:r w:rsidRPr="000560C7">
          <w:rPr>
            <w:rFonts w:cs="Arial"/>
            <w:color w:val="0563C1" w:themeColor="hyperlink"/>
            <w:kern w:val="2"/>
            <w:szCs w:val="22"/>
            <w:u w:val="single"/>
            <w14:ligatures w14:val="standardContextual"/>
          </w:rPr>
          <w:t>https://www.cipd.org/uk/knowledge/guides/tupe-guide/#how-to-plan-for-tupe-during-the-pretransfer-period</w:t>
        </w:r>
      </w:hyperlink>
      <w:r w:rsidRPr="000560C7">
        <w:rPr>
          <w:rFonts w:cs="Arial"/>
          <w:kern w:val="2"/>
          <w:szCs w:val="22"/>
          <w14:ligatures w14:val="standardContextual"/>
        </w:rPr>
        <w:t xml:space="preserve">  (Accessed: 1 March 2025).</w:t>
      </w:r>
    </w:p>
    <w:p w14:paraId="13D3DBD2" w14:textId="77777777" w:rsidR="000560C7" w:rsidRPr="000560C7" w:rsidRDefault="000560C7" w:rsidP="000560C7">
      <w:pPr>
        <w:spacing w:after="160"/>
        <w:rPr>
          <w:rFonts w:cs="Arial"/>
          <w:kern w:val="2"/>
          <w:szCs w:val="22"/>
          <w14:ligatures w14:val="standardContextual"/>
        </w:rPr>
      </w:pPr>
    </w:p>
    <w:p w14:paraId="41A4C10F" w14:textId="77777777" w:rsidR="000560C7" w:rsidRPr="00584CE5" w:rsidRDefault="000560C7" w:rsidP="000560C7">
      <w:pPr>
        <w:spacing w:after="160"/>
        <w:rPr>
          <w:rFonts w:cs="Arial"/>
          <w:kern w:val="2"/>
          <w:szCs w:val="22"/>
          <w14:ligatures w14:val="standardContextual"/>
        </w:rPr>
      </w:pPr>
      <w:r w:rsidRPr="000560C7">
        <w:rPr>
          <w:rFonts w:cs="Arial"/>
          <w:kern w:val="2"/>
          <w:szCs w:val="22"/>
          <w14:ligatures w14:val="standardContextual"/>
        </w:rPr>
        <w:t>CIPD. (2023). </w:t>
      </w:r>
      <w:r w:rsidRPr="000560C7">
        <w:rPr>
          <w:rFonts w:cs="Arial"/>
          <w:i/>
          <w:iCs/>
          <w:kern w:val="2"/>
          <w:szCs w:val="22"/>
          <w14:ligatures w14:val="standardContextual"/>
        </w:rPr>
        <w:t>Recruitment: Factsheet</w:t>
      </w:r>
      <w:r w:rsidRPr="000560C7">
        <w:rPr>
          <w:rFonts w:cs="Arial"/>
          <w:kern w:val="2"/>
          <w:szCs w:val="22"/>
          <w14:ligatures w14:val="standardContextual"/>
        </w:rPr>
        <w:t>. Available at: </w:t>
      </w:r>
      <w:hyperlink r:id="rId18" w:history="1">
        <w:r w:rsidRPr="000560C7">
          <w:rPr>
            <w:rFonts w:cs="Arial"/>
            <w:color w:val="0563C1" w:themeColor="hyperlink"/>
            <w:kern w:val="2"/>
            <w:szCs w:val="22"/>
            <w:u w:val="single"/>
            <w14:ligatures w14:val="standardContextual"/>
          </w:rPr>
          <w:t>https://www.cipd.org/uk/knowledge/employment-law/recruitment/</w:t>
        </w:r>
      </w:hyperlink>
      <w:r w:rsidRPr="000560C7">
        <w:rPr>
          <w:rFonts w:cs="Arial"/>
          <w:kern w:val="2"/>
          <w:szCs w:val="22"/>
          <w14:ligatures w14:val="standardContextual"/>
        </w:rPr>
        <w:t xml:space="preserve">  (Accessed: 3 March 2025)</w:t>
      </w:r>
    </w:p>
    <w:p w14:paraId="01C8D3EF" w14:textId="77777777" w:rsidR="00CC4454" w:rsidRPr="000560C7" w:rsidRDefault="00CC4454" w:rsidP="000560C7">
      <w:pPr>
        <w:spacing w:after="160"/>
        <w:rPr>
          <w:rFonts w:cs="Arial"/>
          <w:kern w:val="2"/>
          <w:szCs w:val="22"/>
          <w14:ligatures w14:val="standardContextual"/>
        </w:rPr>
      </w:pPr>
    </w:p>
    <w:p w14:paraId="688F3802" w14:textId="155CE7C1" w:rsidR="000560C7" w:rsidRPr="00584CE5" w:rsidRDefault="00CC4454" w:rsidP="00CC4454">
      <w:pPr>
        <w:rPr>
          <w:rFonts w:cs="Arial"/>
          <w:szCs w:val="22"/>
        </w:rPr>
      </w:pPr>
      <w:r w:rsidRPr="00584CE5">
        <w:rPr>
          <w:rFonts w:cs="Arial"/>
          <w:szCs w:val="22"/>
        </w:rPr>
        <w:t>Daniels, K. (2022) </w:t>
      </w:r>
      <w:r w:rsidRPr="00584CE5">
        <w:rPr>
          <w:rFonts w:cs="Arial"/>
          <w:i/>
          <w:iCs/>
          <w:szCs w:val="22"/>
        </w:rPr>
        <w:t>Introduction to employment law </w:t>
      </w:r>
      <w:r w:rsidRPr="00584CE5">
        <w:rPr>
          <w:rFonts w:cs="Arial"/>
          <w:szCs w:val="22"/>
        </w:rPr>
        <w:t>: fundamentals for HR and business students . Sixth edition. London, England ; New York, New York :; London, England ; New York, New York :, Kogan Page Limited.</w:t>
      </w:r>
    </w:p>
    <w:p w14:paraId="6DC2EE5B" w14:textId="77777777" w:rsidR="00381442" w:rsidRPr="00584CE5" w:rsidRDefault="00381442" w:rsidP="00CC4454">
      <w:pPr>
        <w:rPr>
          <w:rFonts w:cs="Arial"/>
          <w:szCs w:val="22"/>
        </w:rPr>
      </w:pPr>
    </w:p>
    <w:p w14:paraId="44359822" w14:textId="77777777" w:rsidR="00CC4454" w:rsidRPr="000560C7" w:rsidRDefault="00CC4454" w:rsidP="000560C7">
      <w:pPr>
        <w:spacing w:after="160"/>
        <w:rPr>
          <w:rFonts w:cs="Arial"/>
          <w:kern w:val="2"/>
          <w:szCs w:val="22"/>
          <w14:ligatures w14:val="standardContextual"/>
        </w:rPr>
      </w:pPr>
    </w:p>
    <w:p w14:paraId="5964A394"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Employment Case Update. (2019) </w:t>
      </w:r>
      <w:r w:rsidRPr="000560C7">
        <w:rPr>
          <w:rFonts w:cs="Arial"/>
          <w:i/>
          <w:iCs/>
          <w:kern w:val="2"/>
          <w:szCs w:val="22"/>
          <w14:ligatures w14:val="standardContextual"/>
        </w:rPr>
        <w:t>Federación de Servicios de Comisiones Obreras (CCOO) v Deutsche Bank SAE (CJEU Case C-55/18)</w:t>
      </w:r>
      <w:r w:rsidRPr="000560C7">
        <w:rPr>
          <w:rFonts w:cs="Arial"/>
          <w:kern w:val="2"/>
          <w:szCs w:val="22"/>
          <w14:ligatures w14:val="standardContextual"/>
        </w:rPr>
        <w:t xml:space="preserve">. Available at: </w:t>
      </w:r>
      <w:hyperlink r:id="rId19" w:history="1">
        <w:r w:rsidRPr="000560C7">
          <w:rPr>
            <w:rFonts w:cs="Arial"/>
            <w:color w:val="0563C1" w:themeColor="hyperlink"/>
            <w:kern w:val="2"/>
            <w:szCs w:val="22"/>
            <w:u w:val="single"/>
            <w14:ligatures w14:val="standardContextual"/>
          </w:rPr>
          <w:t>Employment Cases Update: Federación de Servicios de Comisiones Obreras (CCOO) v Deutsche Bank SAE (CJEU Case C-55/18)</w:t>
        </w:r>
      </w:hyperlink>
      <w:r w:rsidRPr="000560C7">
        <w:rPr>
          <w:rFonts w:cs="Arial"/>
          <w:kern w:val="2"/>
          <w:szCs w:val="22"/>
          <w14:ligatures w14:val="standardContextual"/>
        </w:rPr>
        <w:t xml:space="preserve"> (Accessed 11 March 2025).</w:t>
      </w:r>
    </w:p>
    <w:p w14:paraId="04E45277" w14:textId="77777777" w:rsidR="000560C7" w:rsidRPr="000560C7" w:rsidRDefault="000560C7" w:rsidP="000560C7">
      <w:pPr>
        <w:spacing w:after="160"/>
        <w:rPr>
          <w:rFonts w:cs="Arial"/>
          <w:kern w:val="2"/>
          <w:szCs w:val="22"/>
          <w14:ligatures w14:val="standardContextual"/>
        </w:rPr>
      </w:pPr>
    </w:p>
    <w:p w14:paraId="463C4FB6" w14:textId="77777777" w:rsidR="000560C7" w:rsidRPr="000560C7" w:rsidRDefault="000560C7" w:rsidP="000560C7">
      <w:pPr>
        <w:spacing w:after="160"/>
        <w:rPr>
          <w:rFonts w:cs="Arial"/>
          <w:kern w:val="2"/>
          <w:szCs w:val="22"/>
          <w:lang w:eastAsia="en-GB"/>
          <w14:ligatures w14:val="standardContextual"/>
        </w:rPr>
      </w:pPr>
      <w:r w:rsidRPr="000560C7">
        <w:rPr>
          <w:rFonts w:cs="Arial"/>
          <w:kern w:val="2"/>
          <w:szCs w:val="22"/>
          <w:lang w:eastAsia="en-GB"/>
          <w14:ligatures w14:val="standardContextual"/>
        </w:rPr>
        <w:t>Equality and Human Rights Commission. (2023). </w:t>
      </w:r>
      <w:r w:rsidRPr="000560C7">
        <w:rPr>
          <w:rFonts w:cs="Arial"/>
          <w:i/>
          <w:iCs/>
          <w:kern w:val="2"/>
          <w:szCs w:val="22"/>
          <w:lang w:eastAsia="en-GB"/>
          <w14:ligatures w14:val="standardContextual"/>
        </w:rPr>
        <w:t>Employment Code of Practice</w:t>
      </w:r>
      <w:r w:rsidRPr="000560C7">
        <w:rPr>
          <w:rFonts w:cs="Arial"/>
          <w:kern w:val="2"/>
          <w:szCs w:val="22"/>
          <w:lang w:eastAsia="en-GB"/>
          <w14:ligatures w14:val="standardContextual"/>
        </w:rPr>
        <w:t>. Available at: </w:t>
      </w:r>
      <w:hyperlink r:id="rId20" w:history="1">
        <w:r w:rsidRPr="000560C7">
          <w:rPr>
            <w:rFonts w:cs="Arial"/>
            <w:color w:val="0563C1" w:themeColor="hyperlink"/>
            <w:kern w:val="2"/>
            <w:szCs w:val="22"/>
            <w:u w:val="single"/>
            <w:lang w:eastAsia="en-GB"/>
            <w14:ligatures w14:val="standardContextual"/>
          </w:rPr>
          <w:t>https://www.equalityhumanrights.com/equality/equality-act-2010/codes-practice/employment-code-practice-0</w:t>
        </w:r>
      </w:hyperlink>
      <w:r w:rsidRPr="000560C7">
        <w:rPr>
          <w:rFonts w:cs="Arial"/>
          <w:kern w:val="2"/>
          <w:szCs w:val="22"/>
          <w:lang w:eastAsia="en-GB"/>
          <w14:ligatures w14:val="standardContextual"/>
        </w:rPr>
        <w:t xml:space="preserve">  (Accessed: 3 March 2025).</w:t>
      </w:r>
    </w:p>
    <w:p w14:paraId="12CAC09A" w14:textId="77777777" w:rsidR="000560C7" w:rsidRPr="000560C7" w:rsidRDefault="000560C7" w:rsidP="000560C7">
      <w:pPr>
        <w:spacing w:after="160"/>
        <w:rPr>
          <w:rFonts w:cs="Arial"/>
          <w:kern w:val="2"/>
          <w:szCs w:val="22"/>
          <w14:ligatures w14:val="standardContextual"/>
        </w:rPr>
      </w:pPr>
    </w:p>
    <w:p w14:paraId="074B925D"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Gateley. (2022) </w:t>
      </w:r>
      <w:r w:rsidRPr="000560C7">
        <w:rPr>
          <w:rFonts w:cs="Arial"/>
          <w:i/>
          <w:iCs/>
          <w:kern w:val="2"/>
          <w:szCs w:val="22"/>
          <w14:ligatures w14:val="standardContextual"/>
        </w:rPr>
        <w:t>TUPE or not to TUPE</w:t>
      </w:r>
      <w:r w:rsidRPr="000560C7">
        <w:rPr>
          <w:rFonts w:cs="Arial"/>
          <w:kern w:val="2"/>
          <w:szCs w:val="22"/>
          <w14:ligatures w14:val="standardContextual"/>
        </w:rPr>
        <w:t>: Service provision changes. Available at: </w:t>
      </w:r>
      <w:hyperlink r:id="rId21" w:history="1">
        <w:r w:rsidRPr="000560C7">
          <w:rPr>
            <w:rFonts w:cs="Arial"/>
            <w:color w:val="0563C1" w:themeColor="hyperlink"/>
            <w:kern w:val="2"/>
            <w:szCs w:val="22"/>
            <w:u w:val="single"/>
            <w14:ligatures w14:val="standardContextual"/>
          </w:rPr>
          <w:t>https://gateleyplc.com/insight/article/tupe-or-not-to-tupe-service-provision-changes/</w:t>
        </w:r>
      </w:hyperlink>
      <w:r w:rsidRPr="000560C7">
        <w:rPr>
          <w:rFonts w:cs="Arial"/>
          <w:kern w:val="2"/>
          <w:szCs w:val="22"/>
          <w14:ligatures w14:val="standardContextual"/>
        </w:rPr>
        <w:t xml:space="preserve">  (Accessed: 1 March 2025).</w:t>
      </w:r>
    </w:p>
    <w:p w14:paraId="793AB905" w14:textId="77777777" w:rsidR="000560C7" w:rsidRPr="000560C7" w:rsidRDefault="000560C7" w:rsidP="000560C7">
      <w:pPr>
        <w:spacing w:after="160"/>
        <w:rPr>
          <w:rFonts w:cs="Arial"/>
          <w:kern w:val="2"/>
          <w:szCs w:val="22"/>
          <w14:ligatures w14:val="standardContextual"/>
        </w:rPr>
      </w:pPr>
    </w:p>
    <w:p w14:paraId="5CD900B5"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HR, Zone (2024) </w:t>
      </w:r>
      <w:r w:rsidRPr="000560C7">
        <w:rPr>
          <w:rFonts w:cs="Arial"/>
          <w:i/>
          <w:iCs/>
          <w:kern w:val="2"/>
          <w:szCs w:val="22"/>
          <w:lang w:eastAsia="en-GB"/>
          <w14:ligatures w14:val="standardContextual"/>
        </w:rPr>
        <w:t>Applying a Genuine Occupational Requirement in Recruitment.</w:t>
      </w:r>
      <w:r w:rsidRPr="000560C7">
        <w:rPr>
          <w:rFonts w:cs="Arial"/>
          <w:kern w:val="2"/>
          <w:szCs w:val="22"/>
          <w:lang w:eastAsia="en-GB"/>
          <w14:ligatures w14:val="standardContextual"/>
        </w:rPr>
        <w:t xml:space="preserve"> </w:t>
      </w:r>
      <w:r w:rsidRPr="000560C7">
        <w:rPr>
          <w:rFonts w:cs="Arial"/>
          <w:kern w:val="2"/>
          <w:szCs w:val="22"/>
          <w14:ligatures w14:val="standardContextual"/>
        </w:rPr>
        <w:t xml:space="preserve">Available at: </w:t>
      </w:r>
      <w:hyperlink r:id="rId22" w:history="1">
        <w:r w:rsidRPr="000560C7">
          <w:rPr>
            <w:rFonts w:cs="Arial"/>
            <w:color w:val="0563C1" w:themeColor="hyperlink"/>
            <w:kern w:val="2"/>
            <w:szCs w:val="22"/>
            <w:u w:val="single"/>
            <w14:ligatures w14:val="standardContextual"/>
          </w:rPr>
          <w:t>Applying a Genuine Occupational Requirement in Recruitment - HRZone</w:t>
        </w:r>
      </w:hyperlink>
      <w:r w:rsidRPr="000560C7">
        <w:rPr>
          <w:rFonts w:cs="Arial"/>
          <w:kern w:val="2"/>
          <w:szCs w:val="22"/>
          <w14:ligatures w14:val="standardContextual"/>
        </w:rPr>
        <w:t>. (Accessed 12 March 2025)</w:t>
      </w:r>
    </w:p>
    <w:p w14:paraId="0BFCFE64" w14:textId="77777777" w:rsidR="000560C7" w:rsidRPr="000560C7" w:rsidRDefault="000560C7" w:rsidP="000560C7">
      <w:pPr>
        <w:spacing w:after="160"/>
        <w:rPr>
          <w:rFonts w:cs="Arial"/>
          <w:kern w:val="2"/>
          <w:szCs w:val="22"/>
          <w:lang w:eastAsia="en-GB"/>
          <w14:ligatures w14:val="standardContextual"/>
        </w:rPr>
      </w:pPr>
    </w:p>
    <w:p w14:paraId="03B8059E"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Landy, B. (2017). </w:t>
      </w:r>
      <w:r w:rsidRPr="000560C7">
        <w:rPr>
          <w:rFonts w:cs="Arial"/>
          <w:i/>
          <w:iCs/>
          <w:kern w:val="2"/>
          <w:szCs w:val="22"/>
          <w14:ligatures w14:val="standardContextual"/>
        </w:rPr>
        <w:t>Constructive dismissal guide</w:t>
      </w:r>
      <w:r w:rsidRPr="000560C7">
        <w:rPr>
          <w:rFonts w:cs="Arial"/>
          <w:kern w:val="2"/>
          <w:szCs w:val="22"/>
          <w14:ligatures w14:val="standardContextual"/>
        </w:rPr>
        <w:t>. Available at: </w:t>
      </w:r>
      <w:hyperlink r:id="rId23" w:history="1">
        <w:r w:rsidRPr="000560C7">
          <w:rPr>
            <w:rFonts w:cs="Arial"/>
            <w:color w:val="0563C1" w:themeColor="hyperlink"/>
            <w:kern w:val="2"/>
            <w:szCs w:val="22"/>
            <w:u w:val="single"/>
            <w14:ligatures w14:val="standardContextual"/>
          </w:rPr>
          <w:t>https://www.peoplemanagement.co.uk/article/1743377/constructive-dismissal-guide</w:t>
        </w:r>
      </w:hyperlink>
      <w:r w:rsidRPr="000560C7">
        <w:rPr>
          <w:rFonts w:cs="Arial"/>
          <w:kern w:val="2"/>
          <w:szCs w:val="22"/>
          <w14:ligatures w14:val="standardContextual"/>
        </w:rPr>
        <w:t xml:space="preserve">  (Accessed: 22 February 2025).</w:t>
      </w:r>
    </w:p>
    <w:p w14:paraId="45BC3638" w14:textId="0B0D8A1C" w:rsidR="000560C7" w:rsidRPr="000560C7" w:rsidRDefault="005A2112" w:rsidP="000560C7">
      <w:pPr>
        <w:spacing w:after="160"/>
        <w:rPr>
          <w:rFonts w:cs="Arial"/>
          <w:kern w:val="2"/>
          <w:szCs w:val="22"/>
          <w14:ligatures w14:val="standardContextual"/>
        </w:rPr>
      </w:pPr>
      <w:r w:rsidRPr="005A2112">
        <w:rPr>
          <w:rFonts w:cs="Arial"/>
          <w:color w:val="000000"/>
          <w:szCs w:val="22"/>
          <w:shd w:val="clear" w:color="auto" w:fill="FFFFFF"/>
        </w:rPr>
        <w:t>Lewis, D. (2023) </w:t>
      </w:r>
      <w:r w:rsidRPr="005A2112">
        <w:rPr>
          <w:rFonts w:cs="Arial"/>
          <w:i/>
          <w:iCs/>
          <w:color w:val="000000"/>
          <w:szCs w:val="22"/>
          <w:shd w:val="clear" w:color="auto" w:fill="FFFFFF"/>
        </w:rPr>
        <w:t xml:space="preserve">Employment </w:t>
      </w:r>
      <w:r w:rsidRPr="005A2112">
        <w:rPr>
          <w:rFonts w:cs="Arial"/>
          <w:i/>
          <w:iCs/>
          <w:color w:val="000000"/>
          <w:szCs w:val="22"/>
          <w:shd w:val="clear" w:color="auto" w:fill="FFFFFF"/>
        </w:rPr>
        <w:t>la</w:t>
      </w:r>
      <w:r>
        <w:rPr>
          <w:rFonts w:cs="Arial"/>
          <w:i/>
          <w:iCs/>
          <w:color w:val="000000"/>
          <w:szCs w:val="22"/>
          <w:shd w:val="clear" w:color="auto" w:fill="FFFFFF"/>
        </w:rPr>
        <w:t>w</w:t>
      </w:r>
      <w:r w:rsidRPr="005A2112">
        <w:rPr>
          <w:rFonts w:cs="Arial"/>
          <w:i/>
          <w:iCs/>
          <w:color w:val="000000"/>
          <w:szCs w:val="22"/>
          <w:shd w:val="clear" w:color="auto" w:fill="FFFFFF"/>
        </w:rPr>
        <w:t>:</w:t>
      </w:r>
      <w:r w:rsidRPr="005A2112">
        <w:rPr>
          <w:rFonts w:cs="Arial"/>
          <w:i/>
          <w:iCs/>
          <w:color w:val="000000"/>
          <w:szCs w:val="22"/>
          <w:shd w:val="clear" w:color="auto" w:fill="FFFFFF"/>
        </w:rPr>
        <w:t xml:space="preserve"> the </w:t>
      </w:r>
      <w:r w:rsidRPr="005A2112">
        <w:rPr>
          <w:rFonts w:cs="Arial"/>
          <w:i/>
          <w:iCs/>
          <w:color w:val="000000"/>
          <w:szCs w:val="22"/>
          <w:shd w:val="clear" w:color="auto" w:fill="FFFFFF"/>
        </w:rPr>
        <w:t>essentials.</w:t>
      </w:r>
      <w:r w:rsidRPr="005A2112">
        <w:rPr>
          <w:rFonts w:cs="Arial"/>
          <w:color w:val="000000"/>
          <w:szCs w:val="22"/>
          <w:shd w:val="clear" w:color="auto" w:fill="FFFFFF"/>
        </w:rPr>
        <w:t xml:space="preserve"> Sixteenth edition. </w:t>
      </w:r>
      <w:r w:rsidRPr="005A2112">
        <w:rPr>
          <w:rFonts w:cs="Arial"/>
          <w:color w:val="000000"/>
          <w:szCs w:val="22"/>
          <w:shd w:val="clear" w:color="auto" w:fill="FFFFFF"/>
        </w:rPr>
        <w:t>London:</w:t>
      </w:r>
      <w:r w:rsidRPr="005A2112">
        <w:rPr>
          <w:rFonts w:cs="Arial"/>
          <w:color w:val="000000"/>
          <w:szCs w:val="22"/>
          <w:shd w:val="clear" w:color="auto" w:fill="FFFFFF"/>
        </w:rPr>
        <w:t>, Kogan Page.</w:t>
      </w:r>
    </w:p>
    <w:p w14:paraId="58BF354D" w14:textId="77777777" w:rsidR="005A2112" w:rsidRDefault="005A2112" w:rsidP="000560C7">
      <w:pPr>
        <w:spacing w:after="160"/>
        <w:rPr>
          <w:rFonts w:cs="Arial"/>
          <w:kern w:val="2"/>
          <w:szCs w:val="22"/>
          <w14:ligatures w14:val="standardContextual"/>
        </w:rPr>
      </w:pPr>
    </w:p>
    <w:p w14:paraId="6078E88B" w14:textId="2AB7658A" w:rsidR="000560C7" w:rsidRPr="000560C7" w:rsidRDefault="000560C7" w:rsidP="000560C7">
      <w:pPr>
        <w:spacing w:after="160"/>
        <w:rPr>
          <w:rFonts w:cs="Arial"/>
          <w:kern w:val="2"/>
          <w:szCs w:val="22"/>
          <w:lang w:eastAsia="en-GB"/>
          <w14:ligatures w14:val="standardContextual"/>
        </w:rPr>
      </w:pPr>
      <w:r w:rsidRPr="000560C7">
        <w:rPr>
          <w:rFonts w:cs="Arial"/>
          <w:kern w:val="2"/>
          <w:szCs w:val="22"/>
          <w14:ligatures w14:val="standardContextual"/>
        </w:rPr>
        <w:lastRenderedPageBreak/>
        <w:t>McCartney,</w:t>
      </w:r>
      <w:r w:rsidRPr="000560C7">
        <w:rPr>
          <w:rFonts w:cs="Arial"/>
          <w:kern w:val="2"/>
          <w:szCs w:val="22"/>
          <w:lang w:eastAsia="en-GB"/>
          <w14:ligatures w14:val="standardContextual"/>
        </w:rPr>
        <w:t xml:space="preserve"> C. (2023). </w:t>
      </w:r>
      <w:r w:rsidRPr="000560C7">
        <w:rPr>
          <w:rFonts w:cs="Arial"/>
          <w:i/>
          <w:iCs/>
          <w:kern w:val="2"/>
          <w:szCs w:val="22"/>
          <w:lang w:eastAsia="en-GB"/>
          <w14:ligatures w14:val="standardContextual"/>
        </w:rPr>
        <w:t>Flexible working</w:t>
      </w:r>
      <w:r w:rsidRPr="000560C7">
        <w:rPr>
          <w:rFonts w:cs="Arial"/>
          <w:kern w:val="2"/>
          <w:szCs w:val="22"/>
          <w:lang w:eastAsia="en-GB"/>
          <w14:ligatures w14:val="standardContextual"/>
        </w:rPr>
        <w:t>: Factsheet. Available at: </w:t>
      </w:r>
      <w:hyperlink r:id="rId24" w:history="1">
        <w:r w:rsidRPr="000560C7">
          <w:rPr>
            <w:rFonts w:cs="Arial"/>
            <w:color w:val="0563C1" w:themeColor="hyperlink"/>
            <w:kern w:val="2"/>
            <w:szCs w:val="22"/>
            <w:u w:val="single"/>
            <w:lang w:eastAsia="en-GB"/>
            <w14:ligatures w14:val="standardContextual"/>
          </w:rPr>
          <w:t>https://www.cipd.org/uk/knowledge/factsheets/flexible-working-factsheet/#title2</w:t>
        </w:r>
      </w:hyperlink>
      <w:r w:rsidRPr="000560C7">
        <w:rPr>
          <w:rFonts w:cs="Arial"/>
          <w:kern w:val="2"/>
          <w:szCs w:val="22"/>
          <w:lang w:eastAsia="en-GB"/>
          <w14:ligatures w14:val="standardContextual"/>
        </w:rPr>
        <w:t xml:space="preserve">  (Accessed: 3 March 2025).</w:t>
      </w:r>
    </w:p>
    <w:p w14:paraId="197E1369" w14:textId="77777777" w:rsidR="000560C7" w:rsidRPr="000560C7" w:rsidRDefault="000560C7" w:rsidP="000560C7">
      <w:pPr>
        <w:spacing w:after="160"/>
        <w:rPr>
          <w:rFonts w:cs="Arial"/>
          <w:kern w:val="2"/>
          <w:szCs w:val="22"/>
          <w14:ligatures w14:val="standardContextual"/>
        </w:rPr>
      </w:pPr>
    </w:p>
    <w:p w14:paraId="14BB60BD"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Maternity Action (2025) </w:t>
      </w:r>
      <w:r w:rsidRPr="000560C7">
        <w:rPr>
          <w:rFonts w:cs="Arial"/>
          <w:i/>
          <w:iCs/>
          <w:kern w:val="2"/>
          <w:szCs w:val="22"/>
          <w14:ligatures w14:val="standardContextual"/>
        </w:rPr>
        <w:t>Discrimination during maternity leave and on return to work.</w:t>
      </w:r>
      <w:r w:rsidRPr="000560C7">
        <w:rPr>
          <w:rFonts w:cs="Arial"/>
          <w:kern w:val="2"/>
          <w:szCs w:val="22"/>
          <w14:ligatures w14:val="standardContextual"/>
        </w:rPr>
        <w:t xml:space="preserve"> Available at: </w:t>
      </w:r>
      <w:hyperlink r:id="rId25" w:history="1">
        <w:r w:rsidRPr="000560C7">
          <w:rPr>
            <w:rFonts w:cs="Arial"/>
            <w:color w:val="0563C1" w:themeColor="hyperlink"/>
            <w:kern w:val="2"/>
            <w:szCs w:val="22"/>
            <w:u w:val="single"/>
            <w14:ligatures w14:val="standardContextual"/>
          </w:rPr>
          <w:t>https://maternityaction.org.uk/advice/discrimination-during-maternity-leave-and-on-return-to-work/</w:t>
        </w:r>
      </w:hyperlink>
      <w:r w:rsidRPr="000560C7">
        <w:rPr>
          <w:rFonts w:cs="Arial"/>
          <w:kern w:val="2"/>
          <w:szCs w:val="22"/>
          <w14:ligatures w14:val="standardContextual"/>
        </w:rPr>
        <w:t xml:space="preserve">  (Accessed: 1 March 2025).</w:t>
      </w:r>
    </w:p>
    <w:p w14:paraId="737AF1F9" w14:textId="77777777" w:rsidR="000560C7" w:rsidRPr="000560C7" w:rsidRDefault="000560C7" w:rsidP="000560C7">
      <w:pPr>
        <w:spacing w:after="160"/>
        <w:rPr>
          <w:rFonts w:cs="Arial"/>
          <w:kern w:val="2"/>
          <w:szCs w:val="22"/>
          <w14:ligatures w14:val="standardContextual"/>
        </w:rPr>
      </w:pPr>
    </w:p>
    <w:p w14:paraId="4EA1C9F4"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Morris, D. (2025) </w:t>
      </w:r>
      <w:r w:rsidRPr="000560C7">
        <w:rPr>
          <w:rFonts w:cs="Arial"/>
          <w:i/>
          <w:iCs/>
          <w:kern w:val="2"/>
          <w:szCs w:val="22"/>
          <w14:ligatures w14:val="standardContextual"/>
        </w:rPr>
        <w:t>HR Form for Redundancy’s.</w:t>
      </w:r>
      <w:r w:rsidRPr="000560C7">
        <w:rPr>
          <w:rFonts w:cs="Arial"/>
          <w:kern w:val="2"/>
          <w:szCs w:val="22"/>
          <w14:ligatures w14:val="standardContextual"/>
        </w:rPr>
        <w:t xml:space="preserve"> Available at: </w:t>
      </w:r>
      <w:hyperlink r:id="rId26" w:history="1">
        <w:r w:rsidRPr="000560C7">
          <w:rPr>
            <w:rFonts w:cs="Arial"/>
            <w:color w:val="0563C1" w:themeColor="hyperlink"/>
            <w:kern w:val="2"/>
            <w:szCs w:val="22"/>
            <w:u w:val="single"/>
            <w14:ligatures w14:val="standardContextual"/>
          </w:rPr>
          <w:t>HR1 Form for Redundancies | DavidsonMorris</w:t>
        </w:r>
      </w:hyperlink>
      <w:r w:rsidRPr="000560C7">
        <w:rPr>
          <w:rFonts w:cs="Arial"/>
          <w:kern w:val="2"/>
          <w:szCs w:val="22"/>
          <w14:ligatures w14:val="standardContextual"/>
        </w:rPr>
        <w:t xml:space="preserve"> (Accessed 23 February 2025). </w:t>
      </w:r>
    </w:p>
    <w:p w14:paraId="2FCD7015" w14:textId="77777777" w:rsidR="000560C7" w:rsidRPr="000560C7" w:rsidRDefault="000560C7" w:rsidP="000560C7">
      <w:pPr>
        <w:spacing w:after="160"/>
        <w:rPr>
          <w:rFonts w:cs="Arial"/>
          <w:kern w:val="2"/>
          <w:szCs w:val="22"/>
          <w14:ligatures w14:val="standardContextual"/>
        </w:rPr>
      </w:pPr>
    </w:p>
    <w:p w14:paraId="77519251"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People Management. (2025). </w:t>
      </w:r>
      <w:r w:rsidRPr="000560C7">
        <w:rPr>
          <w:rFonts w:cs="Arial"/>
          <w:i/>
          <w:iCs/>
          <w:kern w:val="2"/>
          <w:szCs w:val="22"/>
          <w14:ligatures w14:val="standardContextual"/>
        </w:rPr>
        <w:t>Employment law: What to expect in 2025.</w:t>
      </w:r>
      <w:r w:rsidRPr="000560C7">
        <w:rPr>
          <w:rFonts w:cs="Arial"/>
          <w:kern w:val="2"/>
          <w:szCs w:val="22"/>
          <w14:ligatures w14:val="standardContextual"/>
        </w:rPr>
        <w:t xml:space="preserve"> [online] Available at: </w:t>
      </w:r>
      <w:hyperlink r:id="rId27" w:history="1">
        <w:r w:rsidRPr="000560C7">
          <w:rPr>
            <w:rFonts w:cs="Arial"/>
            <w:color w:val="0563C1" w:themeColor="hyperlink"/>
            <w:kern w:val="2"/>
            <w:szCs w:val="22"/>
            <w:u w:val="single"/>
            <w14:ligatures w14:val="standardContextual"/>
          </w:rPr>
          <w:t>https://www.peoplemanagement.co.uk/article/1901051/employment-law-expect-2025</w:t>
        </w:r>
      </w:hyperlink>
      <w:r w:rsidRPr="000560C7">
        <w:rPr>
          <w:rFonts w:cs="Arial"/>
          <w:kern w:val="2"/>
          <w:szCs w:val="22"/>
          <w14:ligatures w14:val="standardContextual"/>
        </w:rPr>
        <w:t xml:space="preserve">  (Accessed 2 Mar. 2025).</w:t>
      </w:r>
    </w:p>
    <w:p w14:paraId="0F673294" w14:textId="77777777" w:rsidR="000560C7" w:rsidRPr="000560C7" w:rsidRDefault="000560C7" w:rsidP="000560C7">
      <w:pPr>
        <w:spacing w:after="160"/>
        <w:rPr>
          <w:rFonts w:cs="Arial"/>
          <w:kern w:val="2"/>
          <w:szCs w:val="22"/>
          <w14:ligatures w14:val="standardContextual"/>
        </w:rPr>
      </w:pPr>
    </w:p>
    <w:p w14:paraId="050C02B4"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Public Sector Pay. (2024) </w:t>
      </w:r>
      <w:r w:rsidRPr="000560C7">
        <w:rPr>
          <w:rFonts w:cs="Arial"/>
          <w:i/>
          <w:iCs/>
          <w:kern w:val="2"/>
          <w:szCs w:val="22"/>
          <w14:ligatures w14:val="standardContextual"/>
        </w:rPr>
        <w:t>NHS Annual Leave.</w:t>
      </w:r>
      <w:r w:rsidRPr="000560C7">
        <w:rPr>
          <w:rFonts w:cs="Arial"/>
          <w:kern w:val="2"/>
          <w:szCs w:val="22"/>
          <w14:ligatures w14:val="standardContextual"/>
        </w:rPr>
        <w:t xml:space="preserve"> Available at:  (</w:t>
      </w:r>
      <w:hyperlink r:id="rId28" w:history="1">
        <w:r w:rsidRPr="000560C7">
          <w:rPr>
            <w:rFonts w:cs="Arial"/>
            <w:color w:val="0000FF"/>
            <w:kern w:val="2"/>
            <w:szCs w:val="22"/>
            <w:u w:val="single"/>
            <w14:ligatures w14:val="standardContextual"/>
          </w:rPr>
          <w:t>NHS Annual Leave – Public Sector Pay</w:t>
        </w:r>
      </w:hyperlink>
      <w:r w:rsidRPr="000560C7">
        <w:rPr>
          <w:rFonts w:cs="Arial"/>
          <w:kern w:val="2"/>
          <w:szCs w:val="22"/>
          <w14:ligatures w14:val="standardContextual"/>
        </w:rPr>
        <w:t>. (Accessed 1 March 2025)</w:t>
      </w:r>
    </w:p>
    <w:p w14:paraId="38D069F0" w14:textId="77777777" w:rsidR="000560C7" w:rsidRPr="000560C7" w:rsidRDefault="000560C7" w:rsidP="000560C7">
      <w:pPr>
        <w:spacing w:after="160"/>
        <w:rPr>
          <w:rFonts w:cs="Arial"/>
          <w:kern w:val="2"/>
          <w:szCs w:val="22"/>
          <w14:ligatures w14:val="standardContextual"/>
        </w:rPr>
      </w:pPr>
    </w:p>
    <w:p w14:paraId="2E7CFF05"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Trade Union Congress (no date). </w:t>
      </w:r>
      <w:r w:rsidRPr="000560C7">
        <w:rPr>
          <w:rFonts w:cs="Arial"/>
          <w:i/>
          <w:iCs/>
          <w:kern w:val="2"/>
          <w:szCs w:val="22"/>
          <w14:ligatures w14:val="standardContextual"/>
        </w:rPr>
        <w:t>How Fords striking women drove The Equal Pay Act</w:t>
      </w:r>
      <w:r w:rsidRPr="000560C7">
        <w:rPr>
          <w:rFonts w:cs="Arial"/>
          <w:kern w:val="2"/>
          <w:szCs w:val="22"/>
          <w14:ligatures w14:val="standardContextual"/>
        </w:rPr>
        <w:t xml:space="preserve">. Available at: </w:t>
      </w:r>
      <w:hyperlink r:id="rId29" w:history="1">
        <w:r w:rsidRPr="000560C7">
          <w:rPr>
            <w:rFonts w:cs="Arial"/>
            <w:color w:val="0000FF"/>
            <w:kern w:val="2"/>
            <w:szCs w:val="22"/>
            <w:u w:val="single"/>
            <w14:ligatures w14:val="standardContextual"/>
          </w:rPr>
          <w:t>How Ford’s striking women drove the Equal Pay Act | TUC</w:t>
        </w:r>
      </w:hyperlink>
      <w:r w:rsidRPr="000560C7">
        <w:rPr>
          <w:rFonts w:cs="Arial"/>
          <w:kern w:val="2"/>
          <w:szCs w:val="22"/>
          <w14:ligatures w14:val="standardContextual"/>
        </w:rPr>
        <w:t xml:space="preserve"> (Accessed 11 March 2025).</w:t>
      </w:r>
    </w:p>
    <w:p w14:paraId="0C502CB3" w14:textId="77777777" w:rsidR="000560C7" w:rsidRPr="000560C7" w:rsidRDefault="000560C7" w:rsidP="000560C7">
      <w:pPr>
        <w:spacing w:after="160"/>
        <w:rPr>
          <w:rFonts w:cs="Arial"/>
          <w:color w:val="808080"/>
          <w:kern w:val="2"/>
          <w:szCs w:val="22"/>
          <w:shd w:val="clear" w:color="auto" w:fill="FFFFFF"/>
          <w14:ligatures w14:val="standardContextual"/>
        </w:rPr>
      </w:pPr>
    </w:p>
    <w:p w14:paraId="7ACF863F"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UK Government. (2023). </w:t>
      </w:r>
      <w:r w:rsidRPr="000560C7">
        <w:rPr>
          <w:rFonts w:cs="Arial"/>
          <w:i/>
          <w:iCs/>
          <w:kern w:val="2"/>
          <w:szCs w:val="22"/>
          <w14:ligatures w14:val="standardContextual"/>
        </w:rPr>
        <w:t>Protection from Redundancy</w:t>
      </w:r>
      <w:r w:rsidRPr="000560C7">
        <w:rPr>
          <w:rFonts w:cs="Arial"/>
          <w:kern w:val="2"/>
          <w:szCs w:val="22"/>
          <w14:ligatures w14:val="standardContextual"/>
        </w:rPr>
        <w:t xml:space="preserve"> (Pregnancy and Family Leave) Act 2023: Introduction. Available at: </w:t>
      </w:r>
      <w:hyperlink r:id="rId30" w:history="1">
        <w:r w:rsidRPr="000560C7">
          <w:rPr>
            <w:rFonts w:cs="Arial"/>
            <w:color w:val="0563C1" w:themeColor="hyperlink"/>
            <w:kern w:val="2"/>
            <w:szCs w:val="22"/>
            <w:u w:val="single"/>
            <w14:ligatures w14:val="standardContextual"/>
          </w:rPr>
          <w:t>https://www.legislation.gov.uk/ukpga/2023/17/introduction</w:t>
        </w:r>
      </w:hyperlink>
      <w:r w:rsidRPr="000560C7">
        <w:rPr>
          <w:rFonts w:cs="Arial"/>
          <w:kern w:val="2"/>
          <w:szCs w:val="22"/>
          <w14:ligatures w14:val="standardContextual"/>
        </w:rPr>
        <w:t xml:space="preserve">  (Accessed: 23 February 2025)</w:t>
      </w:r>
    </w:p>
    <w:p w14:paraId="065E1A13" w14:textId="77777777" w:rsidR="000560C7" w:rsidRPr="000560C7" w:rsidRDefault="000560C7" w:rsidP="000560C7">
      <w:pPr>
        <w:spacing w:after="160"/>
        <w:rPr>
          <w:rFonts w:cs="Arial"/>
          <w:kern w:val="2"/>
          <w:szCs w:val="22"/>
          <w14:ligatures w14:val="standardContextual"/>
        </w:rPr>
      </w:pPr>
    </w:p>
    <w:p w14:paraId="631AEFB1" w14:textId="77777777" w:rsidR="000560C7" w:rsidRPr="000560C7" w:rsidRDefault="000560C7" w:rsidP="000560C7">
      <w:pPr>
        <w:spacing w:after="160"/>
        <w:rPr>
          <w:rFonts w:cs="Arial"/>
          <w:kern w:val="2"/>
          <w:szCs w:val="22"/>
          <w:lang w:eastAsia="en-GB"/>
          <w14:ligatures w14:val="standardContextual"/>
        </w:rPr>
      </w:pPr>
      <w:r w:rsidRPr="000560C7">
        <w:rPr>
          <w:rFonts w:cs="Arial"/>
          <w:kern w:val="2"/>
          <w:szCs w:val="22"/>
          <w:lang w:eastAsia="en-GB"/>
          <w14:ligatures w14:val="standardContextual"/>
        </w:rPr>
        <w:t>UK Government. (2023a). </w:t>
      </w:r>
      <w:r w:rsidRPr="000560C7">
        <w:rPr>
          <w:rFonts w:cs="Arial"/>
          <w:i/>
          <w:iCs/>
          <w:kern w:val="2"/>
          <w:szCs w:val="22"/>
          <w:lang w:eastAsia="en-GB"/>
          <w14:ligatures w14:val="standardContextual"/>
        </w:rPr>
        <w:t>Employment status and employment rights: Guidance for HR professionals, legal professionals and other groups.</w:t>
      </w:r>
      <w:r w:rsidRPr="000560C7">
        <w:rPr>
          <w:rFonts w:cs="Arial"/>
          <w:kern w:val="2"/>
          <w:szCs w:val="22"/>
          <w:lang w:eastAsia="en-GB"/>
          <w14:ligatures w14:val="standardContextual"/>
        </w:rPr>
        <w:t xml:space="preserve"> Available at: </w:t>
      </w:r>
      <w:hyperlink r:id="rId31" w:history="1">
        <w:r w:rsidRPr="000560C7">
          <w:rPr>
            <w:rFonts w:cs="Arial"/>
            <w:color w:val="0563C1" w:themeColor="hyperlink"/>
            <w:kern w:val="2"/>
            <w:szCs w:val="22"/>
            <w:u w:val="single"/>
            <w:lang w:eastAsia="en-GB"/>
            <w14:ligatures w14:val="standardContextual"/>
          </w:rPr>
          <w:t>https://www.gov.uk/government/publications/employment-status-and-employment-rights/employment-status-and-employment-rights-guidance-for-hr-professionals-legal-professionals-and-other-groups</w:t>
        </w:r>
      </w:hyperlink>
      <w:r w:rsidRPr="000560C7">
        <w:rPr>
          <w:rFonts w:cs="Arial"/>
          <w:kern w:val="2"/>
          <w:szCs w:val="22"/>
          <w:lang w:eastAsia="en-GB"/>
          <w14:ligatures w14:val="standardContextual"/>
        </w:rPr>
        <w:t xml:space="preserve">  (Accessed: 3 March 2025).</w:t>
      </w:r>
    </w:p>
    <w:p w14:paraId="1B6A3A43" w14:textId="77777777" w:rsidR="000560C7" w:rsidRPr="000560C7" w:rsidRDefault="000560C7" w:rsidP="000560C7">
      <w:pPr>
        <w:spacing w:after="160"/>
        <w:rPr>
          <w:rFonts w:cs="Arial"/>
          <w:kern w:val="2"/>
          <w:szCs w:val="22"/>
          <w14:ligatures w14:val="standardContextual"/>
        </w:rPr>
      </w:pPr>
    </w:p>
    <w:p w14:paraId="5549D177" w14:textId="77777777" w:rsidR="000560C7" w:rsidRPr="000560C7" w:rsidRDefault="000560C7" w:rsidP="000560C7">
      <w:pPr>
        <w:spacing w:after="160"/>
        <w:rPr>
          <w:rFonts w:cs="Arial"/>
          <w:kern w:val="2"/>
          <w:szCs w:val="22"/>
          <w14:ligatures w14:val="standardContextual"/>
        </w:rPr>
      </w:pPr>
    </w:p>
    <w:p w14:paraId="0BF593C2"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UK Government. (2025) </w:t>
      </w:r>
      <w:r w:rsidRPr="000560C7">
        <w:rPr>
          <w:rFonts w:cs="Arial"/>
          <w:i/>
          <w:iCs/>
          <w:kern w:val="2"/>
          <w:szCs w:val="22"/>
          <w14:ligatures w14:val="standardContextual"/>
        </w:rPr>
        <w:t>Transfers of employment contracts</w:t>
      </w:r>
      <w:r w:rsidRPr="000560C7">
        <w:rPr>
          <w:rFonts w:cs="Arial"/>
          <w:kern w:val="2"/>
          <w:szCs w:val="22"/>
          <w14:ligatures w14:val="standardContextual"/>
        </w:rPr>
        <w:t>. Available at: </w:t>
      </w:r>
      <w:hyperlink r:id="rId32" w:history="1">
        <w:r w:rsidRPr="000560C7">
          <w:rPr>
            <w:rFonts w:cs="Arial"/>
            <w:color w:val="0563C1" w:themeColor="hyperlink"/>
            <w:kern w:val="2"/>
            <w:szCs w:val="22"/>
            <w:u w:val="single"/>
            <w14:ligatures w14:val="standardContextual"/>
          </w:rPr>
          <w:t>https://www.gov.uk/transfers-takeovers/transfers-of-employment-contracts</w:t>
        </w:r>
      </w:hyperlink>
      <w:r w:rsidRPr="000560C7">
        <w:rPr>
          <w:rFonts w:cs="Arial"/>
          <w:kern w:val="2"/>
          <w:szCs w:val="22"/>
          <w14:ligatures w14:val="standardContextual"/>
        </w:rPr>
        <w:t xml:space="preserve">  (Accessed: 1 March 2025).</w:t>
      </w:r>
    </w:p>
    <w:p w14:paraId="67321E90" w14:textId="77777777" w:rsidR="000560C7" w:rsidRPr="000560C7" w:rsidRDefault="000560C7" w:rsidP="000560C7">
      <w:pPr>
        <w:spacing w:after="160"/>
        <w:rPr>
          <w:rFonts w:cs="Arial"/>
          <w:kern w:val="2"/>
          <w:szCs w:val="22"/>
          <w14:ligatures w14:val="standardContextual"/>
        </w:rPr>
      </w:pPr>
    </w:p>
    <w:p w14:paraId="08CB7726" w14:textId="77777777" w:rsidR="000560C7" w:rsidRDefault="000560C7" w:rsidP="000560C7">
      <w:pPr>
        <w:spacing w:after="160"/>
        <w:rPr>
          <w:rFonts w:cs="Arial"/>
          <w:kern w:val="2"/>
          <w:szCs w:val="22"/>
          <w14:ligatures w14:val="standardContextual"/>
        </w:rPr>
      </w:pPr>
      <w:r w:rsidRPr="000560C7">
        <w:rPr>
          <w:rFonts w:cs="Arial"/>
          <w:kern w:val="2"/>
          <w:szCs w:val="22"/>
          <w14:ligatures w14:val="standardContextual"/>
        </w:rPr>
        <w:t>UK Government. (1992). </w:t>
      </w:r>
      <w:r w:rsidRPr="000560C7">
        <w:rPr>
          <w:rFonts w:cs="Arial"/>
          <w:i/>
          <w:iCs/>
          <w:kern w:val="2"/>
          <w:szCs w:val="22"/>
          <w14:ligatures w14:val="standardContextual"/>
        </w:rPr>
        <w:t>Trade Union and Labour Relations</w:t>
      </w:r>
      <w:r w:rsidRPr="000560C7">
        <w:rPr>
          <w:rFonts w:cs="Arial"/>
          <w:kern w:val="2"/>
          <w:szCs w:val="22"/>
          <w14:ligatures w14:val="standardContextual"/>
        </w:rPr>
        <w:t xml:space="preserve"> (Consolidation) Act 1992: Contents. Available at: </w:t>
      </w:r>
      <w:hyperlink r:id="rId33" w:history="1">
        <w:r w:rsidRPr="000560C7">
          <w:rPr>
            <w:rFonts w:cs="Arial"/>
            <w:color w:val="0563C1" w:themeColor="hyperlink"/>
            <w:kern w:val="2"/>
            <w:szCs w:val="22"/>
            <w:u w:val="single"/>
            <w14:ligatures w14:val="standardContextual"/>
          </w:rPr>
          <w:t>https://www.legislation.gov.uk/ukpga/1992/52/contents</w:t>
        </w:r>
      </w:hyperlink>
      <w:r w:rsidRPr="000560C7">
        <w:rPr>
          <w:rFonts w:cs="Arial"/>
          <w:kern w:val="2"/>
          <w:szCs w:val="22"/>
          <w14:ligatures w14:val="standardContextual"/>
        </w:rPr>
        <w:t xml:space="preserve">  (Accessed: 23 February 2025)</w:t>
      </w:r>
    </w:p>
    <w:p w14:paraId="61AA0236" w14:textId="77777777" w:rsidR="005C75BC" w:rsidRDefault="005C75BC" w:rsidP="000560C7">
      <w:pPr>
        <w:spacing w:after="160"/>
        <w:rPr>
          <w:rFonts w:cs="Arial"/>
          <w:kern w:val="2"/>
          <w:szCs w:val="22"/>
          <w14:ligatures w14:val="standardContextual"/>
        </w:rPr>
      </w:pPr>
    </w:p>
    <w:p w14:paraId="51CB8FE9" w14:textId="6A1E99CC" w:rsidR="005C75BC" w:rsidRPr="005C75BC" w:rsidRDefault="005C75BC" w:rsidP="005C75BC">
      <w:r w:rsidRPr="005C75BC">
        <w:t>GOV.UK. (</w:t>
      </w:r>
      <w:r>
        <w:t>no date</w:t>
      </w:r>
      <w:r w:rsidRPr="005C75BC">
        <w:t xml:space="preserve">). </w:t>
      </w:r>
      <w:r w:rsidRPr="005C75BC">
        <w:rPr>
          <w:i/>
          <w:iCs/>
        </w:rPr>
        <w:t>Shared Parental Leave and Pay</w:t>
      </w:r>
      <w:r w:rsidRPr="005C75BC">
        <w:t>. Available at: </w:t>
      </w:r>
      <w:hyperlink r:id="rId34" w:history="1">
        <w:r w:rsidRPr="003F51BD">
          <w:rPr>
            <w:rStyle w:val="Hyperlink"/>
          </w:rPr>
          <w:t>https://www.gov.uk/shared-parental-leave-and-pay</w:t>
        </w:r>
      </w:hyperlink>
      <w:r>
        <w:t xml:space="preserve"> </w:t>
      </w:r>
      <w:r w:rsidRPr="005C75BC">
        <w:t> (Accessed: 14 March 2025)</w:t>
      </w:r>
    </w:p>
    <w:p w14:paraId="46D22C61" w14:textId="77777777" w:rsidR="005C75BC" w:rsidRPr="000560C7" w:rsidRDefault="005C75BC" w:rsidP="000560C7">
      <w:pPr>
        <w:spacing w:after="160"/>
        <w:rPr>
          <w:rFonts w:cs="Arial"/>
          <w:kern w:val="2"/>
          <w:szCs w:val="22"/>
          <w14:ligatures w14:val="standardContextual"/>
        </w:rPr>
      </w:pPr>
    </w:p>
    <w:p w14:paraId="00A69173" w14:textId="77777777" w:rsidR="000560C7" w:rsidRPr="000560C7" w:rsidRDefault="000560C7" w:rsidP="000560C7">
      <w:pPr>
        <w:spacing w:after="160"/>
        <w:rPr>
          <w:rFonts w:cs="Arial"/>
          <w:kern w:val="2"/>
          <w:szCs w:val="22"/>
          <w14:ligatures w14:val="standardContextual"/>
        </w:rPr>
      </w:pPr>
    </w:p>
    <w:p w14:paraId="11269570" w14:textId="77777777" w:rsidR="000560C7" w:rsidRPr="000560C7" w:rsidRDefault="000560C7" w:rsidP="000560C7">
      <w:pPr>
        <w:spacing w:after="160"/>
        <w:rPr>
          <w:rFonts w:cs="Arial"/>
          <w:kern w:val="2"/>
          <w:szCs w:val="22"/>
          <w:u w:val="single"/>
          <w14:ligatures w14:val="standardContextual"/>
        </w:rPr>
      </w:pPr>
      <w:r w:rsidRPr="000560C7">
        <w:rPr>
          <w:rFonts w:cs="Arial"/>
          <w:kern w:val="2"/>
          <w:szCs w:val="22"/>
          <w:u w:val="single"/>
          <w14:ligatures w14:val="standardContextual"/>
        </w:rPr>
        <w:t xml:space="preserve">Bibliography </w:t>
      </w:r>
    </w:p>
    <w:p w14:paraId="103FA70F"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 xml:space="preserve">Daniels, K. (2022) </w:t>
      </w:r>
      <w:r w:rsidRPr="000560C7">
        <w:rPr>
          <w:rFonts w:cs="Arial"/>
          <w:i/>
          <w:iCs/>
          <w:kern w:val="2"/>
          <w:szCs w:val="22"/>
          <w14:ligatures w14:val="standardContextual"/>
        </w:rPr>
        <w:t>Introduction to Employment Law</w:t>
      </w:r>
      <w:r w:rsidRPr="000560C7">
        <w:rPr>
          <w:rFonts w:cs="Arial"/>
          <w:kern w:val="2"/>
          <w:szCs w:val="22"/>
          <w14:ligatures w14:val="standardContextual"/>
        </w:rPr>
        <w:t xml:space="preserve">. Fundamentals for HR and Business Students (6 ed.). London: CIPD </w:t>
      </w:r>
    </w:p>
    <w:p w14:paraId="74F8A05B" w14:textId="77777777" w:rsidR="000560C7" w:rsidRPr="000560C7" w:rsidRDefault="000560C7" w:rsidP="000560C7">
      <w:pPr>
        <w:spacing w:after="160"/>
        <w:rPr>
          <w:rFonts w:cs="Arial"/>
          <w:kern w:val="2"/>
          <w:szCs w:val="22"/>
          <w14:ligatures w14:val="standardContextual"/>
        </w:rPr>
      </w:pPr>
      <w:r w:rsidRPr="000560C7">
        <w:rPr>
          <w:rFonts w:cs="Arial"/>
          <w:kern w:val="2"/>
          <w:szCs w:val="22"/>
          <w14:ligatures w14:val="standardContextual"/>
        </w:rPr>
        <w:t>Armstrong’s Book of HRM Practice Armstrong and Taylor 16th ed</w:t>
      </w:r>
    </w:p>
    <w:p w14:paraId="6C6414BC" w14:textId="77777777" w:rsidR="000560C7" w:rsidRPr="00584CE5" w:rsidRDefault="000560C7" w:rsidP="3ED70C7D">
      <w:pPr>
        <w:rPr>
          <w:rFonts w:cs="Arial"/>
          <w:szCs w:val="22"/>
        </w:rPr>
      </w:pPr>
    </w:p>
    <w:p w14:paraId="7E7635EF" w14:textId="77777777" w:rsidR="000560C7" w:rsidRPr="00584CE5" w:rsidRDefault="000560C7" w:rsidP="3ED70C7D">
      <w:pPr>
        <w:rPr>
          <w:rFonts w:cs="Arial"/>
          <w:color w:val="FF0000"/>
          <w:szCs w:val="22"/>
        </w:rPr>
      </w:pPr>
    </w:p>
    <w:sectPr w:rsidR="000560C7" w:rsidRPr="00584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E4C1A"/>
    <w:multiLevelType w:val="multilevel"/>
    <w:tmpl w:val="8090A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B8378B"/>
    <w:multiLevelType w:val="multilevel"/>
    <w:tmpl w:val="19FE9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6B5935"/>
    <w:multiLevelType w:val="multilevel"/>
    <w:tmpl w:val="3BDCB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7772E5"/>
    <w:multiLevelType w:val="multilevel"/>
    <w:tmpl w:val="39409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4A7334"/>
    <w:multiLevelType w:val="multilevel"/>
    <w:tmpl w:val="DF3EDD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9236788">
    <w:abstractNumId w:val="1"/>
  </w:num>
  <w:num w:numId="2" w16cid:durableId="794980765">
    <w:abstractNumId w:val="2"/>
  </w:num>
  <w:num w:numId="3" w16cid:durableId="1314027299">
    <w:abstractNumId w:val="0"/>
  </w:num>
  <w:num w:numId="4" w16cid:durableId="1226379144">
    <w:abstractNumId w:val="3"/>
  </w:num>
  <w:num w:numId="5" w16cid:durableId="1260718191">
    <w:abstractNumId w:val="4"/>
  </w:num>
  <w:num w:numId="6" w16cid:durableId="47386393">
    <w:abstractNumId w:val="4"/>
    <w:lvlOverride w:ilvl="1">
      <w:lvl w:ilvl="1">
        <w:numFmt w:val="bullet"/>
        <w:lvlText w:val=""/>
        <w:lvlJc w:val="left"/>
        <w:pPr>
          <w:tabs>
            <w:tab w:val="num" w:pos="1440"/>
          </w:tabs>
          <w:ind w:left="1440" w:hanging="360"/>
        </w:pPr>
        <w:rPr>
          <w:rFonts w:ascii="Symbol" w:hAnsi="Symbol" w:hint="default"/>
          <w:sz w:val="20"/>
        </w:rPr>
      </w:lvl>
    </w:lvlOverride>
  </w:num>
  <w:num w:numId="7" w16cid:durableId="551313648">
    <w:abstractNumId w:val="4"/>
    <w:lvlOverride w:ilvl="1">
      <w:lvl w:ilvl="1">
        <w:numFmt w:val="bullet"/>
        <w:lvlText w:val=""/>
        <w:lvlJc w:val="left"/>
        <w:pPr>
          <w:tabs>
            <w:tab w:val="num" w:pos="1440"/>
          </w:tabs>
          <w:ind w:left="1440" w:hanging="360"/>
        </w:pPr>
        <w:rPr>
          <w:rFonts w:ascii="Symbol" w:hAnsi="Symbol" w:hint="default"/>
          <w:sz w:val="20"/>
        </w:rPr>
      </w:lvl>
    </w:lvlOverride>
  </w:num>
  <w:num w:numId="8" w16cid:durableId="887570020">
    <w:abstractNumId w:val="4"/>
    <w:lvlOverride w:ilvl="1">
      <w:lvl w:ilvl="1">
        <w:numFmt w:val="bullet"/>
        <w:lvlText w:val=""/>
        <w:lvlJc w:val="left"/>
        <w:pPr>
          <w:tabs>
            <w:tab w:val="num" w:pos="1440"/>
          </w:tabs>
          <w:ind w:left="1440" w:hanging="360"/>
        </w:pPr>
        <w:rPr>
          <w:rFonts w:ascii="Symbol" w:hAnsi="Symbol" w:hint="default"/>
          <w:sz w:val="20"/>
        </w:rPr>
      </w:lvl>
    </w:lvlOverride>
  </w:num>
  <w:num w:numId="9" w16cid:durableId="867186063">
    <w:abstractNumId w:val="4"/>
    <w:lvlOverride w:ilvl="1">
      <w:lvl w:ilvl="1">
        <w:numFmt w:val="bullet"/>
        <w:lvlText w:val=""/>
        <w:lvlJc w:val="left"/>
        <w:pPr>
          <w:tabs>
            <w:tab w:val="num" w:pos="1440"/>
          </w:tabs>
          <w:ind w:left="1440" w:hanging="360"/>
        </w:pPr>
        <w:rPr>
          <w:rFonts w:ascii="Symbol" w:hAnsi="Symbol" w:hint="default"/>
          <w:sz w:val="20"/>
        </w:rPr>
      </w:lvl>
    </w:lvlOverride>
  </w:num>
  <w:num w:numId="10" w16cid:durableId="1742756567">
    <w:abstractNumId w:val="4"/>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3D2"/>
    <w:rsid w:val="000022F9"/>
    <w:rsid w:val="000028F3"/>
    <w:rsid w:val="000028F6"/>
    <w:rsid w:val="00003EDE"/>
    <w:rsid w:val="00005192"/>
    <w:rsid w:val="00006DD4"/>
    <w:rsid w:val="00007416"/>
    <w:rsid w:val="0000776B"/>
    <w:rsid w:val="000103B3"/>
    <w:rsid w:val="00013C06"/>
    <w:rsid w:val="00014E7A"/>
    <w:rsid w:val="00021394"/>
    <w:rsid w:val="000232C6"/>
    <w:rsid w:val="00023CE6"/>
    <w:rsid w:val="0002778F"/>
    <w:rsid w:val="00030632"/>
    <w:rsid w:val="00032A09"/>
    <w:rsid w:val="00040E7B"/>
    <w:rsid w:val="00045814"/>
    <w:rsid w:val="0005342C"/>
    <w:rsid w:val="00053E2C"/>
    <w:rsid w:val="000560C7"/>
    <w:rsid w:val="00063137"/>
    <w:rsid w:val="0006448E"/>
    <w:rsid w:val="000675DE"/>
    <w:rsid w:val="00070338"/>
    <w:rsid w:val="000715AA"/>
    <w:rsid w:val="000724CF"/>
    <w:rsid w:val="000749A4"/>
    <w:rsid w:val="00081CBF"/>
    <w:rsid w:val="0008368C"/>
    <w:rsid w:val="00083BA1"/>
    <w:rsid w:val="000866FB"/>
    <w:rsid w:val="00091FDE"/>
    <w:rsid w:val="00092D51"/>
    <w:rsid w:val="0009421A"/>
    <w:rsid w:val="000A1AF9"/>
    <w:rsid w:val="000A2F2C"/>
    <w:rsid w:val="000B360D"/>
    <w:rsid w:val="000B5173"/>
    <w:rsid w:val="000B54E0"/>
    <w:rsid w:val="000B5F8C"/>
    <w:rsid w:val="000B6676"/>
    <w:rsid w:val="000C445B"/>
    <w:rsid w:val="000C726F"/>
    <w:rsid w:val="000C7753"/>
    <w:rsid w:val="000D0A13"/>
    <w:rsid w:val="000D1886"/>
    <w:rsid w:val="000D3F6B"/>
    <w:rsid w:val="000D491B"/>
    <w:rsid w:val="000D59E9"/>
    <w:rsid w:val="000D5A81"/>
    <w:rsid w:val="000D5EFB"/>
    <w:rsid w:val="000E1AF1"/>
    <w:rsid w:val="000E67C1"/>
    <w:rsid w:val="000F0E0C"/>
    <w:rsid w:val="000F13D0"/>
    <w:rsid w:val="000F2391"/>
    <w:rsid w:val="000F2419"/>
    <w:rsid w:val="000F2F91"/>
    <w:rsid w:val="000F7908"/>
    <w:rsid w:val="001003DF"/>
    <w:rsid w:val="0010059C"/>
    <w:rsid w:val="00106624"/>
    <w:rsid w:val="00111F8D"/>
    <w:rsid w:val="00114ECB"/>
    <w:rsid w:val="00116A4C"/>
    <w:rsid w:val="00120B7F"/>
    <w:rsid w:val="00121878"/>
    <w:rsid w:val="001254D7"/>
    <w:rsid w:val="001258BA"/>
    <w:rsid w:val="001278AC"/>
    <w:rsid w:val="00130020"/>
    <w:rsid w:val="00133EC2"/>
    <w:rsid w:val="00137A62"/>
    <w:rsid w:val="00142EB8"/>
    <w:rsid w:val="00143ED3"/>
    <w:rsid w:val="001465EA"/>
    <w:rsid w:val="00147924"/>
    <w:rsid w:val="0015005E"/>
    <w:rsid w:val="00150165"/>
    <w:rsid w:val="00150BE3"/>
    <w:rsid w:val="0015190F"/>
    <w:rsid w:val="001522CE"/>
    <w:rsid w:val="001549CF"/>
    <w:rsid w:val="00162436"/>
    <w:rsid w:val="001716AF"/>
    <w:rsid w:val="00174844"/>
    <w:rsid w:val="001753C1"/>
    <w:rsid w:val="00177752"/>
    <w:rsid w:val="001804D2"/>
    <w:rsid w:val="00187B63"/>
    <w:rsid w:val="0019131C"/>
    <w:rsid w:val="0019215B"/>
    <w:rsid w:val="0019287C"/>
    <w:rsid w:val="00195C0D"/>
    <w:rsid w:val="001967D7"/>
    <w:rsid w:val="001A5AB8"/>
    <w:rsid w:val="001A6913"/>
    <w:rsid w:val="001B39DE"/>
    <w:rsid w:val="001C1C24"/>
    <w:rsid w:val="001C221A"/>
    <w:rsid w:val="001C3D29"/>
    <w:rsid w:val="001C40C8"/>
    <w:rsid w:val="001C5986"/>
    <w:rsid w:val="001D0A5D"/>
    <w:rsid w:val="001D2827"/>
    <w:rsid w:val="001D3116"/>
    <w:rsid w:val="001D354D"/>
    <w:rsid w:val="001D5521"/>
    <w:rsid w:val="001D6690"/>
    <w:rsid w:val="001E330E"/>
    <w:rsid w:val="001E5829"/>
    <w:rsid w:val="001E7CC1"/>
    <w:rsid w:val="001F0F3F"/>
    <w:rsid w:val="001F58D9"/>
    <w:rsid w:val="001F5D9A"/>
    <w:rsid w:val="001F657F"/>
    <w:rsid w:val="00200FB0"/>
    <w:rsid w:val="00201AE9"/>
    <w:rsid w:val="0020542D"/>
    <w:rsid w:val="002078CF"/>
    <w:rsid w:val="002117F1"/>
    <w:rsid w:val="00213652"/>
    <w:rsid w:val="00215293"/>
    <w:rsid w:val="00224817"/>
    <w:rsid w:val="00226977"/>
    <w:rsid w:val="00227152"/>
    <w:rsid w:val="00230EF2"/>
    <w:rsid w:val="00231F40"/>
    <w:rsid w:val="00234B27"/>
    <w:rsid w:val="002360F9"/>
    <w:rsid w:val="00237027"/>
    <w:rsid w:val="00237F98"/>
    <w:rsid w:val="00243416"/>
    <w:rsid w:val="0024364E"/>
    <w:rsid w:val="002448B0"/>
    <w:rsid w:val="0024572A"/>
    <w:rsid w:val="0024715D"/>
    <w:rsid w:val="00252C5A"/>
    <w:rsid w:val="00260FB5"/>
    <w:rsid w:val="00261B3C"/>
    <w:rsid w:val="00265930"/>
    <w:rsid w:val="00266ABB"/>
    <w:rsid w:val="00267007"/>
    <w:rsid w:val="00270AFD"/>
    <w:rsid w:val="00272485"/>
    <w:rsid w:val="0027271A"/>
    <w:rsid w:val="002746B9"/>
    <w:rsid w:val="002761E4"/>
    <w:rsid w:val="0028019A"/>
    <w:rsid w:val="00283ED8"/>
    <w:rsid w:val="00284035"/>
    <w:rsid w:val="00290539"/>
    <w:rsid w:val="00290DDD"/>
    <w:rsid w:val="0029497F"/>
    <w:rsid w:val="00294D09"/>
    <w:rsid w:val="002A25E1"/>
    <w:rsid w:val="002A3AED"/>
    <w:rsid w:val="002A4727"/>
    <w:rsid w:val="002A476F"/>
    <w:rsid w:val="002A48E4"/>
    <w:rsid w:val="002A6AFA"/>
    <w:rsid w:val="002A7332"/>
    <w:rsid w:val="002B5D9E"/>
    <w:rsid w:val="002B7C32"/>
    <w:rsid w:val="002C13B4"/>
    <w:rsid w:val="002C4DD6"/>
    <w:rsid w:val="002D171A"/>
    <w:rsid w:val="002D3D2E"/>
    <w:rsid w:val="002D41F3"/>
    <w:rsid w:val="002D6A5F"/>
    <w:rsid w:val="002E3005"/>
    <w:rsid w:val="002E3F3A"/>
    <w:rsid w:val="002F6C08"/>
    <w:rsid w:val="00302E4D"/>
    <w:rsid w:val="003036A9"/>
    <w:rsid w:val="0030374A"/>
    <w:rsid w:val="00303A0B"/>
    <w:rsid w:val="00304E97"/>
    <w:rsid w:val="00312199"/>
    <w:rsid w:val="0031306D"/>
    <w:rsid w:val="0031358D"/>
    <w:rsid w:val="003142C4"/>
    <w:rsid w:val="0031481B"/>
    <w:rsid w:val="00317360"/>
    <w:rsid w:val="00323535"/>
    <w:rsid w:val="00326436"/>
    <w:rsid w:val="0032678E"/>
    <w:rsid w:val="00330048"/>
    <w:rsid w:val="003301B6"/>
    <w:rsid w:val="00332FDC"/>
    <w:rsid w:val="00333080"/>
    <w:rsid w:val="00341FCC"/>
    <w:rsid w:val="003531BA"/>
    <w:rsid w:val="00354129"/>
    <w:rsid w:val="00354C2A"/>
    <w:rsid w:val="00355940"/>
    <w:rsid w:val="0035767A"/>
    <w:rsid w:val="00360383"/>
    <w:rsid w:val="00360C56"/>
    <w:rsid w:val="00361029"/>
    <w:rsid w:val="00364153"/>
    <w:rsid w:val="00365A32"/>
    <w:rsid w:val="00366213"/>
    <w:rsid w:val="00366233"/>
    <w:rsid w:val="00367F0C"/>
    <w:rsid w:val="00375A0F"/>
    <w:rsid w:val="00376E49"/>
    <w:rsid w:val="00381442"/>
    <w:rsid w:val="00382EEE"/>
    <w:rsid w:val="0038496D"/>
    <w:rsid w:val="003856FB"/>
    <w:rsid w:val="00390514"/>
    <w:rsid w:val="003912B6"/>
    <w:rsid w:val="003922B8"/>
    <w:rsid w:val="003927F2"/>
    <w:rsid w:val="00393FAA"/>
    <w:rsid w:val="00396549"/>
    <w:rsid w:val="00397CCD"/>
    <w:rsid w:val="003A1D46"/>
    <w:rsid w:val="003B7936"/>
    <w:rsid w:val="003C1D1A"/>
    <w:rsid w:val="003C33DF"/>
    <w:rsid w:val="003C7C8F"/>
    <w:rsid w:val="003D2E33"/>
    <w:rsid w:val="003D47D9"/>
    <w:rsid w:val="003D5233"/>
    <w:rsid w:val="003D6E8F"/>
    <w:rsid w:val="003D7D61"/>
    <w:rsid w:val="003E05DE"/>
    <w:rsid w:val="003E16F2"/>
    <w:rsid w:val="003E1C93"/>
    <w:rsid w:val="003E1EB6"/>
    <w:rsid w:val="003E1FB6"/>
    <w:rsid w:val="003E3717"/>
    <w:rsid w:val="003E47CD"/>
    <w:rsid w:val="003E7DCE"/>
    <w:rsid w:val="003F24AF"/>
    <w:rsid w:val="003F309E"/>
    <w:rsid w:val="003F3F96"/>
    <w:rsid w:val="003F6646"/>
    <w:rsid w:val="00403DA2"/>
    <w:rsid w:val="00407292"/>
    <w:rsid w:val="00407A92"/>
    <w:rsid w:val="004104CA"/>
    <w:rsid w:val="00414E1F"/>
    <w:rsid w:val="004200D9"/>
    <w:rsid w:val="00432749"/>
    <w:rsid w:val="00432EB0"/>
    <w:rsid w:val="00434201"/>
    <w:rsid w:val="0043692E"/>
    <w:rsid w:val="00440763"/>
    <w:rsid w:val="00440EA8"/>
    <w:rsid w:val="00441721"/>
    <w:rsid w:val="004421FD"/>
    <w:rsid w:val="004501CD"/>
    <w:rsid w:val="004552A6"/>
    <w:rsid w:val="00457714"/>
    <w:rsid w:val="00460457"/>
    <w:rsid w:val="00465305"/>
    <w:rsid w:val="00480094"/>
    <w:rsid w:val="004837B5"/>
    <w:rsid w:val="0049096D"/>
    <w:rsid w:val="00493AAC"/>
    <w:rsid w:val="00494A8B"/>
    <w:rsid w:val="00496842"/>
    <w:rsid w:val="004978BB"/>
    <w:rsid w:val="004A04FF"/>
    <w:rsid w:val="004A0A92"/>
    <w:rsid w:val="004A0FCC"/>
    <w:rsid w:val="004A352D"/>
    <w:rsid w:val="004A35C0"/>
    <w:rsid w:val="004A4D0C"/>
    <w:rsid w:val="004B0DB5"/>
    <w:rsid w:val="004B1C1D"/>
    <w:rsid w:val="004B238F"/>
    <w:rsid w:val="004B36A3"/>
    <w:rsid w:val="004C05A0"/>
    <w:rsid w:val="004C4954"/>
    <w:rsid w:val="004C56F6"/>
    <w:rsid w:val="004D5196"/>
    <w:rsid w:val="004D5283"/>
    <w:rsid w:val="004D5451"/>
    <w:rsid w:val="004E5B66"/>
    <w:rsid w:val="004E7736"/>
    <w:rsid w:val="004F0660"/>
    <w:rsid w:val="004F0BB5"/>
    <w:rsid w:val="004F1801"/>
    <w:rsid w:val="004F4DF5"/>
    <w:rsid w:val="00500C28"/>
    <w:rsid w:val="00507EB5"/>
    <w:rsid w:val="0051056F"/>
    <w:rsid w:val="0051492B"/>
    <w:rsid w:val="0051613E"/>
    <w:rsid w:val="005174B3"/>
    <w:rsid w:val="005365FA"/>
    <w:rsid w:val="00541B87"/>
    <w:rsid w:val="00543520"/>
    <w:rsid w:val="005445F1"/>
    <w:rsid w:val="0054474E"/>
    <w:rsid w:val="00545AE4"/>
    <w:rsid w:val="00547ED6"/>
    <w:rsid w:val="00550291"/>
    <w:rsid w:val="00550AE4"/>
    <w:rsid w:val="005515A3"/>
    <w:rsid w:val="00553FC5"/>
    <w:rsid w:val="00554881"/>
    <w:rsid w:val="005551B7"/>
    <w:rsid w:val="00560A83"/>
    <w:rsid w:val="005632E0"/>
    <w:rsid w:val="00563F21"/>
    <w:rsid w:val="0057364D"/>
    <w:rsid w:val="005811CB"/>
    <w:rsid w:val="005818CE"/>
    <w:rsid w:val="00582E10"/>
    <w:rsid w:val="00584CE5"/>
    <w:rsid w:val="005852E3"/>
    <w:rsid w:val="00590831"/>
    <w:rsid w:val="00591047"/>
    <w:rsid w:val="00593516"/>
    <w:rsid w:val="00595364"/>
    <w:rsid w:val="005A05FB"/>
    <w:rsid w:val="005A2112"/>
    <w:rsid w:val="005A3A7F"/>
    <w:rsid w:val="005A3DD2"/>
    <w:rsid w:val="005A4F52"/>
    <w:rsid w:val="005A5049"/>
    <w:rsid w:val="005A60FE"/>
    <w:rsid w:val="005A6B93"/>
    <w:rsid w:val="005A74EA"/>
    <w:rsid w:val="005A74FE"/>
    <w:rsid w:val="005B012A"/>
    <w:rsid w:val="005B1970"/>
    <w:rsid w:val="005B228E"/>
    <w:rsid w:val="005B279F"/>
    <w:rsid w:val="005B65CC"/>
    <w:rsid w:val="005B7283"/>
    <w:rsid w:val="005C1ADD"/>
    <w:rsid w:val="005C2E41"/>
    <w:rsid w:val="005C4385"/>
    <w:rsid w:val="005C5789"/>
    <w:rsid w:val="005C627B"/>
    <w:rsid w:val="005C75BC"/>
    <w:rsid w:val="005C76C0"/>
    <w:rsid w:val="005D06DB"/>
    <w:rsid w:val="005D1125"/>
    <w:rsid w:val="005D1800"/>
    <w:rsid w:val="005D487E"/>
    <w:rsid w:val="005D5807"/>
    <w:rsid w:val="005D6EE3"/>
    <w:rsid w:val="005E6EF4"/>
    <w:rsid w:val="005E7C33"/>
    <w:rsid w:val="005F2300"/>
    <w:rsid w:val="005F345C"/>
    <w:rsid w:val="005F6013"/>
    <w:rsid w:val="005F7FBF"/>
    <w:rsid w:val="00604A1A"/>
    <w:rsid w:val="00610B9A"/>
    <w:rsid w:val="006130A2"/>
    <w:rsid w:val="00613142"/>
    <w:rsid w:val="00614473"/>
    <w:rsid w:val="006159A8"/>
    <w:rsid w:val="006166FA"/>
    <w:rsid w:val="00621131"/>
    <w:rsid w:val="00621D26"/>
    <w:rsid w:val="00623291"/>
    <w:rsid w:val="00623582"/>
    <w:rsid w:val="00624168"/>
    <w:rsid w:val="006254D7"/>
    <w:rsid w:val="00626307"/>
    <w:rsid w:val="00627AAB"/>
    <w:rsid w:val="00636293"/>
    <w:rsid w:val="006434F0"/>
    <w:rsid w:val="006454FE"/>
    <w:rsid w:val="0065128A"/>
    <w:rsid w:val="00652BE8"/>
    <w:rsid w:val="006532FB"/>
    <w:rsid w:val="00653DC5"/>
    <w:rsid w:val="00661BCC"/>
    <w:rsid w:val="00667B28"/>
    <w:rsid w:val="00667CEC"/>
    <w:rsid w:val="006708D3"/>
    <w:rsid w:val="0067367F"/>
    <w:rsid w:val="0067418C"/>
    <w:rsid w:val="00675440"/>
    <w:rsid w:val="00680224"/>
    <w:rsid w:val="0068256C"/>
    <w:rsid w:val="006837BC"/>
    <w:rsid w:val="00684F62"/>
    <w:rsid w:val="00685D5A"/>
    <w:rsid w:val="006861FE"/>
    <w:rsid w:val="0068677F"/>
    <w:rsid w:val="00686C08"/>
    <w:rsid w:val="0068738C"/>
    <w:rsid w:val="00691631"/>
    <w:rsid w:val="006925A7"/>
    <w:rsid w:val="0069413C"/>
    <w:rsid w:val="00695924"/>
    <w:rsid w:val="00696F89"/>
    <w:rsid w:val="006A113C"/>
    <w:rsid w:val="006A2EB2"/>
    <w:rsid w:val="006A516E"/>
    <w:rsid w:val="006A5191"/>
    <w:rsid w:val="006B191A"/>
    <w:rsid w:val="006B29EB"/>
    <w:rsid w:val="006B798B"/>
    <w:rsid w:val="006C348F"/>
    <w:rsid w:val="006C433B"/>
    <w:rsid w:val="006C48F2"/>
    <w:rsid w:val="006C73E3"/>
    <w:rsid w:val="006C7BC6"/>
    <w:rsid w:val="006D7957"/>
    <w:rsid w:val="006E11FB"/>
    <w:rsid w:val="006E1300"/>
    <w:rsid w:val="006E53D2"/>
    <w:rsid w:val="006E6830"/>
    <w:rsid w:val="006E7434"/>
    <w:rsid w:val="006E7727"/>
    <w:rsid w:val="006F0869"/>
    <w:rsid w:val="006F2D58"/>
    <w:rsid w:val="006F3F84"/>
    <w:rsid w:val="00700FD7"/>
    <w:rsid w:val="00701626"/>
    <w:rsid w:val="007046E8"/>
    <w:rsid w:val="00705219"/>
    <w:rsid w:val="00715EDE"/>
    <w:rsid w:val="00716295"/>
    <w:rsid w:val="00717710"/>
    <w:rsid w:val="00720734"/>
    <w:rsid w:val="0072462D"/>
    <w:rsid w:val="0072764B"/>
    <w:rsid w:val="0073160A"/>
    <w:rsid w:val="00733890"/>
    <w:rsid w:val="00742016"/>
    <w:rsid w:val="00750B47"/>
    <w:rsid w:val="00754405"/>
    <w:rsid w:val="00755370"/>
    <w:rsid w:val="007557D1"/>
    <w:rsid w:val="00761C14"/>
    <w:rsid w:val="00764621"/>
    <w:rsid w:val="00764BF5"/>
    <w:rsid w:val="007654D6"/>
    <w:rsid w:val="007722E8"/>
    <w:rsid w:val="00775424"/>
    <w:rsid w:val="00775F18"/>
    <w:rsid w:val="007760D2"/>
    <w:rsid w:val="00776CFB"/>
    <w:rsid w:val="0078137B"/>
    <w:rsid w:val="00782403"/>
    <w:rsid w:val="00782A19"/>
    <w:rsid w:val="00786D92"/>
    <w:rsid w:val="00787ED7"/>
    <w:rsid w:val="00790CC2"/>
    <w:rsid w:val="00792239"/>
    <w:rsid w:val="00794D2D"/>
    <w:rsid w:val="007A2E20"/>
    <w:rsid w:val="007A4BBC"/>
    <w:rsid w:val="007A71ED"/>
    <w:rsid w:val="007B0D94"/>
    <w:rsid w:val="007B201D"/>
    <w:rsid w:val="007B3C31"/>
    <w:rsid w:val="007C178B"/>
    <w:rsid w:val="007C3545"/>
    <w:rsid w:val="007C639D"/>
    <w:rsid w:val="007D15A0"/>
    <w:rsid w:val="007D1D99"/>
    <w:rsid w:val="007E00FF"/>
    <w:rsid w:val="007E06FD"/>
    <w:rsid w:val="007E1433"/>
    <w:rsid w:val="007E2D26"/>
    <w:rsid w:val="007E3009"/>
    <w:rsid w:val="007E4A78"/>
    <w:rsid w:val="007F01FF"/>
    <w:rsid w:val="007F10EC"/>
    <w:rsid w:val="007F6B44"/>
    <w:rsid w:val="0080097D"/>
    <w:rsid w:val="00801630"/>
    <w:rsid w:val="00807678"/>
    <w:rsid w:val="00807B00"/>
    <w:rsid w:val="00812459"/>
    <w:rsid w:val="00812E20"/>
    <w:rsid w:val="00813B30"/>
    <w:rsid w:val="008146FF"/>
    <w:rsid w:val="00816B3D"/>
    <w:rsid w:val="008201B8"/>
    <w:rsid w:val="0082362D"/>
    <w:rsid w:val="00825E69"/>
    <w:rsid w:val="00826DBC"/>
    <w:rsid w:val="00831593"/>
    <w:rsid w:val="0083400C"/>
    <w:rsid w:val="00841396"/>
    <w:rsid w:val="008419F4"/>
    <w:rsid w:val="00843400"/>
    <w:rsid w:val="00844334"/>
    <w:rsid w:val="00850683"/>
    <w:rsid w:val="00853E53"/>
    <w:rsid w:val="00856246"/>
    <w:rsid w:val="00857E55"/>
    <w:rsid w:val="008626BD"/>
    <w:rsid w:val="00863B60"/>
    <w:rsid w:val="00864496"/>
    <w:rsid w:val="00865FB1"/>
    <w:rsid w:val="00870B08"/>
    <w:rsid w:val="008766F4"/>
    <w:rsid w:val="0088036D"/>
    <w:rsid w:val="008855FC"/>
    <w:rsid w:val="00887AB1"/>
    <w:rsid w:val="00891CC6"/>
    <w:rsid w:val="00892CEE"/>
    <w:rsid w:val="008934F0"/>
    <w:rsid w:val="008A0963"/>
    <w:rsid w:val="008A2935"/>
    <w:rsid w:val="008A2D33"/>
    <w:rsid w:val="008A3B18"/>
    <w:rsid w:val="008A4C50"/>
    <w:rsid w:val="008B54C4"/>
    <w:rsid w:val="008B6562"/>
    <w:rsid w:val="008B76EA"/>
    <w:rsid w:val="008B7F09"/>
    <w:rsid w:val="008C10F4"/>
    <w:rsid w:val="008C7C83"/>
    <w:rsid w:val="008D0255"/>
    <w:rsid w:val="008D12C7"/>
    <w:rsid w:val="008D3510"/>
    <w:rsid w:val="008D3553"/>
    <w:rsid w:val="008D53EF"/>
    <w:rsid w:val="008D56A5"/>
    <w:rsid w:val="008D6296"/>
    <w:rsid w:val="008D6598"/>
    <w:rsid w:val="008E08EF"/>
    <w:rsid w:val="008E217B"/>
    <w:rsid w:val="008E54C3"/>
    <w:rsid w:val="008E6566"/>
    <w:rsid w:val="008F171D"/>
    <w:rsid w:val="008F507A"/>
    <w:rsid w:val="008F50FC"/>
    <w:rsid w:val="008F6DDD"/>
    <w:rsid w:val="00903736"/>
    <w:rsid w:val="0090390C"/>
    <w:rsid w:val="00903B20"/>
    <w:rsid w:val="0090571D"/>
    <w:rsid w:val="00907D0C"/>
    <w:rsid w:val="009131C0"/>
    <w:rsid w:val="00916782"/>
    <w:rsid w:val="009210AA"/>
    <w:rsid w:val="009228FB"/>
    <w:rsid w:val="009247D5"/>
    <w:rsid w:val="00924F26"/>
    <w:rsid w:val="009253FE"/>
    <w:rsid w:val="00927259"/>
    <w:rsid w:val="0093086A"/>
    <w:rsid w:val="00932C43"/>
    <w:rsid w:val="009338A2"/>
    <w:rsid w:val="00934D2E"/>
    <w:rsid w:val="00934E13"/>
    <w:rsid w:val="0094208F"/>
    <w:rsid w:val="0094420A"/>
    <w:rsid w:val="00944965"/>
    <w:rsid w:val="00945749"/>
    <w:rsid w:val="00945B5C"/>
    <w:rsid w:val="00946569"/>
    <w:rsid w:val="00957E01"/>
    <w:rsid w:val="009660B6"/>
    <w:rsid w:val="00967301"/>
    <w:rsid w:val="00972F66"/>
    <w:rsid w:val="00972F6F"/>
    <w:rsid w:val="00973E2F"/>
    <w:rsid w:val="009741A1"/>
    <w:rsid w:val="009803BE"/>
    <w:rsid w:val="0098145A"/>
    <w:rsid w:val="00985902"/>
    <w:rsid w:val="00992B93"/>
    <w:rsid w:val="009933F2"/>
    <w:rsid w:val="009949F7"/>
    <w:rsid w:val="009963C9"/>
    <w:rsid w:val="009A0C41"/>
    <w:rsid w:val="009A31C8"/>
    <w:rsid w:val="009A5AF5"/>
    <w:rsid w:val="009B2BE5"/>
    <w:rsid w:val="009B5F8D"/>
    <w:rsid w:val="009C0CB9"/>
    <w:rsid w:val="009C347E"/>
    <w:rsid w:val="009C454E"/>
    <w:rsid w:val="009C66DD"/>
    <w:rsid w:val="009D4455"/>
    <w:rsid w:val="009D6A3A"/>
    <w:rsid w:val="009D7096"/>
    <w:rsid w:val="009E04A9"/>
    <w:rsid w:val="009E53A1"/>
    <w:rsid w:val="009E5E39"/>
    <w:rsid w:val="009E6363"/>
    <w:rsid w:val="009E6F74"/>
    <w:rsid w:val="009E7773"/>
    <w:rsid w:val="009F2BE1"/>
    <w:rsid w:val="009F50BD"/>
    <w:rsid w:val="009F56DD"/>
    <w:rsid w:val="009F61A0"/>
    <w:rsid w:val="00A028F9"/>
    <w:rsid w:val="00A02998"/>
    <w:rsid w:val="00A11DFB"/>
    <w:rsid w:val="00A12A2A"/>
    <w:rsid w:val="00A157F4"/>
    <w:rsid w:val="00A17DD5"/>
    <w:rsid w:val="00A2017B"/>
    <w:rsid w:val="00A209A3"/>
    <w:rsid w:val="00A2301C"/>
    <w:rsid w:val="00A25161"/>
    <w:rsid w:val="00A27EF8"/>
    <w:rsid w:val="00A328EE"/>
    <w:rsid w:val="00A33EAE"/>
    <w:rsid w:val="00A40767"/>
    <w:rsid w:val="00A43696"/>
    <w:rsid w:val="00A438C6"/>
    <w:rsid w:val="00A46E48"/>
    <w:rsid w:val="00A5082F"/>
    <w:rsid w:val="00A54566"/>
    <w:rsid w:val="00A5464E"/>
    <w:rsid w:val="00A614F8"/>
    <w:rsid w:val="00A61B2F"/>
    <w:rsid w:val="00A72682"/>
    <w:rsid w:val="00A75B05"/>
    <w:rsid w:val="00A769E9"/>
    <w:rsid w:val="00A76B76"/>
    <w:rsid w:val="00A84C51"/>
    <w:rsid w:val="00A85292"/>
    <w:rsid w:val="00A917A9"/>
    <w:rsid w:val="00A92587"/>
    <w:rsid w:val="00A939A1"/>
    <w:rsid w:val="00A9516D"/>
    <w:rsid w:val="00A97C9F"/>
    <w:rsid w:val="00A97EE2"/>
    <w:rsid w:val="00AA474B"/>
    <w:rsid w:val="00AB1A34"/>
    <w:rsid w:val="00AB3E01"/>
    <w:rsid w:val="00AB78CA"/>
    <w:rsid w:val="00AB7D3B"/>
    <w:rsid w:val="00AC03BF"/>
    <w:rsid w:val="00AC1688"/>
    <w:rsid w:val="00AC2EF9"/>
    <w:rsid w:val="00AD08AB"/>
    <w:rsid w:val="00AD0C54"/>
    <w:rsid w:val="00AD3DAF"/>
    <w:rsid w:val="00AD3E5E"/>
    <w:rsid w:val="00AE0155"/>
    <w:rsid w:val="00AE102B"/>
    <w:rsid w:val="00AE2874"/>
    <w:rsid w:val="00AF10A8"/>
    <w:rsid w:val="00AF19C7"/>
    <w:rsid w:val="00AF378C"/>
    <w:rsid w:val="00AF3D58"/>
    <w:rsid w:val="00AF5328"/>
    <w:rsid w:val="00B021C2"/>
    <w:rsid w:val="00B10FD6"/>
    <w:rsid w:val="00B13B18"/>
    <w:rsid w:val="00B1796E"/>
    <w:rsid w:val="00B208F0"/>
    <w:rsid w:val="00B20CFB"/>
    <w:rsid w:val="00B21926"/>
    <w:rsid w:val="00B278B7"/>
    <w:rsid w:val="00B31371"/>
    <w:rsid w:val="00B31388"/>
    <w:rsid w:val="00B31EC9"/>
    <w:rsid w:val="00B331C2"/>
    <w:rsid w:val="00B334EE"/>
    <w:rsid w:val="00B34698"/>
    <w:rsid w:val="00B3559C"/>
    <w:rsid w:val="00B40213"/>
    <w:rsid w:val="00B41550"/>
    <w:rsid w:val="00B41DDC"/>
    <w:rsid w:val="00B424B2"/>
    <w:rsid w:val="00B42DB8"/>
    <w:rsid w:val="00B443DF"/>
    <w:rsid w:val="00B44928"/>
    <w:rsid w:val="00B45FB0"/>
    <w:rsid w:val="00B4602F"/>
    <w:rsid w:val="00B54211"/>
    <w:rsid w:val="00B55D4F"/>
    <w:rsid w:val="00B61520"/>
    <w:rsid w:val="00B616C6"/>
    <w:rsid w:val="00B63A6D"/>
    <w:rsid w:val="00B656FC"/>
    <w:rsid w:val="00B70980"/>
    <w:rsid w:val="00B71019"/>
    <w:rsid w:val="00B730A7"/>
    <w:rsid w:val="00B732BD"/>
    <w:rsid w:val="00B76D47"/>
    <w:rsid w:val="00B808B0"/>
    <w:rsid w:val="00B81E22"/>
    <w:rsid w:val="00B83749"/>
    <w:rsid w:val="00B847A9"/>
    <w:rsid w:val="00B8657B"/>
    <w:rsid w:val="00B90628"/>
    <w:rsid w:val="00B9247D"/>
    <w:rsid w:val="00BA1045"/>
    <w:rsid w:val="00BA26F7"/>
    <w:rsid w:val="00BB2CFF"/>
    <w:rsid w:val="00BB4E95"/>
    <w:rsid w:val="00BB7414"/>
    <w:rsid w:val="00BC21B8"/>
    <w:rsid w:val="00BC7FFB"/>
    <w:rsid w:val="00BD2243"/>
    <w:rsid w:val="00BD4156"/>
    <w:rsid w:val="00BD4E86"/>
    <w:rsid w:val="00BD6AB1"/>
    <w:rsid w:val="00BD7390"/>
    <w:rsid w:val="00BE741A"/>
    <w:rsid w:val="00BF0032"/>
    <w:rsid w:val="00BF2EED"/>
    <w:rsid w:val="00BF3A7B"/>
    <w:rsid w:val="00BF5AD0"/>
    <w:rsid w:val="00C01C24"/>
    <w:rsid w:val="00C022B9"/>
    <w:rsid w:val="00C03213"/>
    <w:rsid w:val="00C04AB8"/>
    <w:rsid w:val="00C11421"/>
    <w:rsid w:val="00C1394A"/>
    <w:rsid w:val="00C17F01"/>
    <w:rsid w:val="00C21B11"/>
    <w:rsid w:val="00C23552"/>
    <w:rsid w:val="00C268D9"/>
    <w:rsid w:val="00C30ECE"/>
    <w:rsid w:val="00C30FAB"/>
    <w:rsid w:val="00C31CF1"/>
    <w:rsid w:val="00C322FF"/>
    <w:rsid w:val="00C3374B"/>
    <w:rsid w:val="00C35CCC"/>
    <w:rsid w:val="00C37376"/>
    <w:rsid w:val="00C37A6B"/>
    <w:rsid w:val="00C40411"/>
    <w:rsid w:val="00C42F57"/>
    <w:rsid w:val="00C431E7"/>
    <w:rsid w:val="00C46D41"/>
    <w:rsid w:val="00C46EE8"/>
    <w:rsid w:val="00C47B3D"/>
    <w:rsid w:val="00C50466"/>
    <w:rsid w:val="00C57F6C"/>
    <w:rsid w:val="00C63C23"/>
    <w:rsid w:val="00C64A20"/>
    <w:rsid w:val="00C70656"/>
    <w:rsid w:val="00C7128E"/>
    <w:rsid w:val="00C71949"/>
    <w:rsid w:val="00C71D70"/>
    <w:rsid w:val="00C71F1B"/>
    <w:rsid w:val="00C73D91"/>
    <w:rsid w:val="00C741F8"/>
    <w:rsid w:val="00C76E9D"/>
    <w:rsid w:val="00C824CC"/>
    <w:rsid w:val="00C87AEC"/>
    <w:rsid w:val="00C934E6"/>
    <w:rsid w:val="00C96DE2"/>
    <w:rsid w:val="00CA0F6E"/>
    <w:rsid w:val="00CA11DB"/>
    <w:rsid w:val="00CA147D"/>
    <w:rsid w:val="00CA6840"/>
    <w:rsid w:val="00CB0482"/>
    <w:rsid w:val="00CB0F21"/>
    <w:rsid w:val="00CB192E"/>
    <w:rsid w:val="00CB358D"/>
    <w:rsid w:val="00CB3597"/>
    <w:rsid w:val="00CB66BE"/>
    <w:rsid w:val="00CC4454"/>
    <w:rsid w:val="00CC44C2"/>
    <w:rsid w:val="00CC79CC"/>
    <w:rsid w:val="00CD1017"/>
    <w:rsid w:val="00CD1B3E"/>
    <w:rsid w:val="00CD285D"/>
    <w:rsid w:val="00CD4DA3"/>
    <w:rsid w:val="00CD4DAD"/>
    <w:rsid w:val="00CE3FCE"/>
    <w:rsid w:val="00CE5254"/>
    <w:rsid w:val="00CE6E4E"/>
    <w:rsid w:val="00CF2CFE"/>
    <w:rsid w:val="00CF410C"/>
    <w:rsid w:val="00CF4A80"/>
    <w:rsid w:val="00CF6FE1"/>
    <w:rsid w:val="00D04A48"/>
    <w:rsid w:val="00D05ED6"/>
    <w:rsid w:val="00D11032"/>
    <w:rsid w:val="00D11460"/>
    <w:rsid w:val="00D122F4"/>
    <w:rsid w:val="00D22F79"/>
    <w:rsid w:val="00D24F30"/>
    <w:rsid w:val="00D27E76"/>
    <w:rsid w:val="00D27FC6"/>
    <w:rsid w:val="00D33223"/>
    <w:rsid w:val="00D339BA"/>
    <w:rsid w:val="00D51777"/>
    <w:rsid w:val="00D5481C"/>
    <w:rsid w:val="00D55888"/>
    <w:rsid w:val="00D57866"/>
    <w:rsid w:val="00D6109C"/>
    <w:rsid w:val="00D62319"/>
    <w:rsid w:val="00D64BEF"/>
    <w:rsid w:val="00D6548A"/>
    <w:rsid w:val="00D661A5"/>
    <w:rsid w:val="00D66A5A"/>
    <w:rsid w:val="00D7077E"/>
    <w:rsid w:val="00D72E65"/>
    <w:rsid w:val="00D77F5D"/>
    <w:rsid w:val="00D80EE2"/>
    <w:rsid w:val="00D81526"/>
    <w:rsid w:val="00D83801"/>
    <w:rsid w:val="00D865E9"/>
    <w:rsid w:val="00D86C41"/>
    <w:rsid w:val="00D87886"/>
    <w:rsid w:val="00D87F78"/>
    <w:rsid w:val="00D93A72"/>
    <w:rsid w:val="00D9644C"/>
    <w:rsid w:val="00DA2CBE"/>
    <w:rsid w:val="00DB25EA"/>
    <w:rsid w:val="00DB3A88"/>
    <w:rsid w:val="00DB4D74"/>
    <w:rsid w:val="00DB6A09"/>
    <w:rsid w:val="00DB7000"/>
    <w:rsid w:val="00DB7A54"/>
    <w:rsid w:val="00DC12D3"/>
    <w:rsid w:val="00DC2304"/>
    <w:rsid w:val="00DC371C"/>
    <w:rsid w:val="00DC41A4"/>
    <w:rsid w:val="00DC52C9"/>
    <w:rsid w:val="00DC7685"/>
    <w:rsid w:val="00DD0945"/>
    <w:rsid w:val="00DD0F7C"/>
    <w:rsid w:val="00DD0FA4"/>
    <w:rsid w:val="00DD172C"/>
    <w:rsid w:val="00DD1BFD"/>
    <w:rsid w:val="00DD35B6"/>
    <w:rsid w:val="00DD44C5"/>
    <w:rsid w:val="00DD63D6"/>
    <w:rsid w:val="00DD662E"/>
    <w:rsid w:val="00DE0033"/>
    <w:rsid w:val="00DE334A"/>
    <w:rsid w:val="00DE3857"/>
    <w:rsid w:val="00DE61A0"/>
    <w:rsid w:val="00DF1546"/>
    <w:rsid w:val="00DF5A7B"/>
    <w:rsid w:val="00E01692"/>
    <w:rsid w:val="00E02DAB"/>
    <w:rsid w:val="00E037B4"/>
    <w:rsid w:val="00E06687"/>
    <w:rsid w:val="00E06885"/>
    <w:rsid w:val="00E07330"/>
    <w:rsid w:val="00E1017A"/>
    <w:rsid w:val="00E1054A"/>
    <w:rsid w:val="00E11171"/>
    <w:rsid w:val="00E11879"/>
    <w:rsid w:val="00E1260F"/>
    <w:rsid w:val="00E17B8F"/>
    <w:rsid w:val="00E2045C"/>
    <w:rsid w:val="00E20F79"/>
    <w:rsid w:val="00E211C5"/>
    <w:rsid w:val="00E23706"/>
    <w:rsid w:val="00E32489"/>
    <w:rsid w:val="00E353EA"/>
    <w:rsid w:val="00E355B3"/>
    <w:rsid w:val="00E37154"/>
    <w:rsid w:val="00E37CCC"/>
    <w:rsid w:val="00E4185F"/>
    <w:rsid w:val="00E43AFF"/>
    <w:rsid w:val="00E43BF4"/>
    <w:rsid w:val="00E43CA1"/>
    <w:rsid w:val="00E453CE"/>
    <w:rsid w:val="00E45A6E"/>
    <w:rsid w:val="00E45AA9"/>
    <w:rsid w:val="00E525AD"/>
    <w:rsid w:val="00E52971"/>
    <w:rsid w:val="00E52A66"/>
    <w:rsid w:val="00E5767B"/>
    <w:rsid w:val="00E600A5"/>
    <w:rsid w:val="00E60820"/>
    <w:rsid w:val="00E63621"/>
    <w:rsid w:val="00E65426"/>
    <w:rsid w:val="00E661A7"/>
    <w:rsid w:val="00E67B24"/>
    <w:rsid w:val="00E73171"/>
    <w:rsid w:val="00E752F2"/>
    <w:rsid w:val="00E770F1"/>
    <w:rsid w:val="00E7789C"/>
    <w:rsid w:val="00E82642"/>
    <w:rsid w:val="00E829BE"/>
    <w:rsid w:val="00E82B2E"/>
    <w:rsid w:val="00E85E49"/>
    <w:rsid w:val="00E91F84"/>
    <w:rsid w:val="00E9542D"/>
    <w:rsid w:val="00E9706C"/>
    <w:rsid w:val="00EA3BB7"/>
    <w:rsid w:val="00EA7504"/>
    <w:rsid w:val="00EA7891"/>
    <w:rsid w:val="00EB1684"/>
    <w:rsid w:val="00EB3025"/>
    <w:rsid w:val="00EC67D3"/>
    <w:rsid w:val="00ED10DB"/>
    <w:rsid w:val="00ED2A9E"/>
    <w:rsid w:val="00ED3DF6"/>
    <w:rsid w:val="00ED4099"/>
    <w:rsid w:val="00ED58BB"/>
    <w:rsid w:val="00EE16D6"/>
    <w:rsid w:val="00EE226C"/>
    <w:rsid w:val="00EE490D"/>
    <w:rsid w:val="00EE4FBF"/>
    <w:rsid w:val="00EE73DD"/>
    <w:rsid w:val="00EF21B5"/>
    <w:rsid w:val="00EF32CC"/>
    <w:rsid w:val="00EF503D"/>
    <w:rsid w:val="00EF5F53"/>
    <w:rsid w:val="00EF69E8"/>
    <w:rsid w:val="00EF70D8"/>
    <w:rsid w:val="00F00FCC"/>
    <w:rsid w:val="00F01C06"/>
    <w:rsid w:val="00F05950"/>
    <w:rsid w:val="00F115B0"/>
    <w:rsid w:val="00F128B5"/>
    <w:rsid w:val="00F14D99"/>
    <w:rsid w:val="00F17C09"/>
    <w:rsid w:val="00F24E3F"/>
    <w:rsid w:val="00F27BCB"/>
    <w:rsid w:val="00F27ECA"/>
    <w:rsid w:val="00F31511"/>
    <w:rsid w:val="00F31C51"/>
    <w:rsid w:val="00F3316C"/>
    <w:rsid w:val="00F339BF"/>
    <w:rsid w:val="00F4351A"/>
    <w:rsid w:val="00F43631"/>
    <w:rsid w:val="00F4601B"/>
    <w:rsid w:val="00F52E6A"/>
    <w:rsid w:val="00F534C2"/>
    <w:rsid w:val="00F54CEC"/>
    <w:rsid w:val="00F62CCA"/>
    <w:rsid w:val="00F631F0"/>
    <w:rsid w:val="00F6564D"/>
    <w:rsid w:val="00F67413"/>
    <w:rsid w:val="00F67B13"/>
    <w:rsid w:val="00F70545"/>
    <w:rsid w:val="00F71BFD"/>
    <w:rsid w:val="00F72983"/>
    <w:rsid w:val="00F733B4"/>
    <w:rsid w:val="00F7404E"/>
    <w:rsid w:val="00F7493A"/>
    <w:rsid w:val="00F767DA"/>
    <w:rsid w:val="00F77E81"/>
    <w:rsid w:val="00F81CF1"/>
    <w:rsid w:val="00F82FF8"/>
    <w:rsid w:val="00F86409"/>
    <w:rsid w:val="00F86EBA"/>
    <w:rsid w:val="00F94030"/>
    <w:rsid w:val="00F945C9"/>
    <w:rsid w:val="00F95D6E"/>
    <w:rsid w:val="00F961E1"/>
    <w:rsid w:val="00F96668"/>
    <w:rsid w:val="00FA0765"/>
    <w:rsid w:val="00FA325B"/>
    <w:rsid w:val="00FA6214"/>
    <w:rsid w:val="00FB2594"/>
    <w:rsid w:val="00FB45E7"/>
    <w:rsid w:val="00FC3B08"/>
    <w:rsid w:val="00FD00D1"/>
    <w:rsid w:val="00FD1873"/>
    <w:rsid w:val="00FD19DF"/>
    <w:rsid w:val="00FD3C19"/>
    <w:rsid w:val="00FD6E2B"/>
    <w:rsid w:val="00FD7579"/>
    <w:rsid w:val="00FD772C"/>
    <w:rsid w:val="00FE22FB"/>
    <w:rsid w:val="00FE2A8E"/>
    <w:rsid w:val="00FE6313"/>
    <w:rsid w:val="00FE7AA5"/>
    <w:rsid w:val="00FF193C"/>
    <w:rsid w:val="00FF1B6F"/>
    <w:rsid w:val="00FF1B76"/>
    <w:rsid w:val="00FF1D75"/>
    <w:rsid w:val="00FF5FDE"/>
    <w:rsid w:val="0354E2DC"/>
    <w:rsid w:val="03D9FC4F"/>
    <w:rsid w:val="044334A5"/>
    <w:rsid w:val="0615AFFB"/>
    <w:rsid w:val="06D8F9B2"/>
    <w:rsid w:val="07BB2116"/>
    <w:rsid w:val="087B2EEC"/>
    <w:rsid w:val="09626B3E"/>
    <w:rsid w:val="09754D2F"/>
    <w:rsid w:val="0B254D88"/>
    <w:rsid w:val="0FB9DD08"/>
    <w:rsid w:val="1326A593"/>
    <w:rsid w:val="145DA885"/>
    <w:rsid w:val="146AE51F"/>
    <w:rsid w:val="15F698E2"/>
    <w:rsid w:val="17F1A836"/>
    <w:rsid w:val="1811C7EC"/>
    <w:rsid w:val="18F4810B"/>
    <w:rsid w:val="199CF407"/>
    <w:rsid w:val="19C8FD3A"/>
    <w:rsid w:val="1A4C7416"/>
    <w:rsid w:val="1B37F9A9"/>
    <w:rsid w:val="1B88C178"/>
    <w:rsid w:val="1C4F25ED"/>
    <w:rsid w:val="1DCA8378"/>
    <w:rsid w:val="1E26E5FD"/>
    <w:rsid w:val="1F501CB9"/>
    <w:rsid w:val="2299B8A8"/>
    <w:rsid w:val="23A15DAC"/>
    <w:rsid w:val="23BFA0B6"/>
    <w:rsid w:val="24AF5973"/>
    <w:rsid w:val="24F43C37"/>
    <w:rsid w:val="2592BA34"/>
    <w:rsid w:val="28590AAD"/>
    <w:rsid w:val="285C33E7"/>
    <w:rsid w:val="2908143F"/>
    <w:rsid w:val="2C1BAE11"/>
    <w:rsid w:val="2CA425A9"/>
    <w:rsid w:val="2E0A017A"/>
    <w:rsid w:val="2E1C5B3A"/>
    <w:rsid w:val="2E36162D"/>
    <w:rsid w:val="31B78A6E"/>
    <w:rsid w:val="3270F865"/>
    <w:rsid w:val="356B9B7E"/>
    <w:rsid w:val="3810698D"/>
    <w:rsid w:val="3885C0A9"/>
    <w:rsid w:val="3978ED76"/>
    <w:rsid w:val="3AF90322"/>
    <w:rsid w:val="3C5162E7"/>
    <w:rsid w:val="3D800FAE"/>
    <w:rsid w:val="3DFEF318"/>
    <w:rsid w:val="3ED70C7D"/>
    <w:rsid w:val="3EDD6C10"/>
    <w:rsid w:val="3EE52813"/>
    <w:rsid w:val="3FA07D6D"/>
    <w:rsid w:val="3FF5629F"/>
    <w:rsid w:val="4182DF29"/>
    <w:rsid w:val="447CEB89"/>
    <w:rsid w:val="44CE3056"/>
    <w:rsid w:val="46FAB991"/>
    <w:rsid w:val="47065F79"/>
    <w:rsid w:val="47EE3A3D"/>
    <w:rsid w:val="48715FC7"/>
    <w:rsid w:val="48EDB0A5"/>
    <w:rsid w:val="49DB4036"/>
    <w:rsid w:val="4D673332"/>
    <w:rsid w:val="4D87C3BF"/>
    <w:rsid w:val="4DFDA9D0"/>
    <w:rsid w:val="4F2A0F03"/>
    <w:rsid w:val="506C6F45"/>
    <w:rsid w:val="5257A818"/>
    <w:rsid w:val="5328B8AD"/>
    <w:rsid w:val="5345D7A0"/>
    <w:rsid w:val="53D870DA"/>
    <w:rsid w:val="54622540"/>
    <w:rsid w:val="56B5DADD"/>
    <w:rsid w:val="56D4C67E"/>
    <w:rsid w:val="5894C21A"/>
    <w:rsid w:val="5A4F0C01"/>
    <w:rsid w:val="5B179E44"/>
    <w:rsid w:val="5C026FC7"/>
    <w:rsid w:val="5C924D57"/>
    <w:rsid w:val="5EEF6F9E"/>
    <w:rsid w:val="60664DF7"/>
    <w:rsid w:val="61E4F225"/>
    <w:rsid w:val="62723D07"/>
    <w:rsid w:val="62D239F5"/>
    <w:rsid w:val="62EAD730"/>
    <w:rsid w:val="635E7151"/>
    <w:rsid w:val="638DFA86"/>
    <w:rsid w:val="66FE1B1B"/>
    <w:rsid w:val="67F10C48"/>
    <w:rsid w:val="68CAB619"/>
    <w:rsid w:val="6A524EA6"/>
    <w:rsid w:val="6B2993E5"/>
    <w:rsid w:val="6C51A7D2"/>
    <w:rsid w:val="6DA5BED4"/>
    <w:rsid w:val="6E1B7BE0"/>
    <w:rsid w:val="6F6A8D65"/>
    <w:rsid w:val="706B4A5E"/>
    <w:rsid w:val="75B3507D"/>
    <w:rsid w:val="75D01833"/>
    <w:rsid w:val="769D8818"/>
    <w:rsid w:val="775D8B91"/>
    <w:rsid w:val="7792D432"/>
    <w:rsid w:val="77AFDE61"/>
    <w:rsid w:val="791CA33A"/>
    <w:rsid w:val="7A021B5F"/>
    <w:rsid w:val="7D0D4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7CC40"/>
  <w15:chartTrackingRefBased/>
  <w15:docId w15:val="{8FF8A883-F104-4B67-B3F8-9702D59B8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E53D2"/>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68677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ne">
    <w:name w:val="None"/>
    <w:rsid w:val="006E53D2"/>
  </w:style>
  <w:style w:type="paragraph" w:customStyle="1" w:styleId="Listparag">
    <w:name w:val="List parag"/>
    <w:basedOn w:val="ListParagraph"/>
    <w:link w:val="ListparagChar"/>
    <w:qFormat/>
    <w:rsid w:val="000866FB"/>
    <w:pPr>
      <w:spacing w:after="120" w:line="264" w:lineRule="auto"/>
      <w:ind w:left="0"/>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DefaultParagraphFont"/>
    <w:link w:val="Listparag"/>
    <w:rsid w:val="000866FB"/>
    <w:rPr>
      <w:rFonts w:eastAsia="Times New Roman" w:cstheme="minorHAnsi"/>
      <w:color w:val="000000"/>
      <w:kern w:val="0"/>
      <w:lang w:eastAsia="en-GB"/>
      <w14:ligatures w14:val="none"/>
    </w:rPr>
  </w:style>
  <w:style w:type="paragraph" w:styleId="ListParagraph">
    <w:name w:val="List Paragraph"/>
    <w:basedOn w:val="Normal"/>
    <w:uiPriority w:val="34"/>
    <w:qFormat/>
    <w:rsid w:val="000866FB"/>
    <w:pPr>
      <w:ind w:left="720"/>
      <w:contextualSpacing/>
    </w:pPr>
  </w:style>
  <w:style w:type="paragraph" w:customStyle="1" w:styleId="Body">
    <w:name w:val="Body"/>
    <w:rsid w:val="006C48F2"/>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Heading">
    <w:name w:val="Heading"/>
    <w:next w:val="Body"/>
    <w:rsid w:val="006C48F2"/>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character" w:styleId="Strong">
    <w:name w:val="Strong"/>
    <w:basedOn w:val="DefaultParagraphFont"/>
    <w:uiPriority w:val="22"/>
    <w:qFormat/>
    <w:rsid w:val="00AC03BF"/>
    <w:rPr>
      <w:b/>
      <w:bCs/>
    </w:rPr>
  </w:style>
  <w:style w:type="paragraph" w:styleId="NormalWeb">
    <w:name w:val="Normal (Web)"/>
    <w:basedOn w:val="Normal"/>
    <w:uiPriority w:val="99"/>
    <w:unhideWhenUsed/>
    <w:rsid w:val="00C1394A"/>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1Char">
    <w:name w:val="Heading 1 Char"/>
    <w:basedOn w:val="DefaultParagraphFont"/>
    <w:link w:val="Heading1"/>
    <w:uiPriority w:val="9"/>
    <w:rsid w:val="0068677F"/>
    <w:rPr>
      <w:rFonts w:asciiTheme="majorHAnsi" w:eastAsiaTheme="majorEastAsia" w:hAnsiTheme="majorHAnsi" w:cstheme="majorBidi"/>
      <w:color w:val="2F5496" w:themeColor="accent1" w:themeShade="BF"/>
      <w:kern w:val="0"/>
      <w:sz w:val="32"/>
      <w:szCs w:val="32"/>
      <w14:ligatures w14:val="non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kern w:val="0"/>
      <w:sz w:val="20"/>
      <w:szCs w:val="20"/>
      <w14:ligatures w14:val="none"/>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B63A6D"/>
    <w:rPr>
      <w:color w:val="0563C1" w:themeColor="hyperlink"/>
      <w:u w:val="single"/>
    </w:rPr>
  </w:style>
  <w:style w:type="character" w:styleId="UnresolvedMention">
    <w:name w:val="Unresolved Mention"/>
    <w:basedOn w:val="DefaultParagraphFont"/>
    <w:uiPriority w:val="99"/>
    <w:semiHidden/>
    <w:unhideWhenUsed/>
    <w:rsid w:val="00B63A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3515">
      <w:bodyDiv w:val="1"/>
      <w:marLeft w:val="0"/>
      <w:marRight w:val="0"/>
      <w:marTop w:val="0"/>
      <w:marBottom w:val="0"/>
      <w:divBdr>
        <w:top w:val="none" w:sz="0" w:space="0" w:color="auto"/>
        <w:left w:val="none" w:sz="0" w:space="0" w:color="auto"/>
        <w:bottom w:val="none" w:sz="0" w:space="0" w:color="auto"/>
        <w:right w:val="none" w:sz="0" w:space="0" w:color="auto"/>
      </w:divBdr>
    </w:div>
    <w:div w:id="60493898">
      <w:bodyDiv w:val="1"/>
      <w:marLeft w:val="0"/>
      <w:marRight w:val="0"/>
      <w:marTop w:val="0"/>
      <w:marBottom w:val="0"/>
      <w:divBdr>
        <w:top w:val="none" w:sz="0" w:space="0" w:color="auto"/>
        <w:left w:val="none" w:sz="0" w:space="0" w:color="auto"/>
        <w:bottom w:val="none" w:sz="0" w:space="0" w:color="auto"/>
        <w:right w:val="none" w:sz="0" w:space="0" w:color="auto"/>
      </w:divBdr>
    </w:div>
    <w:div w:id="97412757">
      <w:bodyDiv w:val="1"/>
      <w:marLeft w:val="0"/>
      <w:marRight w:val="0"/>
      <w:marTop w:val="0"/>
      <w:marBottom w:val="0"/>
      <w:divBdr>
        <w:top w:val="none" w:sz="0" w:space="0" w:color="auto"/>
        <w:left w:val="none" w:sz="0" w:space="0" w:color="auto"/>
        <w:bottom w:val="none" w:sz="0" w:space="0" w:color="auto"/>
        <w:right w:val="none" w:sz="0" w:space="0" w:color="auto"/>
      </w:divBdr>
    </w:div>
    <w:div w:id="153301665">
      <w:bodyDiv w:val="1"/>
      <w:marLeft w:val="0"/>
      <w:marRight w:val="0"/>
      <w:marTop w:val="0"/>
      <w:marBottom w:val="0"/>
      <w:divBdr>
        <w:top w:val="none" w:sz="0" w:space="0" w:color="auto"/>
        <w:left w:val="none" w:sz="0" w:space="0" w:color="auto"/>
        <w:bottom w:val="none" w:sz="0" w:space="0" w:color="auto"/>
        <w:right w:val="none" w:sz="0" w:space="0" w:color="auto"/>
      </w:divBdr>
      <w:divsChild>
        <w:div w:id="1800758253">
          <w:marLeft w:val="0"/>
          <w:marRight w:val="0"/>
          <w:marTop w:val="0"/>
          <w:marBottom w:val="0"/>
          <w:divBdr>
            <w:top w:val="none" w:sz="0" w:space="0" w:color="auto"/>
            <w:left w:val="none" w:sz="0" w:space="0" w:color="auto"/>
            <w:bottom w:val="none" w:sz="0" w:space="0" w:color="auto"/>
            <w:right w:val="none" w:sz="0" w:space="0" w:color="auto"/>
          </w:divBdr>
        </w:div>
        <w:div w:id="234634647">
          <w:marLeft w:val="0"/>
          <w:marRight w:val="0"/>
          <w:marTop w:val="0"/>
          <w:marBottom w:val="0"/>
          <w:divBdr>
            <w:top w:val="none" w:sz="0" w:space="0" w:color="auto"/>
            <w:left w:val="none" w:sz="0" w:space="0" w:color="auto"/>
            <w:bottom w:val="none" w:sz="0" w:space="0" w:color="auto"/>
            <w:right w:val="none" w:sz="0" w:space="0" w:color="auto"/>
          </w:divBdr>
        </w:div>
        <w:div w:id="1360666936">
          <w:marLeft w:val="0"/>
          <w:marRight w:val="0"/>
          <w:marTop w:val="0"/>
          <w:marBottom w:val="0"/>
          <w:divBdr>
            <w:top w:val="none" w:sz="0" w:space="0" w:color="auto"/>
            <w:left w:val="none" w:sz="0" w:space="0" w:color="auto"/>
            <w:bottom w:val="none" w:sz="0" w:space="0" w:color="auto"/>
            <w:right w:val="none" w:sz="0" w:space="0" w:color="auto"/>
          </w:divBdr>
        </w:div>
        <w:div w:id="2139757036">
          <w:marLeft w:val="0"/>
          <w:marRight w:val="0"/>
          <w:marTop w:val="0"/>
          <w:marBottom w:val="0"/>
          <w:divBdr>
            <w:top w:val="none" w:sz="0" w:space="0" w:color="auto"/>
            <w:left w:val="none" w:sz="0" w:space="0" w:color="auto"/>
            <w:bottom w:val="none" w:sz="0" w:space="0" w:color="auto"/>
            <w:right w:val="none" w:sz="0" w:space="0" w:color="auto"/>
          </w:divBdr>
        </w:div>
      </w:divsChild>
    </w:div>
    <w:div w:id="176697359">
      <w:bodyDiv w:val="1"/>
      <w:marLeft w:val="0"/>
      <w:marRight w:val="0"/>
      <w:marTop w:val="0"/>
      <w:marBottom w:val="0"/>
      <w:divBdr>
        <w:top w:val="none" w:sz="0" w:space="0" w:color="auto"/>
        <w:left w:val="none" w:sz="0" w:space="0" w:color="auto"/>
        <w:bottom w:val="none" w:sz="0" w:space="0" w:color="auto"/>
        <w:right w:val="none" w:sz="0" w:space="0" w:color="auto"/>
      </w:divBdr>
      <w:divsChild>
        <w:div w:id="1212033213">
          <w:marLeft w:val="0"/>
          <w:marRight w:val="0"/>
          <w:marTop w:val="0"/>
          <w:marBottom w:val="0"/>
          <w:divBdr>
            <w:top w:val="none" w:sz="0" w:space="0" w:color="auto"/>
            <w:left w:val="none" w:sz="0" w:space="0" w:color="auto"/>
            <w:bottom w:val="none" w:sz="0" w:space="0" w:color="auto"/>
            <w:right w:val="none" w:sz="0" w:space="0" w:color="auto"/>
          </w:divBdr>
        </w:div>
        <w:div w:id="2119443410">
          <w:marLeft w:val="0"/>
          <w:marRight w:val="0"/>
          <w:marTop w:val="0"/>
          <w:marBottom w:val="0"/>
          <w:divBdr>
            <w:top w:val="none" w:sz="0" w:space="0" w:color="auto"/>
            <w:left w:val="none" w:sz="0" w:space="0" w:color="auto"/>
            <w:bottom w:val="none" w:sz="0" w:space="0" w:color="auto"/>
            <w:right w:val="none" w:sz="0" w:space="0" w:color="auto"/>
          </w:divBdr>
        </w:div>
        <w:div w:id="1376655762">
          <w:marLeft w:val="0"/>
          <w:marRight w:val="0"/>
          <w:marTop w:val="0"/>
          <w:marBottom w:val="0"/>
          <w:divBdr>
            <w:top w:val="none" w:sz="0" w:space="0" w:color="auto"/>
            <w:left w:val="none" w:sz="0" w:space="0" w:color="auto"/>
            <w:bottom w:val="none" w:sz="0" w:space="0" w:color="auto"/>
            <w:right w:val="none" w:sz="0" w:space="0" w:color="auto"/>
          </w:divBdr>
        </w:div>
        <w:div w:id="1975868709">
          <w:marLeft w:val="0"/>
          <w:marRight w:val="0"/>
          <w:marTop w:val="0"/>
          <w:marBottom w:val="0"/>
          <w:divBdr>
            <w:top w:val="none" w:sz="0" w:space="0" w:color="auto"/>
            <w:left w:val="none" w:sz="0" w:space="0" w:color="auto"/>
            <w:bottom w:val="none" w:sz="0" w:space="0" w:color="auto"/>
            <w:right w:val="none" w:sz="0" w:space="0" w:color="auto"/>
          </w:divBdr>
        </w:div>
        <w:div w:id="1900047864">
          <w:marLeft w:val="0"/>
          <w:marRight w:val="0"/>
          <w:marTop w:val="0"/>
          <w:marBottom w:val="0"/>
          <w:divBdr>
            <w:top w:val="none" w:sz="0" w:space="0" w:color="auto"/>
            <w:left w:val="none" w:sz="0" w:space="0" w:color="auto"/>
            <w:bottom w:val="none" w:sz="0" w:space="0" w:color="auto"/>
            <w:right w:val="none" w:sz="0" w:space="0" w:color="auto"/>
          </w:divBdr>
        </w:div>
        <w:div w:id="2104105712">
          <w:marLeft w:val="0"/>
          <w:marRight w:val="0"/>
          <w:marTop w:val="0"/>
          <w:marBottom w:val="0"/>
          <w:divBdr>
            <w:top w:val="none" w:sz="0" w:space="0" w:color="auto"/>
            <w:left w:val="none" w:sz="0" w:space="0" w:color="auto"/>
            <w:bottom w:val="none" w:sz="0" w:space="0" w:color="auto"/>
            <w:right w:val="none" w:sz="0" w:space="0" w:color="auto"/>
          </w:divBdr>
        </w:div>
      </w:divsChild>
    </w:div>
    <w:div w:id="195898113">
      <w:bodyDiv w:val="1"/>
      <w:marLeft w:val="0"/>
      <w:marRight w:val="0"/>
      <w:marTop w:val="0"/>
      <w:marBottom w:val="0"/>
      <w:divBdr>
        <w:top w:val="none" w:sz="0" w:space="0" w:color="auto"/>
        <w:left w:val="none" w:sz="0" w:space="0" w:color="auto"/>
        <w:bottom w:val="none" w:sz="0" w:space="0" w:color="auto"/>
        <w:right w:val="none" w:sz="0" w:space="0" w:color="auto"/>
      </w:divBdr>
    </w:div>
    <w:div w:id="605694034">
      <w:bodyDiv w:val="1"/>
      <w:marLeft w:val="0"/>
      <w:marRight w:val="0"/>
      <w:marTop w:val="0"/>
      <w:marBottom w:val="0"/>
      <w:divBdr>
        <w:top w:val="none" w:sz="0" w:space="0" w:color="auto"/>
        <w:left w:val="none" w:sz="0" w:space="0" w:color="auto"/>
        <w:bottom w:val="none" w:sz="0" w:space="0" w:color="auto"/>
        <w:right w:val="none" w:sz="0" w:space="0" w:color="auto"/>
      </w:divBdr>
    </w:div>
    <w:div w:id="631979087">
      <w:bodyDiv w:val="1"/>
      <w:marLeft w:val="0"/>
      <w:marRight w:val="0"/>
      <w:marTop w:val="0"/>
      <w:marBottom w:val="0"/>
      <w:divBdr>
        <w:top w:val="none" w:sz="0" w:space="0" w:color="auto"/>
        <w:left w:val="none" w:sz="0" w:space="0" w:color="auto"/>
        <w:bottom w:val="none" w:sz="0" w:space="0" w:color="auto"/>
        <w:right w:val="none" w:sz="0" w:space="0" w:color="auto"/>
      </w:divBdr>
    </w:div>
    <w:div w:id="870805257">
      <w:bodyDiv w:val="1"/>
      <w:marLeft w:val="0"/>
      <w:marRight w:val="0"/>
      <w:marTop w:val="0"/>
      <w:marBottom w:val="0"/>
      <w:divBdr>
        <w:top w:val="none" w:sz="0" w:space="0" w:color="auto"/>
        <w:left w:val="none" w:sz="0" w:space="0" w:color="auto"/>
        <w:bottom w:val="none" w:sz="0" w:space="0" w:color="auto"/>
        <w:right w:val="none" w:sz="0" w:space="0" w:color="auto"/>
      </w:divBdr>
      <w:divsChild>
        <w:div w:id="396050624">
          <w:marLeft w:val="0"/>
          <w:marRight w:val="0"/>
          <w:marTop w:val="0"/>
          <w:marBottom w:val="0"/>
          <w:divBdr>
            <w:top w:val="none" w:sz="0" w:space="0" w:color="auto"/>
            <w:left w:val="none" w:sz="0" w:space="0" w:color="auto"/>
            <w:bottom w:val="none" w:sz="0" w:space="0" w:color="auto"/>
            <w:right w:val="none" w:sz="0" w:space="0" w:color="auto"/>
          </w:divBdr>
        </w:div>
      </w:divsChild>
    </w:div>
    <w:div w:id="1065880781">
      <w:bodyDiv w:val="1"/>
      <w:marLeft w:val="0"/>
      <w:marRight w:val="0"/>
      <w:marTop w:val="0"/>
      <w:marBottom w:val="0"/>
      <w:divBdr>
        <w:top w:val="none" w:sz="0" w:space="0" w:color="auto"/>
        <w:left w:val="none" w:sz="0" w:space="0" w:color="auto"/>
        <w:bottom w:val="none" w:sz="0" w:space="0" w:color="auto"/>
        <w:right w:val="none" w:sz="0" w:space="0" w:color="auto"/>
      </w:divBdr>
    </w:div>
    <w:div w:id="1307932218">
      <w:bodyDiv w:val="1"/>
      <w:marLeft w:val="0"/>
      <w:marRight w:val="0"/>
      <w:marTop w:val="0"/>
      <w:marBottom w:val="0"/>
      <w:divBdr>
        <w:top w:val="none" w:sz="0" w:space="0" w:color="auto"/>
        <w:left w:val="none" w:sz="0" w:space="0" w:color="auto"/>
        <w:bottom w:val="none" w:sz="0" w:space="0" w:color="auto"/>
        <w:right w:val="none" w:sz="0" w:space="0" w:color="auto"/>
      </w:divBdr>
    </w:div>
    <w:div w:id="1381830681">
      <w:bodyDiv w:val="1"/>
      <w:marLeft w:val="0"/>
      <w:marRight w:val="0"/>
      <w:marTop w:val="0"/>
      <w:marBottom w:val="0"/>
      <w:divBdr>
        <w:top w:val="none" w:sz="0" w:space="0" w:color="auto"/>
        <w:left w:val="none" w:sz="0" w:space="0" w:color="auto"/>
        <w:bottom w:val="none" w:sz="0" w:space="0" w:color="auto"/>
        <w:right w:val="none" w:sz="0" w:space="0" w:color="auto"/>
      </w:divBdr>
      <w:divsChild>
        <w:div w:id="1439987987">
          <w:marLeft w:val="0"/>
          <w:marRight w:val="0"/>
          <w:marTop w:val="0"/>
          <w:marBottom w:val="0"/>
          <w:divBdr>
            <w:top w:val="none" w:sz="0" w:space="0" w:color="auto"/>
            <w:left w:val="none" w:sz="0" w:space="0" w:color="auto"/>
            <w:bottom w:val="none" w:sz="0" w:space="0" w:color="auto"/>
            <w:right w:val="none" w:sz="0" w:space="0" w:color="auto"/>
          </w:divBdr>
        </w:div>
        <w:div w:id="1662615459">
          <w:marLeft w:val="0"/>
          <w:marRight w:val="0"/>
          <w:marTop w:val="0"/>
          <w:marBottom w:val="0"/>
          <w:divBdr>
            <w:top w:val="none" w:sz="0" w:space="0" w:color="auto"/>
            <w:left w:val="none" w:sz="0" w:space="0" w:color="auto"/>
            <w:bottom w:val="none" w:sz="0" w:space="0" w:color="auto"/>
            <w:right w:val="none" w:sz="0" w:space="0" w:color="auto"/>
          </w:divBdr>
        </w:div>
        <w:div w:id="1927230263">
          <w:marLeft w:val="0"/>
          <w:marRight w:val="0"/>
          <w:marTop w:val="0"/>
          <w:marBottom w:val="0"/>
          <w:divBdr>
            <w:top w:val="none" w:sz="0" w:space="0" w:color="auto"/>
            <w:left w:val="none" w:sz="0" w:space="0" w:color="auto"/>
            <w:bottom w:val="none" w:sz="0" w:space="0" w:color="auto"/>
            <w:right w:val="none" w:sz="0" w:space="0" w:color="auto"/>
          </w:divBdr>
        </w:div>
        <w:div w:id="1281493830">
          <w:marLeft w:val="0"/>
          <w:marRight w:val="0"/>
          <w:marTop w:val="0"/>
          <w:marBottom w:val="0"/>
          <w:divBdr>
            <w:top w:val="none" w:sz="0" w:space="0" w:color="auto"/>
            <w:left w:val="none" w:sz="0" w:space="0" w:color="auto"/>
            <w:bottom w:val="none" w:sz="0" w:space="0" w:color="auto"/>
            <w:right w:val="none" w:sz="0" w:space="0" w:color="auto"/>
          </w:divBdr>
        </w:div>
        <w:div w:id="921643553">
          <w:marLeft w:val="0"/>
          <w:marRight w:val="0"/>
          <w:marTop w:val="0"/>
          <w:marBottom w:val="0"/>
          <w:divBdr>
            <w:top w:val="none" w:sz="0" w:space="0" w:color="auto"/>
            <w:left w:val="none" w:sz="0" w:space="0" w:color="auto"/>
            <w:bottom w:val="none" w:sz="0" w:space="0" w:color="auto"/>
            <w:right w:val="none" w:sz="0" w:space="0" w:color="auto"/>
          </w:divBdr>
        </w:div>
      </w:divsChild>
    </w:div>
    <w:div w:id="1665084833">
      <w:bodyDiv w:val="1"/>
      <w:marLeft w:val="0"/>
      <w:marRight w:val="0"/>
      <w:marTop w:val="0"/>
      <w:marBottom w:val="0"/>
      <w:divBdr>
        <w:top w:val="none" w:sz="0" w:space="0" w:color="auto"/>
        <w:left w:val="none" w:sz="0" w:space="0" w:color="auto"/>
        <w:bottom w:val="none" w:sz="0" w:space="0" w:color="auto"/>
        <w:right w:val="none" w:sz="0" w:space="0" w:color="auto"/>
      </w:divBdr>
    </w:div>
    <w:div w:id="1783258497">
      <w:bodyDiv w:val="1"/>
      <w:marLeft w:val="0"/>
      <w:marRight w:val="0"/>
      <w:marTop w:val="0"/>
      <w:marBottom w:val="0"/>
      <w:divBdr>
        <w:top w:val="none" w:sz="0" w:space="0" w:color="auto"/>
        <w:left w:val="none" w:sz="0" w:space="0" w:color="auto"/>
        <w:bottom w:val="none" w:sz="0" w:space="0" w:color="auto"/>
        <w:right w:val="none" w:sz="0" w:space="0" w:color="auto"/>
      </w:divBdr>
      <w:divsChild>
        <w:div w:id="2113668613">
          <w:marLeft w:val="0"/>
          <w:marRight w:val="0"/>
          <w:marTop w:val="0"/>
          <w:marBottom w:val="0"/>
          <w:divBdr>
            <w:top w:val="none" w:sz="0" w:space="0" w:color="auto"/>
            <w:left w:val="none" w:sz="0" w:space="0" w:color="auto"/>
            <w:bottom w:val="none" w:sz="0" w:space="0" w:color="auto"/>
            <w:right w:val="none" w:sz="0" w:space="0" w:color="auto"/>
          </w:divBdr>
        </w:div>
      </w:divsChild>
    </w:div>
    <w:div w:id="1961640837">
      <w:bodyDiv w:val="1"/>
      <w:marLeft w:val="0"/>
      <w:marRight w:val="0"/>
      <w:marTop w:val="0"/>
      <w:marBottom w:val="0"/>
      <w:divBdr>
        <w:top w:val="none" w:sz="0" w:space="0" w:color="auto"/>
        <w:left w:val="none" w:sz="0" w:space="0" w:color="auto"/>
        <w:bottom w:val="none" w:sz="0" w:space="0" w:color="auto"/>
        <w:right w:val="none" w:sz="0" w:space="0" w:color="auto"/>
      </w:divBdr>
    </w:div>
    <w:div w:id="2130512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views-and-insights/cipd-viewpoint/employment-status-rights/" TargetMode="External"/><Relationship Id="rId18" Type="http://schemas.openxmlformats.org/officeDocument/2006/relationships/hyperlink" Target="https://www.cipd.org/uk/knowledge/employment-law/recruitment/" TargetMode="External"/><Relationship Id="rId26" Type="http://schemas.openxmlformats.org/officeDocument/2006/relationships/hyperlink" Target="https://www.davidsonmorris.com/hr1-form/" TargetMode="External"/><Relationship Id="rId3" Type="http://schemas.openxmlformats.org/officeDocument/2006/relationships/styles" Target="styles.xml"/><Relationship Id="rId21" Type="http://schemas.openxmlformats.org/officeDocument/2006/relationships/hyperlink" Target="https://gateleyplc.com/insight/article/tupe-or-not-to-tupe-service-provision-changes/" TargetMode="External"/><Relationship Id="rId34" Type="http://schemas.openxmlformats.org/officeDocument/2006/relationships/hyperlink" Target="https://www.gov.uk/shared-parental-leave-and-pay" TargetMode="External"/><Relationship Id="rId7" Type="http://schemas.openxmlformats.org/officeDocument/2006/relationships/hyperlink" Target="https://www.acas.org.uk/equal-pay/equal-pay-law" TargetMode="External"/><Relationship Id="rId12" Type="http://schemas.openxmlformats.org/officeDocument/2006/relationships/hyperlink" Target="https://www.cipd.org/uk/knowledge/employment-law/holidays/" TargetMode="External"/><Relationship Id="rId17" Type="http://schemas.openxmlformats.org/officeDocument/2006/relationships/hyperlink" Target="https://www.cipd.org/uk/knowledge/guides/tupe-guide/#how-to-plan-for-tupe-during-the-pretransfer-period" TargetMode="External"/><Relationship Id="rId25" Type="http://schemas.openxmlformats.org/officeDocument/2006/relationships/hyperlink" Target="https://maternityaction.org.uk/advice/discrimination-during-maternity-leave-and-on-return-to-work/" TargetMode="External"/><Relationship Id="rId33" Type="http://schemas.openxmlformats.org/officeDocument/2006/relationships/hyperlink" Target="https://www.legislation.gov.uk/ukpga/1992/52/contents" TargetMode="External"/><Relationship Id="rId2" Type="http://schemas.openxmlformats.org/officeDocument/2006/relationships/numbering" Target="numbering.xml"/><Relationship Id="rId16" Type="http://schemas.openxmlformats.org/officeDocument/2006/relationships/hyperlink" Target="https://www.cipd.org/uk/knowledge/employment-law/redundancy/" TargetMode="External"/><Relationship Id="rId20" Type="http://schemas.openxmlformats.org/officeDocument/2006/relationships/hyperlink" Target="https://www.equalityhumanrights.com/equality/equality-act-2010/codes-practice/employment-code-practice-0" TargetMode="External"/><Relationship Id="rId29" Type="http://schemas.openxmlformats.org/officeDocument/2006/relationships/hyperlink" Target="https://www.tuc.org.uk/workplace-guidance/case-studies/how-fords-striking-women-drove-equal-pay-act" TargetMode="External"/><Relationship Id="rId1" Type="http://schemas.openxmlformats.org/officeDocument/2006/relationships/customXml" Target="../customXml/item1.xml"/><Relationship Id="rId6" Type="http://schemas.openxmlformats.org/officeDocument/2006/relationships/hyperlink" Target="https://www.acas.org.uk/irregular-hours-and-part-year-workers/carrying-over-holiday" TargetMode="External"/><Relationship Id="rId11" Type="http://schemas.openxmlformats.org/officeDocument/2006/relationships/hyperlink" Target="https://brodies.com/insights/employment-and-immigration/genuine-occupational-requirements" TargetMode="External"/><Relationship Id="rId24" Type="http://schemas.openxmlformats.org/officeDocument/2006/relationships/hyperlink" Target="https://www.cipd.org/uk/knowledge/factsheets/flexible-working-factsheet/#title2" TargetMode="External"/><Relationship Id="rId32" Type="http://schemas.openxmlformats.org/officeDocument/2006/relationships/hyperlink" Target="https://www.gov.uk/transfers-takeovers/transfers-of-employment-contracts" TargetMode="External"/><Relationship Id="rId5" Type="http://schemas.openxmlformats.org/officeDocument/2006/relationships/webSettings" Target="webSettings.xml"/><Relationship Id="rId15" Type="http://schemas.openxmlformats.org/officeDocument/2006/relationships/hyperlink" Target="https://www.cipd.org/uk/knowledge/employment-law/uk-employment-law-eu/" TargetMode="External"/><Relationship Id="rId23" Type="http://schemas.openxmlformats.org/officeDocument/2006/relationships/hyperlink" Target="https://www.peoplemanagement.co.uk/article/1743377/constructive-dismissal-guide" TargetMode="External"/><Relationship Id="rId28" Type="http://schemas.openxmlformats.org/officeDocument/2006/relationships/hyperlink" Target="https://publicsectorpay.org.uk/nhs-annual-leave/" TargetMode="External"/><Relationship Id="rId36" Type="http://schemas.openxmlformats.org/officeDocument/2006/relationships/theme" Target="theme/theme1.xml"/><Relationship Id="rId10" Type="http://schemas.openxmlformats.org/officeDocument/2006/relationships/hyperlink" Target="https://www.cipd.org/uk/knowledge/factsheets/maternity-paternity-rights-factsheet/" TargetMode="External"/><Relationship Id="rId19" Type="http://schemas.openxmlformats.org/officeDocument/2006/relationships/hyperlink" Target="https://employmentcasesupdate.co.uk/content/federaci%C3%B3n-de-servicios-de-comisiones-obreras-ccoo-v-deutsche-bank-sae-cjeu-case-c-55-18.fb73cd720d0443bba675a081c36aca7a.htm" TargetMode="External"/><Relationship Id="rId31" Type="http://schemas.openxmlformats.org/officeDocument/2006/relationships/hyperlink" Target="https://www.gov.uk/government/publications/employment-status-and-employment-rights/employment-status-and-employment-rights-guidance-for-hr-professionals-legal-professionals-and-other-groups" TargetMode="External"/><Relationship Id="rId4" Type="http://schemas.openxmlformats.org/officeDocument/2006/relationships/settings" Target="settings.xml"/><Relationship Id="rId9" Type="http://schemas.openxmlformats.org/officeDocument/2006/relationships/hyperlink" Target="https://www.cipd.org/uk/knowledge/factsheets/dismissal-factsheet/#constructive-dismissal" TargetMode="External"/><Relationship Id="rId14" Type="http://schemas.openxmlformats.org/officeDocument/2006/relationships/hyperlink" Target="https://www.cipd.org/uk/knowledge/employment-law/equal-pay/" TargetMode="External"/><Relationship Id="rId22" Type="http://schemas.openxmlformats.org/officeDocument/2006/relationships/hyperlink" Target="https://hrzone.com/blog/applying-a-genuine-occupational-requirement-in-recruitment/" TargetMode="External"/><Relationship Id="rId27" Type="http://schemas.openxmlformats.org/officeDocument/2006/relationships/hyperlink" Target="https://www.peoplemanagement.co.uk/article/1901051/employment-law-expect-2025" TargetMode="External"/><Relationship Id="rId30" Type="http://schemas.openxmlformats.org/officeDocument/2006/relationships/hyperlink" Target="https://www.legislation.gov.uk/ukpga/2023/17/introduction" TargetMode="External"/><Relationship Id="rId35" Type="http://schemas.openxmlformats.org/officeDocument/2006/relationships/fontTable" Target="fontTable.xml"/><Relationship Id="rId8" Type="http://schemas.openxmlformats.org/officeDocument/2006/relationships/hyperlink" Target="https://www.acas.org.uk/irregular-hours-and-part-year-workers/rolled-up-holiday-p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777EB-2997-45BE-B99A-275076059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5164</TotalTime>
  <Pages>15</Pages>
  <Words>6227</Words>
  <Characters>35372</Characters>
  <Application>Microsoft Office Word</Application>
  <DocSecurity>0</DocSecurity>
  <Lines>736</Lines>
  <Paragraphs>126</Paragraphs>
  <ScaleCrop>false</ScaleCrop>
  <Company>Hywel Dda University Health Board</Company>
  <LinksUpToDate>false</LinksUpToDate>
  <CharactersWithSpaces>41473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dc:description/>
  <cp:lastModifiedBy>Rea John (Hywel Dda UHB - OD Relationship Manager)</cp:lastModifiedBy>
  <cp:revision>958</cp:revision>
  <dcterms:created xsi:type="dcterms:W3CDTF">2025-01-22T10:05:00Z</dcterms:created>
  <dcterms:modified xsi:type="dcterms:W3CDTF">2025-03-16T17:14:00Z</dcterms:modified>
</cp:coreProperties>
</file>