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FE3" w:rsidRDefault="034CB8A2" w:rsidP="034CB8A2">
      <w:pPr>
        <w:rPr>
          <w:sz w:val="24"/>
          <w:szCs w:val="24"/>
        </w:rPr>
      </w:pPr>
      <w:bookmarkStart w:id="0" w:name="_GoBack"/>
      <w:bookmarkEnd w:id="0"/>
      <w:r w:rsidRPr="034CB8A2">
        <w:t>Kate Lewis</w:t>
      </w:r>
    </w:p>
    <w:p w:rsidR="034CB8A2" w:rsidRDefault="3169050D" w:rsidP="3169050D">
      <w:pPr>
        <w:rPr>
          <w:sz w:val="24"/>
          <w:szCs w:val="24"/>
        </w:rPr>
      </w:pPr>
      <w:r w:rsidRPr="3169050D">
        <w:t>1701248</w:t>
      </w:r>
    </w:p>
    <w:p w:rsidR="034CB8A2" w:rsidRDefault="034CB8A2" w:rsidP="034CB8A2">
      <w:pPr>
        <w:rPr>
          <w:sz w:val="28"/>
          <w:szCs w:val="28"/>
          <w:u w:val="single"/>
        </w:rPr>
      </w:pPr>
      <w:r w:rsidRPr="034CB8A2">
        <w:rPr>
          <w:sz w:val="24"/>
          <w:szCs w:val="24"/>
          <w:u w:val="single"/>
        </w:rPr>
        <w:t>What are the key social elements that impact on learner's ability to access education?</w:t>
      </w:r>
    </w:p>
    <w:p w:rsidR="034CB8A2" w:rsidRDefault="159AAA20" w:rsidP="159AAA20">
      <w:pPr>
        <w:rPr>
          <w:sz w:val="24"/>
          <w:szCs w:val="24"/>
        </w:rPr>
      </w:pPr>
      <w:r w:rsidRPr="159AAA20">
        <w:rPr>
          <w:sz w:val="24"/>
          <w:szCs w:val="24"/>
        </w:rPr>
        <w:t xml:space="preserve">''A fair society is an open society, one in which every individual is free to succeed.'' (Smith, 2012). Everybody has the right to fulfil their potential to it's highest standard regardless of who they are or where they come from, this should not be affected by circumstances in to which they were born.These circumstances should not affect the way in which society treats and views the individual or affect the individuals ability to access education. EHRC (2010) Under The Equality Act 2010  It is the responsibility of the body in charge to not discriminate against a learner in the way they provide education, enableaccess to a benefit, facility or service, they must not exclude the learner from education or subject them to any other detriment. However this is often not the case andthese discriminatingviews and ideas are carried though into the education system and children are experiencing discrimination and prejudices in their everyday life,whichaffects individuals within the classroom by creating barriers and impacting the learners ability to accesseducation.This essay is going to consider and discuss the key social elements that impact a learners ability to access education and how they could be prevented , which are Gypsy and traveler families, poverty and gender discrimination. </w:t>
      </w:r>
    </w:p>
    <w:p w:rsidR="7622B9A3" w:rsidRDefault="4F2C5BC0" w:rsidP="4F2C5BC0">
      <w:pPr>
        <w:rPr>
          <w:sz w:val="24"/>
          <w:szCs w:val="24"/>
        </w:rPr>
      </w:pPr>
      <w:r w:rsidRPr="4F2C5BC0">
        <w:rPr>
          <w:sz w:val="24"/>
          <w:szCs w:val="24"/>
        </w:rPr>
        <w:t xml:space="preserve">Social elements outside the schoolingsystem often affect the learners ability to access education, elements such as the learnercoming from a gypsy or traveller family can affect them for multiple reasons. Such as not being able to attend school regularly due to the fact that their family may move around a lot this can cause gaps and disruption in the individuals learning. </w:t>
      </w:r>
      <w:r w:rsidRPr="4F2C5BC0">
        <w:rPr>
          <w:rFonts w:ascii="Calibri" w:eastAsia="Calibri" w:hAnsi="Calibri" w:cs="Calibri"/>
          <w:sz w:val="24"/>
          <w:szCs w:val="24"/>
        </w:rPr>
        <w:t>Kokemuller (2011)</w:t>
      </w:r>
      <w:r w:rsidRPr="4F2C5BC0">
        <w:rPr>
          <w:sz w:val="24"/>
          <w:szCs w:val="24"/>
        </w:rPr>
        <w:t xml:space="preserve"> states that Moving around often can cause social difficulties for the learner as peer relationships are important to the academic success of the individual and moving can break up friendships and stop the learner from creating and maintaining long-term relationships. When the learner is pulled out of one school and placed into another regularly this affects their access to education as suggested by Kokemuller (2011) when this occurs the individual may often be ahead or behind in what is being taught in the classroomto their peers, the learner may have difficulty in catching up or even experience boredom or frustration as they do not feel challenged or learn anything from the work they may have already done. This could also lead to the learneracting out and disrupting the rest of the class. Constant moving around can also affect the learners ability access education as the schools they are attending and the teachers will not be able to assess their current level and plan for their learning. And being reliant on records from previous schools could prove problematic due to the fact the learner may have attended so many different schools that year. </w:t>
      </w:r>
    </w:p>
    <w:p w:rsidR="560FE68A" w:rsidRDefault="3169050D" w:rsidP="3169050D">
      <w:pPr>
        <w:rPr>
          <w:rFonts w:eastAsiaTheme="minorEastAsia"/>
          <w:sz w:val="24"/>
          <w:szCs w:val="24"/>
        </w:rPr>
      </w:pPr>
      <w:r w:rsidRPr="3169050D">
        <w:rPr>
          <w:sz w:val="24"/>
          <w:szCs w:val="24"/>
        </w:rPr>
        <w:t xml:space="preserve">Coming from a gypsy or traveller family can affect the learners ability to access education as the family may live far from any schools making it hard for the individual to get to and from school. However as suggested by Wilkins (No Date) the learners family may require support from the school in order to set up a routine of getting them there and assistance with being organized. </w:t>
      </w:r>
      <w:r w:rsidRPr="3169050D">
        <w:rPr>
          <w:sz w:val="24"/>
          <w:szCs w:val="24"/>
        </w:rPr>
        <w:lastRenderedPageBreak/>
        <w:t xml:space="preserve">As Gypsy or travellers often leave school before reaching secondary education The Office of National Statistics (2014) found that </w:t>
      </w:r>
      <w:r w:rsidRPr="3169050D">
        <w:rPr>
          <w:rFonts w:eastAsiaTheme="minorEastAsia"/>
          <w:sz w:val="24"/>
          <w:szCs w:val="24"/>
        </w:rPr>
        <w:t xml:space="preserve">''Gypsy or Irish Travellers (over the age of 16) had the highest proportion of no qualifications for any ethnic group at 60%, higher than for England and Wales as a whole (23%).'' This could mean that the learners parents do not have the levels of education required to assist their child with their homework or reading this then affects the child's ability to access education as they could then fall behind in their development in relation to their peers. </w:t>
      </w:r>
    </w:p>
    <w:p w:rsidR="560FE68A" w:rsidRDefault="3169050D" w:rsidP="3169050D">
      <w:pPr>
        <w:rPr>
          <w:rFonts w:eastAsiaTheme="minorEastAsia"/>
          <w:sz w:val="24"/>
          <w:szCs w:val="24"/>
        </w:rPr>
      </w:pPr>
      <w:r w:rsidRPr="3169050D">
        <w:rPr>
          <w:rFonts w:eastAsiaTheme="minorEastAsia"/>
          <w:sz w:val="24"/>
          <w:szCs w:val="24"/>
        </w:rPr>
        <w:t xml:space="preserve">Learners may also experience difficulty in accessing education due to pressure from their family </w:t>
      </w:r>
      <w:r w:rsidRPr="3169050D">
        <w:rPr>
          <w:sz w:val="24"/>
          <w:szCs w:val="24"/>
        </w:rPr>
        <w:t>and traveller community to not attend formal schooling as they may view an outsiders education as useless and unimportant to their lifestyle. As ''</w:t>
      </w:r>
      <w:r w:rsidRPr="3169050D">
        <w:rPr>
          <w:rFonts w:ascii="Calibri" w:eastAsia="Calibri" w:hAnsi="Calibri" w:cs="Calibri"/>
          <w:color w:val="121212"/>
          <w:sz w:val="24"/>
          <w:szCs w:val="24"/>
        </w:rPr>
        <w:t xml:space="preserve">They are very self-sufficient, and not trustful of routes society provides for progression." (Wilkin ,et al, 2010). A large barrier that affects learners from gypsy or traveller backgrounds in terms of accessing education is funding, this can link to low achievement levels in education. Such as Doherty (2011) states that the government is cutting away at specialized funding and staff leaving traveller and gypsy learners who are the most educationally vulnerable to fail without the correct provisions or support. </w:t>
      </w:r>
    </w:p>
    <w:p w:rsidR="560FE68A" w:rsidRDefault="159AAA20" w:rsidP="159AAA20">
      <w:pPr>
        <w:rPr>
          <w:rFonts w:ascii="Calibri" w:eastAsia="Calibri" w:hAnsi="Calibri" w:cs="Calibri"/>
          <w:color w:val="121212"/>
          <w:sz w:val="24"/>
          <w:szCs w:val="24"/>
        </w:rPr>
      </w:pPr>
      <w:r w:rsidRPr="159AAA20">
        <w:rPr>
          <w:rFonts w:ascii="Calibri" w:eastAsia="Calibri" w:hAnsi="Calibri" w:cs="Calibri"/>
          <w:color w:val="121212"/>
          <w:sz w:val="24"/>
          <w:szCs w:val="24"/>
        </w:rPr>
        <w:t>Another key social element in which affects alearners ability to access education is poverty, there are multiple factors relating to poverty that affect how an individual learns and how they access and take away from education. One of these factors being hunger and poor nutrition, a learner who is hungry or is suffering from malnourishment cannot access education as they are not open to absorbing information and learning as they may be starving. ''</w:t>
      </w:r>
      <w:r w:rsidRPr="159AAA20">
        <w:rPr>
          <w:rFonts w:ascii="Calibri" w:eastAsia="Calibri" w:hAnsi="Calibri" w:cs="Calibri"/>
          <w:sz w:val="24"/>
          <w:szCs w:val="24"/>
        </w:rPr>
        <w:t xml:space="preserve">A child not getting enough to eat on a regular basis can delay brain development and the child’s ability to learn. The longer food insecurity continues, the greater chance of cognitive delays.'' (Feeding America, 2015). If the learner is experiencing lack of a healthy diet, they become more susceptible to chronic illness this could impact the learners ability to access education due to the fact that they may have to take many days off school. Better Heath Channel (2012) states that Illness could also affect the learners ability to access education by  making it difficult to sit exams and tests, experiencing difficulty in getting about the setting, lowered confidence and self-esteem as well as lowered educational performance and achievement and </w:t>
      </w:r>
      <w:r w:rsidRPr="159AAA20">
        <w:rPr>
          <w:rFonts w:ascii="Calibri" w:eastAsia="Calibri" w:hAnsi="Calibri" w:cs="Calibri"/>
          <w:color w:val="121212"/>
          <w:sz w:val="24"/>
          <w:szCs w:val="24"/>
        </w:rPr>
        <w:t>becoming socially excluded due to difficulty in participating in school activities.</w:t>
      </w:r>
    </w:p>
    <w:p w:rsidR="560FE68A" w:rsidRDefault="560FE68A" w:rsidP="560FE68A">
      <w:pPr>
        <w:rPr>
          <w:rFonts w:ascii="Calibri" w:eastAsia="Calibri" w:hAnsi="Calibri" w:cs="Calibri"/>
          <w:sz w:val="24"/>
          <w:szCs w:val="24"/>
        </w:rPr>
      </w:pPr>
      <w:r w:rsidRPr="560FE68A">
        <w:rPr>
          <w:rFonts w:ascii="Calibri" w:eastAsia="Calibri" w:hAnsi="Calibri" w:cs="Calibri"/>
          <w:color w:val="121212"/>
          <w:sz w:val="24"/>
          <w:szCs w:val="24"/>
        </w:rPr>
        <w:t>Along with poor or chronic illness living in poverty can bring with it poor or insufficient housing , the learner may also experience moving around a lot due to unstable housing. ''</w:t>
      </w:r>
      <w:r w:rsidRPr="560FE68A">
        <w:rPr>
          <w:rFonts w:ascii="Calibri" w:eastAsia="Calibri" w:hAnsi="Calibri" w:cs="Calibri"/>
          <w:sz w:val="24"/>
          <w:szCs w:val="24"/>
        </w:rPr>
        <w:t xml:space="preserve">Homeless children are two to three times more likely to be absent from school than other children due to the disruption caused by moving into and between temporary accommodation.''(Harker, 2006). This would affect the learners ability to access education by interrupting their learning, learners living in poverty may also experience difficulty in their ability to access education due to a lack of resources and materials at home such as a computer or books to complete homework. ''Both the availability and quality of materials can be barriers to a quality education.'' (Educate a child, No Date). Lack of such materials as books also affects the learners ability to access education due to them having lower language and literacy skills to that of their peers. Families who are </w:t>
      </w:r>
      <w:r w:rsidRPr="560FE68A">
        <w:rPr>
          <w:rFonts w:ascii="Calibri" w:eastAsia="Calibri" w:hAnsi="Calibri" w:cs="Calibri"/>
          <w:sz w:val="24"/>
          <w:szCs w:val="24"/>
        </w:rPr>
        <w:lastRenderedPageBreak/>
        <w:t xml:space="preserve">struggling financially may not have the time or resources to support their child's language skills. Research suggests that ''children from poor families are exposed to 250,000 utterances at home, while children from wealthy families hear four million.'' (Harkness, 2015). </w:t>
      </w:r>
    </w:p>
    <w:p w:rsidR="560FE68A" w:rsidRDefault="560FE68A" w:rsidP="560FE68A">
      <w:pPr>
        <w:rPr>
          <w:rFonts w:ascii="Calibri" w:eastAsia="Calibri" w:hAnsi="Calibri" w:cs="Calibri"/>
          <w:sz w:val="24"/>
          <w:szCs w:val="24"/>
        </w:rPr>
      </w:pPr>
      <w:r w:rsidRPr="560FE68A">
        <w:rPr>
          <w:rFonts w:ascii="Calibri" w:eastAsia="Calibri" w:hAnsi="Calibri" w:cs="Calibri"/>
          <w:sz w:val="24"/>
          <w:szCs w:val="24"/>
        </w:rPr>
        <w:t>Living in poverty can have effects on an individuals mental health which in turn could impact the learners ability to access education by affecting their potentialtolearn and retain information. Research has found that Meldrum, et al (No Date) when a child is suffering from mental health issues it adds to the hurdles they must overcome within the class , making it more challenging to meet the expected academic standards. Poverty causes multiple barriers to accessing education such as insufficient income , meaning that families are unable to afford necessities such as uniform, appropriate footwear as well as money for school trips. This can affect the individuals ability to access education by socially excluding them from learning opportunities that their peers are getting.</w:t>
      </w:r>
    </w:p>
    <w:p w:rsidR="771BC075" w:rsidRDefault="159AAA20" w:rsidP="159AAA20">
      <w:pPr>
        <w:rPr>
          <w:rFonts w:eastAsiaTheme="minorEastAsia"/>
          <w:color w:val="333333"/>
          <w:sz w:val="24"/>
          <w:szCs w:val="24"/>
        </w:rPr>
      </w:pPr>
      <w:r w:rsidRPr="159AAA20">
        <w:rPr>
          <w:rFonts w:ascii="Calibri" w:eastAsia="Calibri" w:hAnsi="Calibri" w:cs="Calibri"/>
          <w:sz w:val="24"/>
          <w:szCs w:val="24"/>
        </w:rPr>
        <w:t>And finally gender discrimination is also a key social element that affects the learners ability to access education, often within education schools and teachers subconsciously support gender stereotypes. ''</w:t>
      </w:r>
      <w:r w:rsidRPr="159AAA20">
        <w:rPr>
          <w:rFonts w:eastAsiaTheme="minorEastAsia"/>
          <w:sz w:val="24"/>
          <w:szCs w:val="24"/>
        </w:rPr>
        <w:t>Most teachers have had no training in gender issues in education. This is the way they’ve grown up and always lived, so they don’t see any problem when, at school, girls clean the classrooms and boys play sport outside.'' (</w:t>
      </w:r>
      <w:r w:rsidRPr="159AAA20">
        <w:rPr>
          <w:rFonts w:eastAsiaTheme="minorEastAsia"/>
          <w:color w:val="333333"/>
          <w:sz w:val="24"/>
          <w:szCs w:val="24"/>
        </w:rPr>
        <w:t xml:space="preserve">Uluç, 2017).  These ideas on gender are cultural stereotypes that many people have been raised with , meaning that they are often unaware that they even exist let alone that they may be using them within their everyday life and that it could be having negative affects on their students and their ability to develop and learn. Research has shown that expectations due to an individuals gender causes disengagement in their learning. As suggested by Keddie (2015) the social expectations that 'boys will be boys' and will be disruptive and defiant leads to limited gender messages about masculinity which leads to male students becoming disengaged. However the research suggests that female students are just as disengaged but due to gender expectations held against them they were less obvious in expressing it. This affects the learners ability to access education due to the fact that they are disengaged and disinterested with their learning. They may also be focused on the gender stereotypes that are being held against them and feel that they either have to live up to them or fight against them, for example boys may avoid picking subjects such as cooking as they are associated with female roles. </w:t>
      </w:r>
    </w:p>
    <w:p w:rsidR="771BC075" w:rsidRDefault="4F2C5BC0" w:rsidP="4F2C5BC0">
      <w:pPr>
        <w:rPr>
          <w:rFonts w:ascii="Calibri" w:eastAsia="Calibri" w:hAnsi="Calibri" w:cs="Calibri"/>
          <w:sz w:val="24"/>
          <w:szCs w:val="24"/>
        </w:rPr>
      </w:pPr>
      <w:r w:rsidRPr="4F2C5BC0">
        <w:rPr>
          <w:rFonts w:eastAsiaTheme="minorEastAsia"/>
          <w:sz w:val="24"/>
          <w:szCs w:val="24"/>
        </w:rPr>
        <w:t>Gender bias between male and female students also becomes more apparent as the learner goes on to access paid work. ''</w:t>
      </w:r>
      <w:r w:rsidRPr="4F2C5BC0">
        <w:rPr>
          <w:rFonts w:ascii="Calibri" w:eastAsia="Calibri" w:hAnsi="Calibri" w:cs="Calibri"/>
          <w:sz w:val="24"/>
          <w:szCs w:val="24"/>
        </w:rPr>
        <w:t xml:space="preserve">average pay for full-time female employees was 9.4% lower than for full-time male employees.'' (Office for National Statistics, 2016). There isless gender discriminationtoday due to The Equality Act 2010 , both male and female learners often receive the same support and opportunities in their learning.  Although this is not always the case especially in areas where there is cultural expectations attached to gender such as Africa. Male students wanting to access education may experience difficulty due to the fact that they are expected to work as they are viewed as the bread winners of the family and are the main source of income. However it may be female students who experience the most difficulty when </w:t>
      </w:r>
      <w:r w:rsidRPr="4F2C5BC0">
        <w:rPr>
          <w:rFonts w:ascii="Calibri" w:eastAsia="Calibri" w:hAnsi="Calibri" w:cs="Calibri"/>
          <w:sz w:val="24"/>
          <w:szCs w:val="24"/>
        </w:rPr>
        <w:lastRenderedPageBreak/>
        <w:t xml:space="preserve">trying to access education  ''Across the sub-Saharan region, </w:t>
      </w:r>
      <w:hyperlink r:id="rId5">
        <w:r w:rsidRPr="4F2C5BC0">
          <w:rPr>
            <w:rStyle w:val="Hyperlink"/>
            <w:rFonts w:ascii="Calibri" w:eastAsia="Calibri" w:hAnsi="Calibri" w:cs="Calibri"/>
            <w:color w:val="auto"/>
            <w:sz w:val="24"/>
            <w:szCs w:val="24"/>
            <w:u w:val="none"/>
          </w:rPr>
          <w:t>almost 33 million girls</w:t>
        </w:r>
      </w:hyperlink>
      <w:r w:rsidRPr="4F2C5BC0">
        <w:rPr>
          <w:rFonts w:ascii="Calibri" w:eastAsia="Calibri" w:hAnsi="Calibri" w:cs="Calibri"/>
          <w:sz w:val="24"/>
          <w:szCs w:val="24"/>
        </w:rPr>
        <w:t xml:space="preserve"> roughly between the ages of 6 and 15 are not in school. 56 per cent of them will never even set foot in a classroom'' (UNICEF, 2015). </w:t>
      </w:r>
    </w:p>
    <w:p w:rsidR="4F2C5BC0" w:rsidRDefault="159AAA20" w:rsidP="159AAA20">
      <w:pPr>
        <w:rPr>
          <w:rFonts w:ascii="Calibri" w:eastAsia="Calibri" w:hAnsi="Calibri" w:cs="Calibri"/>
          <w:sz w:val="24"/>
          <w:szCs w:val="24"/>
        </w:rPr>
      </w:pPr>
      <w:r w:rsidRPr="159AAA20">
        <w:rPr>
          <w:rFonts w:eastAsiaTheme="minorEastAsia"/>
          <w:sz w:val="24"/>
          <w:szCs w:val="24"/>
        </w:rPr>
        <w:t>Having examined the above socialelements that affect the learners ability to access education it is now necessary to consider the ways in which the elements that affect the learners ability could be prevented. In relation to the learner coming from a gypsy or traveller family their ability to access education could be improved by providing a safe learning environment that allows for the learner to grow and develop. Staff and schools should identify pupils from gypsy and traveller groups and set challenging targets for them, that will keep them engaged and interested in their learning. Another way in which the learners ability to access education could be improved is by sending staff on courses to develop professionally that would give them knowledge and skills  on how to offer inclusive and equal educational opportunities to learners of such backgrounds. In relation to poverty learners ability to access education could be improved by improving the equality and relevance of education , by challenging prejudices and bias in the classroom that are about poverty and those who experience it. And by offering learners living in poverty the same opportunities and high level education as their peers. As''</w:t>
      </w:r>
      <w:r w:rsidRPr="159AAA20">
        <w:rPr>
          <w:rFonts w:ascii="Calibri" w:eastAsia="Calibri" w:hAnsi="Calibri" w:cs="Calibri"/>
          <w:sz w:val="24"/>
          <w:szCs w:val="24"/>
        </w:rPr>
        <w:t xml:space="preserve">Successfully educating all students to high standards is critical to ultimately eliminating poverty.'' (Parret and Budge, 2015). And lastly to improvelearners ability to access education when they may experience gender discrimination, schools could establish rules that promote gender equality. Schools should also have equal discipline for both male and female students as well as have equal expectations of academic performance and learner behavior. </w:t>
      </w: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sz w:val="24"/>
          <w:szCs w:val="24"/>
        </w:rPr>
      </w:pPr>
    </w:p>
    <w:p w:rsidR="4F2C5BC0" w:rsidRDefault="4F2C5BC0" w:rsidP="4F2C5BC0">
      <w:pPr>
        <w:rPr>
          <w:rFonts w:ascii="Calibri" w:eastAsia="Calibri" w:hAnsi="Calibri" w:cs="Calibri"/>
          <w:b/>
          <w:bCs/>
          <w:sz w:val="24"/>
          <w:szCs w:val="24"/>
          <w:u w:val="single"/>
        </w:rPr>
      </w:pPr>
      <w:r w:rsidRPr="4F2C5BC0">
        <w:rPr>
          <w:rFonts w:ascii="Calibri" w:eastAsia="Calibri" w:hAnsi="Calibri" w:cs="Calibri"/>
          <w:b/>
          <w:bCs/>
          <w:sz w:val="24"/>
          <w:szCs w:val="24"/>
          <w:u w:val="single"/>
        </w:rPr>
        <w:t>Reference list</w:t>
      </w:r>
    </w:p>
    <w:p w:rsidR="4F2C5BC0" w:rsidRDefault="4F2C5BC0" w:rsidP="4F2C5BC0">
      <w:pPr>
        <w:rPr>
          <w:rFonts w:eastAsiaTheme="minorEastAsia"/>
          <w:i/>
          <w:iCs/>
          <w:sz w:val="24"/>
          <w:szCs w:val="24"/>
        </w:rPr>
      </w:pPr>
      <w:r w:rsidRPr="4F2C5BC0">
        <w:rPr>
          <w:rFonts w:ascii="Calibri" w:eastAsia="Calibri" w:hAnsi="Calibri" w:cs="Calibri"/>
          <w:sz w:val="24"/>
          <w:szCs w:val="24"/>
        </w:rPr>
        <w:t xml:space="preserve">Better Health Channel (2012) </w:t>
      </w:r>
      <w:r w:rsidRPr="4F2C5BC0">
        <w:rPr>
          <w:rFonts w:eastAsiaTheme="minorEastAsia"/>
          <w:i/>
          <w:iCs/>
          <w:sz w:val="24"/>
          <w:szCs w:val="24"/>
        </w:rPr>
        <w:t xml:space="preserve">Chronic illness - coping at school. </w:t>
      </w:r>
      <w:hyperlink r:id="rId6">
        <w:r w:rsidRPr="4F2C5BC0">
          <w:rPr>
            <w:rStyle w:val="Hyperlink"/>
          </w:rPr>
          <w:t>https://www.betterhealth.vic.gov.au/health/healthyliving/chronic-illness-coping-at-school</w:t>
        </w:r>
      </w:hyperlink>
      <w:r w:rsidRPr="4F2C5BC0">
        <w:t xml:space="preserve"> (Accessed: 22 February 2018). </w:t>
      </w:r>
    </w:p>
    <w:p w:rsidR="4F2C5BC0" w:rsidRDefault="4F2C5BC0" w:rsidP="4F2C5BC0">
      <w:pPr>
        <w:rPr>
          <w:rFonts w:ascii="Calibri" w:eastAsia="Calibri" w:hAnsi="Calibri" w:cs="Calibri"/>
          <w:sz w:val="24"/>
          <w:szCs w:val="24"/>
        </w:rPr>
      </w:pPr>
      <w:r w:rsidRPr="4F2C5BC0">
        <w:rPr>
          <w:rFonts w:ascii="Calibri" w:eastAsia="Calibri" w:hAnsi="Calibri" w:cs="Calibri"/>
          <w:sz w:val="24"/>
          <w:szCs w:val="24"/>
        </w:rPr>
        <w:t xml:space="preserve">Doherty, M. (2011) </w:t>
      </w:r>
      <w:r w:rsidRPr="4F2C5BC0">
        <w:rPr>
          <w:rFonts w:eastAsiaTheme="minorEastAsia"/>
          <w:i/>
          <w:iCs/>
          <w:sz w:val="24"/>
          <w:szCs w:val="24"/>
        </w:rPr>
        <w:t xml:space="preserve">Cuts threaten traveller children's schooling. </w:t>
      </w:r>
      <w:hyperlink r:id="rId7">
        <w:r w:rsidRPr="4F2C5BC0">
          <w:rPr>
            <w:rStyle w:val="Hyperlink"/>
          </w:rPr>
          <w:t>http://www.independent.co.uk/news/uk/politics/cuts-threaten-traveller-childrens-schooling-2330282.html</w:t>
        </w:r>
      </w:hyperlink>
      <w:r w:rsidRPr="4F2C5BC0">
        <w:t xml:space="preserve"> (Accessed: 21 February 2018). </w:t>
      </w:r>
    </w:p>
    <w:p w:rsidR="4F2C5BC0" w:rsidRDefault="4F2C5BC0" w:rsidP="4F2C5BC0">
      <w:r w:rsidRPr="4F2C5BC0">
        <w:t xml:space="preserve">Educate a child (No Date) </w:t>
      </w:r>
      <w:r w:rsidRPr="4F2C5BC0">
        <w:rPr>
          <w:i/>
          <w:iCs/>
        </w:rPr>
        <w:t xml:space="preserve">Resources. </w:t>
      </w:r>
      <w:hyperlink r:id="rId8">
        <w:r w:rsidRPr="4F2C5BC0">
          <w:rPr>
            <w:rStyle w:val="Hyperlink"/>
            <w:rFonts w:ascii="Calibri" w:eastAsia="Calibri" w:hAnsi="Calibri" w:cs="Calibri"/>
          </w:rPr>
          <w:t>http://educateachild.org/explore/barriers-to-education/resources</w:t>
        </w:r>
      </w:hyperlink>
      <w:r w:rsidRPr="4F2C5BC0">
        <w:rPr>
          <w:rFonts w:ascii="Calibri" w:eastAsia="Calibri" w:hAnsi="Calibri" w:cs="Calibri"/>
        </w:rPr>
        <w:t xml:space="preserve"> (Accessed: 22 February 2018). </w:t>
      </w:r>
    </w:p>
    <w:p w:rsidR="4F2C5BC0" w:rsidRDefault="4F2C5BC0" w:rsidP="4F2C5BC0">
      <w:pPr>
        <w:rPr>
          <w:rFonts w:ascii="Calibri" w:eastAsia="Calibri" w:hAnsi="Calibri" w:cs="Calibri"/>
          <w:sz w:val="24"/>
          <w:szCs w:val="24"/>
        </w:rPr>
      </w:pPr>
      <w:r w:rsidRPr="4F2C5BC0">
        <w:rPr>
          <w:rFonts w:ascii="Calibri" w:eastAsia="Calibri" w:hAnsi="Calibri" w:cs="Calibri"/>
          <w:sz w:val="24"/>
          <w:szCs w:val="24"/>
        </w:rPr>
        <w:t xml:space="preserve">Equality and Human Right Commission. (2010) </w:t>
      </w:r>
      <w:r w:rsidRPr="4F2C5BC0">
        <w:rPr>
          <w:rFonts w:ascii="Calibri" w:eastAsia="Calibri" w:hAnsi="Calibri" w:cs="Calibri"/>
          <w:i/>
          <w:iCs/>
          <w:sz w:val="24"/>
          <w:szCs w:val="24"/>
        </w:rPr>
        <w:t xml:space="preserve">The Equality Act 2010. </w:t>
      </w:r>
      <w:r w:rsidRPr="4F2C5BC0">
        <w:rPr>
          <w:rFonts w:ascii="Calibri" w:eastAsia="Calibri" w:hAnsi="Calibri" w:cs="Calibri"/>
          <w:sz w:val="24"/>
          <w:szCs w:val="24"/>
        </w:rPr>
        <w:t xml:space="preserve">London: UK Government. [Online]. Available at: </w:t>
      </w:r>
      <w:hyperlink r:id="rId9">
        <w:r w:rsidRPr="4F2C5BC0">
          <w:rPr>
            <w:rStyle w:val="Hyperlink"/>
            <w:rFonts w:ascii="Calibri" w:eastAsia="Calibri" w:hAnsi="Calibri" w:cs="Calibri"/>
            <w:sz w:val="24"/>
            <w:szCs w:val="24"/>
          </w:rPr>
          <w:t>https://www.legislation.gov.uk/ukpga/2010/15/pdfs/ukpga_20100015_en.pdf</w:t>
        </w:r>
      </w:hyperlink>
      <w:r w:rsidRPr="4F2C5BC0">
        <w:rPr>
          <w:rFonts w:ascii="Calibri" w:eastAsia="Calibri" w:hAnsi="Calibri" w:cs="Calibri"/>
          <w:sz w:val="24"/>
          <w:szCs w:val="24"/>
        </w:rPr>
        <w:t xml:space="preserve"> (Accessed: 23February 2018).</w:t>
      </w:r>
    </w:p>
    <w:p w:rsidR="4F2C5BC0" w:rsidRDefault="4F2C5BC0" w:rsidP="4F2C5BC0">
      <w:pPr>
        <w:pStyle w:val="Heading1"/>
        <w:rPr>
          <w:rFonts w:asciiTheme="minorHAnsi" w:eastAsiaTheme="minorEastAsia" w:hAnsiTheme="minorHAnsi" w:cstheme="minorBidi"/>
          <w:i/>
          <w:iCs/>
          <w:color w:val="auto"/>
          <w:sz w:val="24"/>
          <w:szCs w:val="24"/>
        </w:rPr>
      </w:pPr>
      <w:r w:rsidRPr="4F2C5BC0">
        <w:rPr>
          <w:rFonts w:ascii="Calibri" w:eastAsia="Calibri" w:hAnsi="Calibri" w:cs="Calibri"/>
          <w:color w:val="auto"/>
          <w:sz w:val="24"/>
          <w:szCs w:val="24"/>
        </w:rPr>
        <w:t xml:space="preserve">Feeding America. (2015) </w:t>
      </w:r>
      <w:r w:rsidRPr="4F2C5BC0">
        <w:rPr>
          <w:rFonts w:asciiTheme="minorHAnsi" w:eastAsiaTheme="minorEastAsia" w:hAnsiTheme="minorHAnsi" w:cstheme="minorBidi"/>
          <w:i/>
          <w:iCs/>
          <w:color w:val="auto"/>
          <w:sz w:val="24"/>
          <w:szCs w:val="24"/>
        </w:rPr>
        <w:t xml:space="preserve">The Link Between Learning and Child Hunger in America. </w:t>
      </w:r>
      <w:r w:rsidRPr="4F2C5BC0">
        <w:rPr>
          <w:rFonts w:asciiTheme="minorHAnsi" w:eastAsiaTheme="minorEastAsia" w:hAnsiTheme="minorHAnsi" w:cstheme="minorBidi"/>
          <w:sz w:val="24"/>
          <w:szCs w:val="24"/>
        </w:rPr>
        <w:t>https://www.ourcommunityfoodbank.org/food-insecurities/the-link-between-learning-and-child-hunger-in-america/</w:t>
      </w:r>
      <w:r w:rsidRPr="4F2C5BC0">
        <w:rPr>
          <w:rFonts w:asciiTheme="minorHAnsi" w:eastAsiaTheme="minorEastAsia" w:hAnsiTheme="minorHAnsi" w:cstheme="minorBidi"/>
          <w:color w:val="auto"/>
          <w:sz w:val="24"/>
          <w:szCs w:val="24"/>
        </w:rPr>
        <w:t xml:space="preserve">(Accessed: 22 February 2018). </w:t>
      </w:r>
    </w:p>
    <w:p w:rsidR="4F2C5BC0" w:rsidRDefault="4F2C5BC0" w:rsidP="4F2C5BC0">
      <w:pPr>
        <w:rPr>
          <w:rFonts w:eastAsiaTheme="minorEastAsia"/>
          <w:sz w:val="24"/>
          <w:szCs w:val="24"/>
        </w:rPr>
      </w:pPr>
    </w:p>
    <w:p w:rsidR="4F2C5BC0" w:rsidRDefault="4F2C5BC0" w:rsidP="4F2C5BC0">
      <w:pPr>
        <w:rPr>
          <w:rFonts w:eastAsiaTheme="minorEastAsia"/>
          <w:sz w:val="24"/>
          <w:szCs w:val="24"/>
        </w:rPr>
      </w:pPr>
      <w:r w:rsidRPr="4F2C5BC0">
        <w:rPr>
          <w:rFonts w:eastAsiaTheme="minorEastAsia"/>
          <w:sz w:val="24"/>
          <w:szCs w:val="24"/>
        </w:rPr>
        <w:t xml:space="preserve">Harkness, J. (2015) </w:t>
      </w:r>
      <w:r w:rsidRPr="4F2C5BC0">
        <w:rPr>
          <w:rFonts w:eastAsiaTheme="minorEastAsia"/>
          <w:i/>
          <w:iCs/>
          <w:sz w:val="24"/>
          <w:szCs w:val="24"/>
        </w:rPr>
        <w:t xml:space="preserve">How Poverty Affects Children's Language Skills. </w:t>
      </w:r>
      <w:hyperlink r:id="rId10">
        <w:r w:rsidRPr="4F2C5BC0">
          <w:rPr>
            <w:rStyle w:val="Hyperlink"/>
            <w:rFonts w:ascii="Calibri" w:eastAsia="Calibri" w:hAnsi="Calibri" w:cs="Calibri"/>
            <w:sz w:val="24"/>
            <w:szCs w:val="24"/>
          </w:rPr>
          <w:t>https://borgenproject.org/poverty-affects-childrens-language-skills/</w:t>
        </w:r>
      </w:hyperlink>
      <w:r w:rsidRPr="4F2C5BC0">
        <w:rPr>
          <w:rFonts w:ascii="Calibri" w:eastAsia="Calibri" w:hAnsi="Calibri" w:cs="Calibri"/>
          <w:sz w:val="24"/>
          <w:szCs w:val="24"/>
        </w:rPr>
        <w:t xml:space="preserve"> (Accessed: 22 February 2018). </w:t>
      </w:r>
    </w:p>
    <w:p w:rsidR="4F2C5BC0" w:rsidRDefault="4F2C5BC0" w:rsidP="4F2C5BC0">
      <w:pPr>
        <w:rPr>
          <w:rFonts w:ascii="Calibri" w:eastAsia="Calibri" w:hAnsi="Calibri" w:cs="Calibri"/>
          <w:sz w:val="24"/>
          <w:szCs w:val="24"/>
        </w:rPr>
      </w:pPr>
      <w:r w:rsidRPr="4F2C5BC0">
        <w:rPr>
          <w:rFonts w:ascii="Calibri" w:eastAsia="Calibri" w:hAnsi="Calibri" w:cs="Calibri"/>
          <w:sz w:val="24"/>
          <w:szCs w:val="24"/>
        </w:rPr>
        <w:t xml:space="preserve">Harker, L. (2006) </w:t>
      </w:r>
      <w:r w:rsidRPr="4F2C5BC0">
        <w:rPr>
          <w:rFonts w:ascii="Calibri" w:eastAsia="Calibri" w:hAnsi="Calibri" w:cs="Calibri"/>
          <w:i/>
          <w:iCs/>
          <w:sz w:val="24"/>
          <w:szCs w:val="24"/>
        </w:rPr>
        <w:t xml:space="preserve">Chance of a lifetime the impact of bad housing on children's lives. </w:t>
      </w:r>
      <w:r w:rsidRPr="4F2C5BC0">
        <w:rPr>
          <w:rFonts w:ascii="Calibri" w:eastAsia="Calibri" w:hAnsi="Calibri" w:cs="Calibri"/>
          <w:sz w:val="24"/>
          <w:szCs w:val="24"/>
        </w:rPr>
        <w:t xml:space="preserve">england.shelter.org.uk/__data/assets/pdf_file/0004/66442/Lifechancereport.pdf (Accessed: 22 February 2018).  </w:t>
      </w:r>
    </w:p>
    <w:p w:rsidR="4F2C5BC0" w:rsidRDefault="4F2C5BC0" w:rsidP="4F2C5BC0">
      <w:pPr>
        <w:rPr>
          <w:rFonts w:eastAsiaTheme="minorEastAsia"/>
          <w:sz w:val="24"/>
          <w:szCs w:val="24"/>
        </w:rPr>
      </w:pPr>
      <w:r w:rsidRPr="4F2C5BC0">
        <w:rPr>
          <w:rFonts w:ascii="Calibri" w:eastAsia="Calibri" w:hAnsi="Calibri" w:cs="Calibri"/>
          <w:sz w:val="24"/>
          <w:szCs w:val="24"/>
        </w:rPr>
        <w:t xml:space="preserve">Keddie, A. (2015) </w:t>
      </w:r>
      <w:r w:rsidRPr="4F2C5BC0">
        <w:rPr>
          <w:rFonts w:eastAsiaTheme="minorEastAsia"/>
          <w:i/>
          <w:iCs/>
          <w:sz w:val="24"/>
          <w:szCs w:val="24"/>
        </w:rPr>
        <w:t xml:space="preserve">Boys are more likely to play up at school, but it’s more social than biological. </w:t>
      </w:r>
      <w:hyperlink r:id="rId11">
        <w:r w:rsidRPr="4F2C5BC0">
          <w:rPr>
            <w:rStyle w:val="Hyperlink"/>
          </w:rPr>
          <w:t>https://theconversation.com/boys-are-more-likely-to-play-up-at-school-but-its-more-social-than-biological-34586</w:t>
        </w:r>
      </w:hyperlink>
      <w:r w:rsidRPr="4F2C5BC0">
        <w:t xml:space="preserve"> (Accessed: 23 February 2018). </w:t>
      </w:r>
    </w:p>
    <w:p w:rsidR="4F2C5BC0" w:rsidRDefault="4F2C5BC0" w:rsidP="4F2C5BC0">
      <w:pPr>
        <w:rPr>
          <w:rFonts w:ascii="Calibri" w:eastAsia="Calibri" w:hAnsi="Calibri" w:cs="Calibri"/>
          <w:sz w:val="24"/>
          <w:szCs w:val="24"/>
        </w:rPr>
      </w:pPr>
      <w:r w:rsidRPr="4F2C5BC0">
        <w:rPr>
          <w:rFonts w:ascii="Calibri" w:eastAsia="Calibri" w:hAnsi="Calibri" w:cs="Calibri"/>
          <w:sz w:val="24"/>
          <w:szCs w:val="24"/>
        </w:rPr>
        <w:t xml:space="preserve">Kokemuller, N. (2011) </w:t>
      </w:r>
      <w:r w:rsidRPr="4F2C5BC0">
        <w:rPr>
          <w:rFonts w:eastAsiaTheme="minorEastAsia"/>
          <w:i/>
          <w:iCs/>
          <w:sz w:val="24"/>
          <w:szCs w:val="24"/>
        </w:rPr>
        <w:t xml:space="preserve">The Negative Impact of Children Changing Schools. </w:t>
      </w:r>
      <w:hyperlink r:id="rId12">
        <w:r w:rsidRPr="4F2C5BC0">
          <w:rPr>
            <w:rStyle w:val="Hyperlink"/>
          </w:rPr>
          <w:t>http://education.seattlepi.com/negative-impact-children-changing-schools-2011.html</w:t>
        </w:r>
      </w:hyperlink>
      <w:r w:rsidRPr="4F2C5BC0">
        <w:t xml:space="preserve"> (Accessed: 21 February 2018).</w:t>
      </w:r>
    </w:p>
    <w:p w:rsidR="4F2C5BC0" w:rsidRDefault="4F2C5BC0" w:rsidP="4F2C5BC0">
      <w:pPr>
        <w:rPr>
          <w:i/>
          <w:iCs/>
        </w:rPr>
      </w:pPr>
      <w:r w:rsidRPr="4F2C5BC0">
        <w:t>Meldrum, Et al. (No Date)</w:t>
      </w:r>
      <w:r w:rsidRPr="4F2C5BC0">
        <w:rPr>
          <w:i/>
          <w:iCs/>
        </w:rPr>
        <w:t xml:space="preserve"> Mental Health in Schools: How Teachers have the power to make a difference. </w:t>
      </w:r>
      <w:hyperlink r:id="rId13">
        <w:r w:rsidRPr="4F2C5BC0">
          <w:rPr>
            <w:rStyle w:val="Hyperlink"/>
            <w:rFonts w:ascii="Calibri" w:eastAsia="Calibri" w:hAnsi="Calibri" w:cs="Calibri"/>
          </w:rPr>
          <w:t>https://www.ctf-fce.ca/Research-Library/Issue8_Article1_EN.pdf</w:t>
        </w:r>
      </w:hyperlink>
      <w:r w:rsidRPr="4F2C5BC0">
        <w:rPr>
          <w:rFonts w:ascii="Calibri" w:eastAsia="Calibri" w:hAnsi="Calibri" w:cs="Calibri"/>
        </w:rPr>
        <w:t xml:space="preserve"> (Accessed: 22 February 2018). </w:t>
      </w:r>
    </w:p>
    <w:p w:rsidR="4F2C5BC0" w:rsidRDefault="4F2C5BC0" w:rsidP="4F2C5BC0">
      <w:pPr>
        <w:rPr>
          <w:rFonts w:eastAsiaTheme="minorEastAsia"/>
          <w:sz w:val="24"/>
          <w:szCs w:val="24"/>
        </w:rPr>
      </w:pPr>
      <w:r w:rsidRPr="4F2C5BC0">
        <w:rPr>
          <w:rFonts w:ascii="Calibri" w:eastAsia="Calibri" w:hAnsi="Calibri" w:cs="Calibri"/>
        </w:rPr>
        <w:lastRenderedPageBreak/>
        <w:t>Office for National Statistics. (2016)</w:t>
      </w:r>
      <w:r w:rsidRPr="4F2C5BC0">
        <w:rPr>
          <w:rFonts w:eastAsiaTheme="minorEastAsia"/>
          <w:i/>
          <w:iCs/>
          <w:sz w:val="24"/>
          <w:szCs w:val="24"/>
        </w:rPr>
        <w:t xml:space="preserve">The gender pay gap – what is it and what affects it?. </w:t>
      </w:r>
      <w:hyperlink r:id="rId14">
        <w:r w:rsidRPr="4F2C5BC0">
          <w:rPr>
            <w:rStyle w:val="Hyperlink"/>
          </w:rPr>
          <w:t>https://visual.ons.gov.uk/the-gender-pay-gap-what-is-it-and-what-affects-it/</w:t>
        </w:r>
      </w:hyperlink>
      <w:r w:rsidRPr="4F2C5BC0">
        <w:t xml:space="preserve"> (Accessed: 23 February 2018). </w:t>
      </w:r>
    </w:p>
    <w:p w:rsidR="4F2C5BC0" w:rsidRDefault="4F2C5BC0" w:rsidP="4F2C5BC0">
      <w:pPr>
        <w:rPr>
          <w:rFonts w:ascii="Calibri" w:eastAsia="Calibri" w:hAnsi="Calibri" w:cs="Calibri"/>
        </w:rPr>
      </w:pPr>
      <w:r w:rsidRPr="4F2C5BC0">
        <w:rPr>
          <w:rFonts w:eastAsiaTheme="minorEastAsia"/>
          <w:sz w:val="24"/>
          <w:szCs w:val="24"/>
        </w:rPr>
        <w:t xml:space="preserve">Office for National Statistics. (2014). </w:t>
      </w:r>
      <w:r w:rsidRPr="4F2C5BC0">
        <w:rPr>
          <w:rFonts w:eastAsiaTheme="minorEastAsia"/>
          <w:i/>
          <w:iCs/>
          <w:sz w:val="24"/>
          <w:szCs w:val="24"/>
        </w:rPr>
        <w:t xml:space="preserve">Gypsy or Irish Travellers smallest ethnic minority at 58,000. </w:t>
      </w:r>
      <w:hyperlink r:id="rId15">
        <w:r w:rsidRPr="4F2C5BC0">
          <w:rPr>
            <w:rStyle w:val="Hyperlink"/>
          </w:rPr>
          <w:t>http://webarchive.nationalarchives.gov.uk/20160105215130/http://www.ons.gov.uk/ons/rel/census/2011-census-analysis/what-does-the-2011-census-tell-us-about-the-characteristics-of-gypsy-or-irish-travellers-in-england-and-wales-/sty-gypsy-or-irish-travellers.html</w:t>
        </w:r>
      </w:hyperlink>
      <w:r w:rsidRPr="4F2C5BC0">
        <w:t xml:space="preserve"> (Accessed: 21 February 2018). </w:t>
      </w:r>
    </w:p>
    <w:p w:rsidR="4F2C5BC0" w:rsidRDefault="4F2C5BC0" w:rsidP="4F2C5BC0">
      <w:r w:rsidRPr="4F2C5BC0">
        <w:t xml:space="preserve">Parrett, w. and Budge, K. (2015) </w:t>
      </w:r>
      <w:r w:rsidRPr="4F2C5BC0">
        <w:rPr>
          <w:i/>
          <w:iCs/>
        </w:rPr>
        <w:t xml:space="preserve">What can Schools do to address poverty? </w:t>
      </w:r>
      <w:hyperlink r:id="rId16">
        <w:r w:rsidRPr="4F2C5BC0">
          <w:rPr>
            <w:rStyle w:val="Hyperlink"/>
            <w:rFonts w:ascii="Calibri" w:eastAsia="Calibri" w:hAnsi="Calibri" w:cs="Calibri"/>
          </w:rPr>
          <w:t>https://www.edutopia.org/blog/what-can-schools-do-to-address-poverty-william-parrett-kathleen-budge</w:t>
        </w:r>
      </w:hyperlink>
      <w:r w:rsidRPr="4F2C5BC0">
        <w:rPr>
          <w:rFonts w:ascii="Calibri" w:eastAsia="Calibri" w:hAnsi="Calibri" w:cs="Calibri"/>
        </w:rPr>
        <w:t xml:space="preserve"> (Accessed: 24 February 2018). </w:t>
      </w:r>
    </w:p>
    <w:p w:rsidR="4F2C5BC0" w:rsidRDefault="4F2C5BC0" w:rsidP="4F2C5BC0">
      <w:pPr>
        <w:rPr>
          <w:rFonts w:eastAsiaTheme="minorEastAsia"/>
          <w:sz w:val="24"/>
          <w:szCs w:val="24"/>
        </w:rPr>
      </w:pPr>
      <w:r w:rsidRPr="4F2C5BC0">
        <w:rPr>
          <w:rFonts w:ascii="Calibri" w:eastAsia="Calibri" w:hAnsi="Calibri" w:cs="Calibri"/>
          <w:sz w:val="24"/>
          <w:szCs w:val="24"/>
        </w:rPr>
        <w:t xml:space="preserve">Smith, E. (2012) </w:t>
      </w:r>
      <w:r w:rsidRPr="4F2C5BC0">
        <w:rPr>
          <w:rFonts w:ascii="Calibri" w:eastAsia="Calibri" w:hAnsi="Calibri" w:cs="Calibri"/>
          <w:i/>
          <w:iCs/>
          <w:sz w:val="24"/>
          <w:szCs w:val="24"/>
        </w:rPr>
        <w:t xml:space="preserve">Key Issues in Education and Social Justice. </w:t>
      </w:r>
      <w:r w:rsidRPr="4F2C5BC0">
        <w:rPr>
          <w:rFonts w:ascii="Calibri" w:eastAsia="Calibri" w:hAnsi="Calibri" w:cs="Calibri"/>
          <w:sz w:val="24"/>
          <w:szCs w:val="24"/>
        </w:rPr>
        <w:t xml:space="preserve">London: Sage. </w:t>
      </w:r>
    </w:p>
    <w:p w:rsidR="4F2C5BC0" w:rsidRDefault="4F2C5BC0" w:rsidP="4F2C5BC0">
      <w:pPr>
        <w:rPr>
          <w:rFonts w:ascii="Calibri" w:eastAsia="Calibri" w:hAnsi="Calibri" w:cs="Calibri"/>
          <w:b/>
          <w:bCs/>
          <w:sz w:val="24"/>
          <w:szCs w:val="24"/>
          <w:u w:val="single"/>
        </w:rPr>
      </w:pPr>
      <w:r w:rsidRPr="4F2C5BC0">
        <w:rPr>
          <w:rFonts w:ascii="Calibri" w:eastAsia="Calibri" w:hAnsi="Calibri" w:cs="Calibri"/>
          <w:sz w:val="24"/>
          <w:szCs w:val="24"/>
        </w:rPr>
        <w:t xml:space="preserve">Wilkins, E. (No Date) </w:t>
      </w:r>
      <w:r w:rsidRPr="4F2C5BC0">
        <w:rPr>
          <w:rFonts w:eastAsiaTheme="minorEastAsia"/>
          <w:i/>
          <w:iCs/>
          <w:sz w:val="24"/>
          <w:szCs w:val="24"/>
        </w:rPr>
        <w:t xml:space="preserve">Barriers to learning: Gypsy, Traveller and Roma communities. </w:t>
      </w:r>
      <w:hyperlink r:id="rId17">
        <w:r w:rsidRPr="4F2C5BC0">
          <w:rPr>
            <w:rStyle w:val="Hyperlink"/>
          </w:rPr>
          <w:t>http://www.in2teaching.org.uk/Blogspot/View/5401BarrierstolearningGypsyTravellerandRomacommunities.aspx</w:t>
        </w:r>
      </w:hyperlink>
      <w:r w:rsidRPr="4F2C5BC0">
        <w:t xml:space="preserve"> (Accessed: 21 February 2018). </w:t>
      </w:r>
    </w:p>
    <w:p w:rsidR="4F2C5BC0" w:rsidRDefault="4F2C5BC0" w:rsidP="4F2C5BC0">
      <w:pPr>
        <w:rPr>
          <w:rFonts w:eastAsiaTheme="minorEastAsia"/>
          <w:i/>
          <w:iCs/>
          <w:sz w:val="24"/>
          <w:szCs w:val="24"/>
        </w:rPr>
      </w:pPr>
      <w:r w:rsidRPr="4F2C5BC0">
        <w:rPr>
          <w:rFonts w:eastAsiaTheme="minorEastAsia"/>
          <w:sz w:val="24"/>
          <w:szCs w:val="24"/>
        </w:rPr>
        <w:t xml:space="preserve">Uluç, F. (2017). </w:t>
      </w:r>
      <w:r w:rsidRPr="4F2C5BC0">
        <w:rPr>
          <w:rFonts w:eastAsiaTheme="minorEastAsia"/>
          <w:i/>
          <w:iCs/>
          <w:sz w:val="24"/>
          <w:szCs w:val="24"/>
        </w:rPr>
        <w:t xml:space="preserve">How to approach teaching gender equality to boys and girls. </w:t>
      </w:r>
      <w:hyperlink r:id="rId18">
        <w:r w:rsidRPr="4F2C5BC0">
          <w:rPr>
            <w:rStyle w:val="Hyperlink"/>
          </w:rPr>
          <w:t>https://www.britishcouncil.org/voices-magazine/how-approach-teaching-gender-equality-boys-and-girls</w:t>
        </w:r>
      </w:hyperlink>
      <w:r w:rsidRPr="4F2C5BC0">
        <w:t xml:space="preserve"> (Accessed: 23 February 2018). </w:t>
      </w:r>
    </w:p>
    <w:p w:rsidR="4F2C5BC0" w:rsidRDefault="4F2C5BC0" w:rsidP="4F2C5BC0">
      <w:pPr>
        <w:rPr>
          <w:rFonts w:eastAsiaTheme="minorEastAsia"/>
          <w:sz w:val="24"/>
          <w:szCs w:val="24"/>
        </w:rPr>
      </w:pPr>
      <w:r w:rsidRPr="4F2C5BC0">
        <w:rPr>
          <w:rFonts w:eastAsiaTheme="minorEastAsia"/>
          <w:sz w:val="24"/>
          <w:szCs w:val="24"/>
        </w:rPr>
        <w:t xml:space="preserve">UNICEF (2015). </w:t>
      </w:r>
      <w:r w:rsidRPr="4F2C5BC0">
        <w:rPr>
          <w:rFonts w:eastAsiaTheme="minorEastAsia"/>
          <w:i/>
          <w:iCs/>
          <w:sz w:val="24"/>
          <w:szCs w:val="24"/>
        </w:rPr>
        <w:t xml:space="preserve">Gender Discrimination. </w:t>
      </w:r>
      <w:hyperlink r:id="rId19">
        <w:r w:rsidRPr="4F2C5BC0">
          <w:rPr>
            <w:rStyle w:val="Hyperlink"/>
            <w:rFonts w:ascii="Calibri" w:eastAsia="Calibri" w:hAnsi="Calibri" w:cs="Calibri"/>
            <w:sz w:val="24"/>
            <w:szCs w:val="24"/>
          </w:rPr>
          <w:t>http://webcache.googleusercontent.com/search?q=cache:qPchZ9xXD1AJ:allinschool.org/barriers-to-education/gender/+&amp;cd=1&amp;hl=en&amp;ct=clnk&amp;gl=uk</w:t>
        </w:r>
      </w:hyperlink>
      <w:r w:rsidRPr="4F2C5BC0">
        <w:rPr>
          <w:rFonts w:ascii="Calibri" w:eastAsia="Calibri" w:hAnsi="Calibri" w:cs="Calibri"/>
          <w:sz w:val="24"/>
          <w:szCs w:val="24"/>
        </w:rPr>
        <w:t xml:space="preserve"> (Accessed: 22 February 2018). </w:t>
      </w:r>
    </w:p>
    <w:p w:rsidR="4F2C5BC0" w:rsidRDefault="4F2C5BC0" w:rsidP="4F2C5BC0">
      <w:r w:rsidRPr="4F2C5BC0">
        <w:rPr>
          <w:rFonts w:eastAsiaTheme="minorEastAsia"/>
          <w:sz w:val="24"/>
          <w:szCs w:val="24"/>
        </w:rPr>
        <w:t xml:space="preserve">Wilkins, et al. (2010) </w:t>
      </w:r>
      <w:r w:rsidRPr="4F2C5BC0">
        <w:rPr>
          <w:rFonts w:ascii="Calibri" w:eastAsia="Calibri" w:hAnsi="Calibri" w:cs="Calibri"/>
          <w:i/>
          <w:iCs/>
          <w:sz w:val="24"/>
          <w:szCs w:val="24"/>
        </w:rPr>
        <w:t xml:space="preserve">Improving the outcomes for Gypsy, Roma and Traveller pupils: final report. </w:t>
      </w:r>
      <w:hyperlink r:id="rId20">
        <w:r w:rsidRPr="4F2C5BC0">
          <w:rPr>
            <w:rStyle w:val="Hyperlink"/>
            <w:rFonts w:ascii="Calibri" w:eastAsia="Calibri" w:hAnsi="Calibri" w:cs="Calibri"/>
            <w:sz w:val="24"/>
            <w:szCs w:val="24"/>
          </w:rPr>
          <w:t>https://www.gov.uk/government/uploads/system/uploads/attachment_data/file/181669/DFE-RR043.pdf</w:t>
        </w:r>
      </w:hyperlink>
      <w:r w:rsidRPr="4F2C5BC0">
        <w:rPr>
          <w:rFonts w:ascii="Calibri" w:eastAsia="Calibri" w:hAnsi="Calibri" w:cs="Calibri"/>
          <w:sz w:val="24"/>
          <w:szCs w:val="24"/>
        </w:rPr>
        <w:t xml:space="preserve"> (Accessed: 21 February 2018). </w:t>
      </w:r>
    </w:p>
    <w:p w:rsidR="4F2C5BC0" w:rsidRDefault="4F2C5BC0" w:rsidP="4F2C5BC0">
      <w:pPr>
        <w:rPr>
          <w:rFonts w:eastAsiaTheme="minorEastAsia"/>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u w:val="single"/>
        </w:rPr>
      </w:pPr>
    </w:p>
    <w:p w:rsidR="4F2C5BC0" w:rsidRDefault="4F2C5BC0" w:rsidP="4F2C5BC0">
      <w:pPr>
        <w:rPr>
          <w:rFonts w:ascii="Calibri" w:eastAsia="Calibri" w:hAnsi="Calibri" w:cs="Calibri"/>
          <w:b/>
          <w:bCs/>
          <w:sz w:val="24"/>
          <w:szCs w:val="24"/>
        </w:rPr>
      </w:pPr>
    </w:p>
    <w:sectPr w:rsidR="4F2C5BC0" w:rsidSect="00FE5FE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5235DD"/>
    <w:multiLevelType w:val="hybridMultilevel"/>
    <w:tmpl w:val="60AE7A48"/>
    <w:lvl w:ilvl="0" w:tplc="A15CBF1A">
      <w:start w:val="1"/>
      <w:numFmt w:val="bullet"/>
      <w:lvlText w:val=""/>
      <w:lvlJc w:val="left"/>
      <w:pPr>
        <w:ind w:left="720" w:hanging="360"/>
      </w:pPr>
      <w:rPr>
        <w:rFonts w:ascii="Symbol" w:hAnsi="Symbol" w:hint="default"/>
      </w:rPr>
    </w:lvl>
    <w:lvl w:ilvl="1" w:tplc="E1506016">
      <w:start w:val="1"/>
      <w:numFmt w:val="bullet"/>
      <w:lvlText w:val="o"/>
      <w:lvlJc w:val="left"/>
      <w:pPr>
        <w:ind w:left="1440" w:hanging="360"/>
      </w:pPr>
      <w:rPr>
        <w:rFonts w:ascii="Courier New" w:hAnsi="Courier New" w:hint="default"/>
      </w:rPr>
    </w:lvl>
    <w:lvl w:ilvl="2" w:tplc="96D057F8">
      <w:start w:val="1"/>
      <w:numFmt w:val="bullet"/>
      <w:lvlText w:val=""/>
      <w:lvlJc w:val="left"/>
      <w:pPr>
        <w:ind w:left="2160" w:hanging="360"/>
      </w:pPr>
      <w:rPr>
        <w:rFonts w:ascii="Wingdings" w:hAnsi="Wingdings" w:hint="default"/>
      </w:rPr>
    </w:lvl>
    <w:lvl w:ilvl="3" w:tplc="52A87398">
      <w:start w:val="1"/>
      <w:numFmt w:val="bullet"/>
      <w:lvlText w:val=""/>
      <w:lvlJc w:val="left"/>
      <w:pPr>
        <w:ind w:left="2880" w:hanging="360"/>
      </w:pPr>
      <w:rPr>
        <w:rFonts w:ascii="Symbol" w:hAnsi="Symbol" w:hint="default"/>
      </w:rPr>
    </w:lvl>
    <w:lvl w:ilvl="4" w:tplc="EB74726C">
      <w:start w:val="1"/>
      <w:numFmt w:val="bullet"/>
      <w:lvlText w:val="o"/>
      <w:lvlJc w:val="left"/>
      <w:pPr>
        <w:ind w:left="3600" w:hanging="360"/>
      </w:pPr>
      <w:rPr>
        <w:rFonts w:ascii="Courier New" w:hAnsi="Courier New" w:hint="default"/>
      </w:rPr>
    </w:lvl>
    <w:lvl w:ilvl="5" w:tplc="224AC21C">
      <w:start w:val="1"/>
      <w:numFmt w:val="bullet"/>
      <w:lvlText w:val=""/>
      <w:lvlJc w:val="left"/>
      <w:pPr>
        <w:ind w:left="4320" w:hanging="360"/>
      </w:pPr>
      <w:rPr>
        <w:rFonts w:ascii="Wingdings" w:hAnsi="Wingdings" w:hint="default"/>
      </w:rPr>
    </w:lvl>
    <w:lvl w:ilvl="6" w:tplc="261EADA4">
      <w:start w:val="1"/>
      <w:numFmt w:val="bullet"/>
      <w:lvlText w:val=""/>
      <w:lvlJc w:val="left"/>
      <w:pPr>
        <w:ind w:left="5040" w:hanging="360"/>
      </w:pPr>
      <w:rPr>
        <w:rFonts w:ascii="Symbol" w:hAnsi="Symbol" w:hint="default"/>
      </w:rPr>
    </w:lvl>
    <w:lvl w:ilvl="7" w:tplc="0B089A7A">
      <w:start w:val="1"/>
      <w:numFmt w:val="bullet"/>
      <w:lvlText w:val="o"/>
      <w:lvlJc w:val="left"/>
      <w:pPr>
        <w:ind w:left="5760" w:hanging="360"/>
      </w:pPr>
      <w:rPr>
        <w:rFonts w:ascii="Courier New" w:hAnsi="Courier New" w:hint="default"/>
      </w:rPr>
    </w:lvl>
    <w:lvl w:ilvl="8" w:tplc="D89A0C0A">
      <w:start w:val="1"/>
      <w:numFmt w:val="bullet"/>
      <w:lvlText w:val=""/>
      <w:lvlJc w:val="left"/>
      <w:pPr>
        <w:ind w:left="6480" w:hanging="360"/>
      </w:pPr>
      <w:rPr>
        <w:rFonts w:ascii="Wingdings" w:hAnsi="Wingdings" w:hint="default"/>
      </w:rPr>
    </w:lvl>
  </w:abstractNum>
  <w:abstractNum w:abstractNumId="1">
    <w:nsid w:val="6F000FF9"/>
    <w:multiLevelType w:val="hybridMultilevel"/>
    <w:tmpl w:val="09067EF6"/>
    <w:lvl w:ilvl="0" w:tplc="15DA9B18">
      <w:start w:val="1"/>
      <w:numFmt w:val="bullet"/>
      <w:lvlText w:val=""/>
      <w:lvlJc w:val="left"/>
      <w:pPr>
        <w:ind w:left="720" w:hanging="360"/>
      </w:pPr>
      <w:rPr>
        <w:rFonts w:ascii="Symbol" w:hAnsi="Symbol" w:hint="default"/>
      </w:rPr>
    </w:lvl>
    <w:lvl w:ilvl="1" w:tplc="71380B60">
      <w:start w:val="1"/>
      <w:numFmt w:val="bullet"/>
      <w:lvlText w:val="o"/>
      <w:lvlJc w:val="left"/>
      <w:pPr>
        <w:ind w:left="1440" w:hanging="360"/>
      </w:pPr>
      <w:rPr>
        <w:rFonts w:ascii="Courier New" w:hAnsi="Courier New" w:hint="default"/>
      </w:rPr>
    </w:lvl>
    <w:lvl w:ilvl="2" w:tplc="B3F68608">
      <w:start w:val="1"/>
      <w:numFmt w:val="bullet"/>
      <w:lvlText w:val=""/>
      <w:lvlJc w:val="left"/>
      <w:pPr>
        <w:ind w:left="2160" w:hanging="360"/>
      </w:pPr>
      <w:rPr>
        <w:rFonts w:ascii="Wingdings" w:hAnsi="Wingdings" w:hint="default"/>
      </w:rPr>
    </w:lvl>
    <w:lvl w:ilvl="3" w:tplc="848C7338">
      <w:start w:val="1"/>
      <w:numFmt w:val="bullet"/>
      <w:lvlText w:val=""/>
      <w:lvlJc w:val="left"/>
      <w:pPr>
        <w:ind w:left="2880" w:hanging="360"/>
      </w:pPr>
      <w:rPr>
        <w:rFonts w:ascii="Symbol" w:hAnsi="Symbol" w:hint="default"/>
      </w:rPr>
    </w:lvl>
    <w:lvl w:ilvl="4" w:tplc="BB5A0EC0">
      <w:start w:val="1"/>
      <w:numFmt w:val="bullet"/>
      <w:lvlText w:val="o"/>
      <w:lvlJc w:val="left"/>
      <w:pPr>
        <w:ind w:left="3600" w:hanging="360"/>
      </w:pPr>
      <w:rPr>
        <w:rFonts w:ascii="Courier New" w:hAnsi="Courier New" w:hint="default"/>
      </w:rPr>
    </w:lvl>
    <w:lvl w:ilvl="5" w:tplc="445016E2">
      <w:start w:val="1"/>
      <w:numFmt w:val="bullet"/>
      <w:lvlText w:val=""/>
      <w:lvlJc w:val="left"/>
      <w:pPr>
        <w:ind w:left="4320" w:hanging="360"/>
      </w:pPr>
      <w:rPr>
        <w:rFonts w:ascii="Wingdings" w:hAnsi="Wingdings" w:hint="default"/>
      </w:rPr>
    </w:lvl>
    <w:lvl w:ilvl="6" w:tplc="2BF47B28">
      <w:start w:val="1"/>
      <w:numFmt w:val="bullet"/>
      <w:lvlText w:val=""/>
      <w:lvlJc w:val="left"/>
      <w:pPr>
        <w:ind w:left="5040" w:hanging="360"/>
      </w:pPr>
      <w:rPr>
        <w:rFonts w:ascii="Symbol" w:hAnsi="Symbol" w:hint="default"/>
      </w:rPr>
    </w:lvl>
    <w:lvl w:ilvl="7" w:tplc="3064BA0C">
      <w:start w:val="1"/>
      <w:numFmt w:val="bullet"/>
      <w:lvlText w:val="o"/>
      <w:lvlJc w:val="left"/>
      <w:pPr>
        <w:ind w:left="5760" w:hanging="360"/>
      </w:pPr>
      <w:rPr>
        <w:rFonts w:ascii="Courier New" w:hAnsi="Courier New" w:hint="default"/>
      </w:rPr>
    </w:lvl>
    <w:lvl w:ilvl="8" w:tplc="1528E1D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w15:person w15:author="Kate Lewis (1701248)">
    <w15:presenceInfo w15:providerId="AD" w15:userId="10033FFFA4969CC5@LIVE.COM"/>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34CB8A2"/>
    <w:rsid w:val="00BB0947"/>
    <w:rsid w:val="00FE5FE3"/>
    <w:rsid w:val="034CB8A2"/>
    <w:rsid w:val="159AAA20"/>
    <w:rsid w:val="3169050D"/>
    <w:rsid w:val="4F2C5BC0"/>
    <w:rsid w:val="560FE68A"/>
    <w:rsid w:val="7622B9A3"/>
    <w:rsid w:val="771BC0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FE3"/>
  </w:style>
  <w:style w:type="paragraph" w:styleId="Heading1">
    <w:name w:val="heading 1"/>
    <w:basedOn w:val="Normal"/>
    <w:next w:val="Normal"/>
    <w:link w:val="Heading1Char"/>
    <w:uiPriority w:val="9"/>
    <w:qFormat/>
    <w:rsid w:val="00FE5F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5FE3"/>
    <w:rPr>
      <w:color w:val="0563C1" w:themeColor="hyperlink"/>
      <w:u w:val="single"/>
    </w:rPr>
  </w:style>
  <w:style w:type="character" w:customStyle="1" w:styleId="Heading1Char">
    <w:name w:val="Heading 1 Char"/>
    <w:basedOn w:val="DefaultParagraphFont"/>
    <w:link w:val="Heading1"/>
    <w:uiPriority w:val="9"/>
    <w:rsid w:val="00FE5FE3"/>
    <w:rPr>
      <w:rFonts w:asciiTheme="majorHAnsi" w:eastAsiaTheme="majorEastAsia" w:hAnsiTheme="majorHAnsi" w:cstheme="majorBidi"/>
      <w:color w:val="2E74B5" w:themeColor="accent1" w:themeShade="BF"/>
      <w:sz w:val="32"/>
      <w:szCs w:val="3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cateachild.org/explore/barriers-to-education/resources" TargetMode="External"/><Relationship Id="rId13" Type="http://schemas.openxmlformats.org/officeDocument/2006/relationships/hyperlink" Target="https://www.ctf-fce.ca/Research-Library/Issue8_Article1_EN.pdf" TargetMode="External"/><Relationship Id="rId18" Type="http://schemas.openxmlformats.org/officeDocument/2006/relationships/hyperlink" Target="https://www.britishcouncil.org/voices-magazine/how-approach-teaching-gender-equality-boys-and-girl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independent.co.uk/news/uk/politics/cuts-threaten-traveller-childrens-schooling-2330282.html" TargetMode="External"/><Relationship Id="rId12" Type="http://schemas.openxmlformats.org/officeDocument/2006/relationships/hyperlink" Target="http://education.seattlepi.com/negative-impact-children-changing-schools-2011.html" TargetMode="External"/><Relationship Id="rId17" Type="http://schemas.openxmlformats.org/officeDocument/2006/relationships/hyperlink" Target="http://www.in2teaching.org.uk/Blogspot/View/5401BarrierstolearningGypsyTravellerandRomacommunities.aspx" TargetMode="External"/><Relationship Id="rId2" Type="http://schemas.openxmlformats.org/officeDocument/2006/relationships/styles" Target="styles.xml"/><Relationship Id="rId16" Type="http://schemas.openxmlformats.org/officeDocument/2006/relationships/hyperlink" Target="https://www.edutopia.org/blog/what-can-schools-do-to-address-poverty-william-parrett-kathleen-budge" TargetMode="External"/><Relationship Id="rId20" Type="http://schemas.openxmlformats.org/officeDocument/2006/relationships/hyperlink" Target="https://www.gov.uk/government/uploads/system/uploads/attachment_data/file/181669/DFE-RR043.pdf" TargetMode="External"/><Relationship Id="rId1" Type="http://schemas.openxmlformats.org/officeDocument/2006/relationships/numbering" Target="numbering.xml"/><Relationship Id="rId6" Type="http://schemas.openxmlformats.org/officeDocument/2006/relationships/hyperlink" Target="https://www.betterhealth.vic.gov.au/health/healthyliving/chronic-illness-coping-at-school" TargetMode="External"/><Relationship Id="rId11" Type="http://schemas.openxmlformats.org/officeDocument/2006/relationships/hyperlink" Target="https://theconversation.com/boys-are-more-likely-to-play-up-at-school-but-its-more-social-than-biological-34586" TargetMode="External"/><Relationship Id="rId5" Type="http://schemas.openxmlformats.org/officeDocument/2006/relationships/hyperlink" Target="http://www.uis.unesco.org/Education/Documents/fs-31-out-of-school-children-en.pdf" TargetMode="External"/><Relationship Id="rId15" Type="http://schemas.openxmlformats.org/officeDocument/2006/relationships/hyperlink" Target="http://webarchive.nationalarchives.gov.uk/20160105215130/http://www.ons.gov.uk/ons/rel/census/2011-census-analysis/what-does-the-2011-census-tell-us-about-the-characteristics-of-gypsy-or-irish-travellers-in-england-and-wales-/sty-gypsy-or-irish-travellers.html" TargetMode="External"/><Relationship Id="rId10" Type="http://schemas.openxmlformats.org/officeDocument/2006/relationships/hyperlink" Target="https://borgenproject.org/poverty-affects-childrens-language-skills/" TargetMode="External"/><Relationship Id="rId19" Type="http://schemas.openxmlformats.org/officeDocument/2006/relationships/hyperlink" Target="http://webcache.googleusercontent.com/search?q=cache:qPchZ9xXD1AJ:allinschool.org/barriers-to-education/gender/+&amp;cd=1&amp;hl=en&amp;ct=clnk&amp;gl=uk" TargetMode="External"/><Relationship Id="rId4" Type="http://schemas.openxmlformats.org/officeDocument/2006/relationships/webSettings" Target="webSettings.xml"/><Relationship Id="rId9" Type="http://schemas.openxmlformats.org/officeDocument/2006/relationships/hyperlink" Target="https://www.legislation.gov.uk/ukpga/2010/15/pdfs/ukpga_20100015_en.pdf" TargetMode="External"/><Relationship Id="rId14" Type="http://schemas.openxmlformats.org/officeDocument/2006/relationships/hyperlink" Target="https://visual.ons.gov.uk/the-gender-pay-gap-what-is-it-and-what-affects-it/" TargetMode="External"/><Relationship Id="rId22" Type="http://schemas.openxmlformats.org/officeDocument/2006/relationships/theme" Target="theme/theme1.xml"/><Relationship Id="R1eff3b339e194f6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2681</Words>
  <Characters>15282</Characters>
  <Application>Microsoft Office Word</Application>
  <DocSecurity>0</DocSecurity>
  <Lines>127</Lines>
  <Paragraphs>35</Paragraphs>
  <ScaleCrop>false</ScaleCrop>
  <Company/>
  <LinksUpToDate>false</LinksUpToDate>
  <CharactersWithSpaces>17928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Lewis (1701248)</dc:creator>
  <cp:lastModifiedBy>Kate Lewis</cp:lastModifiedBy>
  <cp:revision>2</cp:revision>
  <dcterms:created xsi:type="dcterms:W3CDTF">2018-02-25T22:01:00Z</dcterms:created>
  <dcterms:modified xsi:type="dcterms:W3CDTF">2018-02-25T22:01:00Z</dcterms:modified>
</cp:coreProperties>
</file>