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BF18B" w14:textId="77777777" w:rsidR="00B45CEF" w:rsidRPr="004E2281" w:rsidRDefault="00B45CEF" w:rsidP="00A94AF9">
      <w:pPr>
        <w:spacing w:line="360" w:lineRule="auto"/>
        <w:rPr>
          <w:rFonts w:ascii="Arial" w:hAnsi="Arial" w:cs="Arial"/>
          <w:b/>
          <w:bCs/>
          <w:color w:val="2E2F30"/>
          <w:sz w:val="25"/>
          <w:szCs w:val="25"/>
          <w:shd w:val="clear" w:color="auto" w:fill="FFFFFF"/>
        </w:rPr>
      </w:pPr>
      <w:bookmarkStart w:id="0" w:name="_Hlk190275509"/>
      <w:bookmarkStart w:id="1" w:name="_Hlk190277901"/>
      <w:r w:rsidRPr="004E2281">
        <w:rPr>
          <w:rFonts w:ascii="Arial" w:hAnsi="Arial" w:cs="Arial"/>
          <w:b/>
          <w:bCs/>
          <w:noProof/>
          <w:color w:val="2E2F30"/>
          <w:sz w:val="25"/>
          <w:szCs w:val="25"/>
          <w:shd w:val="clear" w:color="auto" w:fill="FFFFFF"/>
        </w:rPr>
        <w:drawing>
          <wp:inline distT="0" distB="0" distL="0" distR="0" wp14:anchorId="21D50837" wp14:editId="04A8DDCE">
            <wp:extent cx="1813560" cy="601980"/>
            <wp:effectExtent l="0" t="0" r="0" b="7620"/>
            <wp:docPr id="9756597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3560" cy="601980"/>
                    </a:xfrm>
                    <a:prstGeom prst="rect">
                      <a:avLst/>
                    </a:prstGeom>
                    <a:noFill/>
                    <a:ln>
                      <a:noFill/>
                    </a:ln>
                  </pic:spPr>
                </pic:pic>
              </a:graphicData>
            </a:graphic>
          </wp:inline>
        </w:drawing>
      </w:r>
    </w:p>
    <w:p w14:paraId="097E4707" w14:textId="42D119EF" w:rsidR="00B45CEF" w:rsidRDefault="00B45CEF" w:rsidP="00A94AF9">
      <w:pPr>
        <w:spacing w:line="360" w:lineRule="auto"/>
        <w:jc w:val="right"/>
        <w:rPr>
          <w:rFonts w:ascii="Arial" w:hAnsi="Arial" w:cs="Arial"/>
          <w:b/>
          <w:bCs/>
          <w:color w:val="2E2F30"/>
          <w:sz w:val="25"/>
          <w:szCs w:val="25"/>
          <w:shd w:val="clear" w:color="auto" w:fill="FFFFFF"/>
        </w:rPr>
      </w:pPr>
    </w:p>
    <w:p w14:paraId="01362ABA" w14:textId="77777777" w:rsidR="00A94AF9" w:rsidRDefault="00A94AF9" w:rsidP="00A94AF9">
      <w:pPr>
        <w:spacing w:line="360" w:lineRule="auto"/>
        <w:jc w:val="right"/>
        <w:rPr>
          <w:rFonts w:ascii="Arial" w:hAnsi="Arial" w:cs="Arial"/>
          <w:b/>
          <w:bCs/>
          <w:color w:val="2E2F30"/>
          <w:sz w:val="25"/>
          <w:szCs w:val="25"/>
          <w:shd w:val="clear" w:color="auto" w:fill="FFFFFF"/>
        </w:rPr>
      </w:pPr>
    </w:p>
    <w:p w14:paraId="5CC9F0A5" w14:textId="77777777" w:rsidR="00A94AF9" w:rsidRDefault="009E6C30" w:rsidP="00A94AF9">
      <w:pPr>
        <w:spacing w:line="360" w:lineRule="auto"/>
        <w:jc w:val="right"/>
        <w:rPr>
          <w:rFonts w:ascii="Arial" w:hAnsi="Arial" w:cs="Arial"/>
          <w:b/>
          <w:bCs/>
          <w:color w:val="2E2F30"/>
          <w:sz w:val="25"/>
          <w:szCs w:val="25"/>
          <w:shd w:val="clear" w:color="auto" w:fill="FFFFFF"/>
        </w:rPr>
      </w:pPr>
      <w:r w:rsidRPr="009E6C30">
        <w:rPr>
          <w:rFonts w:ascii="Arial" w:hAnsi="Arial" w:cs="Arial"/>
          <w:b/>
          <w:bCs/>
          <w:color w:val="2E2F30"/>
          <w:sz w:val="25"/>
          <w:szCs w:val="25"/>
          <w:shd w:val="clear" w:color="auto" w:fill="FFFFFF"/>
        </w:rPr>
        <w:t xml:space="preserve">Certificate of Higher Education in Employability Skills </w:t>
      </w:r>
    </w:p>
    <w:p w14:paraId="544EE49D" w14:textId="55A602E5" w:rsidR="009E6C30" w:rsidRDefault="009E6C30" w:rsidP="00A94AF9">
      <w:pPr>
        <w:spacing w:line="360" w:lineRule="auto"/>
        <w:jc w:val="right"/>
        <w:rPr>
          <w:rStyle w:val="Strong"/>
          <w:rFonts w:ascii="Arial" w:hAnsi="Arial" w:cs="Arial"/>
          <w:color w:val="2E2F30"/>
          <w:sz w:val="25"/>
          <w:szCs w:val="25"/>
          <w:shd w:val="clear" w:color="auto" w:fill="FFFFFF"/>
        </w:rPr>
      </w:pPr>
      <w:r w:rsidRPr="009E6C30">
        <w:rPr>
          <w:rFonts w:ascii="Arial" w:hAnsi="Arial" w:cs="Arial"/>
          <w:b/>
          <w:bCs/>
          <w:color w:val="2E2F30"/>
          <w:sz w:val="25"/>
          <w:szCs w:val="25"/>
          <w:shd w:val="clear" w:color="auto" w:fill="FFFFFF"/>
        </w:rPr>
        <w:t>LEVEL 4</w:t>
      </w:r>
    </w:p>
    <w:p w14:paraId="0A742717" w14:textId="77777777" w:rsidR="00A94AF9" w:rsidRDefault="00B45CEF" w:rsidP="00A94AF9">
      <w:pPr>
        <w:spacing w:line="360" w:lineRule="auto"/>
        <w:jc w:val="right"/>
        <w:rPr>
          <w:rFonts w:ascii="Arial" w:hAnsi="Arial" w:cs="Arial"/>
          <w:b/>
          <w:bCs/>
          <w:color w:val="2E2F30"/>
          <w:sz w:val="25"/>
          <w:szCs w:val="25"/>
          <w:shd w:val="clear" w:color="auto" w:fill="FFFFFF"/>
        </w:rPr>
      </w:pPr>
      <w:r w:rsidRPr="00AF2E47">
        <w:rPr>
          <w:rFonts w:ascii="Arial" w:hAnsi="Arial" w:cs="Arial"/>
          <w:color w:val="2E2F30"/>
          <w:sz w:val="25"/>
          <w:szCs w:val="25"/>
        </w:rPr>
        <w:br/>
      </w:r>
      <w:r w:rsidRPr="00B45CEF">
        <w:rPr>
          <w:rFonts w:ascii="Arial" w:hAnsi="Arial" w:cs="Arial"/>
          <w:b/>
          <w:bCs/>
          <w:color w:val="2E2F30"/>
          <w:sz w:val="25"/>
          <w:szCs w:val="25"/>
          <w:shd w:val="clear" w:color="auto" w:fill="FFFFFF"/>
        </w:rPr>
        <w:t>Academic Skills for the Digital Era (BMSW4013)</w:t>
      </w:r>
    </w:p>
    <w:p w14:paraId="66B94AB2" w14:textId="35DF8210" w:rsidR="00A94AF9" w:rsidRDefault="00B45CEF" w:rsidP="00A94AF9">
      <w:pPr>
        <w:spacing w:line="360" w:lineRule="auto"/>
        <w:jc w:val="right"/>
        <w:rPr>
          <w:rFonts w:ascii="Arial" w:hAnsi="Arial" w:cs="Arial"/>
          <w:color w:val="2E2F30"/>
          <w:sz w:val="25"/>
          <w:szCs w:val="25"/>
          <w:shd w:val="clear" w:color="auto" w:fill="FFFFFF"/>
        </w:rPr>
      </w:pPr>
      <w:r w:rsidRPr="00B45CEF">
        <w:rPr>
          <w:rFonts w:ascii="Arial" w:hAnsi="Arial" w:cs="Arial"/>
          <w:b/>
          <w:bCs/>
          <w:color w:val="2E2F30"/>
          <w:sz w:val="25"/>
          <w:szCs w:val="25"/>
          <w:shd w:val="clear" w:color="auto" w:fill="FFFFFF"/>
        </w:rPr>
        <w:t xml:space="preserve"> Module Lead: </w:t>
      </w:r>
      <w:r w:rsidRPr="00B45CEF">
        <w:rPr>
          <w:rFonts w:ascii="Arial" w:hAnsi="Arial" w:cs="Arial"/>
          <w:color w:val="2E2F30"/>
          <w:sz w:val="25"/>
          <w:szCs w:val="25"/>
          <w:shd w:val="clear" w:color="auto" w:fill="FFFFFF"/>
        </w:rPr>
        <w:t>Ffion Cumberpatch</w:t>
      </w:r>
    </w:p>
    <w:p w14:paraId="40A3BB69" w14:textId="77777777" w:rsidR="009E477A" w:rsidRDefault="009E477A" w:rsidP="00A94AF9">
      <w:pPr>
        <w:spacing w:line="360" w:lineRule="auto"/>
        <w:jc w:val="right"/>
        <w:rPr>
          <w:rFonts w:ascii="Arial" w:hAnsi="Arial" w:cs="Arial"/>
          <w:color w:val="2E2F30"/>
          <w:sz w:val="25"/>
          <w:szCs w:val="25"/>
          <w:shd w:val="clear" w:color="auto" w:fill="FFFFFF"/>
        </w:rPr>
      </w:pPr>
    </w:p>
    <w:p w14:paraId="02CF314C" w14:textId="77777777" w:rsidR="009E477A" w:rsidRDefault="009E477A" w:rsidP="009E477A">
      <w:pPr>
        <w:spacing w:line="360" w:lineRule="auto"/>
        <w:jc w:val="right"/>
        <w:rPr>
          <w:rFonts w:ascii="Arial" w:hAnsi="Arial" w:cs="Arial"/>
          <w:color w:val="2E2F30"/>
          <w:sz w:val="25"/>
          <w:szCs w:val="25"/>
          <w:shd w:val="clear" w:color="auto" w:fill="FFFFFF"/>
        </w:rPr>
      </w:pPr>
      <w:r w:rsidRPr="00AF2E47">
        <w:rPr>
          <w:rStyle w:val="Strong"/>
          <w:rFonts w:ascii="Arial" w:hAnsi="Arial" w:cs="Arial"/>
          <w:color w:val="2E2F30"/>
          <w:sz w:val="25"/>
          <w:szCs w:val="25"/>
          <w:shd w:val="clear" w:color="auto" w:fill="FFFFFF"/>
        </w:rPr>
        <w:t>Name:</w:t>
      </w:r>
      <w:r w:rsidRPr="00AF2E47">
        <w:rPr>
          <w:rFonts w:ascii="Arial" w:hAnsi="Arial" w:cs="Arial"/>
          <w:color w:val="2E2F30"/>
          <w:sz w:val="25"/>
          <w:szCs w:val="25"/>
          <w:shd w:val="clear" w:color="auto" w:fill="FFFFFF"/>
        </w:rPr>
        <w:t> </w:t>
      </w:r>
      <w:r w:rsidRPr="00AF2E47">
        <w:rPr>
          <w:rStyle w:val="Emphasis"/>
          <w:rFonts w:ascii="Arial" w:hAnsi="Arial" w:cs="Arial"/>
          <w:color w:val="2E2F30"/>
          <w:sz w:val="25"/>
          <w:szCs w:val="25"/>
          <w:shd w:val="clear" w:color="auto" w:fill="FFFFFF"/>
        </w:rPr>
        <w:t xml:space="preserve">Kristína </w:t>
      </w:r>
      <w:proofErr w:type="spellStart"/>
      <w:r w:rsidRPr="00AF2E47">
        <w:rPr>
          <w:rStyle w:val="Emphasis"/>
          <w:rFonts w:ascii="Arial" w:hAnsi="Arial" w:cs="Arial"/>
          <w:color w:val="2E2F30"/>
          <w:sz w:val="25"/>
          <w:szCs w:val="25"/>
          <w:shd w:val="clear" w:color="auto" w:fill="FFFFFF"/>
        </w:rPr>
        <w:t>Cervenaková</w:t>
      </w:r>
      <w:proofErr w:type="spellEnd"/>
      <w:r w:rsidRPr="00AF2E47">
        <w:rPr>
          <w:rFonts w:ascii="Arial" w:hAnsi="Arial" w:cs="Arial"/>
          <w:color w:val="2E2F30"/>
          <w:sz w:val="25"/>
          <w:szCs w:val="25"/>
        </w:rPr>
        <w:br/>
      </w:r>
      <w:r w:rsidRPr="00AF2E47">
        <w:rPr>
          <w:rStyle w:val="Strong"/>
          <w:rFonts w:ascii="Arial" w:hAnsi="Arial" w:cs="Arial"/>
          <w:color w:val="2E2F30"/>
          <w:sz w:val="25"/>
          <w:szCs w:val="25"/>
          <w:shd w:val="clear" w:color="auto" w:fill="FFFFFF"/>
        </w:rPr>
        <w:t>Student Number:</w:t>
      </w:r>
      <w:r w:rsidRPr="00AF2E47">
        <w:rPr>
          <w:rFonts w:ascii="Arial" w:hAnsi="Arial" w:cs="Arial"/>
          <w:color w:val="2E2F30"/>
          <w:sz w:val="25"/>
          <w:szCs w:val="25"/>
          <w:shd w:val="clear" w:color="auto" w:fill="FFFFFF"/>
        </w:rPr>
        <w:t> 2426553</w:t>
      </w:r>
    </w:p>
    <w:p w14:paraId="58A310FA" w14:textId="77777777" w:rsidR="009E477A" w:rsidRDefault="009E477A" w:rsidP="00A94AF9">
      <w:pPr>
        <w:spacing w:line="360" w:lineRule="auto"/>
        <w:jc w:val="right"/>
        <w:rPr>
          <w:rFonts w:ascii="Arial" w:hAnsi="Arial" w:cs="Arial"/>
          <w:color w:val="2E2F30"/>
          <w:sz w:val="25"/>
          <w:szCs w:val="25"/>
          <w:shd w:val="clear" w:color="auto" w:fill="FFFFFF"/>
        </w:rPr>
      </w:pPr>
    </w:p>
    <w:p w14:paraId="319C30FC" w14:textId="250C5F85" w:rsidR="00B45CEF" w:rsidRPr="00B45CEF" w:rsidRDefault="00B45CEF" w:rsidP="00A94AF9">
      <w:pPr>
        <w:spacing w:line="360" w:lineRule="auto"/>
        <w:jc w:val="right"/>
        <w:rPr>
          <w:rFonts w:ascii="Arial" w:hAnsi="Arial" w:cs="Arial"/>
          <w:color w:val="2E2F30"/>
          <w:sz w:val="25"/>
          <w:szCs w:val="25"/>
          <w:shd w:val="clear" w:color="auto" w:fill="FFFFFF"/>
        </w:rPr>
      </w:pPr>
      <w:r w:rsidRPr="00B45CEF">
        <w:rPr>
          <w:rFonts w:ascii="Arial" w:hAnsi="Arial" w:cs="Arial"/>
          <w:color w:val="2E2F30"/>
          <w:sz w:val="25"/>
          <w:szCs w:val="25"/>
          <w:shd w:val="clear" w:color="auto" w:fill="FFFFFF"/>
        </w:rPr>
        <w:t xml:space="preserve"> </w:t>
      </w:r>
    </w:p>
    <w:p w14:paraId="67D21D6B" w14:textId="77777777" w:rsidR="00B45CEF" w:rsidRPr="00B45CEF" w:rsidRDefault="00B45CEF" w:rsidP="00A94AF9">
      <w:pPr>
        <w:spacing w:line="360" w:lineRule="auto"/>
        <w:jc w:val="right"/>
        <w:rPr>
          <w:rFonts w:ascii="Arial" w:hAnsi="Arial" w:cs="Arial"/>
          <w:b/>
          <w:bCs/>
          <w:color w:val="2E2F30"/>
          <w:sz w:val="25"/>
          <w:szCs w:val="25"/>
          <w:shd w:val="clear" w:color="auto" w:fill="FFFFFF"/>
        </w:rPr>
      </w:pPr>
      <w:r w:rsidRPr="00B45CEF">
        <w:rPr>
          <w:rFonts w:ascii="Arial" w:hAnsi="Arial" w:cs="Arial"/>
          <w:b/>
          <w:bCs/>
          <w:color w:val="2E2F30"/>
          <w:sz w:val="25"/>
          <w:szCs w:val="25"/>
          <w:shd w:val="clear" w:color="auto" w:fill="FFFFFF"/>
        </w:rPr>
        <w:t>2024 - 2025</w:t>
      </w:r>
    </w:p>
    <w:bookmarkEnd w:id="1"/>
    <w:p w14:paraId="4C778FD0" w14:textId="02BF7B26" w:rsidR="00B45CEF" w:rsidRPr="00AF2E47" w:rsidRDefault="00B45CEF" w:rsidP="00B45CEF">
      <w:pPr>
        <w:spacing w:line="360" w:lineRule="auto"/>
        <w:jc w:val="center"/>
        <w:rPr>
          <w:rFonts w:ascii="Arial" w:hAnsi="Arial" w:cs="Arial"/>
          <w:sz w:val="25"/>
          <w:szCs w:val="25"/>
        </w:rPr>
      </w:pPr>
    </w:p>
    <w:p w14:paraId="19767AA6"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3F3CB59F"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697BDDA1"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1D6F4F48"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2E68B52F"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2A501F44"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5A1ECBD7"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200B4F9A"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3E07A2CC" w14:textId="77777777" w:rsidR="00B45CEF" w:rsidRDefault="00B45CEF"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02AB2226" w14:textId="77777777" w:rsidR="00B011D1" w:rsidRDefault="00B011D1"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p>
    <w:p w14:paraId="7843B567" w14:textId="28593DF8" w:rsidR="00907360" w:rsidRPr="00907360" w:rsidRDefault="00907360"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907360">
        <w:rPr>
          <w:rFonts w:ascii="Times New Roman" w:eastAsia="Times New Roman" w:hAnsi="Times New Roman" w:cs="Times New Roman"/>
          <w:b/>
          <w:bCs/>
          <w:kern w:val="0"/>
          <w:sz w:val="24"/>
          <w:szCs w:val="24"/>
          <w:lang w:eastAsia="en-IN"/>
          <w14:ligatures w14:val="none"/>
        </w:rPr>
        <w:t>Artificial Intelligence (AI) in Academia</w:t>
      </w:r>
    </w:p>
    <w:bookmarkEnd w:id="0"/>
    <w:p w14:paraId="089B3BE6" w14:textId="79276B13"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664FB">
        <w:rPr>
          <w:rFonts w:ascii="Times New Roman" w:eastAsia="Times New Roman" w:hAnsi="Times New Roman" w:cs="Times New Roman"/>
          <w:kern w:val="0"/>
          <w:sz w:val="24"/>
          <w:szCs w:val="24"/>
          <w:lang w:eastAsia="en-IN"/>
          <w14:ligatures w14:val="none"/>
        </w:rPr>
        <w:t>I remember the first time I noticed artificial intelligence tools quietly making their way into our classrooms. It felt like witnessing a revolution</w:t>
      </w:r>
      <w:r>
        <w:rPr>
          <w:rFonts w:ascii="Times New Roman" w:eastAsia="Times New Roman" w:hAnsi="Times New Roman" w:cs="Times New Roman"/>
          <w:kern w:val="0"/>
          <w:sz w:val="24"/>
          <w:szCs w:val="24"/>
          <w:lang w:eastAsia="en-IN"/>
          <w14:ligatures w14:val="none"/>
        </w:rPr>
        <w:t>-</w:t>
      </w:r>
      <w:r w:rsidRPr="001664FB">
        <w:rPr>
          <w:rFonts w:ascii="Times New Roman" w:eastAsia="Times New Roman" w:hAnsi="Times New Roman" w:cs="Times New Roman"/>
          <w:kern w:val="0"/>
          <w:sz w:val="24"/>
          <w:szCs w:val="24"/>
          <w:lang w:eastAsia="en-IN"/>
          <w14:ligatures w14:val="none"/>
        </w:rPr>
        <w:t>not one announced with fanfare, but one revealed in the subtle transformation of my learning process. I was tucked away in a quiet corner of my local library, my laptop aglow with the soft blue light of an adaptive learning platform. As I worked through challenging problems, the system instinctively adjusted the difficulty based on my progress, almost as if it were a personal tutor dedicated to guiding me at each step. This wasn’t merely about new gadgets or flashy interfaces; it was a fundamental change in how we learn and interact with information.</w:t>
      </w:r>
    </w:p>
    <w:p w14:paraId="465599A8"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664FB">
        <w:rPr>
          <w:rFonts w:ascii="Times New Roman" w:eastAsia="Times New Roman" w:hAnsi="Times New Roman" w:cs="Times New Roman"/>
          <w:kern w:val="0"/>
          <w:sz w:val="24"/>
          <w:szCs w:val="24"/>
          <w:lang w:eastAsia="en-IN"/>
          <w14:ligatures w14:val="none"/>
        </w:rPr>
        <w:t>Adaptive learning systems have reshaped my academic experience. Imagine sitting down to tackle a difficult math problem and feeling the early signs of frustration. Instead of immediately bombarding you with even more complex challenges, the system gently scales back to provide a more manageable problem. It is as though a kind friend, aware of your struggles, offers support just when you need it most. I found that this tailored approach not only improved my performance but also boosted my confidence, making the learning process more engaging and less intimidating.</w:t>
      </w:r>
    </w:p>
    <w:p w14:paraId="5CF49739"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664FB">
        <w:rPr>
          <w:rFonts w:ascii="Times New Roman" w:eastAsia="Times New Roman" w:hAnsi="Times New Roman" w:cs="Times New Roman"/>
          <w:kern w:val="0"/>
          <w:sz w:val="24"/>
          <w:szCs w:val="24"/>
          <w:lang w:eastAsia="en-IN"/>
          <w14:ligatures w14:val="none"/>
        </w:rPr>
        <w:t>Digital writing aids have also had a profound effect on my studies. There were many moments when my thoughts would spill out in clumsy, rambling sentences. In those instances, an unobtrusive prompt from a grammar assistant would remind me to rephrase and clarify my ideas. Over time, these tools evolved into much more than simple editors; they became brainstorming partners that helped me structure my thoughts and refine my writing. Far from replacing critical thinking, they served as a creative sidekick</w:t>
      </w:r>
      <w:r>
        <w:rPr>
          <w:rFonts w:ascii="Times New Roman" w:eastAsia="Times New Roman" w:hAnsi="Times New Roman" w:cs="Times New Roman"/>
          <w:kern w:val="0"/>
          <w:sz w:val="24"/>
          <w:szCs w:val="24"/>
          <w:lang w:eastAsia="en-IN"/>
          <w14:ligatures w14:val="none"/>
        </w:rPr>
        <w:t>-</w:t>
      </w:r>
      <w:r w:rsidRPr="001664FB">
        <w:rPr>
          <w:rFonts w:ascii="Times New Roman" w:eastAsia="Times New Roman" w:hAnsi="Times New Roman" w:cs="Times New Roman"/>
          <w:kern w:val="0"/>
          <w:sz w:val="24"/>
          <w:szCs w:val="24"/>
          <w:lang w:eastAsia="en-IN"/>
          <w14:ligatures w14:val="none"/>
        </w:rPr>
        <w:t>offering suggestions and keeping my ideas flowing without imposing any judgment.</w:t>
      </w:r>
    </w:p>
    <w:p w14:paraId="2E5A53B4"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664FB">
        <w:rPr>
          <w:rFonts w:ascii="Times New Roman" w:eastAsia="Times New Roman" w:hAnsi="Times New Roman" w:cs="Times New Roman"/>
          <w:kern w:val="0"/>
          <w:sz w:val="24"/>
          <w:szCs w:val="24"/>
          <w:lang w:eastAsia="en-IN"/>
          <w14:ligatures w14:val="none"/>
        </w:rPr>
        <w:t>Another significant shift has been the role of technology in maintaining academic integrity. In today’s classrooms, digital systems work diligently to ensure that every piece of work remains original. These plagiarism detectors operate quietly in the background, scanning through extensive databases to catch even the slightest lapses in originality. Although their presence can sometimes feel overzealous, they are essential in upholding the ethical standards that form the backbone of academic scholarship.</w:t>
      </w:r>
    </w:p>
    <w:p w14:paraId="5A49ECBE" w14:textId="77777777" w:rsidR="003079ED"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EC2A84">
        <w:rPr>
          <w:rFonts w:ascii="Times New Roman" w:eastAsia="Times New Roman" w:hAnsi="Times New Roman" w:cs="Times New Roman"/>
          <w:kern w:val="0"/>
          <w:sz w:val="24"/>
          <w:szCs w:val="24"/>
          <w:lang w:eastAsia="en-IN"/>
          <w14:ligatures w14:val="none"/>
        </w:rPr>
        <w:t>Beyond individual learning and writing tools, these technologies are quietly reshaping how we connect ideas across disciplines. Last spring, I sat in a packed lecture hall where a climate scientist shared how machine learning had accelerated her team’s research. She described sifting through decades of environmental data</w:t>
      </w:r>
      <w:r>
        <w:rPr>
          <w:rFonts w:ascii="Times New Roman" w:eastAsia="Times New Roman" w:hAnsi="Times New Roman" w:cs="Times New Roman"/>
          <w:kern w:val="0"/>
          <w:sz w:val="24"/>
          <w:szCs w:val="24"/>
          <w:lang w:eastAsia="en-IN"/>
          <w14:ligatures w14:val="none"/>
        </w:rPr>
        <w:t>-</w:t>
      </w:r>
      <w:r w:rsidRPr="00EC2A84">
        <w:rPr>
          <w:rFonts w:ascii="Times New Roman" w:eastAsia="Times New Roman" w:hAnsi="Times New Roman" w:cs="Times New Roman"/>
          <w:kern w:val="0"/>
          <w:sz w:val="24"/>
          <w:szCs w:val="24"/>
          <w:lang w:eastAsia="en-IN"/>
          <w14:ligatures w14:val="none"/>
        </w:rPr>
        <w:t>a task that once felt like searching for constellations in a starless sky. With new analytical tools, her group spotted hidden correlations between deforestation patterns and rainfall cycles in mere hours. “It was like having a hundred extra pairs of eyes,” she said, her voice catching with the kind of excitement usually reserved for eureka moments in movies. This isn’t just about crunching numbers faster</w:t>
      </w:r>
      <w:r>
        <w:rPr>
          <w:rFonts w:ascii="Times New Roman" w:eastAsia="Times New Roman" w:hAnsi="Times New Roman" w:cs="Times New Roman"/>
          <w:kern w:val="0"/>
          <w:sz w:val="24"/>
          <w:szCs w:val="24"/>
          <w:lang w:eastAsia="en-IN"/>
          <w14:ligatures w14:val="none"/>
        </w:rPr>
        <w:t>-</w:t>
      </w:r>
      <w:r w:rsidRPr="00EC2A84">
        <w:rPr>
          <w:rFonts w:ascii="Times New Roman" w:eastAsia="Times New Roman" w:hAnsi="Times New Roman" w:cs="Times New Roman"/>
          <w:kern w:val="0"/>
          <w:sz w:val="24"/>
          <w:szCs w:val="24"/>
          <w:lang w:eastAsia="en-IN"/>
          <w14:ligatures w14:val="none"/>
        </w:rPr>
        <w:t xml:space="preserve">it’s about creating bridges between biology, economics, and atmospheric science that let researchers ask questions they never thought possible. I left that talk buzzing with ideas, imagining historians cross-referencing ancient texts with archaeological records, or epidemiologists tracing disease spread through social media trends. The real magic </w:t>
      </w:r>
      <w:r w:rsidRPr="00EC2A84">
        <w:rPr>
          <w:rFonts w:ascii="Times New Roman" w:eastAsia="Times New Roman" w:hAnsi="Times New Roman" w:cs="Times New Roman"/>
          <w:kern w:val="0"/>
          <w:sz w:val="24"/>
          <w:szCs w:val="24"/>
          <w:lang w:eastAsia="en-IN"/>
          <w14:ligatures w14:val="none"/>
        </w:rPr>
        <w:lastRenderedPageBreak/>
        <w:t>happens when these tools don’t just solve existing problems, but help us discover entirely new ones to explore.</w:t>
      </w:r>
    </w:p>
    <w:p w14:paraId="610C1262" w14:textId="2C3C133C" w:rsidR="003079ED" w:rsidRDefault="00590368"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590368">
        <w:rPr>
          <w:rFonts w:ascii="Times New Roman" w:eastAsia="Times New Roman" w:hAnsi="Times New Roman" w:cs="Times New Roman"/>
          <w:kern w:val="0"/>
          <w:sz w:val="24"/>
          <w:szCs w:val="24"/>
          <w:lang w:eastAsia="en-IN"/>
          <w14:ligatures w14:val="none"/>
        </w:rPr>
        <w:t>Yet, despite these concerns, AI overwhelmingly enhances academic learning by personalizing education, improving research efficiency, and strengthening academic integrity. While challenges exist, responsible implementation ensures AI is a powerful tool rather than a threat to academic values</w:t>
      </w:r>
      <w:r w:rsidR="003079ED" w:rsidRPr="001664FB">
        <w:rPr>
          <w:rFonts w:ascii="Times New Roman" w:eastAsia="Times New Roman" w:hAnsi="Times New Roman" w:cs="Times New Roman"/>
          <w:kern w:val="0"/>
          <w:sz w:val="24"/>
          <w:szCs w:val="24"/>
          <w:lang w:eastAsia="en-IN"/>
          <w14:ligatures w14:val="none"/>
        </w:rPr>
        <w:t>.</w:t>
      </w:r>
      <w:r w:rsidRPr="0067748E">
        <w:rPr>
          <w:rFonts w:ascii="Times New Roman" w:eastAsia="Times New Roman" w:hAnsi="Times New Roman" w:cs="Times New Roman"/>
          <w:kern w:val="0"/>
          <w:sz w:val="24"/>
          <w:szCs w:val="24"/>
          <w:lang w:eastAsia="en-IN"/>
          <w14:ligatures w14:val="none"/>
        </w:rPr>
        <w:t xml:space="preserve"> </w:t>
      </w:r>
      <w:r w:rsidR="003079ED" w:rsidRPr="0067748E">
        <w:rPr>
          <w:rFonts w:ascii="Times New Roman" w:eastAsia="Times New Roman" w:hAnsi="Times New Roman" w:cs="Times New Roman"/>
          <w:kern w:val="0"/>
          <w:sz w:val="24"/>
          <w:szCs w:val="24"/>
          <w:lang w:eastAsia="en-IN"/>
          <w14:ligatures w14:val="none"/>
        </w:rPr>
        <w:br/>
      </w:r>
      <w:r w:rsidRPr="00590368">
        <w:rPr>
          <w:rFonts w:ascii="Times New Roman" w:eastAsia="Times New Roman" w:hAnsi="Times New Roman" w:cs="Times New Roman"/>
          <w:kern w:val="0"/>
          <w:sz w:val="24"/>
          <w:szCs w:val="24"/>
          <w:lang w:eastAsia="en-IN"/>
          <w14:ligatures w14:val="none"/>
        </w:rPr>
        <w:t>Ultimately, AI is not eroding academic integrity—it is redefining how students and educators engage with knowledge. The ability of AI to adapt to individual needs, enhance academic research, and support originality in writing outweighs the risks of over-reliance. Rather than diminishing our intellectual curiosity, AI fosters a more engaging and rigorous academic environment. With thoughtful implementation, these tools will continue to elevate education, making learning more accessible, efficient, and innovative.</w:t>
      </w:r>
    </w:p>
    <w:p w14:paraId="272A1FE1" w14:textId="2289AFB2" w:rsidR="003079ED" w:rsidRPr="00A94BDB" w:rsidRDefault="003079ED" w:rsidP="003079ED">
      <w:pPr>
        <w:spacing w:before="100" w:beforeAutospacing="1" w:after="100" w:afterAutospacing="1" w:line="240" w:lineRule="auto"/>
        <w:rPr>
          <w:rFonts w:ascii="Times New Roman" w:eastAsia="Times New Roman" w:hAnsi="Times New Roman" w:cs="Times New Roman"/>
          <w:b/>
          <w:bCs/>
          <w:kern w:val="0"/>
          <w:sz w:val="24"/>
          <w:szCs w:val="24"/>
          <w:lang w:eastAsia="en-IN"/>
          <w14:ligatures w14:val="none"/>
        </w:rPr>
      </w:pPr>
      <w:r w:rsidRPr="00A94BDB">
        <w:rPr>
          <w:rFonts w:ascii="Times New Roman" w:eastAsia="Times New Roman" w:hAnsi="Times New Roman" w:cs="Times New Roman"/>
          <w:b/>
          <w:bCs/>
          <w:kern w:val="0"/>
          <w:sz w:val="24"/>
          <w:szCs w:val="24"/>
          <w:lang w:eastAsia="en-IN"/>
          <w14:ligatures w14:val="none"/>
        </w:rPr>
        <w:t>References</w:t>
      </w:r>
      <w:r w:rsidR="00A94BDB">
        <w:rPr>
          <w:rFonts w:ascii="Times New Roman" w:eastAsia="Times New Roman" w:hAnsi="Times New Roman" w:cs="Times New Roman"/>
          <w:b/>
          <w:bCs/>
          <w:kern w:val="0"/>
          <w:sz w:val="24"/>
          <w:szCs w:val="24"/>
          <w:lang w:eastAsia="en-IN"/>
          <w14:ligatures w14:val="none"/>
        </w:rPr>
        <w:t>:</w:t>
      </w:r>
    </w:p>
    <w:p w14:paraId="1615D242"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664FB">
        <w:rPr>
          <w:rFonts w:ascii="Times New Roman" w:eastAsia="Times New Roman" w:hAnsi="Times New Roman" w:cs="Times New Roman"/>
          <w:kern w:val="0"/>
          <w:sz w:val="24"/>
          <w:szCs w:val="24"/>
          <w:lang w:eastAsia="en-IN"/>
          <w14:ligatures w14:val="none"/>
        </w:rPr>
        <w:t>Brynjolfsson, E. and McAfee, A. (2014) The Second Machine Age: Work, Progress, and Prosperity in a Time of Brilliant Technologies. New York: W.W. Norton &amp; Company.</w:t>
      </w:r>
    </w:p>
    <w:p w14:paraId="5E2FE772"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roofErr w:type="spellStart"/>
      <w:r w:rsidRPr="001664FB">
        <w:rPr>
          <w:rFonts w:ascii="Times New Roman" w:eastAsia="Times New Roman" w:hAnsi="Times New Roman" w:cs="Times New Roman"/>
          <w:kern w:val="0"/>
          <w:sz w:val="24"/>
          <w:szCs w:val="24"/>
          <w:lang w:eastAsia="en-IN"/>
          <w14:ligatures w14:val="none"/>
        </w:rPr>
        <w:t>Luckin</w:t>
      </w:r>
      <w:proofErr w:type="spellEnd"/>
      <w:r w:rsidRPr="001664FB">
        <w:rPr>
          <w:rFonts w:ascii="Times New Roman" w:eastAsia="Times New Roman" w:hAnsi="Times New Roman" w:cs="Times New Roman"/>
          <w:kern w:val="0"/>
          <w:sz w:val="24"/>
          <w:szCs w:val="24"/>
          <w:lang w:eastAsia="en-IN"/>
          <w14:ligatures w14:val="none"/>
        </w:rPr>
        <w:t>, R., Holmes, W., Griffiths, M. and Forcier, L.B. (2016) Intelligence Unleashed: An Argument for AI in Education. London: Pearson.</w:t>
      </w:r>
    </w:p>
    <w:p w14:paraId="6ECEE677"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664FB">
        <w:rPr>
          <w:rFonts w:ascii="Times New Roman" w:eastAsia="Times New Roman" w:hAnsi="Times New Roman" w:cs="Times New Roman"/>
          <w:kern w:val="0"/>
          <w:sz w:val="24"/>
          <w:szCs w:val="24"/>
          <w:lang w:eastAsia="en-IN"/>
          <w14:ligatures w14:val="none"/>
        </w:rPr>
        <w:t>Selwyn, N. (2019) Should Robots Replace Teachers? AI and the Future of Education. Cambridge: Polity Press.</w:t>
      </w:r>
    </w:p>
    <w:p w14:paraId="126C4C35"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roofErr w:type="spellStart"/>
      <w:r w:rsidRPr="001664FB">
        <w:rPr>
          <w:rFonts w:ascii="Times New Roman" w:eastAsia="Times New Roman" w:hAnsi="Times New Roman" w:cs="Times New Roman"/>
          <w:kern w:val="0"/>
          <w:sz w:val="24"/>
          <w:szCs w:val="24"/>
          <w:lang w:eastAsia="en-IN"/>
          <w14:ligatures w14:val="none"/>
        </w:rPr>
        <w:t>VanLehn</w:t>
      </w:r>
      <w:proofErr w:type="spellEnd"/>
      <w:r w:rsidRPr="001664FB">
        <w:rPr>
          <w:rFonts w:ascii="Times New Roman" w:eastAsia="Times New Roman" w:hAnsi="Times New Roman" w:cs="Times New Roman"/>
          <w:kern w:val="0"/>
          <w:sz w:val="24"/>
          <w:szCs w:val="24"/>
          <w:lang w:eastAsia="en-IN"/>
          <w14:ligatures w14:val="none"/>
        </w:rPr>
        <w:t>, K. (2011) ‘The Relative Effectiveness of Human Tutoring, Intelligent Tutoring Systems, and Other Tutoring Systems’, Educational Psychologist, 46(4), pp. 197–221.</w:t>
      </w:r>
    </w:p>
    <w:p w14:paraId="5FB45329" w14:textId="77777777" w:rsidR="003079ED" w:rsidRPr="001664FB" w:rsidRDefault="003079ED" w:rsidP="003079ED">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664FB">
        <w:rPr>
          <w:rFonts w:ascii="Times New Roman" w:eastAsia="Times New Roman" w:hAnsi="Times New Roman" w:cs="Times New Roman"/>
          <w:kern w:val="0"/>
          <w:sz w:val="24"/>
          <w:szCs w:val="24"/>
          <w:lang w:eastAsia="en-IN"/>
          <w14:ligatures w14:val="none"/>
        </w:rPr>
        <w:t>Nguyen, A. (2022) ‘Impacts of Artificial Intelligence on Education: A Critical Review’, Journal of Educational Technology, 19(2), pp. 112–128.</w:t>
      </w:r>
    </w:p>
    <w:p w14:paraId="45AB80F9" w14:textId="7FAEAACC" w:rsidR="006325F4" w:rsidRDefault="006325F4"/>
    <w:sectPr w:rsidR="00632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131"/>
    <w:rsid w:val="003079ED"/>
    <w:rsid w:val="003233A8"/>
    <w:rsid w:val="00545131"/>
    <w:rsid w:val="00590368"/>
    <w:rsid w:val="006325F4"/>
    <w:rsid w:val="00691108"/>
    <w:rsid w:val="00804933"/>
    <w:rsid w:val="00907360"/>
    <w:rsid w:val="009E477A"/>
    <w:rsid w:val="009E6C30"/>
    <w:rsid w:val="00A01F8B"/>
    <w:rsid w:val="00A56939"/>
    <w:rsid w:val="00A94AF9"/>
    <w:rsid w:val="00A94BDB"/>
    <w:rsid w:val="00B011D1"/>
    <w:rsid w:val="00B45CEF"/>
    <w:rsid w:val="00C30CFC"/>
    <w:rsid w:val="00DA3E1F"/>
    <w:rsid w:val="00DB4D7D"/>
    <w:rsid w:val="00F50A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FCDA"/>
  <w15:chartTrackingRefBased/>
  <w15:docId w15:val="{4EF89E4A-7537-47E1-8544-138D27356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9ED"/>
  </w:style>
  <w:style w:type="paragraph" w:styleId="Heading1">
    <w:name w:val="heading 1"/>
    <w:basedOn w:val="Normal"/>
    <w:next w:val="Normal"/>
    <w:link w:val="Heading1Char"/>
    <w:uiPriority w:val="9"/>
    <w:qFormat/>
    <w:rsid w:val="005451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51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51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51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51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51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1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1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1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1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51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51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51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51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51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1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1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131"/>
    <w:rPr>
      <w:rFonts w:eastAsiaTheme="majorEastAsia" w:cstheme="majorBidi"/>
      <w:color w:val="272727" w:themeColor="text1" w:themeTint="D8"/>
    </w:rPr>
  </w:style>
  <w:style w:type="paragraph" w:styleId="Title">
    <w:name w:val="Title"/>
    <w:basedOn w:val="Normal"/>
    <w:next w:val="Normal"/>
    <w:link w:val="TitleChar"/>
    <w:uiPriority w:val="10"/>
    <w:qFormat/>
    <w:rsid w:val="005451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1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1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1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131"/>
    <w:pPr>
      <w:spacing w:before="160"/>
      <w:jc w:val="center"/>
    </w:pPr>
    <w:rPr>
      <w:i/>
      <w:iCs/>
      <w:color w:val="404040" w:themeColor="text1" w:themeTint="BF"/>
    </w:rPr>
  </w:style>
  <w:style w:type="character" w:customStyle="1" w:styleId="QuoteChar">
    <w:name w:val="Quote Char"/>
    <w:basedOn w:val="DefaultParagraphFont"/>
    <w:link w:val="Quote"/>
    <w:uiPriority w:val="29"/>
    <w:rsid w:val="00545131"/>
    <w:rPr>
      <w:i/>
      <w:iCs/>
      <w:color w:val="404040" w:themeColor="text1" w:themeTint="BF"/>
    </w:rPr>
  </w:style>
  <w:style w:type="paragraph" w:styleId="ListParagraph">
    <w:name w:val="List Paragraph"/>
    <w:basedOn w:val="Normal"/>
    <w:uiPriority w:val="34"/>
    <w:qFormat/>
    <w:rsid w:val="00545131"/>
    <w:pPr>
      <w:ind w:left="720"/>
      <w:contextualSpacing/>
    </w:pPr>
  </w:style>
  <w:style w:type="character" w:styleId="IntenseEmphasis">
    <w:name w:val="Intense Emphasis"/>
    <w:basedOn w:val="DefaultParagraphFont"/>
    <w:uiPriority w:val="21"/>
    <w:qFormat/>
    <w:rsid w:val="00545131"/>
    <w:rPr>
      <w:i/>
      <w:iCs/>
      <w:color w:val="2F5496" w:themeColor="accent1" w:themeShade="BF"/>
    </w:rPr>
  </w:style>
  <w:style w:type="paragraph" w:styleId="IntenseQuote">
    <w:name w:val="Intense Quote"/>
    <w:basedOn w:val="Normal"/>
    <w:next w:val="Normal"/>
    <w:link w:val="IntenseQuoteChar"/>
    <w:uiPriority w:val="30"/>
    <w:qFormat/>
    <w:rsid w:val="005451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5131"/>
    <w:rPr>
      <w:i/>
      <w:iCs/>
      <w:color w:val="2F5496" w:themeColor="accent1" w:themeShade="BF"/>
    </w:rPr>
  </w:style>
  <w:style w:type="character" w:styleId="IntenseReference">
    <w:name w:val="Intense Reference"/>
    <w:basedOn w:val="DefaultParagraphFont"/>
    <w:uiPriority w:val="32"/>
    <w:qFormat/>
    <w:rsid w:val="00545131"/>
    <w:rPr>
      <w:b/>
      <w:bCs/>
      <w:smallCaps/>
      <w:color w:val="2F5496" w:themeColor="accent1" w:themeShade="BF"/>
      <w:spacing w:val="5"/>
    </w:rPr>
  </w:style>
  <w:style w:type="character" w:styleId="Strong">
    <w:name w:val="Strong"/>
    <w:basedOn w:val="DefaultParagraphFont"/>
    <w:uiPriority w:val="22"/>
    <w:qFormat/>
    <w:rsid w:val="00B45CEF"/>
    <w:rPr>
      <w:b/>
      <w:bCs/>
    </w:rPr>
  </w:style>
  <w:style w:type="character" w:styleId="Emphasis">
    <w:name w:val="Emphasis"/>
    <w:basedOn w:val="DefaultParagraphFont"/>
    <w:uiPriority w:val="20"/>
    <w:qFormat/>
    <w:rsid w:val="00B45CEF"/>
    <w:rPr>
      <w:i/>
      <w:iCs/>
    </w:rPr>
  </w:style>
  <w:style w:type="character" w:styleId="Hyperlink">
    <w:name w:val="Hyperlink"/>
    <w:basedOn w:val="DefaultParagraphFont"/>
    <w:uiPriority w:val="99"/>
    <w:unhideWhenUsed/>
    <w:rsid w:val="00B45CEF"/>
    <w:rPr>
      <w:color w:val="0563C1" w:themeColor="hyperlink"/>
      <w:u w:val="single"/>
    </w:rPr>
  </w:style>
  <w:style w:type="character" w:styleId="UnresolvedMention">
    <w:name w:val="Unresolved Mention"/>
    <w:basedOn w:val="DefaultParagraphFont"/>
    <w:uiPriority w:val="99"/>
    <w:semiHidden/>
    <w:unhideWhenUsed/>
    <w:rsid w:val="00B45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165335">
      <w:bodyDiv w:val="1"/>
      <w:marLeft w:val="0"/>
      <w:marRight w:val="0"/>
      <w:marTop w:val="0"/>
      <w:marBottom w:val="0"/>
      <w:divBdr>
        <w:top w:val="none" w:sz="0" w:space="0" w:color="auto"/>
        <w:left w:val="none" w:sz="0" w:space="0" w:color="auto"/>
        <w:bottom w:val="none" w:sz="0" w:space="0" w:color="auto"/>
        <w:right w:val="none" w:sz="0" w:space="0" w:color="auto"/>
      </w:divBdr>
    </w:div>
    <w:div w:id="184277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758</Words>
  <Characters>4624</Characters>
  <Application>Microsoft Office Word</Application>
  <DocSecurity>0</DocSecurity>
  <Lines>112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dc:creator>
  <cp:keywords/>
  <dc:description/>
  <cp:lastModifiedBy>h b</cp:lastModifiedBy>
  <cp:revision>10</cp:revision>
  <dcterms:created xsi:type="dcterms:W3CDTF">2025-02-12T17:53:00Z</dcterms:created>
  <dcterms:modified xsi:type="dcterms:W3CDTF">2025-02-12T18:44:00Z</dcterms:modified>
</cp:coreProperties>
</file>