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A59764" w14:textId="77777777" w:rsidR="005712B2" w:rsidRDefault="005712B2" w:rsidP="00FA4C9E">
      <w:pPr>
        <w:pStyle w:val="paragraph"/>
        <w:spacing w:before="0" w:beforeAutospacing="0" w:after="0" w:afterAutospacing="0"/>
        <w:jc w:val="center"/>
        <w:textAlignment w:val="baseline"/>
        <w:rPr>
          <w:rStyle w:val="normaltextrun"/>
          <w:rFonts w:ascii="Arial" w:hAnsi="Arial" w:cs="Arial"/>
        </w:rPr>
      </w:pPr>
    </w:p>
    <w:p w14:paraId="73A70D40" w14:textId="66E7D364" w:rsidR="00FA4C9E" w:rsidRDefault="00FA4C9E" w:rsidP="00FA4C9E">
      <w:pPr>
        <w:pStyle w:val="paragraph"/>
        <w:spacing w:before="0" w:beforeAutospacing="0" w:after="0" w:afterAutospacing="0"/>
        <w:jc w:val="center"/>
        <w:textAlignment w:val="baseline"/>
        <w:rPr>
          <w:rStyle w:val="eop"/>
          <w:rFonts w:ascii="Arial" w:hAnsi="Arial" w:cs="Arial"/>
        </w:rPr>
      </w:pPr>
      <w:r>
        <w:rPr>
          <w:rStyle w:val="normaltextrun"/>
          <w:rFonts w:ascii="Arial" w:hAnsi="Arial" w:cs="Arial"/>
        </w:rPr>
        <w:t>Contents</w:t>
      </w:r>
      <w:r>
        <w:rPr>
          <w:rStyle w:val="eop"/>
          <w:rFonts w:ascii="Arial" w:hAnsi="Arial" w:cs="Arial"/>
        </w:rPr>
        <w:t> </w:t>
      </w:r>
    </w:p>
    <w:p w14:paraId="6AB4504D" w14:textId="77777777" w:rsidR="00FA4C9E" w:rsidRDefault="00FA4C9E" w:rsidP="00FA4C9E">
      <w:pPr>
        <w:pStyle w:val="paragraph"/>
        <w:spacing w:before="0" w:beforeAutospacing="0" w:after="0" w:afterAutospacing="0"/>
        <w:jc w:val="center"/>
        <w:textAlignment w:val="baseline"/>
        <w:rPr>
          <w:rStyle w:val="eop"/>
          <w:rFonts w:ascii="Arial" w:hAnsi="Arial" w:cs="Arial"/>
        </w:rPr>
      </w:pPr>
    </w:p>
    <w:p w14:paraId="22798426" w14:textId="77777777" w:rsidR="00FA4C9E" w:rsidRDefault="00FA4C9E" w:rsidP="00FA4C9E">
      <w:pPr>
        <w:pStyle w:val="paragraph"/>
        <w:spacing w:before="0" w:beforeAutospacing="0" w:after="0" w:afterAutospacing="0"/>
        <w:jc w:val="center"/>
        <w:textAlignment w:val="baseline"/>
        <w:rPr>
          <w:rStyle w:val="eop"/>
          <w:rFonts w:ascii="Arial" w:hAnsi="Arial" w:cs="Arial"/>
        </w:rPr>
      </w:pPr>
    </w:p>
    <w:p w14:paraId="2ACF680B" w14:textId="77777777" w:rsidR="00FA4C9E" w:rsidRDefault="00FA4C9E" w:rsidP="00FA4C9E">
      <w:pPr>
        <w:pStyle w:val="paragraph"/>
        <w:spacing w:before="0" w:beforeAutospacing="0" w:after="0" w:afterAutospacing="0"/>
        <w:jc w:val="center"/>
        <w:textAlignment w:val="baseline"/>
        <w:rPr>
          <w:rStyle w:val="eop"/>
          <w:rFonts w:ascii="Arial" w:hAnsi="Arial" w:cs="Arial"/>
        </w:rPr>
      </w:pPr>
    </w:p>
    <w:p w14:paraId="71D73759" w14:textId="77777777" w:rsidR="00FA4C9E" w:rsidRDefault="00FA4C9E" w:rsidP="00FA4C9E">
      <w:pPr>
        <w:pStyle w:val="paragraph"/>
        <w:spacing w:before="0" w:beforeAutospacing="0" w:after="0" w:afterAutospacing="0"/>
        <w:jc w:val="center"/>
        <w:textAlignment w:val="baseline"/>
        <w:rPr>
          <w:rFonts w:ascii="Segoe UI" w:hAnsi="Segoe UI" w:cs="Segoe UI"/>
          <w:sz w:val="18"/>
          <w:szCs w:val="18"/>
        </w:rPr>
      </w:pPr>
    </w:p>
    <w:p w14:paraId="68734ADD" w14:textId="77777777" w:rsidR="00FA4C9E" w:rsidRDefault="00FA4C9E" w:rsidP="00FA4C9E">
      <w:pPr>
        <w:pStyle w:val="paragraph"/>
        <w:spacing w:before="0" w:beforeAutospacing="0" w:after="0" w:afterAutospacing="0"/>
        <w:jc w:val="center"/>
        <w:textAlignment w:val="baseline"/>
        <w:rPr>
          <w:rFonts w:ascii="Segoe UI" w:hAnsi="Segoe UI" w:cs="Segoe UI"/>
          <w:sz w:val="18"/>
          <w:szCs w:val="18"/>
        </w:rPr>
      </w:pPr>
      <w:r>
        <w:rPr>
          <w:rStyle w:val="eop"/>
          <w:rFonts w:ascii="Arial" w:hAnsi="Arial" w:cs="Arial"/>
        </w:rPr>
        <w:t> </w:t>
      </w:r>
    </w:p>
    <w:p w14:paraId="2A0BF21A" w14:textId="2D0512B6" w:rsidR="00FA4C9E" w:rsidRDefault="00FA4C9E" w:rsidP="00FA4C9E">
      <w:pPr>
        <w:pStyle w:val="paragraph"/>
        <w:spacing w:before="0" w:beforeAutospacing="0" w:after="0" w:afterAutospacing="0"/>
        <w:ind w:left="720" w:firstLine="720"/>
        <w:textAlignment w:val="baseline"/>
        <w:rPr>
          <w:rStyle w:val="eop"/>
          <w:rFonts w:ascii="Arial" w:hAnsi="Arial" w:cs="Arial"/>
        </w:rPr>
      </w:pPr>
      <w:r>
        <w:rPr>
          <w:rStyle w:val="normaltextrun"/>
          <w:rFonts w:ascii="Arial" w:hAnsi="Arial" w:cs="Arial"/>
        </w:rPr>
        <w:t>Curriculum Analysis</w:t>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t>Pages </w:t>
      </w:r>
      <w:r w:rsidR="009A09C6">
        <w:rPr>
          <w:rStyle w:val="eop"/>
          <w:rFonts w:ascii="Arial" w:hAnsi="Arial" w:cs="Arial"/>
        </w:rPr>
        <w:t>2</w:t>
      </w:r>
      <w:r w:rsidR="005712B2">
        <w:rPr>
          <w:rStyle w:val="eop"/>
          <w:rFonts w:ascii="Arial" w:hAnsi="Arial" w:cs="Arial"/>
        </w:rPr>
        <w:t xml:space="preserve"> </w:t>
      </w:r>
      <w:r w:rsidR="009A09C6">
        <w:rPr>
          <w:rStyle w:val="eop"/>
          <w:rFonts w:ascii="Arial" w:hAnsi="Arial" w:cs="Arial"/>
        </w:rPr>
        <w:t>-</w:t>
      </w:r>
      <w:r w:rsidR="005712B2">
        <w:rPr>
          <w:rStyle w:val="eop"/>
          <w:rFonts w:ascii="Arial" w:hAnsi="Arial" w:cs="Arial"/>
        </w:rPr>
        <w:t xml:space="preserve"> </w:t>
      </w:r>
      <w:r w:rsidR="002750B7">
        <w:rPr>
          <w:rStyle w:val="eop"/>
          <w:rFonts w:ascii="Arial" w:hAnsi="Arial" w:cs="Arial"/>
        </w:rPr>
        <w:t>7</w:t>
      </w:r>
    </w:p>
    <w:p w14:paraId="2753A5EA" w14:textId="77777777" w:rsidR="00FA4C9E" w:rsidRDefault="00FA4C9E" w:rsidP="00FA4C9E">
      <w:pPr>
        <w:pStyle w:val="paragraph"/>
        <w:spacing w:before="0" w:beforeAutospacing="0" w:after="0" w:afterAutospacing="0"/>
        <w:ind w:left="720" w:firstLine="720"/>
        <w:textAlignment w:val="baseline"/>
        <w:rPr>
          <w:rFonts w:ascii="Segoe UI" w:hAnsi="Segoe UI" w:cs="Segoe UI"/>
          <w:sz w:val="18"/>
          <w:szCs w:val="18"/>
        </w:rPr>
      </w:pPr>
    </w:p>
    <w:p w14:paraId="4F10CD03" w14:textId="77777777" w:rsidR="00FA4C9E" w:rsidRDefault="00FA4C9E" w:rsidP="00FA4C9E">
      <w:pPr>
        <w:pStyle w:val="paragraph"/>
        <w:spacing w:before="0" w:beforeAutospacing="0" w:after="0" w:afterAutospacing="0"/>
        <w:textAlignment w:val="baseline"/>
        <w:rPr>
          <w:rFonts w:ascii="Segoe UI" w:hAnsi="Segoe UI" w:cs="Segoe UI"/>
          <w:sz w:val="18"/>
          <w:szCs w:val="18"/>
        </w:rPr>
      </w:pPr>
      <w:r>
        <w:rPr>
          <w:rStyle w:val="eop"/>
          <w:rFonts w:ascii="Arial" w:hAnsi="Arial" w:cs="Arial"/>
        </w:rPr>
        <w:t> </w:t>
      </w:r>
    </w:p>
    <w:p w14:paraId="5295BF1C" w14:textId="6948AB98" w:rsidR="00FA4C9E" w:rsidRDefault="00FA4C9E" w:rsidP="00FA4C9E">
      <w:pPr>
        <w:pStyle w:val="paragraph"/>
        <w:spacing w:before="0" w:beforeAutospacing="0" w:after="0" w:afterAutospacing="0"/>
        <w:ind w:left="720" w:firstLine="720"/>
        <w:textAlignment w:val="baseline"/>
        <w:rPr>
          <w:rFonts w:ascii="Segoe UI" w:hAnsi="Segoe UI" w:cs="Segoe UI"/>
          <w:sz w:val="18"/>
          <w:szCs w:val="18"/>
        </w:rPr>
      </w:pPr>
      <w:r>
        <w:rPr>
          <w:rStyle w:val="normaltextrun"/>
          <w:rFonts w:ascii="Arial" w:hAnsi="Arial" w:cs="Arial"/>
        </w:rPr>
        <w:t>Assessment Evaluation</w:t>
      </w:r>
      <w:r>
        <w:rPr>
          <w:rStyle w:val="normaltextrun"/>
          <w:rFonts w:ascii="Arial" w:hAnsi="Arial" w:cs="Arial"/>
        </w:rPr>
        <w:tab/>
      </w:r>
      <w:r>
        <w:rPr>
          <w:rStyle w:val="normaltextrun"/>
          <w:rFonts w:ascii="Arial" w:hAnsi="Arial" w:cs="Arial"/>
        </w:rPr>
        <w:tab/>
      </w:r>
      <w:r>
        <w:rPr>
          <w:rStyle w:val="normaltextrun"/>
          <w:rFonts w:ascii="Arial" w:hAnsi="Arial" w:cs="Arial"/>
        </w:rPr>
        <w:tab/>
        <w:t>Pages</w:t>
      </w:r>
      <w:r>
        <w:rPr>
          <w:rStyle w:val="eop"/>
          <w:rFonts w:ascii="Arial" w:hAnsi="Arial" w:cs="Arial"/>
        </w:rPr>
        <w:t> </w:t>
      </w:r>
      <w:r w:rsidR="002750B7">
        <w:rPr>
          <w:rStyle w:val="eop"/>
          <w:rFonts w:ascii="Arial" w:hAnsi="Arial" w:cs="Arial"/>
        </w:rPr>
        <w:t>8</w:t>
      </w:r>
      <w:r w:rsidR="005712B2">
        <w:rPr>
          <w:rStyle w:val="eop"/>
          <w:rFonts w:ascii="Arial" w:hAnsi="Arial" w:cs="Arial"/>
        </w:rPr>
        <w:t xml:space="preserve"> </w:t>
      </w:r>
      <w:r w:rsidR="005B6AC5">
        <w:rPr>
          <w:rStyle w:val="eop"/>
          <w:rFonts w:ascii="Arial" w:hAnsi="Arial" w:cs="Arial"/>
        </w:rPr>
        <w:t>-</w:t>
      </w:r>
      <w:r w:rsidR="005712B2">
        <w:rPr>
          <w:rStyle w:val="eop"/>
          <w:rFonts w:ascii="Arial" w:hAnsi="Arial" w:cs="Arial"/>
        </w:rPr>
        <w:t xml:space="preserve"> </w:t>
      </w:r>
      <w:r w:rsidR="005B6AC5">
        <w:rPr>
          <w:rStyle w:val="eop"/>
          <w:rFonts w:ascii="Arial" w:hAnsi="Arial" w:cs="Arial"/>
        </w:rPr>
        <w:t>1</w:t>
      </w:r>
      <w:r w:rsidR="002750B7">
        <w:rPr>
          <w:rStyle w:val="eop"/>
          <w:rFonts w:ascii="Arial" w:hAnsi="Arial" w:cs="Arial"/>
        </w:rPr>
        <w:t>2</w:t>
      </w:r>
    </w:p>
    <w:p w14:paraId="55D178E7" w14:textId="77777777" w:rsidR="00FA4C9E" w:rsidRDefault="00FA4C9E" w:rsidP="00FA4C9E">
      <w:pPr>
        <w:pStyle w:val="paragraph"/>
        <w:spacing w:before="0" w:beforeAutospacing="0" w:after="0" w:afterAutospacing="0"/>
        <w:textAlignment w:val="baseline"/>
        <w:rPr>
          <w:rStyle w:val="eop"/>
          <w:rFonts w:ascii="Arial" w:hAnsi="Arial" w:cs="Arial"/>
        </w:rPr>
      </w:pPr>
      <w:r>
        <w:rPr>
          <w:rStyle w:val="eop"/>
          <w:rFonts w:ascii="Arial" w:hAnsi="Arial" w:cs="Arial"/>
        </w:rPr>
        <w:t> </w:t>
      </w:r>
    </w:p>
    <w:p w14:paraId="601806B0" w14:textId="77777777" w:rsidR="00FA4C9E" w:rsidRDefault="00FA4C9E" w:rsidP="00FA4C9E">
      <w:pPr>
        <w:pStyle w:val="paragraph"/>
        <w:spacing w:before="0" w:beforeAutospacing="0" w:after="0" w:afterAutospacing="0"/>
        <w:textAlignment w:val="baseline"/>
        <w:rPr>
          <w:rFonts w:ascii="Segoe UI" w:hAnsi="Segoe UI" w:cs="Segoe UI"/>
          <w:sz w:val="18"/>
          <w:szCs w:val="18"/>
        </w:rPr>
      </w:pPr>
    </w:p>
    <w:p w14:paraId="14C586CD" w14:textId="583DE13B" w:rsidR="00FA4C9E" w:rsidRDefault="00FA4C9E" w:rsidP="00FA4C9E">
      <w:pPr>
        <w:pStyle w:val="paragraph"/>
        <w:spacing w:before="0" w:beforeAutospacing="0" w:after="0" w:afterAutospacing="0"/>
        <w:ind w:left="720" w:firstLine="720"/>
        <w:textAlignment w:val="baseline"/>
        <w:rPr>
          <w:rFonts w:ascii="Segoe UI" w:hAnsi="Segoe UI" w:cs="Segoe UI"/>
          <w:sz w:val="18"/>
          <w:szCs w:val="18"/>
        </w:rPr>
      </w:pPr>
      <w:r>
        <w:rPr>
          <w:rStyle w:val="normaltextrun"/>
          <w:rFonts w:ascii="Arial" w:hAnsi="Arial" w:cs="Arial"/>
        </w:rPr>
        <w:t>Blog – Outdoor </w:t>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t>Pages</w:t>
      </w:r>
      <w:r>
        <w:rPr>
          <w:rStyle w:val="eop"/>
          <w:rFonts w:ascii="Arial" w:hAnsi="Arial" w:cs="Arial"/>
        </w:rPr>
        <w:t> </w:t>
      </w:r>
      <w:r w:rsidR="000E25B3">
        <w:rPr>
          <w:rStyle w:val="eop"/>
          <w:rFonts w:ascii="Arial" w:hAnsi="Arial" w:cs="Arial"/>
        </w:rPr>
        <w:t>1</w:t>
      </w:r>
      <w:r w:rsidR="002750B7">
        <w:rPr>
          <w:rStyle w:val="eop"/>
          <w:rFonts w:ascii="Arial" w:hAnsi="Arial" w:cs="Arial"/>
        </w:rPr>
        <w:t>3</w:t>
      </w:r>
      <w:r w:rsidR="005712B2">
        <w:rPr>
          <w:rStyle w:val="eop"/>
          <w:rFonts w:ascii="Arial" w:hAnsi="Arial" w:cs="Arial"/>
        </w:rPr>
        <w:t xml:space="preserve"> - </w:t>
      </w:r>
      <w:r w:rsidR="002750B7">
        <w:rPr>
          <w:rStyle w:val="eop"/>
          <w:rFonts w:ascii="Arial" w:hAnsi="Arial" w:cs="Arial"/>
        </w:rPr>
        <w:t>16</w:t>
      </w:r>
    </w:p>
    <w:p w14:paraId="78D1196C" w14:textId="77777777" w:rsidR="00FA4C9E" w:rsidRDefault="00FA4C9E" w:rsidP="00FA4C9E">
      <w:pPr>
        <w:pStyle w:val="paragraph"/>
        <w:spacing w:before="0" w:beforeAutospacing="0" w:after="0" w:afterAutospacing="0"/>
        <w:textAlignment w:val="baseline"/>
        <w:rPr>
          <w:rStyle w:val="eop"/>
          <w:rFonts w:ascii="Arial" w:hAnsi="Arial" w:cs="Arial"/>
        </w:rPr>
      </w:pPr>
      <w:r>
        <w:rPr>
          <w:rStyle w:val="eop"/>
          <w:rFonts w:ascii="Arial" w:hAnsi="Arial" w:cs="Arial"/>
        </w:rPr>
        <w:t> </w:t>
      </w:r>
    </w:p>
    <w:p w14:paraId="08C931DC" w14:textId="77777777" w:rsidR="00FA4C9E" w:rsidRDefault="00FA4C9E" w:rsidP="00FA4C9E">
      <w:pPr>
        <w:pStyle w:val="paragraph"/>
        <w:spacing w:before="0" w:beforeAutospacing="0" w:after="0" w:afterAutospacing="0"/>
        <w:textAlignment w:val="baseline"/>
        <w:rPr>
          <w:rFonts w:ascii="Segoe UI" w:hAnsi="Segoe UI" w:cs="Segoe UI"/>
          <w:sz w:val="18"/>
          <w:szCs w:val="18"/>
        </w:rPr>
      </w:pPr>
    </w:p>
    <w:p w14:paraId="298A6E82" w14:textId="22A27539" w:rsidR="00FA4C9E" w:rsidRDefault="00FA4C9E" w:rsidP="00FA4C9E">
      <w:pPr>
        <w:pStyle w:val="paragraph"/>
        <w:spacing w:before="0" w:beforeAutospacing="0" w:after="0" w:afterAutospacing="0"/>
        <w:ind w:left="720" w:firstLine="720"/>
        <w:textAlignment w:val="baseline"/>
        <w:rPr>
          <w:rFonts w:ascii="Segoe UI" w:hAnsi="Segoe UI" w:cs="Segoe UI"/>
          <w:sz w:val="18"/>
          <w:szCs w:val="18"/>
        </w:rPr>
      </w:pPr>
      <w:r>
        <w:rPr>
          <w:rStyle w:val="normaltextrun"/>
          <w:rFonts w:ascii="Arial" w:hAnsi="Arial" w:cs="Arial"/>
        </w:rPr>
        <w:t>Reference List</w:t>
      </w:r>
      <w:r>
        <w:rPr>
          <w:rStyle w:val="normaltextrun"/>
          <w:rFonts w:ascii="Arial" w:hAnsi="Arial" w:cs="Arial"/>
        </w:rPr>
        <w:tab/>
      </w:r>
      <w:r>
        <w:rPr>
          <w:rStyle w:val="normaltextrun"/>
          <w:rFonts w:ascii="Arial" w:hAnsi="Arial" w:cs="Arial"/>
        </w:rPr>
        <w:tab/>
      </w:r>
      <w:r>
        <w:rPr>
          <w:rStyle w:val="normaltextrun"/>
          <w:rFonts w:ascii="Arial" w:hAnsi="Arial" w:cs="Arial"/>
        </w:rPr>
        <w:tab/>
      </w:r>
      <w:r>
        <w:rPr>
          <w:rStyle w:val="normaltextrun"/>
          <w:rFonts w:ascii="Arial" w:hAnsi="Arial" w:cs="Arial"/>
        </w:rPr>
        <w:tab/>
        <w:t>Pages</w:t>
      </w:r>
      <w:r>
        <w:rPr>
          <w:rStyle w:val="eop"/>
          <w:rFonts w:ascii="Arial" w:hAnsi="Arial" w:cs="Arial"/>
        </w:rPr>
        <w:t> </w:t>
      </w:r>
      <w:r w:rsidR="002750B7">
        <w:rPr>
          <w:rStyle w:val="eop"/>
          <w:rFonts w:ascii="Arial" w:hAnsi="Arial" w:cs="Arial"/>
        </w:rPr>
        <w:t xml:space="preserve">17 - </w:t>
      </w:r>
      <w:r w:rsidR="00BA47F6">
        <w:rPr>
          <w:rStyle w:val="eop"/>
          <w:rFonts w:ascii="Arial" w:hAnsi="Arial" w:cs="Arial"/>
        </w:rPr>
        <w:t>23</w:t>
      </w:r>
    </w:p>
    <w:p w14:paraId="3EBE43CC" w14:textId="77777777" w:rsidR="00FA4C9E" w:rsidRDefault="00FA4C9E"/>
    <w:p w14:paraId="243BC965" w14:textId="77777777" w:rsidR="00FA4C9E" w:rsidRDefault="00FA4C9E">
      <w:pPr>
        <w:sectPr w:rsidR="00FA4C9E" w:rsidSect="002750B7">
          <w:headerReference w:type="default" r:id="rId6"/>
          <w:footerReference w:type="even" r:id="rId7"/>
          <w:pgSz w:w="11900" w:h="16840"/>
          <w:pgMar w:top="1440" w:right="1440" w:bottom="1440" w:left="1440" w:header="284" w:footer="340" w:gutter="0"/>
          <w:cols w:space="708"/>
          <w:docGrid w:linePitch="360"/>
        </w:sectPr>
      </w:pPr>
    </w:p>
    <w:p w14:paraId="24A9EAD4" w14:textId="77777777" w:rsidR="00FA4C9E" w:rsidRDefault="00FA4C9E" w:rsidP="00FA4C9E">
      <w:pPr>
        <w:pStyle w:val="paragraph"/>
        <w:spacing w:before="0" w:beforeAutospacing="0" w:after="160" w:afterAutospacing="0" w:line="360" w:lineRule="auto"/>
        <w:jc w:val="both"/>
        <w:textAlignment w:val="baseline"/>
        <w:rPr>
          <w:rFonts w:ascii="Segoe UI" w:hAnsi="Segoe UI" w:cs="Segoe UI"/>
          <w:sz w:val="18"/>
          <w:szCs w:val="18"/>
        </w:rPr>
      </w:pPr>
      <w:r>
        <w:rPr>
          <w:rStyle w:val="normaltextrun"/>
          <w:rFonts w:ascii="Arial" w:hAnsi="Arial" w:cs="Arial"/>
        </w:rPr>
        <w:lastRenderedPageBreak/>
        <w:t>The Organisation for Economic Co-operation and Development (2018) recognise that children’s experience</w:t>
      </w:r>
      <w:bookmarkStart w:id="0" w:name="_GoBack"/>
      <w:bookmarkEnd w:id="0"/>
      <w:r>
        <w:rPr>
          <w:rStyle w:val="normaltextrun"/>
          <w:rFonts w:ascii="Arial" w:hAnsi="Arial" w:cs="Arial"/>
        </w:rPr>
        <w:t>s and opportunities in the early years lay the foundations for the development and learning of skills in later life. In recent times, influenced by Dewey’s learner-centred pedagogy, Aubrey and Riley (2019) state that education, particularly in the early years, has seen a move from a traditional knowledge-based style to a more child-centred one. Moreover, most curricula frameworks, according to Clark (2016), strive to integrate care and education and promote play-based learning. However, Wood (2013) suggests that different curriculum models will each reflect the cultural beliefs, values, ethos and future needs of their individual societies. Nevertheless, the Plowden Report (1967: 7 cited Aubrey and Riley, 2019) maintains that the child should be at the core of every educational process.</w:t>
      </w:r>
      <w:r>
        <w:rPr>
          <w:rStyle w:val="eop"/>
          <w:rFonts w:ascii="Arial" w:hAnsi="Arial" w:cs="Arial"/>
        </w:rPr>
        <w:t> </w:t>
      </w:r>
    </w:p>
    <w:p w14:paraId="25A29744" w14:textId="77777777" w:rsidR="00FA4C9E" w:rsidRDefault="00FA4C9E" w:rsidP="00FA4C9E">
      <w:pPr>
        <w:pStyle w:val="paragraph"/>
        <w:spacing w:before="0" w:beforeAutospacing="0" w:after="160" w:afterAutospacing="0" w:line="360" w:lineRule="auto"/>
        <w:jc w:val="both"/>
        <w:textAlignment w:val="baseline"/>
        <w:rPr>
          <w:rFonts w:ascii="Segoe UI" w:hAnsi="Segoe UI" w:cs="Segoe UI"/>
          <w:sz w:val="18"/>
          <w:szCs w:val="18"/>
        </w:rPr>
      </w:pPr>
      <w:r>
        <w:rPr>
          <w:rStyle w:val="normaltextrun"/>
          <w:rFonts w:ascii="Arial" w:hAnsi="Arial" w:cs="Arial"/>
        </w:rPr>
        <w:t>In Wales, prior to the implementation of the statutory curriculum for children aged three to seven, the Foundation phase framework, Estyn (2011) observed that the standards of language, maths and science achieved by most seven-year olds were at an unsatisfactory level and furthermore, children were being introduced to formal learning prematurely, particularly in reading and writing which was seen as having a negative effect on their desire to learn (Taylor, Rhys and Waldron, 2016). Therefore, the National Assembly for Wales (2003 cited Taylor, Rhys and Waldron, 2016) recognised a need for reform of early years education. As a result, the Foundation Phase framework was gradually introduced between 2008 and 2011 and aimed to support the prevention of underachievement and raise standards (Estyn, 2011). </w:t>
      </w:r>
      <w:r>
        <w:rPr>
          <w:rStyle w:val="eop"/>
          <w:rFonts w:ascii="Arial" w:hAnsi="Arial" w:cs="Arial"/>
        </w:rPr>
        <w:t> </w:t>
      </w:r>
    </w:p>
    <w:p w14:paraId="6991D3C8" w14:textId="37808273" w:rsidR="00FA4C9E" w:rsidRDefault="00FA4C9E" w:rsidP="00FA4C9E">
      <w:pPr>
        <w:pStyle w:val="paragraph"/>
        <w:spacing w:before="0" w:beforeAutospacing="0" w:after="160" w:afterAutospacing="0" w:line="360" w:lineRule="auto"/>
        <w:jc w:val="both"/>
        <w:textAlignment w:val="baseline"/>
        <w:rPr>
          <w:rFonts w:ascii="Segoe UI" w:hAnsi="Segoe UI" w:cs="Segoe UI"/>
          <w:sz w:val="18"/>
          <w:szCs w:val="18"/>
        </w:rPr>
      </w:pPr>
      <w:r>
        <w:rPr>
          <w:rStyle w:val="normaltextrun"/>
          <w:rFonts w:ascii="Arial" w:hAnsi="Arial" w:cs="Arial"/>
        </w:rPr>
        <w:t>The Foundation Phase, underpinned by constructivist theories of learning, much like early years education in Scandinavia, New Zealand (</w:t>
      </w:r>
      <w:proofErr w:type="spellStart"/>
      <w:r>
        <w:rPr>
          <w:rStyle w:val="spellingerror"/>
          <w:rFonts w:ascii="Arial" w:hAnsi="Arial" w:cs="Arial"/>
        </w:rPr>
        <w:t>Te</w:t>
      </w:r>
      <w:proofErr w:type="spellEnd"/>
      <w:r>
        <w:rPr>
          <w:rStyle w:val="normaltextrun"/>
          <w:rFonts w:ascii="Arial" w:hAnsi="Arial" w:cs="Arial"/>
        </w:rPr>
        <w:t> </w:t>
      </w:r>
      <w:proofErr w:type="spellStart"/>
      <w:r>
        <w:rPr>
          <w:rStyle w:val="spellingerror"/>
          <w:rFonts w:ascii="Arial" w:hAnsi="Arial" w:cs="Arial"/>
        </w:rPr>
        <w:t>Whãriki</w:t>
      </w:r>
      <w:proofErr w:type="spellEnd"/>
      <w:r>
        <w:rPr>
          <w:rStyle w:val="normaltextrun"/>
          <w:rFonts w:ascii="Arial" w:hAnsi="Arial" w:cs="Arial"/>
        </w:rPr>
        <w:t>) and Reggio Emilia settings, recognises the importance of play in children’s learning (Taylor </w:t>
      </w:r>
      <w:r>
        <w:rPr>
          <w:rStyle w:val="normaltextrun"/>
          <w:rFonts w:ascii="Arial" w:hAnsi="Arial" w:cs="Arial"/>
          <w:i/>
          <w:iCs/>
        </w:rPr>
        <w:t>et al</w:t>
      </w:r>
      <w:r w:rsidRPr="00347507">
        <w:rPr>
          <w:rStyle w:val="normaltextrun"/>
          <w:rFonts w:ascii="Arial" w:hAnsi="Arial" w:cs="Arial"/>
          <w:iCs/>
        </w:rPr>
        <w:t>.</w:t>
      </w:r>
      <w:r w:rsidR="00347507" w:rsidRPr="00347507">
        <w:rPr>
          <w:rStyle w:val="normaltextrun"/>
          <w:rFonts w:ascii="Arial" w:hAnsi="Arial" w:cs="Arial"/>
          <w:iCs/>
        </w:rPr>
        <w:t>,</w:t>
      </w:r>
      <w:r>
        <w:rPr>
          <w:rStyle w:val="normaltextrun"/>
          <w:rFonts w:ascii="Arial" w:hAnsi="Arial" w:cs="Arial"/>
        </w:rPr>
        <w:t> 2015). Consequently, advocating an experiential, play-based pedagogical approach (Taylor, Rhys and Waldron, 2016), which according to the Welsh Government (2015) was overall enthusiastically welcomed by many practitioners. Nevertheless, with the implementation of the Foundation phase requiring a ‘significant change in approach and delivery’ (Welsh Assembly Government, 2010 p.1 cited Waters, 2016), Taylor </w:t>
      </w:r>
      <w:r>
        <w:rPr>
          <w:rStyle w:val="normaltextrun"/>
          <w:rFonts w:ascii="Arial" w:hAnsi="Arial" w:cs="Arial"/>
          <w:i/>
          <w:iCs/>
        </w:rPr>
        <w:t>et al</w:t>
      </w:r>
      <w:r w:rsidRPr="00685D07">
        <w:rPr>
          <w:rStyle w:val="normaltextrun"/>
          <w:rFonts w:ascii="Arial" w:hAnsi="Arial" w:cs="Arial"/>
          <w:iCs/>
        </w:rPr>
        <w:t>.</w:t>
      </w:r>
      <w:r>
        <w:rPr>
          <w:rStyle w:val="normaltextrun"/>
          <w:rFonts w:ascii="Arial" w:hAnsi="Arial" w:cs="Arial"/>
          <w:i/>
          <w:iCs/>
        </w:rPr>
        <w:t> </w:t>
      </w:r>
      <w:r>
        <w:rPr>
          <w:rStyle w:val="normaltextrun"/>
          <w:rFonts w:ascii="Arial" w:hAnsi="Arial" w:cs="Arial"/>
        </w:rPr>
        <w:t xml:space="preserve">(2015) recognised that practitioners initially faced some challenges. Notably in areas such as, identifying and implementing structured play and active learning and maintaining a balance of both child-initiated and adult-led learning. Successful implementation therefore required practitioners and leaders to </w:t>
      </w:r>
      <w:r>
        <w:rPr>
          <w:rStyle w:val="normaltextrun"/>
          <w:rFonts w:ascii="Arial" w:hAnsi="Arial" w:cs="Arial"/>
        </w:rPr>
        <w:lastRenderedPageBreak/>
        <w:t>understand the principles and pedagogy of the approach (Estyn, 2011), and develop a sociocultural perspective of children’s learning, particularly important when well-being is viewed as being at the core of the Foundation Phase (Aasen and Waters, 2006 cited Maynard </w:t>
      </w:r>
      <w:r>
        <w:rPr>
          <w:rStyle w:val="normaltextrun"/>
          <w:rFonts w:ascii="Arial" w:hAnsi="Arial" w:cs="Arial"/>
          <w:i/>
          <w:iCs/>
        </w:rPr>
        <w:t>et al</w:t>
      </w:r>
      <w:r w:rsidRPr="00685D07">
        <w:rPr>
          <w:rStyle w:val="normaltextrun"/>
          <w:rFonts w:ascii="Arial" w:hAnsi="Arial" w:cs="Arial"/>
          <w:iCs/>
        </w:rPr>
        <w:t>.</w:t>
      </w:r>
      <w:r w:rsidR="00685D07" w:rsidRPr="00685D07">
        <w:rPr>
          <w:rStyle w:val="normaltextrun"/>
          <w:rFonts w:ascii="Arial" w:hAnsi="Arial" w:cs="Arial"/>
          <w:iCs/>
        </w:rPr>
        <w:t>,</w:t>
      </w:r>
      <w:r>
        <w:rPr>
          <w:rStyle w:val="normaltextrun"/>
          <w:rFonts w:ascii="Arial" w:hAnsi="Arial" w:cs="Arial"/>
        </w:rPr>
        <w:t> 2012). </w:t>
      </w:r>
      <w:r>
        <w:rPr>
          <w:rStyle w:val="eop"/>
          <w:rFonts w:ascii="Arial" w:hAnsi="Arial" w:cs="Arial"/>
        </w:rPr>
        <w:t> </w:t>
      </w:r>
    </w:p>
    <w:p w14:paraId="1A7695D2" w14:textId="77777777" w:rsidR="00FA4C9E" w:rsidRDefault="00FA4C9E" w:rsidP="00FA4C9E">
      <w:pPr>
        <w:pStyle w:val="paragraph"/>
        <w:spacing w:before="0" w:beforeAutospacing="0" w:after="160" w:afterAutospacing="0" w:line="360" w:lineRule="auto"/>
        <w:jc w:val="both"/>
        <w:textAlignment w:val="baseline"/>
        <w:rPr>
          <w:rFonts w:ascii="Segoe UI" w:hAnsi="Segoe UI" w:cs="Segoe UI"/>
          <w:sz w:val="18"/>
          <w:szCs w:val="18"/>
        </w:rPr>
      </w:pPr>
      <w:r>
        <w:rPr>
          <w:rStyle w:val="normaltextrun"/>
          <w:rFonts w:ascii="Arial" w:hAnsi="Arial" w:cs="Arial"/>
        </w:rPr>
        <w:t>In addition to the importance of focussing on well-being, aimed at developing children’s confidence, self-worth and self-esteem (WAG, 2008 p.6 cited in Waters, 2016), the Foundation phase supports a cross-curricular and holistic approach recognised by Vygotsky as promoting cognitive development (Aubrey and Riley, 2019). Furthermore, Sim </w:t>
      </w:r>
      <w:r>
        <w:rPr>
          <w:rStyle w:val="normaltextrun"/>
          <w:rFonts w:ascii="Arial" w:hAnsi="Arial" w:cs="Arial"/>
          <w:i/>
          <w:iCs/>
        </w:rPr>
        <w:t>et al.</w:t>
      </w:r>
      <w:r>
        <w:rPr>
          <w:rStyle w:val="normaltextrun"/>
          <w:rFonts w:ascii="Arial" w:hAnsi="Arial" w:cs="Arial"/>
        </w:rPr>
        <w:t> (2018) believes that Vygotsky’s theory recognised that language and social interactions are essential to cognitive development. Consequently, placing adult and child interactions such as sustained shared thinking, at the core of children’s learning (WAG, 2008 p.6 cited in Waters, 2016) and supporting effective practice (Wood, 2013). Much like that of Italy’s Reggio Emilia approach, which is recognised for its pedagogy based on child-adult engagement (Wood, 2013). </w:t>
      </w:r>
      <w:r>
        <w:rPr>
          <w:rStyle w:val="eop"/>
          <w:rFonts w:ascii="Arial" w:hAnsi="Arial" w:cs="Arial"/>
        </w:rPr>
        <w:t> </w:t>
      </w:r>
    </w:p>
    <w:p w14:paraId="525E5DEC" w14:textId="77777777" w:rsidR="00FA4C9E" w:rsidRDefault="00FA4C9E" w:rsidP="00FA4C9E">
      <w:pPr>
        <w:pStyle w:val="paragraph"/>
        <w:spacing w:before="0" w:beforeAutospacing="0" w:after="160" w:afterAutospacing="0" w:line="360" w:lineRule="auto"/>
        <w:jc w:val="both"/>
        <w:textAlignment w:val="baseline"/>
        <w:rPr>
          <w:rFonts w:ascii="Segoe UI" w:hAnsi="Segoe UI" w:cs="Segoe UI"/>
          <w:sz w:val="18"/>
          <w:szCs w:val="18"/>
        </w:rPr>
      </w:pPr>
      <w:r>
        <w:rPr>
          <w:rStyle w:val="normaltextrun"/>
          <w:rFonts w:ascii="Arial" w:hAnsi="Arial" w:cs="Arial"/>
        </w:rPr>
        <w:t>Therefore, according to Taylor </w:t>
      </w:r>
      <w:r>
        <w:rPr>
          <w:rStyle w:val="normaltextrun"/>
          <w:rFonts w:ascii="Arial" w:hAnsi="Arial" w:cs="Arial"/>
          <w:i/>
          <w:iCs/>
        </w:rPr>
        <w:t>et al. </w:t>
      </w:r>
      <w:r>
        <w:rPr>
          <w:rStyle w:val="normaltextrun"/>
          <w:rFonts w:ascii="Arial" w:hAnsi="Arial" w:cs="Arial"/>
        </w:rPr>
        <w:t>(2015), research suggests that successful implementation of the Foundation phase required additional practitioners, particularly essential to enable the facilitation of continuous, enhanced and focussed activities. Furthermore, Bonetti and Brown (2018) suggest that further studies recognised the importance of having good management practices, knowledgeable practitioners and adequate indoor and outdoor space. All essential to supporting and enabling a child-centred approach to education, particularly within a standards-driven education system (Taylor, Rhys and Waldron, 2016). The Welsh Government (2018) believes therefore that the provision of early years education in the Foundation Phase, places children at the centre of their own learning by encouraging them to have fun, be creative and imaginative. </w:t>
      </w:r>
      <w:r>
        <w:rPr>
          <w:rStyle w:val="eop"/>
          <w:rFonts w:ascii="Arial" w:hAnsi="Arial" w:cs="Arial"/>
        </w:rPr>
        <w:t> </w:t>
      </w:r>
    </w:p>
    <w:p w14:paraId="09460F43" w14:textId="77777777" w:rsidR="00FA4C9E" w:rsidRDefault="00FA4C9E" w:rsidP="00FA4C9E">
      <w:pPr>
        <w:pStyle w:val="paragraph"/>
        <w:spacing w:before="0" w:beforeAutospacing="0" w:after="160" w:afterAutospacing="0" w:line="360" w:lineRule="auto"/>
        <w:jc w:val="both"/>
        <w:textAlignment w:val="baseline"/>
        <w:rPr>
          <w:rFonts w:ascii="Segoe UI" w:hAnsi="Segoe UI" w:cs="Segoe UI"/>
          <w:sz w:val="18"/>
          <w:szCs w:val="18"/>
        </w:rPr>
      </w:pPr>
      <w:r>
        <w:rPr>
          <w:rStyle w:val="normaltextrun"/>
          <w:rFonts w:ascii="Arial" w:hAnsi="Arial" w:cs="Arial"/>
        </w:rPr>
        <w:t xml:space="preserve">Wood (2013, p. 2) states that many pioneer educators recognised children’s natural affinity towards play which links strongly with the child-centred ideology, by enabling children to ‘express their inner needs, emotions, desires and conflicts.’ Piaget, according to Aubrey and Riley (2019) firmly advocated that play is essential to children’s learning, supporting them to discover what things are for, how they work and make sense of the world around them. Likewise, Clark (2016) suggests that Froebel also viewed play as serious business to children and of great significance, </w:t>
      </w:r>
      <w:r>
        <w:rPr>
          <w:rStyle w:val="normaltextrun"/>
          <w:rFonts w:ascii="Arial" w:hAnsi="Arial" w:cs="Arial"/>
        </w:rPr>
        <w:lastRenderedPageBreak/>
        <w:t>believing that education should champion children’s holistic development. Froebel also believed that children are not simply receivers of the world but the creators of it (Snider, 1900, p.164 cited in Clark, 2016). Subsequently, the Welsh Government (2018) developed the Foundation phase with the understanding that learning through play is fundamental to the early-years curriculum and essential to inclusive practice (Clark, 2016). However, </w:t>
      </w:r>
      <w:proofErr w:type="spellStart"/>
      <w:r>
        <w:rPr>
          <w:rStyle w:val="spellingerror"/>
          <w:rFonts w:ascii="Arial" w:hAnsi="Arial" w:cs="Arial"/>
        </w:rPr>
        <w:t>Grindheim</w:t>
      </w:r>
      <w:proofErr w:type="spellEnd"/>
      <w:r>
        <w:rPr>
          <w:rStyle w:val="normaltextrun"/>
          <w:rFonts w:ascii="Arial" w:hAnsi="Arial" w:cs="Arial"/>
        </w:rPr>
        <w:t> (2017) suggests that the ambiguity of play has caused play opportunities to vary in quality depending on practitioner’s perspectives. </w:t>
      </w:r>
      <w:r>
        <w:rPr>
          <w:rStyle w:val="eop"/>
          <w:rFonts w:ascii="Arial" w:hAnsi="Arial" w:cs="Arial"/>
        </w:rPr>
        <w:t> </w:t>
      </w:r>
    </w:p>
    <w:p w14:paraId="5FC43FBA" w14:textId="77777777" w:rsidR="00FA4C9E" w:rsidRDefault="00FA4C9E" w:rsidP="00FA4C9E">
      <w:pPr>
        <w:pStyle w:val="paragraph"/>
        <w:spacing w:before="0" w:beforeAutospacing="0" w:after="160" w:afterAutospacing="0" w:line="360" w:lineRule="auto"/>
        <w:jc w:val="both"/>
        <w:textAlignment w:val="baseline"/>
        <w:rPr>
          <w:rFonts w:ascii="Segoe UI" w:hAnsi="Segoe UI" w:cs="Segoe UI"/>
          <w:sz w:val="18"/>
          <w:szCs w:val="18"/>
        </w:rPr>
      </w:pPr>
      <w:r>
        <w:rPr>
          <w:rStyle w:val="normaltextrun"/>
          <w:rFonts w:ascii="Arial" w:hAnsi="Arial" w:cs="Arial"/>
        </w:rPr>
        <w:t>While the British Educational Research Association (BERA) Early Years Special Interest Group (2003 cited in Stephen, 2010) agreed that play formed the basis of learning in the early years, they questioned the effectiveness of ‘free play’ and suggested that play could be ‘stereotypical and lacking in challenge.’ However, according to the Welsh Assembly Government (2008 cited in Waters, 2016), play enables children to experiment, problem-solve, practice and consolidate their learning and make decisions both individually and with others. Moreover, Play Wales (2017) state that there are many variations of play such as, creative, exploratory and imaginative for example which varies between noisy and social, to quiet and focussed. Additionally, </w:t>
      </w:r>
      <w:proofErr w:type="spellStart"/>
      <w:r>
        <w:rPr>
          <w:rStyle w:val="spellingerror"/>
          <w:rFonts w:ascii="Arial" w:hAnsi="Arial" w:cs="Arial"/>
        </w:rPr>
        <w:t>Zosh</w:t>
      </w:r>
      <w:proofErr w:type="spellEnd"/>
      <w:r>
        <w:rPr>
          <w:rStyle w:val="normaltextrun"/>
          <w:rFonts w:ascii="Arial" w:hAnsi="Arial" w:cs="Arial"/>
        </w:rPr>
        <w:t> </w:t>
      </w:r>
      <w:r>
        <w:rPr>
          <w:rStyle w:val="normaltextrun"/>
          <w:rFonts w:ascii="Arial" w:hAnsi="Arial" w:cs="Arial"/>
          <w:i/>
          <w:iCs/>
        </w:rPr>
        <w:t>et al. </w:t>
      </w:r>
      <w:r>
        <w:rPr>
          <w:rStyle w:val="normaltextrun"/>
          <w:rFonts w:ascii="Arial" w:hAnsi="Arial" w:cs="Arial"/>
        </w:rPr>
        <w:t>(2017) believes that when children play with others, they build skills such as collaboration and communication as well as having fun, in addition to learning to cooperate and recognise others’ perspectives, particularly during role play (</w:t>
      </w:r>
      <w:proofErr w:type="spellStart"/>
      <w:r>
        <w:rPr>
          <w:rStyle w:val="spellingerror"/>
          <w:rFonts w:ascii="Arial" w:hAnsi="Arial" w:cs="Arial"/>
        </w:rPr>
        <w:t>Grindheim</w:t>
      </w:r>
      <w:proofErr w:type="spellEnd"/>
      <w:r>
        <w:rPr>
          <w:rStyle w:val="normaltextrun"/>
          <w:rFonts w:ascii="Arial" w:hAnsi="Arial" w:cs="Arial"/>
        </w:rPr>
        <w:t>, 2017).</w:t>
      </w:r>
      <w:r>
        <w:rPr>
          <w:rStyle w:val="eop"/>
          <w:rFonts w:ascii="Arial" w:hAnsi="Arial" w:cs="Arial"/>
        </w:rPr>
        <w:t> </w:t>
      </w:r>
    </w:p>
    <w:p w14:paraId="06CD99DE" w14:textId="546B6221" w:rsidR="00FA4C9E" w:rsidRDefault="00FA4C9E" w:rsidP="00FA4C9E">
      <w:pPr>
        <w:pStyle w:val="paragraph"/>
        <w:spacing w:before="0" w:beforeAutospacing="0" w:after="160" w:afterAutospacing="0" w:line="360" w:lineRule="auto"/>
        <w:jc w:val="both"/>
        <w:textAlignment w:val="baseline"/>
        <w:rPr>
          <w:rFonts w:ascii="Segoe UI" w:hAnsi="Segoe UI" w:cs="Segoe UI"/>
          <w:sz w:val="18"/>
          <w:szCs w:val="18"/>
        </w:rPr>
      </w:pPr>
      <w:r>
        <w:rPr>
          <w:rStyle w:val="normaltextrun"/>
          <w:rFonts w:ascii="Arial" w:hAnsi="Arial" w:cs="Arial"/>
        </w:rPr>
        <w:t>Malaguzzi, according to Wood (2013) proposed that children </w:t>
      </w:r>
      <w:r>
        <w:rPr>
          <w:rStyle w:val="advancedproofingissue"/>
          <w:rFonts w:ascii="Arial" w:hAnsi="Arial" w:cs="Arial"/>
        </w:rPr>
        <w:t>have the ability to</w:t>
      </w:r>
      <w:r>
        <w:rPr>
          <w:rStyle w:val="normaltextrun"/>
          <w:rFonts w:ascii="Arial" w:hAnsi="Arial" w:cs="Arial"/>
        </w:rPr>
        <w:t> construct, communicate and express their ideas, experiences and knowledge in various ways and using a range of resources, tools and materials. Thus, fundamental to the Reggio Emilia approach is the belief that having access to ‘high affordance’ tools can promote children’s learning (</w:t>
      </w:r>
      <w:proofErr w:type="spellStart"/>
      <w:r>
        <w:rPr>
          <w:rStyle w:val="spellingerror"/>
          <w:rFonts w:ascii="Arial" w:hAnsi="Arial" w:cs="Arial"/>
        </w:rPr>
        <w:t>Palaiologou</w:t>
      </w:r>
      <w:proofErr w:type="spellEnd"/>
      <w:r>
        <w:rPr>
          <w:rStyle w:val="normaltextrun"/>
          <w:rFonts w:ascii="Arial" w:hAnsi="Arial" w:cs="Arial"/>
        </w:rPr>
        <w:t> </w:t>
      </w:r>
      <w:r>
        <w:rPr>
          <w:rStyle w:val="normaltextrun"/>
          <w:rFonts w:ascii="Arial" w:hAnsi="Arial" w:cs="Arial"/>
          <w:i/>
          <w:iCs/>
        </w:rPr>
        <w:t>et al</w:t>
      </w:r>
      <w:r w:rsidRPr="00685D07">
        <w:rPr>
          <w:rStyle w:val="normaltextrun"/>
          <w:rFonts w:ascii="Arial" w:hAnsi="Arial" w:cs="Arial"/>
          <w:i/>
        </w:rPr>
        <w:t>.</w:t>
      </w:r>
      <w:r w:rsidR="00685D07" w:rsidRPr="00685D07">
        <w:rPr>
          <w:rStyle w:val="normaltextrun"/>
          <w:rFonts w:ascii="Arial" w:hAnsi="Arial" w:cs="Arial"/>
          <w:i/>
        </w:rPr>
        <w:t>,</w:t>
      </w:r>
      <w:r>
        <w:rPr>
          <w:rStyle w:val="normaltextrun"/>
          <w:rFonts w:ascii="Arial" w:hAnsi="Arial" w:cs="Arial"/>
        </w:rPr>
        <w:t> 2016), and scaffold their thinking skills and creativity, potentially creating future mathematicians, artists and scientists for example (Wood, 2013). Consequently, recognising that many settings lacked suitable facilities for successful delivery of a more practical, experiential and play-based way of learning (Taylor </w:t>
      </w:r>
      <w:r>
        <w:rPr>
          <w:rStyle w:val="normaltextrun"/>
          <w:rFonts w:ascii="Arial" w:hAnsi="Arial" w:cs="Arial"/>
          <w:i/>
          <w:iCs/>
        </w:rPr>
        <w:t>et al</w:t>
      </w:r>
      <w:r w:rsidRPr="00685D07">
        <w:rPr>
          <w:rStyle w:val="normaltextrun"/>
          <w:rFonts w:ascii="Arial" w:hAnsi="Arial" w:cs="Arial"/>
          <w:iCs/>
        </w:rPr>
        <w:t>.</w:t>
      </w:r>
      <w:r w:rsidR="00685D07" w:rsidRPr="00685D07">
        <w:rPr>
          <w:rStyle w:val="normaltextrun"/>
          <w:rFonts w:ascii="Arial" w:hAnsi="Arial" w:cs="Arial"/>
          <w:iCs/>
        </w:rPr>
        <w:t>,</w:t>
      </w:r>
      <w:r>
        <w:rPr>
          <w:rStyle w:val="normaltextrun"/>
          <w:rFonts w:ascii="Arial" w:hAnsi="Arial" w:cs="Arial"/>
          <w:i/>
          <w:iCs/>
        </w:rPr>
        <w:t> </w:t>
      </w:r>
      <w:r>
        <w:rPr>
          <w:rStyle w:val="normaltextrun"/>
          <w:rFonts w:ascii="Arial" w:hAnsi="Arial" w:cs="Arial"/>
        </w:rPr>
        <w:t>2015), Maynard </w:t>
      </w:r>
      <w:r>
        <w:rPr>
          <w:rStyle w:val="normaltextrun"/>
          <w:rFonts w:ascii="Arial" w:hAnsi="Arial" w:cs="Arial"/>
          <w:i/>
          <w:iCs/>
        </w:rPr>
        <w:t>et al</w:t>
      </w:r>
      <w:r w:rsidRPr="00685D07">
        <w:rPr>
          <w:rStyle w:val="normaltextrun"/>
          <w:rFonts w:ascii="Arial" w:hAnsi="Arial" w:cs="Arial"/>
          <w:iCs/>
        </w:rPr>
        <w:t>.</w:t>
      </w:r>
      <w:r w:rsidR="00685D07" w:rsidRPr="00685D07">
        <w:rPr>
          <w:rStyle w:val="normaltextrun"/>
          <w:rFonts w:ascii="Arial" w:hAnsi="Arial" w:cs="Arial"/>
          <w:iCs/>
        </w:rPr>
        <w:t>,</w:t>
      </w:r>
      <w:r w:rsidRPr="00685D07">
        <w:rPr>
          <w:rStyle w:val="normaltextrun"/>
          <w:rFonts w:ascii="Arial" w:hAnsi="Arial" w:cs="Arial"/>
        </w:rPr>
        <w:t> </w:t>
      </w:r>
      <w:r>
        <w:rPr>
          <w:rStyle w:val="normaltextrun"/>
          <w:rFonts w:ascii="Arial" w:hAnsi="Arial" w:cs="Arial"/>
        </w:rPr>
        <w:t>(2012) state that the Welsh Government provided a substantial amount of funding in order for settings to develop their environments, both indoor and outdoor, within the foundation phase. Enabling practitioners to reorganise classrooms to create areas of learning and purchase appropriate resources and equipment for both environments (Rhys </w:t>
      </w:r>
      <w:r>
        <w:rPr>
          <w:rStyle w:val="normaltextrun"/>
          <w:rFonts w:ascii="Arial" w:hAnsi="Arial" w:cs="Arial"/>
          <w:i/>
          <w:iCs/>
        </w:rPr>
        <w:t>et al</w:t>
      </w:r>
      <w:r w:rsidR="00685D07" w:rsidRPr="00685D07">
        <w:rPr>
          <w:rStyle w:val="normaltextrun"/>
          <w:rFonts w:ascii="Arial" w:hAnsi="Arial" w:cs="Arial"/>
          <w:iCs/>
        </w:rPr>
        <w:t>.</w:t>
      </w:r>
      <w:r w:rsidRPr="00685D07">
        <w:rPr>
          <w:rStyle w:val="normaltextrun"/>
          <w:rFonts w:ascii="Arial" w:hAnsi="Arial" w:cs="Arial"/>
          <w:iCs/>
        </w:rPr>
        <w:t>,</w:t>
      </w:r>
      <w:r>
        <w:rPr>
          <w:rStyle w:val="normaltextrun"/>
          <w:rFonts w:ascii="Arial" w:hAnsi="Arial" w:cs="Arial"/>
        </w:rPr>
        <w:t> 2014). </w:t>
      </w:r>
      <w:r>
        <w:rPr>
          <w:rStyle w:val="eop"/>
          <w:rFonts w:ascii="Arial" w:hAnsi="Arial" w:cs="Arial"/>
        </w:rPr>
        <w:t> </w:t>
      </w:r>
    </w:p>
    <w:p w14:paraId="18947E37" w14:textId="36A05D96" w:rsidR="00FA4C9E" w:rsidRDefault="00FA4C9E" w:rsidP="00FA4C9E">
      <w:pPr>
        <w:pStyle w:val="paragraph"/>
        <w:spacing w:before="0" w:beforeAutospacing="0" w:after="160" w:afterAutospacing="0" w:line="360" w:lineRule="auto"/>
        <w:jc w:val="both"/>
        <w:textAlignment w:val="baseline"/>
        <w:rPr>
          <w:rFonts w:ascii="Segoe UI" w:hAnsi="Segoe UI" w:cs="Segoe UI"/>
          <w:sz w:val="18"/>
          <w:szCs w:val="18"/>
        </w:rPr>
      </w:pPr>
      <w:r>
        <w:rPr>
          <w:rStyle w:val="normaltextrun"/>
          <w:rFonts w:ascii="Arial" w:hAnsi="Arial" w:cs="Arial"/>
        </w:rPr>
        <w:lastRenderedPageBreak/>
        <w:t xml:space="preserve">During the development of the Foundation phase, The Welsh Assembly Government (2009) advocated that the environments in early years settings should promote children’s independence, placing a significant emphasis on the use of the outdoors. The Welsh council for outdoor learning (2018) </w:t>
      </w:r>
      <w:proofErr w:type="gramStart"/>
      <w:r>
        <w:rPr>
          <w:rStyle w:val="normaltextrun"/>
          <w:rFonts w:ascii="Arial" w:hAnsi="Arial" w:cs="Arial"/>
        </w:rPr>
        <w:t>suggest</w:t>
      </w:r>
      <w:proofErr w:type="gramEnd"/>
      <w:r>
        <w:rPr>
          <w:rStyle w:val="normaltextrun"/>
          <w:rFonts w:ascii="Arial" w:hAnsi="Arial" w:cs="Arial"/>
        </w:rPr>
        <w:t xml:space="preserve"> that a great deal of research has recognised the benefit to children’s development that outdoor learning and play in the natural environment provides. Which according to </w:t>
      </w:r>
      <w:proofErr w:type="spellStart"/>
      <w:r>
        <w:rPr>
          <w:rStyle w:val="normaltextrun"/>
          <w:rFonts w:ascii="Arial" w:hAnsi="Arial" w:cs="Arial"/>
        </w:rPr>
        <w:t>Gleave</w:t>
      </w:r>
      <w:proofErr w:type="spellEnd"/>
      <w:r>
        <w:rPr>
          <w:rStyle w:val="normaltextrun"/>
          <w:rFonts w:ascii="Arial" w:hAnsi="Arial" w:cs="Arial"/>
        </w:rPr>
        <w:t xml:space="preserve"> and Cole-Hamilton (2012) are opportunities for self-discovery, stronger emotional well-being and resilience, critical thinking and an increase in cognitive ability. Furthermore, Burdette and Whitaker (2005 cited in Beyer </w:t>
      </w:r>
      <w:r>
        <w:rPr>
          <w:rStyle w:val="normaltextrun"/>
          <w:rFonts w:ascii="Arial" w:hAnsi="Arial" w:cs="Arial"/>
          <w:i/>
          <w:iCs/>
        </w:rPr>
        <w:t>et al</w:t>
      </w:r>
      <w:r w:rsidRPr="00685D07">
        <w:rPr>
          <w:rStyle w:val="normaltextrun"/>
          <w:rFonts w:ascii="Arial" w:hAnsi="Arial" w:cs="Arial"/>
          <w:iCs/>
        </w:rPr>
        <w:t>.</w:t>
      </w:r>
      <w:r w:rsidR="00685D07" w:rsidRPr="00685D07">
        <w:rPr>
          <w:rStyle w:val="normaltextrun"/>
          <w:rFonts w:ascii="Arial" w:hAnsi="Arial" w:cs="Arial"/>
          <w:iCs/>
        </w:rPr>
        <w:t>,</w:t>
      </w:r>
      <w:r w:rsidRPr="00685D07">
        <w:rPr>
          <w:rStyle w:val="normaltextrun"/>
          <w:rFonts w:ascii="Arial" w:hAnsi="Arial" w:cs="Arial"/>
        </w:rPr>
        <w:t> </w:t>
      </w:r>
      <w:r>
        <w:rPr>
          <w:rStyle w:val="normaltextrun"/>
          <w:rFonts w:ascii="Arial" w:hAnsi="Arial" w:cs="Arial"/>
        </w:rPr>
        <w:t>2014) believe that outdoor play, particularly unstructured, supports children’s physical health and development, confidence through risky play and improve social relationships and problem-solving skills. Therefore, The Welsh council for outdoor learning (2018) affirm that learning in the outdoors should be a ‘natural, integrated and stimulating part of the curriculum.’ Hence, Beyer </w:t>
      </w:r>
      <w:r>
        <w:rPr>
          <w:rStyle w:val="normaltextrun"/>
          <w:rFonts w:ascii="Arial" w:hAnsi="Arial" w:cs="Arial"/>
          <w:i/>
          <w:iCs/>
        </w:rPr>
        <w:t>et al. </w:t>
      </w:r>
      <w:r>
        <w:rPr>
          <w:rStyle w:val="normaltextrun"/>
          <w:rFonts w:ascii="Arial" w:hAnsi="Arial" w:cs="Arial"/>
        </w:rPr>
        <w:t xml:space="preserve">(2014) expressed the importance of recognising and overcoming any barriers to outdoor learning, which </w:t>
      </w:r>
      <w:proofErr w:type="spellStart"/>
      <w:r>
        <w:rPr>
          <w:rStyle w:val="normaltextrun"/>
          <w:rFonts w:ascii="Arial" w:hAnsi="Arial" w:cs="Arial"/>
        </w:rPr>
        <w:t>Gleave</w:t>
      </w:r>
      <w:proofErr w:type="spellEnd"/>
      <w:r>
        <w:rPr>
          <w:rStyle w:val="normaltextrun"/>
          <w:rFonts w:ascii="Arial" w:hAnsi="Arial" w:cs="Arial"/>
        </w:rPr>
        <w:t xml:space="preserve"> and Cole-Hamilton (2012) suggest </w:t>
      </w:r>
      <w:proofErr w:type="gramStart"/>
      <w:r>
        <w:rPr>
          <w:rStyle w:val="normaltextrun"/>
          <w:rFonts w:ascii="Arial" w:hAnsi="Arial" w:cs="Arial"/>
        </w:rPr>
        <w:t>vary</w:t>
      </w:r>
      <w:proofErr w:type="gramEnd"/>
      <w:r>
        <w:rPr>
          <w:rStyle w:val="normaltextrun"/>
          <w:rFonts w:ascii="Arial" w:hAnsi="Arial" w:cs="Arial"/>
        </w:rPr>
        <w:t xml:space="preserve"> from practitioners’ attitudes and confidence in take learning outside, time, an increase in structure and schedules and a lack of suitable space. </w:t>
      </w:r>
      <w:r>
        <w:rPr>
          <w:rStyle w:val="eop"/>
          <w:rFonts w:ascii="Arial" w:hAnsi="Arial" w:cs="Arial"/>
        </w:rPr>
        <w:t> </w:t>
      </w:r>
    </w:p>
    <w:p w14:paraId="13BAD009" w14:textId="06AEDB25" w:rsidR="00FA4C9E" w:rsidRDefault="00FA4C9E" w:rsidP="00FA4C9E">
      <w:pPr>
        <w:pStyle w:val="paragraph"/>
        <w:spacing w:before="0" w:beforeAutospacing="0" w:after="160" w:afterAutospacing="0" w:line="360" w:lineRule="auto"/>
        <w:jc w:val="both"/>
        <w:textAlignment w:val="baseline"/>
        <w:rPr>
          <w:rFonts w:ascii="Segoe UI" w:hAnsi="Segoe UI" w:cs="Segoe UI"/>
          <w:sz w:val="18"/>
          <w:szCs w:val="18"/>
        </w:rPr>
      </w:pPr>
      <w:r>
        <w:rPr>
          <w:rStyle w:val="normaltextrun"/>
          <w:rFonts w:ascii="Arial" w:hAnsi="Arial" w:cs="Arial"/>
        </w:rPr>
        <w:t>Overall, according to Estyn (2011) the implementation of the Foundation phase was positive, and good practice and provision were observed. Moreover, an evaluation of the Foundation phase pedagogy recognised that many children were engaged and achieving well (Waters and MacDonald, 2016) and improvements in literacy and numeracy, attendance levels and children’s well-being were evident (WG 2016). However, Taylor </w:t>
      </w:r>
      <w:r>
        <w:rPr>
          <w:rStyle w:val="normaltextrun"/>
          <w:rFonts w:ascii="Arial" w:hAnsi="Arial" w:cs="Arial"/>
          <w:i/>
          <w:iCs/>
        </w:rPr>
        <w:t>et al.</w:t>
      </w:r>
      <w:r>
        <w:rPr>
          <w:rStyle w:val="normaltextrun"/>
          <w:rFonts w:ascii="Arial" w:hAnsi="Arial" w:cs="Arial"/>
        </w:rPr>
        <w:t> (2015) concluded a lack of reduction in attainment inequalities throughout Wales, particularly between children from varying socio-economic backgrounds. Furthermore, Waters (2016) believes that successful and effective implementation varied significantly among settings. Consequently, the Welsh Government requested a ‘stocktake’ aiming to review the progress of the Foundation phase (Waters and MacDonald, 2016) and consider the aspects that could influence future policy such as, practitioner training, leadership, standards and transitions. While continuing to support children’s learning, their families and the community in which they live (Welsh Government, 2014</w:t>
      </w:r>
      <w:r w:rsidR="003D67D8">
        <w:rPr>
          <w:rStyle w:val="normaltextrun"/>
          <w:rFonts w:ascii="Arial" w:hAnsi="Arial" w:cs="Arial"/>
        </w:rPr>
        <w:t>a</w:t>
      </w:r>
      <w:r>
        <w:rPr>
          <w:rStyle w:val="normaltextrun"/>
          <w:rFonts w:ascii="Arial" w:hAnsi="Arial" w:cs="Arial"/>
        </w:rPr>
        <w:t>). As a result, Kingston and Siraj (2017) recognised that further investment and support were fundamental to the future success of the Foundation phase. </w:t>
      </w:r>
      <w:r>
        <w:rPr>
          <w:rStyle w:val="eop"/>
          <w:rFonts w:ascii="Arial" w:hAnsi="Arial" w:cs="Arial"/>
        </w:rPr>
        <w:t> </w:t>
      </w:r>
    </w:p>
    <w:p w14:paraId="00CBAAC3" w14:textId="1439CC3F" w:rsidR="00FA4C9E" w:rsidRDefault="00FA4C9E" w:rsidP="00FA4C9E">
      <w:pPr>
        <w:pStyle w:val="paragraph"/>
        <w:spacing w:before="0" w:beforeAutospacing="0" w:after="160" w:afterAutospacing="0" w:line="360" w:lineRule="auto"/>
        <w:jc w:val="both"/>
        <w:textAlignment w:val="baseline"/>
        <w:rPr>
          <w:rFonts w:ascii="Segoe UI" w:hAnsi="Segoe UI" w:cs="Segoe UI"/>
          <w:sz w:val="18"/>
          <w:szCs w:val="18"/>
        </w:rPr>
      </w:pPr>
      <w:r>
        <w:rPr>
          <w:rStyle w:val="normaltextrun"/>
          <w:rFonts w:ascii="Arial" w:hAnsi="Arial" w:cs="Arial"/>
        </w:rPr>
        <w:lastRenderedPageBreak/>
        <w:t>The Welsh Government (2017), believing that education changes lives and powers economic growth, recognises that every child has the right to reach their full potential and therefore, requested a review of its curriculum as a whole, while maintaining a commitment to the Foundation phase. Consequently, the curriculum review,</w:t>
      </w:r>
      <w:r w:rsidR="002F2E26">
        <w:rPr>
          <w:rStyle w:val="normaltextrun"/>
          <w:rFonts w:ascii="Arial" w:hAnsi="Arial" w:cs="Arial"/>
        </w:rPr>
        <w:t xml:space="preserve"> </w:t>
      </w:r>
      <w:r>
        <w:rPr>
          <w:rStyle w:val="normaltextrun"/>
          <w:rFonts w:ascii="Arial" w:hAnsi="Arial" w:cs="Arial"/>
          <w:i/>
          <w:iCs/>
        </w:rPr>
        <w:t>Successful Futures</w:t>
      </w:r>
      <w:r>
        <w:rPr>
          <w:rStyle w:val="normaltextrun"/>
          <w:rFonts w:ascii="Arial" w:hAnsi="Arial" w:cs="Arial"/>
        </w:rPr>
        <w:t> by Donaldson (2015) considered the importance of education to the future success and well-being of all children. Subsequently, developing ‘four purposes’ to the curriculum which aim to support all children to become healthy, ambitious, capable and valued individuals, who </w:t>
      </w:r>
      <w:r>
        <w:rPr>
          <w:rStyle w:val="advancedproofingissue"/>
          <w:rFonts w:ascii="Arial" w:hAnsi="Arial" w:cs="Arial"/>
        </w:rPr>
        <w:t>have the ability to</w:t>
      </w:r>
      <w:r>
        <w:rPr>
          <w:rStyle w:val="normaltextrun"/>
          <w:rFonts w:ascii="Arial" w:hAnsi="Arial" w:cs="Arial"/>
        </w:rPr>
        <w:t> face future challenges and uncertainty with confidence (Welsh Government, 2018). Likewise,</w:t>
      </w:r>
      <w:r w:rsidR="002F2E26">
        <w:rPr>
          <w:rStyle w:val="normaltextrun"/>
          <w:rFonts w:ascii="Arial" w:hAnsi="Arial" w:cs="Arial"/>
        </w:rPr>
        <w:t xml:space="preserve"> </w:t>
      </w:r>
      <w:proofErr w:type="spellStart"/>
      <w:r>
        <w:rPr>
          <w:rStyle w:val="spellingerror"/>
          <w:rFonts w:ascii="Arial" w:hAnsi="Arial" w:cs="Arial"/>
        </w:rPr>
        <w:t>Zosh</w:t>
      </w:r>
      <w:proofErr w:type="spellEnd"/>
      <w:r>
        <w:rPr>
          <w:rStyle w:val="normaltextrun"/>
          <w:rFonts w:ascii="Arial" w:hAnsi="Arial" w:cs="Arial"/>
        </w:rPr>
        <w:t> </w:t>
      </w:r>
      <w:r>
        <w:rPr>
          <w:rStyle w:val="normaltextrun"/>
          <w:rFonts w:ascii="Arial" w:hAnsi="Arial" w:cs="Arial"/>
          <w:i/>
          <w:iCs/>
        </w:rPr>
        <w:t>et al. </w:t>
      </w:r>
      <w:r>
        <w:rPr>
          <w:rStyle w:val="normaltextrun"/>
          <w:rFonts w:ascii="Arial" w:hAnsi="Arial" w:cs="Arial"/>
        </w:rPr>
        <w:t>(2017) recognises that the world is continuously changing, particularly </w:t>
      </w:r>
      <w:r>
        <w:rPr>
          <w:rStyle w:val="advancedproofingissue"/>
          <w:rFonts w:ascii="Arial" w:hAnsi="Arial" w:cs="Arial"/>
        </w:rPr>
        <w:t>in regard to</w:t>
      </w:r>
      <w:r>
        <w:rPr>
          <w:rStyle w:val="normaltextrun"/>
          <w:rFonts w:ascii="Arial" w:hAnsi="Arial" w:cs="Arial"/>
        </w:rPr>
        <w:t> technology and social life and children in the twenty-first century require skills and mindsets that previously did not exist. Thus, highlighting the need for the Welsh Government to develop an education system that reflects and incorporates the diversity and complexity of the future, such as, climate change, an ageing population, ever evolving technologies and globalisation (Welsh Government, 2017). </w:t>
      </w:r>
      <w:r>
        <w:rPr>
          <w:rStyle w:val="eop"/>
          <w:rFonts w:ascii="Arial" w:hAnsi="Arial" w:cs="Arial"/>
        </w:rPr>
        <w:t> </w:t>
      </w:r>
    </w:p>
    <w:p w14:paraId="2062A4E0" w14:textId="0F1DE2D8" w:rsidR="00FA4C9E" w:rsidRPr="00885093" w:rsidRDefault="00FA4C9E" w:rsidP="00824D72">
      <w:pPr>
        <w:spacing w:after="160" w:line="360" w:lineRule="auto"/>
        <w:jc w:val="both"/>
        <w:rPr>
          <w:rFonts w:ascii="Times New Roman" w:eastAsia="Times New Roman" w:hAnsi="Times New Roman" w:cs="Times New Roman"/>
        </w:rPr>
      </w:pPr>
      <w:r>
        <w:rPr>
          <w:rStyle w:val="normaltextrun"/>
          <w:rFonts w:ascii="Arial" w:hAnsi="Arial" w:cs="Arial"/>
        </w:rPr>
        <w:t>Jones (2019) states that the Welsh Government aims to ensure that the new curriculum expands upon the strengths and principles of the Foundation Phase curriculum and pedagogy, reinforcing experiential and active learning that is developmentally and individually appropriate (Welsh Government, 2018). According to Donaldson (2015) the Welsh Government proposed to revise the previous areas of learning for both mathematical development and language, literacy and communication skills, also recognising that digital literacy, or digital competence, is of equal importance. Therefore, developing ‘Areas of Learning and Experience’ which will include technology </w:t>
      </w:r>
      <w:r>
        <w:rPr>
          <w:rStyle w:val="advancedproofingissue"/>
          <w:rFonts w:ascii="Arial" w:hAnsi="Arial" w:cs="Arial"/>
        </w:rPr>
        <w:t>and also</w:t>
      </w:r>
      <w:r>
        <w:rPr>
          <w:rStyle w:val="normaltextrun"/>
          <w:rFonts w:ascii="Arial" w:hAnsi="Arial" w:cs="Arial"/>
        </w:rPr>
        <w:t> expressive arts and health and well-being for example </w:t>
      </w:r>
      <w:r w:rsidR="000E5DBF">
        <w:rPr>
          <w:rStyle w:val="normaltextrun"/>
          <w:rFonts w:ascii="Arial" w:hAnsi="Arial" w:cs="Arial"/>
        </w:rPr>
        <w:t>(</w:t>
      </w:r>
      <w:proofErr w:type="spellStart"/>
      <w:r w:rsidR="000E5DBF">
        <w:rPr>
          <w:rStyle w:val="normaltextrun"/>
          <w:rFonts w:ascii="Arial" w:hAnsi="Arial" w:cs="Arial"/>
        </w:rPr>
        <w:t>Weslh</w:t>
      </w:r>
      <w:proofErr w:type="spellEnd"/>
      <w:r w:rsidR="000E5DBF">
        <w:rPr>
          <w:rStyle w:val="normaltextrun"/>
          <w:rFonts w:ascii="Arial" w:hAnsi="Arial" w:cs="Arial"/>
        </w:rPr>
        <w:t xml:space="preserve"> Government, 2020). Furthermore, Donaldson (2015) affirms that </w:t>
      </w:r>
      <w:r>
        <w:rPr>
          <w:rStyle w:val="normaltextrun"/>
          <w:rFonts w:ascii="Arial" w:hAnsi="Arial" w:cs="Arial"/>
        </w:rPr>
        <w:t>each</w:t>
      </w:r>
      <w:r w:rsidR="00F76086">
        <w:rPr>
          <w:rStyle w:val="normaltextrun"/>
          <w:rFonts w:ascii="Arial" w:hAnsi="Arial" w:cs="Arial"/>
        </w:rPr>
        <w:t xml:space="preserve"> </w:t>
      </w:r>
      <w:r>
        <w:rPr>
          <w:rStyle w:val="normaltextrun"/>
          <w:rFonts w:ascii="Arial" w:hAnsi="Arial" w:cs="Arial"/>
        </w:rPr>
        <w:t>area</w:t>
      </w:r>
      <w:r w:rsidR="00F76086">
        <w:rPr>
          <w:rStyle w:val="normaltextrun"/>
          <w:rFonts w:ascii="Arial" w:hAnsi="Arial" w:cs="Arial"/>
        </w:rPr>
        <w:t xml:space="preserve"> </w:t>
      </w:r>
      <w:r>
        <w:rPr>
          <w:rStyle w:val="normaltextrun"/>
          <w:rFonts w:ascii="Arial" w:hAnsi="Arial" w:cs="Arial"/>
        </w:rPr>
        <w:t>of learning and experience should support and contribute towards the development of the curriculums four purposes. Thus, according to the Welsh Government (2020) each </w:t>
      </w:r>
      <w:proofErr w:type="spellStart"/>
      <w:r>
        <w:rPr>
          <w:rStyle w:val="spellingerror"/>
          <w:rFonts w:ascii="Arial" w:hAnsi="Arial" w:cs="Arial"/>
        </w:rPr>
        <w:t>AoLE</w:t>
      </w:r>
      <w:proofErr w:type="spellEnd"/>
      <w:r>
        <w:rPr>
          <w:rStyle w:val="normaltextrun"/>
          <w:rFonts w:ascii="Arial" w:hAnsi="Arial" w:cs="Arial"/>
        </w:rPr>
        <w:t> will</w:t>
      </w:r>
      <w:r w:rsidR="001D29B5">
        <w:rPr>
          <w:rStyle w:val="normaltextrun"/>
          <w:rFonts w:ascii="Arial" w:hAnsi="Arial" w:cs="Arial"/>
        </w:rPr>
        <w:t xml:space="preserve"> be supported by ‘what matters’ statements that aim </w:t>
      </w:r>
      <w:r w:rsidR="00824D72">
        <w:rPr>
          <w:rStyle w:val="normaltextrun"/>
          <w:rFonts w:ascii="Arial" w:hAnsi="Arial" w:cs="Arial"/>
        </w:rPr>
        <w:t xml:space="preserve">to justify </w:t>
      </w:r>
      <w:r>
        <w:rPr>
          <w:rStyle w:val="normaltextrun"/>
          <w:rFonts w:ascii="Arial" w:hAnsi="Arial" w:cs="Arial"/>
        </w:rPr>
        <w:t>its importance and recommend the skills, knowledge and experiences required to achieve success. However, Taylor, Rhys and Waldron (2016) foresee that the implementation of a new curriculum in Wales will not be without challenge, and </w:t>
      </w:r>
      <w:proofErr w:type="spellStart"/>
      <w:r>
        <w:rPr>
          <w:rStyle w:val="spellingerror"/>
          <w:rFonts w:ascii="Arial" w:hAnsi="Arial" w:cs="Arial"/>
        </w:rPr>
        <w:t>Palaiologou</w:t>
      </w:r>
      <w:proofErr w:type="spellEnd"/>
      <w:r>
        <w:rPr>
          <w:rStyle w:val="normaltextrun"/>
          <w:rFonts w:ascii="Arial" w:hAnsi="Arial" w:cs="Arial"/>
        </w:rPr>
        <w:t> </w:t>
      </w:r>
      <w:r>
        <w:rPr>
          <w:rStyle w:val="normaltextrun"/>
          <w:rFonts w:ascii="Arial" w:hAnsi="Arial" w:cs="Arial"/>
          <w:i/>
          <w:iCs/>
        </w:rPr>
        <w:t>et al.</w:t>
      </w:r>
      <w:r>
        <w:rPr>
          <w:rStyle w:val="normaltextrun"/>
          <w:rFonts w:ascii="Arial" w:hAnsi="Arial" w:cs="Arial"/>
        </w:rPr>
        <w:t xml:space="preserve"> (2016) suggest that financial and professional implications, a </w:t>
      </w:r>
      <w:r>
        <w:rPr>
          <w:rStyle w:val="normaltextrun"/>
          <w:rFonts w:ascii="Arial" w:hAnsi="Arial" w:cs="Arial"/>
        </w:rPr>
        <w:lastRenderedPageBreak/>
        <w:t>lack of training among practitioners and an understanding in regard to roles and responsibilities are some examples. </w:t>
      </w:r>
      <w:r>
        <w:rPr>
          <w:rStyle w:val="eop"/>
          <w:rFonts w:ascii="Arial" w:hAnsi="Arial" w:cs="Arial"/>
        </w:rPr>
        <w:t> </w:t>
      </w:r>
    </w:p>
    <w:p w14:paraId="035BFB66" w14:textId="23DA8CA2" w:rsidR="00FA4C9E" w:rsidRDefault="00FA4C9E" w:rsidP="00FA4C9E">
      <w:pPr>
        <w:pStyle w:val="paragraph"/>
        <w:spacing w:before="0" w:beforeAutospacing="0" w:after="160" w:afterAutospacing="0" w:line="360" w:lineRule="auto"/>
        <w:jc w:val="both"/>
        <w:textAlignment w:val="baseline"/>
        <w:rPr>
          <w:rStyle w:val="eop"/>
          <w:rFonts w:ascii="Arial" w:hAnsi="Arial" w:cs="Arial"/>
        </w:rPr>
      </w:pPr>
      <w:r>
        <w:rPr>
          <w:rStyle w:val="normaltextrun"/>
          <w:rFonts w:ascii="Arial" w:hAnsi="Arial" w:cs="Arial"/>
        </w:rPr>
        <w:t>It is essential therefore, that creating a successful, equal, resilient and better skilled future for every child is the responsibility of all (Welsh Government, 2018). Moreover, Clark (2016) believes that providing high-quality interactions and learning experiences for children requires reflective practitioners who are skilled and knowledgeable and recognise the importance of an inclusive curriculum. Consequently, building on the existing strengths already evident of early education in Wales (Donaldson, 2015), the Welsh Government (2018) aim to continue to develop a curriculum that will not only invest in the future of children in Wales but ensure they receive the best possible start. Furthermore, ensuring a future Wales that is globally responsible, and is united by its communities, culture and thriving Welsh language (Welsh Government, 2017).</w:t>
      </w:r>
      <w:r>
        <w:rPr>
          <w:rStyle w:val="eop"/>
          <w:rFonts w:ascii="Arial" w:hAnsi="Arial" w:cs="Arial"/>
        </w:rPr>
        <w:t> </w:t>
      </w:r>
    </w:p>
    <w:p w14:paraId="7CCE0D06" w14:textId="77777777" w:rsidR="009A09C6" w:rsidRDefault="009A09C6" w:rsidP="00FA4C9E">
      <w:pPr>
        <w:pStyle w:val="paragraph"/>
        <w:spacing w:before="0" w:beforeAutospacing="0" w:after="160" w:afterAutospacing="0" w:line="360" w:lineRule="auto"/>
        <w:jc w:val="both"/>
        <w:textAlignment w:val="baseline"/>
        <w:rPr>
          <w:rFonts w:ascii="Segoe UI" w:hAnsi="Segoe UI" w:cs="Segoe UI"/>
          <w:sz w:val="18"/>
          <w:szCs w:val="18"/>
        </w:rPr>
        <w:sectPr w:rsidR="009A09C6" w:rsidSect="002750B7">
          <w:headerReference w:type="default" r:id="rId8"/>
          <w:footerReference w:type="default" r:id="rId9"/>
          <w:pgSz w:w="11900" w:h="16840"/>
          <w:pgMar w:top="1440" w:right="1440" w:bottom="1440" w:left="1440" w:header="284" w:footer="340" w:gutter="0"/>
          <w:pgNumType w:start="2"/>
          <w:cols w:space="708"/>
          <w:docGrid w:linePitch="360"/>
        </w:sectPr>
      </w:pPr>
    </w:p>
    <w:p w14:paraId="4ED9EDD0" w14:textId="499226D4" w:rsidR="00EA0D4A" w:rsidRPr="00EA0D4A" w:rsidRDefault="00EA0D4A" w:rsidP="00427653">
      <w:pPr>
        <w:spacing w:after="160" w:line="360" w:lineRule="auto"/>
        <w:jc w:val="both"/>
        <w:textAlignment w:val="baseline"/>
        <w:rPr>
          <w:rFonts w:ascii="Arial" w:eastAsia="Times New Roman" w:hAnsi="Arial" w:cs="Arial"/>
        </w:rPr>
      </w:pPr>
      <w:r w:rsidRPr="00EA0D4A">
        <w:rPr>
          <w:rFonts w:ascii="Arial" w:eastAsia="Times New Roman" w:hAnsi="Arial" w:cs="Arial"/>
        </w:rPr>
        <w:lastRenderedPageBreak/>
        <w:t>According to the Welsh Government (2018b), one of the pedagogical approaches of the Foundation phase, which is the statutory curriculum for children aged three to seven attending schools in Wales (Taylor, Rhys and Waldron, 2016), is that practitioners plan</w:t>
      </w:r>
      <w:r w:rsidR="00222966">
        <w:rPr>
          <w:rFonts w:ascii="Arial" w:eastAsia="Times New Roman" w:hAnsi="Arial" w:cs="Arial"/>
        </w:rPr>
        <w:t xml:space="preserve"> enga</w:t>
      </w:r>
      <w:r w:rsidR="00736652">
        <w:rPr>
          <w:rFonts w:ascii="Arial" w:eastAsia="Times New Roman" w:hAnsi="Arial" w:cs="Arial"/>
        </w:rPr>
        <w:t xml:space="preserve">ging and </w:t>
      </w:r>
      <w:r w:rsidRPr="00EA0D4A">
        <w:rPr>
          <w:rFonts w:ascii="Arial" w:eastAsia="Times New Roman" w:hAnsi="Arial" w:cs="Arial"/>
        </w:rPr>
        <w:t>developmentally</w:t>
      </w:r>
      <w:r w:rsidR="00406E0D">
        <w:rPr>
          <w:rFonts w:ascii="Arial" w:eastAsia="Times New Roman" w:hAnsi="Arial" w:cs="Arial"/>
        </w:rPr>
        <w:t xml:space="preserve"> </w:t>
      </w:r>
      <w:r w:rsidRPr="00EA0D4A">
        <w:rPr>
          <w:rFonts w:ascii="Arial" w:eastAsia="Times New Roman" w:hAnsi="Arial" w:cs="Arial"/>
        </w:rPr>
        <w:t>appropriate learning opportunities</w:t>
      </w:r>
      <w:r w:rsidR="00625C6E">
        <w:rPr>
          <w:rFonts w:ascii="Arial" w:eastAsia="Times New Roman" w:hAnsi="Arial" w:cs="Arial"/>
        </w:rPr>
        <w:t xml:space="preserve"> </w:t>
      </w:r>
      <w:r w:rsidRPr="00EA0D4A">
        <w:rPr>
          <w:rFonts w:ascii="Arial" w:eastAsia="Times New Roman" w:hAnsi="Arial" w:cs="Arial"/>
        </w:rPr>
        <w:t>for children, supported through assessment and observation of the abilities of each child (Welsh Government, 2018b). The Foundation Phase profile</w:t>
      </w:r>
      <w:r w:rsidRPr="00EA0D4A">
        <w:rPr>
          <w:rFonts w:ascii="Arial" w:eastAsia="Times New Roman" w:hAnsi="Arial" w:cs="Arial"/>
          <w:i/>
          <w:iCs/>
        </w:rPr>
        <w:t> </w:t>
      </w:r>
      <w:r w:rsidRPr="00EA0D4A">
        <w:rPr>
          <w:rFonts w:ascii="Arial" w:eastAsia="Times New Roman" w:hAnsi="Arial" w:cs="Arial"/>
        </w:rPr>
        <w:t>is the guide used by practitioners to assess children’s personal and social, physical and mathematical development as well as their well-being, and language, literacy and communication skills (Welsh Government,</w:t>
      </w:r>
      <w:r w:rsidR="00B0136A">
        <w:rPr>
          <w:rFonts w:ascii="Arial" w:eastAsia="Times New Roman" w:hAnsi="Arial" w:cs="Arial"/>
        </w:rPr>
        <w:t xml:space="preserve"> </w:t>
      </w:r>
      <w:r w:rsidRPr="00EA0D4A">
        <w:rPr>
          <w:rFonts w:ascii="Arial" w:eastAsia="Times New Roman" w:hAnsi="Arial" w:cs="Arial"/>
        </w:rPr>
        <w:t>no date). Initially</w:t>
      </w:r>
      <w:r w:rsidR="008377BC">
        <w:rPr>
          <w:rFonts w:ascii="Arial" w:eastAsia="Times New Roman" w:hAnsi="Arial" w:cs="Arial"/>
        </w:rPr>
        <w:t xml:space="preserve"> </w:t>
      </w:r>
      <w:r w:rsidRPr="00EA0D4A">
        <w:rPr>
          <w:rFonts w:ascii="Arial" w:eastAsia="Times New Roman" w:hAnsi="Arial" w:cs="Arial"/>
        </w:rPr>
        <w:t>however, children will be assessed</w:t>
      </w:r>
      <w:r w:rsidR="00251C62">
        <w:rPr>
          <w:rFonts w:ascii="Arial" w:eastAsia="Times New Roman" w:hAnsi="Arial" w:cs="Arial"/>
        </w:rPr>
        <w:t xml:space="preserve"> </w:t>
      </w:r>
      <w:r w:rsidRPr="00EA0D4A">
        <w:rPr>
          <w:rFonts w:ascii="Arial" w:eastAsia="Times New Roman" w:hAnsi="Arial" w:cs="Arial"/>
        </w:rPr>
        <w:t>through an observational baseline during the first six weeks of starting school, which for most children, this will vary between the age of three and the compulsory school age of five (Welsh Government, 2017a). The Welsh Government (2015) states that practitioners will need to create a range of continuous, focussed and enhanced</w:t>
      </w:r>
      <w:r w:rsidR="00251C62">
        <w:rPr>
          <w:rFonts w:ascii="Arial" w:eastAsia="Times New Roman" w:hAnsi="Arial" w:cs="Arial"/>
        </w:rPr>
        <w:t xml:space="preserve"> </w:t>
      </w:r>
      <w:r w:rsidRPr="00EA0D4A">
        <w:rPr>
          <w:rFonts w:ascii="Arial" w:eastAsia="Times New Roman" w:hAnsi="Arial" w:cs="Arial"/>
        </w:rPr>
        <w:t xml:space="preserve">tasks to carry out such observations and formative assessments, using a skills ladder to assess children’s developmental abilities in each of the areas of learning. Subsequently, enabling practitioners to consider the interests, learning styles and developmental stages of each child and plan developmentally appropriate provision (Welsh Government, 2018c). However, for most children, the baseline assessment is carried out during a period of transition and </w:t>
      </w:r>
      <w:proofErr w:type="spellStart"/>
      <w:r w:rsidRPr="00EA0D4A">
        <w:rPr>
          <w:rFonts w:ascii="Arial" w:eastAsia="Times New Roman" w:hAnsi="Arial" w:cs="Arial"/>
        </w:rPr>
        <w:t>Rudduck</w:t>
      </w:r>
      <w:proofErr w:type="spellEnd"/>
      <w:r w:rsidRPr="00EA0D4A">
        <w:rPr>
          <w:rFonts w:ascii="Arial" w:eastAsia="Times New Roman" w:hAnsi="Arial" w:cs="Arial"/>
        </w:rPr>
        <w:t xml:space="preserve"> and Flutter (2004 cited in </w:t>
      </w:r>
      <w:proofErr w:type="spellStart"/>
      <w:r w:rsidRPr="00EA0D4A">
        <w:rPr>
          <w:rFonts w:ascii="Arial" w:eastAsia="Times New Roman" w:hAnsi="Arial" w:cs="Arial"/>
        </w:rPr>
        <w:t>Brogaard</w:t>
      </w:r>
      <w:proofErr w:type="spellEnd"/>
      <w:r w:rsidRPr="00EA0D4A">
        <w:rPr>
          <w:rFonts w:ascii="Arial" w:eastAsia="Times New Roman" w:hAnsi="Arial" w:cs="Arial"/>
        </w:rPr>
        <w:t> Clausen </w:t>
      </w:r>
      <w:r w:rsidRPr="00EA0D4A">
        <w:rPr>
          <w:rFonts w:ascii="Arial" w:eastAsia="Times New Roman" w:hAnsi="Arial" w:cs="Arial"/>
          <w:i/>
          <w:iCs/>
        </w:rPr>
        <w:t>et al</w:t>
      </w:r>
      <w:r w:rsidRPr="00EA0D4A">
        <w:rPr>
          <w:rFonts w:ascii="Arial" w:eastAsia="Times New Roman" w:hAnsi="Arial" w:cs="Arial"/>
        </w:rPr>
        <w:t>.,</w:t>
      </w:r>
      <w:r w:rsidRPr="00EA0D4A">
        <w:rPr>
          <w:rFonts w:ascii="Arial" w:eastAsia="Times New Roman" w:hAnsi="Arial" w:cs="Arial"/>
          <w:i/>
          <w:iCs/>
        </w:rPr>
        <w:t> </w:t>
      </w:r>
      <w:r w:rsidRPr="00EA0D4A">
        <w:rPr>
          <w:rFonts w:ascii="Arial" w:eastAsia="Times New Roman" w:hAnsi="Arial" w:cs="Arial"/>
        </w:rPr>
        <w:t>2015) believe that some children may not display their true abilities during the settling in period and therefore, the assessment of their performance and attainment could be affected. Furthermore, Jones (2015) states that</w:t>
      </w:r>
      <w:r w:rsidR="003004FE">
        <w:rPr>
          <w:rFonts w:ascii="Arial" w:eastAsia="Times New Roman" w:hAnsi="Arial" w:cs="Arial"/>
        </w:rPr>
        <w:t xml:space="preserve"> </w:t>
      </w:r>
      <w:r w:rsidRPr="00EA0D4A">
        <w:rPr>
          <w:rFonts w:ascii="Arial" w:eastAsia="Times New Roman" w:hAnsi="Arial" w:cs="Arial"/>
        </w:rPr>
        <w:t>baseline</w:t>
      </w:r>
      <w:r w:rsidR="00F953F7">
        <w:rPr>
          <w:rFonts w:ascii="Arial" w:eastAsia="Times New Roman" w:hAnsi="Arial" w:cs="Arial"/>
        </w:rPr>
        <w:t xml:space="preserve"> </w:t>
      </w:r>
      <w:r w:rsidRPr="00EA0D4A">
        <w:rPr>
          <w:rFonts w:ascii="Arial" w:eastAsia="Times New Roman" w:hAnsi="Arial" w:cs="Arial"/>
        </w:rPr>
        <w:t>assessments, in particular, suggest ‘typical’ developmental achievements</w:t>
      </w:r>
      <w:r w:rsidR="001D4E6A">
        <w:rPr>
          <w:rFonts w:ascii="Arial" w:eastAsia="Times New Roman" w:hAnsi="Arial" w:cs="Arial"/>
        </w:rPr>
        <w:t xml:space="preserve"> </w:t>
      </w:r>
      <w:r w:rsidRPr="00EA0D4A">
        <w:rPr>
          <w:rFonts w:ascii="Arial" w:eastAsia="Times New Roman" w:hAnsi="Arial" w:cs="Arial"/>
        </w:rPr>
        <w:t>for children starting reception, and do not consider and recognise the varying ages within the class. </w:t>
      </w:r>
    </w:p>
    <w:p w14:paraId="6DF1EA43" w14:textId="77777777" w:rsidR="00302E7D" w:rsidRDefault="00EA0D4A" w:rsidP="00427653">
      <w:pPr>
        <w:spacing w:after="160" w:line="360" w:lineRule="auto"/>
        <w:jc w:val="both"/>
        <w:textAlignment w:val="baseline"/>
        <w:rPr>
          <w:rFonts w:ascii="Arial" w:eastAsia="Times New Roman" w:hAnsi="Arial" w:cs="Arial"/>
        </w:rPr>
      </w:pPr>
      <w:r w:rsidRPr="00EA0D4A">
        <w:rPr>
          <w:rFonts w:ascii="Arial" w:eastAsia="Times New Roman" w:hAnsi="Arial" w:cs="Arial"/>
        </w:rPr>
        <w:t>Within early years education in Wales, the Welsh Government (2018a) maintain that assessments are essential for practitioners to recognise children’s learning and developmental needs</w:t>
      </w:r>
      <w:r w:rsidR="00F953F7">
        <w:rPr>
          <w:rFonts w:ascii="Arial" w:eastAsia="Times New Roman" w:hAnsi="Arial" w:cs="Arial"/>
        </w:rPr>
        <w:t xml:space="preserve"> </w:t>
      </w:r>
      <w:r w:rsidRPr="00EA0D4A">
        <w:rPr>
          <w:rFonts w:ascii="Arial" w:eastAsia="Times New Roman" w:hAnsi="Arial" w:cs="Arial"/>
        </w:rPr>
        <w:t>and</w:t>
      </w:r>
      <w:r w:rsidR="00C347BF">
        <w:rPr>
          <w:rFonts w:ascii="Arial" w:eastAsia="Times New Roman" w:hAnsi="Arial" w:cs="Arial"/>
        </w:rPr>
        <w:t xml:space="preserve"> </w:t>
      </w:r>
      <w:r w:rsidRPr="00EA0D4A">
        <w:rPr>
          <w:rFonts w:ascii="Arial" w:eastAsia="Times New Roman" w:hAnsi="Arial" w:cs="Arial"/>
        </w:rPr>
        <w:t>consequently</w:t>
      </w:r>
      <w:r w:rsidR="00F953F7">
        <w:rPr>
          <w:rFonts w:ascii="Arial" w:eastAsia="Times New Roman" w:hAnsi="Arial" w:cs="Arial"/>
        </w:rPr>
        <w:t xml:space="preserve"> </w:t>
      </w:r>
      <w:r w:rsidRPr="00EA0D4A">
        <w:rPr>
          <w:rFonts w:ascii="Arial" w:eastAsia="Times New Roman" w:hAnsi="Arial" w:cs="Arial"/>
        </w:rPr>
        <w:t>support</w:t>
      </w:r>
      <w:r w:rsidR="00F953F7">
        <w:rPr>
          <w:rFonts w:ascii="Arial" w:eastAsia="Times New Roman" w:hAnsi="Arial" w:cs="Arial"/>
        </w:rPr>
        <w:t xml:space="preserve"> </w:t>
      </w:r>
      <w:r w:rsidRPr="00EA0D4A">
        <w:rPr>
          <w:rFonts w:ascii="Arial" w:eastAsia="Times New Roman" w:hAnsi="Arial" w:cs="Arial"/>
        </w:rPr>
        <w:t>them</w:t>
      </w:r>
      <w:r w:rsidR="00F953F7">
        <w:rPr>
          <w:rFonts w:ascii="Arial" w:eastAsia="Times New Roman" w:hAnsi="Arial" w:cs="Arial"/>
        </w:rPr>
        <w:t xml:space="preserve"> </w:t>
      </w:r>
      <w:r w:rsidRPr="00EA0D4A">
        <w:rPr>
          <w:rFonts w:ascii="Arial" w:eastAsia="Times New Roman" w:hAnsi="Arial" w:cs="Arial"/>
        </w:rPr>
        <w:t>to</w:t>
      </w:r>
      <w:r w:rsidR="00F953F7">
        <w:rPr>
          <w:rFonts w:ascii="Arial" w:eastAsia="Times New Roman" w:hAnsi="Arial" w:cs="Arial"/>
        </w:rPr>
        <w:t xml:space="preserve"> </w:t>
      </w:r>
      <w:r w:rsidRPr="00EA0D4A">
        <w:rPr>
          <w:rFonts w:ascii="Arial" w:eastAsia="Times New Roman" w:hAnsi="Arial" w:cs="Arial"/>
        </w:rPr>
        <w:t>progress individually.</w:t>
      </w:r>
      <w:r w:rsidR="001D4E6A">
        <w:rPr>
          <w:rFonts w:ascii="Arial" w:eastAsia="Times New Roman" w:hAnsi="Arial" w:cs="Arial"/>
        </w:rPr>
        <w:t xml:space="preserve"> </w:t>
      </w:r>
      <w:r w:rsidRPr="00EA0D4A">
        <w:rPr>
          <w:rFonts w:ascii="Arial" w:eastAsia="Times New Roman" w:hAnsi="Arial" w:cs="Arial"/>
        </w:rPr>
        <w:t>Furthermore, the Welsh Government</w:t>
      </w:r>
      <w:r w:rsidR="004052D5">
        <w:rPr>
          <w:rFonts w:ascii="Arial" w:eastAsia="Times New Roman" w:hAnsi="Arial" w:cs="Arial"/>
        </w:rPr>
        <w:t xml:space="preserve"> </w:t>
      </w:r>
      <w:r w:rsidRPr="00EA0D4A">
        <w:rPr>
          <w:rFonts w:ascii="Arial" w:eastAsia="Times New Roman" w:hAnsi="Arial" w:cs="Arial"/>
        </w:rPr>
        <w:t>(2018b) believe</w:t>
      </w:r>
      <w:r w:rsidR="008C2D2A">
        <w:rPr>
          <w:rFonts w:ascii="Arial" w:eastAsia="Times New Roman" w:hAnsi="Arial" w:cs="Arial"/>
        </w:rPr>
        <w:t xml:space="preserve"> that observation and </w:t>
      </w:r>
      <w:r w:rsidR="00F66107">
        <w:rPr>
          <w:rFonts w:ascii="Arial" w:eastAsia="Times New Roman" w:hAnsi="Arial" w:cs="Arial"/>
        </w:rPr>
        <w:t>assessm</w:t>
      </w:r>
      <w:r w:rsidRPr="00EA0D4A">
        <w:rPr>
          <w:rFonts w:ascii="Arial" w:eastAsia="Times New Roman" w:hAnsi="Arial" w:cs="Arial"/>
        </w:rPr>
        <w:t>ents</w:t>
      </w:r>
      <w:r w:rsidR="0000393A">
        <w:rPr>
          <w:rFonts w:ascii="Arial" w:eastAsia="Times New Roman" w:hAnsi="Arial" w:cs="Arial"/>
        </w:rPr>
        <w:t xml:space="preserve"> support practitioners to identify any additional learning</w:t>
      </w:r>
      <w:r w:rsidR="00971640">
        <w:rPr>
          <w:rFonts w:ascii="Arial" w:eastAsia="Times New Roman" w:hAnsi="Arial" w:cs="Arial"/>
        </w:rPr>
        <w:t xml:space="preserve"> needs and ensure</w:t>
      </w:r>
      <w:r w:rsidR="007C4249">
        <w:rPr>
          <w:rFonts w:ascii="Arial" w:eastAsia="Times New Roman" w:hAnsi="Arial" w:cs="Arial"/>
        </w:rPr>
        <w:t xml:space="preserve"> </w:t>
      </w:r>
      <w:r w:rsidRPr="00EA0D4A">
        <w:rPr>
          <w:rFonts w:ascii="Arial" w:eastAsia="Times New Roman" w:hAnsi="Arial" w:cs="Arial"/>
        </w:rPr>
        <w:t>necessary interventions are implemented early on, particularly important when specialist services may be required. Thus, potentially closing any gaps in attainment</w:t>
      </w:r>
      <w:r w:rsidR="00E66C92">
        <w:rPr>
          <w:rFonts w:ascii="Arial" w:eastAsia="Times New Roman" w:hAnsi="Arial" w:cs="Arial"/>
        </w:rPr>
        <w:t xml:space="preserve"> </w:t>
      </w:r>
      <w:r w:rsidRPr="00EA0D4A">
        <w:rPr>
          <w:rFonts w:ascii="Arial" w:eastAsia="Times New Roman" w:hAnsi="Arial" w:cs="Arial"/>
        </w:rPr>
        <w:t>(Taylor </w:t>
      </w:r>
      <w:r w:rsidRPr="00EA0D4A">
        <w:rPr>
          <w:rFonts w:ascii="Arial" w:eastAsia="Times New Roman" w:hAnsi="Arial" w:cs="Arial"/>
          <w:i/>
          <w:iCs/>
        </w:rPr>
        <w:t>et al</w:t>
      </w:r>
      <w:r w:rsidRPr="00EA0D4A">
        <w:rPr>
          <w:rFonts w:ascii="Arial" w:eastAsia="Times New Roman" w:hAnsi="Arial" w:cs="Arial"/>
        </w:rPr>
        <w:t>.,</w:t>
      </w:r>
      <w:r w:rsidRPr="00EA0D4A">
        <w:rPr>
          <w:rFonts w:ascii="Arial" w:eastAsia="Times New Roman" w:hAnsi="Arial" w:cs="Arial"/>
          <w:i/>
          <w:iCs/>
        </w:rPr>
        <w:t> </w:t>
      </w:r>
      <w:r w:rsidRPr="00EA0D4A">
        <w:rPr>
          <w:rFonts w:ascii="Arial" w:eastAsia="Times New Roman" w:hAnsi="Arial" w:cs="Arial"/>
        </w:rPr>
        <w:t xml:space="preserve">2015). Therefore, the Organisation for Economic Co-operation and </w:t>
      </w:r>
      <w:r w:rsidRPr="00EA0D4A">
        <w:rPr>
          <w:rFonts w:ascii="Arial" w:eastAsia="Times New Roman" w:hAnsi="Arial" w:cs="Arial"/>
        </w:rPr>
        <w:lastRenderedPageBreak/>
        <w:t>Development (2019) recognises the need for knowledgeable and intuitive practitioners</w:t>
      </w:r>
      <w:r w:rsidR="001D735D">
        <w:rPr>
          <w:rFonts w:ascii="Arial" w:eastAsia="Times New Roman" w:hAnsi="Arial" w:cs="Arial"/>
        </w:rPr>
        <w:t xml:space="preserve"> </w:t>
      </w:r>
      <w:r w:rsidRPr="00EA0D4A">
        <w:rPr>
          <w:rFonts w:ascii="Arial" w:eastAsia="Times New Roman" w:hAnsi="Arial" w:cs="Arial"/>
        </w:rPr>
        <w:t>within settings. Particularly, as Sylva </w:t>
      </w:r>
      <w:r w:rsidRPr="00EA0D4A">
        <w:rPr>
          <w:rFonts w:ascii="Arial" w:eastAsia="Times New Roman" w:hAnsi="Arial" w:cs="Arial"/>
          <w:i/>
          <w:iCs/>
        </w:rPr>
        <w:t>et al.</w:t>
      </w:r>
      <w:r w:rsidRPr="00EA0D4A">
        <w:rPr>
          <w:rFonts w:ascii="Arial" w:eastAsia="Times New Roman" w:hAnsi="Arial" w:cs="Arial"/>
        </w:rPr>
        <w:t> (2010 cited in Waters, 2016) suggests that</w:t>
      </w:r>
      <w:r w:rsidR="00302E7D">
        <w:rPr>
          <w:rFonts w:ascii="Arial" w:eastAsia="Times New Roman" w:hAnsi="Arial" w:cs="Arial"/>
        </w:rPr>
        <w:t xml:space="preserve"> </w:t>
      </w:r>
      <w:r w:rsidRPr="00EA0D4A">
        <w:rPr>
          <w:rFonts w:ascii="Arial" w:eastAsia="Times New Roman" w:hAnsi="Arial" w:cs="Arial"/>
        </w:rPr>
        <w:t>children achieve better outcomes when the practitioners in their settings are better qualified. Hence, </w:t>
      </w:r>
      <w:proofErr w:type="spellStart"/>
      <w:r w:rsidRPr="00EA0D4A">
        <w:rPr>
          <w:rFonts w:ascii="Arial" w:eastAsia="Times New Roman" w:hAnsi="Arial" w:cs="Arial"/>
        </w:rPr>
        <w:t>Syslova</w:t>
      </w:r>
      <w:proofErr w:type="spellEnd"/>
      <w:r w:rsidRPr="00EA0D4A">
        <w:rPr>
          <w:rFonts w:ascii="Arial" w:eastAsia="Times New Roman" w:hAnsi="Arial" w:cs="Arial"/>
        </w:rPr>
        <w:t> (2019) believes that highly qualified practitioners have a better understanding of curriculum and pedagogy, understand how to ask quality open-ended questions and integrate quality play and learning in a multidisciplinary environment. Furthermore, understand the importance of continuous professional development and reflecting on their practice (Welsh Government, 2014</w:t>
      </w:r>
      <w:r w:rsidR="003D67D8">
        <w:rPr>
          <w:rFonts w:ascii="Arial" w:eastAsia="Times New Roman" w:hAnsi="Arial" w:cs="Arial"/>
        </w:rPr>
        <w:t>a</w:t>
      </w:r>
      <w:r w:rsidRPr="00EA0D4A">
        <w:rPr>
          <w:rFonts w:ascii="Arial" w:eastAsia="Times New Roman" w:hAnsi="Arial" w:cs="Arial"/>
        </w:rPr>
        <w:t>). While this may be true, Tierney (2013) identifies that practitioners’ individual perspectives of children’s learning and development, possibly based on their own experience of education (Welsh Government, 2014</w:t>
      </w:r>
      <w:r w:rsidR="003D67D8">
        <w:rPr>
          <w:rFonts w:ascii="Arial" w:eastAsia="Times New Roman" w:hAnsi="Arial" w:cs="Arial"/>
        </w:rPr>
        <w:t>a</w:t>
      </w:r>
      <w:r w:rsidRPr="00EA0D4A">
        <w:rPr>
          <w:rFonts w:ascii="Arial" w:eastAsia="Times New Roman" w:hAnsi="Arial" w:cs="Arial"/>
        </w:rPr>
        <w:t>), could see potential inequalities in observing and assessing children, along with time limitations and large class sizes (Tierney, 2013). </w:t>
      </w:r>
    </w:p>
    <w:p w14:paraId="22035191" w14:textId="1FB84A7A" w:rsidR="00EA0D4A" w:rsidRPr="001D735D" w:rsidRDefault="00EA0D4A" w:rsidP="00427653">
      <w:pPr>
        <w:spacing w:after="160" w:line="360" w:lineRule="auto"/>
        <w:jc w:val="both"/>
        <w:textAlignment w:val="baseline"/>
        <w:rPr>
          <w:rFonts w:ascii="Arial" w:eastAsia="Times New Roman" w:hAnsi="Arial" w:cs="Arial"/>
        </w:rPr>
      </w:pPr>
      <w:r w:rsidRPr="00EA0D4A">
        <w:rPr>
          <w:rFonts w:ascii="Arial" w:eastAsia="Times New Roman" w:hAnsi="Arial" w:cs="Arial"/>
        </w:rPr>
        <w:t>According</w:t>
      </w:r>
      <w:r w:rsidR="001D735D">
        <w:rPr>
          <w:rFonts w:ascii="Arial" w:eastAsia="Times New Roman" w:hAnsi="Arial" w:cs="Arial"/>
        </w:rPr>
        <w:t xml:space="preserve"> </w:t>
      </w:r>
      <w:r w:rsidRPr="00EA0D4A">
        <w:rPr>
          <w:rFonts w:ascii="Arial" w:eastAsia="Times New Roman" w:hAnsi="Arial" w:cs="Arial"/>
        </w:rPr>
        <w:t>to </w:t>
      </w:r>
      <w:proofErr w:type="spellStart"/>
      <w:r w:rsidRPr="00EA0D4A">
        <w:rPr>
          <w:rFonts w:ascii="Arial" w:eastAsia="Times New Roman" w:hAnsi="Arial" w:cs="Arial"/>
        </w:rPr>
        <w:t>Brogaard</w:t>
      </w:r>
      <w:proofErr w:type="spellEnd"/>
      <w:r w:rsidRPr="00EA0D4A">
        <w:rPr>
          <w:rFonts w:ascii="Arial" w:eastAsia="Times New Roman" w:hAnsi="Arial" w:cs="Arial"/>
        </w:rPr>
        <w:t> Clausen </w:t>
      </w:r>
      <w:r w:rsidRPr="00EA0D4A">
        <w:rPr>
          <w:rFonts w:ascii="Arial" w:eastAsia="Times New Roman" w:hAnsi="Arial" w:cs="Arial"/>
          <w:i/>
          <w:iCs/>
        </w:rPr>
        <w:t>et</w:t>
      </w:r>
      <w:r w:rsidR="00731403">
        <w:rPr>
          <w:rFonts w:ascii="Arial" w:eastAsia="Times New Roman" w:hAnsi="Arial" w:cs="Arial"/>
          <w:i/>
          <w:iCs/>
        </w:rPr>
        <w:t xml:space="preserve"> </w:t>
      </w:r>
      <w:r w:rsidRPr="00EA0D4A">
        <w:rPr>
          <w:rFonts w:ascii="Arial" w:eastAsia="Times New Roman" w:hAnsi="Arial" w:cs="Arial"/>
          <w:i/>
          <w:iCs/>
        </w:rPr>
        <w:t>al.</w:t>
      </w:r>
      <w:r w:rsidRPr="00EA0D4A">
        <w:rPr>
          <w:rFonts w:ascii="Arial" w:eastAsia="Times New Roman" w:hAnsi="Arial" w:cs="Arial"/>
        </w:rPr>
        <w:t> (2015), the initial baseline assessments</w:t>
      </w:r>
      <w:r w:rsidR="00DB4DF3">
        <w:rPr>
          <w:rFonts w:ascii="Arial" w:eastAsia="Times New Roman" w:hAnsi="Arial" w:cs="Arial"/>
        </w:rPr>
        <w:t xml:space="preserve"> </w:t>
      </w:r>
      <w:r w:rsidRPr="00EA0D4A">
        <w:rPr>
          <w:rFonts w:ascii="Arial" w:eastAsia="Times New Roman" w:hAnsi="Arial" w:cs="Arial"/>
        </w:rPr>
        <w:t>are</w:t>
      </w:r>
      <w:r w:rsidR="00302E7D">
        <w:rPr>
          <w:rFonts w:ascii="Arial" w:eastAsia="Times New Roman" w:hAnsi="Arial" w:cs="Arial"/>
        </w:rPr>
        <w:t xml:space="preserve"> </w:t>
      </w:r>
      <w:r w:rsidRPr="00EA0D4A">
        <w:rPr>
          <w:rFonts w:ascii="Arial" w:eastAsia="Times New Roman" w:hAnsi="Arial" w:cs="Arial"/>
        </w:rPr>
        <w:t>later compared to children’s results and outcomes observed and assessed at the end of the Foundation phase and aim to support effective teaching and learning (Wood, 2013). The OECD (2014) state that the assessment results are used to recognise pupil and school progression and performance. However, </w:t>
      </w:r>
      <w:proofErr w:type="spellStart"/>
      <w:r w:rsidRPr="00EA0D4A">
        <w:rPr>
          <w:rFonts w:ascii="Arial" w:eastAsia="Times New Roman" w:hAnsi="Arial" w:cs="Arial"/>
        </w:rPr>
        <w:t>Brogaard</w:t>
      </w:r>
      <w:proofErr w:type="spellEnd"/>
      <w:r w:rsidR="00DB4DF3">
        <w:rPr>
          <w:rFonts w:ascii="Arial" w:eastAsia="Times New Roman" w:hAnsi="Arial" w:cs="Arial"/>
        </w:rPr>
        <w:t xml:space="preserve"> </w:t>
      </w:r>
      <w:r w:rsidRPr="00EA0D4A">
        <w:rPr>
          <w:rFonts w:ascii="Arial" w:eastAsia="Times New Roman" w:hAnsi="Arial" w:cs="Arial"/>
        </w:rPr>
        <w:t>Clausen </w:t>
      </w:r>
      <w:r w:rsidRPr="00EA0D4A">
        <w:rPr>
          <w:rFonts w:ascii="Arial" w:eastAsia="Times New Roman" w:hAnsi="Arial" w:cs="Arial"/>
          <w:i/>
          <w:iCs/>
        </w:rPr>
        <w:t>et al</w:t>
      </w:r>
      <w:r w:rsidRPr="00EA0D4A">
        <w:rPr>
          <w:rFonts w:ascii="Arial" w:eastAsia="Times New Roman" w:hAnsi="Arial" w:cs="Arial"/>
        </w:rPr>
        <w:t>.</w:t>
      </w:r>
      <w:r w:rsidRPr="00EA0D4A">
        <w:rPr>
          <w:rFonts w:ascii="Arial" w:eastAsia="Times New Roman" w:hAnsi="Arial" w:cs="Arial"/>
          <w:i/>
          <w:iCs/>
        </w:rPr>
        <w:t> (</w:t>
      </w:r>
      <w:r w:rsidRPr="00EA0D4A">
        <w:rPr>
          <w:rFonts w:ascii="Arial" w:eastAsia="Times New Roman" w:hAnsi="Arial" w:cs="Arial"/>
        </w:rPr>
        <w:t>2015) contends that there is a risk of practitioners purposely lowering initial outcomes in order to create better overall improvement of pupil’s academic and school performance results. Additionally, at the end of each year, based on the</w:t>
      </w:r>
      <w:r w:rsidR="00DB4DF3">
        <w:rPr>
          <w:rFonts w:ascii="Arial" w:eastAsia="Times New Roman" w:hAnsi="Arial" w:cs="Arial"/>
        </w:rPr>
        <w:t xml:space="preserve"> </w:t>
      </w:r>
      <w:r w:rsidRPr="00EA0D4A">
        <w:rPr>
          <w:rFonts w:ascii="Arial" w:eastAsia="Times New Roman" w:hAnsi="Arial" w:cs="Arial"/>
        </w:rPr>
        <w:t>Literacy and Numeracy Framework, practitioners are required to formatively assess</w:t>
      </w:r>
      <w:r w:rsidR="00DB4DF3">
        <w:rPr>
          <w:rFonts w:ascii="Arial" w:eastAsia="Times New Roman" w:hAnsi="Arial" w:cs="Arial"/>
        </w:rPr>
        <w:t xml:space="preserve"> </w:t>
      </w:r>
      <w:r w:rsidRPr="00EA0D4A">
        <w:rPr>
          <w:rFonts w:ascii="Arial" w:eastAsia="Times New Roman" w:hAnsi="Arial" w:cs="Arial"/>
        </w:rPr>
        <w:t>the literacy and numeracy skills of each child (Welsh Government, 2019),</w:t>
      </w:r>
      <w:r w:rsidR="00DB4DF3">
        <w:rPr>
          <w:rFonts w:ascii="Arial" w:eastAsia="Times New Roman" w:hAnsi="Arial" w:cs="Arial"/>
        </w:rPr>
        <w:t xml:space="preserve"> </w:t>
      </w:r>
      <w:r w:rsidRPr="00EA0D4A">
        <w:rPr>
          <w:rFonts w:ascii="Arial" w:eastAsia="Times New Roman" w:hAnsi="Arial" w:cs="Arial"/>
        </w:rPr>
        <w:t>enabling them to understand the required next step to support children’s progress and</w:t>
      </w:r>
      <w:r w:rsidR="00DB4DF3">
        <w:rPr>
          <w:rFonts w:ascii="Arial" w:eastAsia="Times New Roman" w:hAnsi="Arial" w:cs="Arial"/>
        </w:rPr>
        <w:t xml:space="preserve"> </w:t>
      </w:r>
      <w:r w:rsidRPr="00EA0D4A">
        <w:rPr>
          <w:rFonts w:ascii="Arial" w:eastAsia="Times New Roman" w:hAnsi="Arial" w:cs="Arial"/>
        </w:rPr>
        <w:t>improve</w:t>
      </w:r>
      <w:r w:rsidR="00DB4DF3">
        <w:rPr>
          <w:rFonts w:ascii="Arial" w:eastAsia="Times New Roman" w:hAnsi="Arial" w:cs="Arial"/>
        </w:rPr>
        <w:t xml:space="preserve"> </w:t>
      </w:r>
      <w:r w:rsidRPr="00EA0D4A">
        <w:rPr>
          <w:rFonts w:ascii="Arial" w:eastAsia="Times New Roman" w:hAnsi="Arial" w:cs="Arial"/>
        </w:rPr>
        <w:t>achievement (Welsh Government, 2020b). Nevertheless, </w:t>
      </w:r>
      <w:proofErr w:type="spellStart"/>
      <w:r w:rsidRPr="00EA0D4A">
        <w:rPr>
          <w:rFonts w:ascii="Arial" w:eastAsia="Times New Roman" w:hAnsi="Arial" w:cs="Arial"/>
        </w:rPr>
        <w:t>Pescott</w:t>
      </w:r>
      <w:proofErr w:type="spellEnd"/>
      <w:r w:rsidR="00DB4DF3">
        <w:rPr>
          <w:rFonts w:ascii="Arial" w:eastAsia="Times New Roman" w:hAnsi="Arial" w:cs="Arial"/>
        </w:rPr>
        <w:t xml:space="preserve"> </w:t>
      </w:r>
      <w:r w:rsidRPr="00EA0D4A">
        <w:rPr>
          <w:rFonts w:ascii="Arial" w:eastAsia="Times New Roman" w:hAnsi="Arial" w:cs="Arial"/>
        </w:rPr>
        <w:t>(20</w:t>
      </w:r>
      <w:r w:rsidR="00DB4DF3">
        <w:rPr>
          <w:rFonts w:ascii="Arial" w:eastAsia="Times New Roman" w:hAnsi="Arial" w:cs="Arial"/>
        </w:rPr>
        <w:t>1</w:t>
      </w:r>
      <w:r w:rsidRPr="00EA0D4A">
        <w:rPr>
          <w:rFonts w:ascii="Arial" w:eastAsia="Times New Roman" w:hAnsi="Arial" w:cs="Arial"/>
        </w:rPr>
        <w:t>7)</w:t>
      </w:r>
      <w:r w:rsidR="00DB4DF3">
        <w:rPr>
          <w:rFonts w:ascii="Arial" w:eastAsia="Times New Roman" w:hAnsi="Arial" w:cs="Arial"/>
        </w:rPr>
        <w:t xml:space="preserve"> </w:t>
      </w:r>
      <w:r w:rsidRPr="00EA0D4A">
        <w:rPr>
          <w:rFonts w:ascii="Arial" w:eastAsia="Times New Roman" w:hAnsi="Arial" w:cs="Arial"/>
        </w:rPr>
        <w:t>argues that the formal tests have caused controversy, and many practitioners believe that they do not value a practice that is child-centred or led. Furthermore, Goldstein and</w:t>
      </w:r>
      <w:r w:rsidR="00DB4DF3">
        <w:rPr>
          <w:rFonts w:ascii="Arial" w:eastAsia="Times New Roman" w:hAnsi="Arial" w:cs="Arial"/>
        </w:rPr>
        <w:t xml:space="preserve"> </w:t>
      </w:r>
      <w:proofErr w:type="spellStart"/>
      <w:r w:rsidRPr="00EA0D4A">
        <w:rPr>
          <w:rFonts w:ascii="Arial" w:eastAsia="Times New Roman" w:hAnsi="Arial" w:cs="Arial"/>
        </w:rPr>
        <w:t>Spiegelhalter</w:t>
      </w:r>
      <w:proofErr w:type="spellEnd"/>
      <w:r w:rsidRPr="00EA0D4A">
        <w:rPr>
          <w:rFonts w:ascii="Arial" w:eastAsia="Times New Roman" w:hAnsi="Arial" w:cs="Arial"/>
        </w:rPr>
        <w:t> (1996 cited in </w:t>
      </w:r>
      <w:proofErr w:type="spellStart"/>
      <w:r w:rsidRPr="00EA0D4A">
        <w:rPr>
          <w:rFonts w:ascii="Arial" w:eastAsia="Times New Roman" w:hAnsi="Arial" w:cs="Arial"/>
        </w:rPr>
        <w:t>Brogaard</w:t>
      </w:r>
      <w:proofErr w:type="spellEnd"/>
      <w:r w:rsidRPr="00EA0D4A">
        <w:rPr>
          <w:rFonts w:ascii="Arial" w:eastAsia="Times New Roman" w:hAnsi="Arial" w:cs="Arial"/>
        </w:rPr>
        <w:t> Clausen </w:t>
      </w:r>
      <w:r w:rsidRPr="00EA0D4A">
        <w:rPr>
          <w:rFonts w:ascii="Arial" w:eastAsia="Times New Roman" w:hAnsi="Arial" w:cs="Arial"/>
          <w:i/>
          <w:iCs/>
        </w:rPr>
        <w:t>et al</w:t>
      </w:r>
      <w:r w:rsidRPr="00EA0D4A">
        <w:rPr>
          <w:rFonts w:ascii="Arial" w:eastAsia="Times New Roman" w:hAnsi="Arial" w:cs="Arial"/>
        </w:rPr>
        <w:t>., 2015) suggest that the tests do not consider a child’s home experiences, gender, socio-economic status or additional languages, which could all influence children’s attainment. Therefore, Clark (2016) contends that to be most effective, all observations, monitoring and assessments of children’s learning should acknowledge their backgrounds and additional learning</w:t>
      </w:r>
      <w:r w:rsidR="00DB4DF3">
        <w:rPr>
          <w:rFonts w:ascii="Arial" w:eastAsia="Times New Roman" w:hAnsi="Arial" w:cs="Arial"/>
        </w:rPr>
        <w:t xml:space="preserve"> </w:t>
      </w:r>
      <w:r w:rsidRPr="00EA0D4A">
        <w:rPr>
          <w:rFonts w:ascii="Arial" w:eastAsia="Times New Roman" w:hAnsi="Arial" w:cs="Arial"/>
        </w:rPr>
        <w:t>needs. Additionally, according to the Welsh Government (2015) practitioners are only</w:t>
      </w:r>
      <w:r w:rsidR="00DB4DF3">
        <w:rPr>
          <w:rFonts w:ascii="Arial" w:eastAsia="Times New Roman" w:hAnsi="Arial" w:cs="Arial"/>
        </w:rPr>
        <w:t xml:space="preserve"> </w:t>
      </w:r>
      <w:r w:rsidRPr="00EA0D4A">
        <w:rPr>
          <w:rFonts w:ascii="Arial" w:eastAsia="Times New Roman" w:hAnsi="Arial" w:cs="Arial"/>
        </w:rPr>
        <w:lastRenderedPageBreak/>
        <w:t>required to inform parents of their child’s progress on a few occasions throughout the school year in ways such as, an informal discussion during a parents evening and an end of year written report.  </w:t>
      </w:r>
    </w:p>
    <w:p w14:paraId="745CF599" w14:textId="3DE2E3E0" w:rsidR="00EA0D4A" w:rsidRPr="00DB4DF3" w:rsidRDefault="00EA0D4A" w:rsidP="00427653">
      <w:pPr>
        <w:spacing w:after="160" w:line="360" w:lineRule="auto"/>
        <w:jc w:val="both"/>
        <w:textAlignment w:val="baseline"/>
        <w:rPr>
          <w:rFonts w:ascii="Arial" w:eastAsia="Times New Roman" w:hAnsi="Arial" w:cs="Arial"/>
        </w:rPr>
      </w:pPr>
      <w:r w:rsidRPr="00EA0D4A">
        <w:rPr>
          <w:rFonts w:ascii="Arial" w:eastAsia="Times New Roman" w:hAnsi="Arial" w:cs="Arial"/>
        </w:rPr>
        <w:t>Comparatively, according to Wood (2013) the sociocultural approach of the New Zealand curriculum, </w:t>
      </w:r>
      <w:proofErr w:type="spellStart"/>
      <w:r w:rsidRPr="00EA0D4A">
        <w:rPr>
          <w:rFonts w:ascii="Arial" w:eastAsia="Times New Roman" w:hAnsi="Arial" w:cs="Arial"/>
        </w:rPr>
        <w:t>Te</w:t>
      </w:r>
      <w:proofErr w:type="spellEnd"/>
      <w:r w:rsidRPr="00EA0D4A">
        <w:rPr>
          <w:rFonts w:ascii="Arial" w:eastAsia="Times New Roman" w:hAnsi="Arial" w:cs="Arial"/>
        </w:rPr>
        <w:t> </w:t>
      </w:r>
      <w:proofErr w:type="spellStart"/>
      <w:r w:rsidRPr="00EA0D4A">
        <w:rPr>
          <w:rFonts w:ascii="Arial" w:eastAsia="Times New Roman" w:hAnsi="Arial" w:cs="Arial"/>
        </w:rPr>
        <w:t>Whariki</w:t>
      </w:r>
      <w:proofErr w:type="spellEnd"/>
      <w:r w:rsidRPr="00EA0D4A">
        <w:rPr>
          <w:rFonts w:ascii="Arial" w:eastAsia="Times New Roman" w:hAnsi="Arial" w:cs="Arial"/>
        </w:rPr>
        <w:t>, strongly reflects the beliefs, traditions and cultural heritage of their communities. Therefore, Maynard (2012) states that the curriculum approach promotes biculturalism, believes in building</w:t>
      </w:r>
      <w:r w:rsidR="00B0136A">
        <w:rPr>
          <w:rFonts w:ascii="Arial" w:eastAsia="Times New Roman" w:hAnsi="Arial" w:cs="Arial"/>
        </w:rPr>
        <w:t xml:space="preserve"> </w:t>
      </w:r>
      <w:r w:rsidRPr="00EA0D4A">
        <w:rPr>
          <w:rFonts w:ascii="Arial" w:eastAsia="Times New Roman" w:hAnsi="Arial" w:cs="Arial"/>
        </w:rPr>
        <w:t>strong relationships with parents and the communities (</w:t>
      </w:r>
      <w:proofErr w:type="spellStart"/>
      <w:r w:rsidRPr="00EA0D4A">
        <w:rPr>
          <w:rFonts w:ascii="Arial" w:eastAsia="Times New Roman" w:hAnsi="Arial" w:cs="Arial"/>
        </w:rPr>
        <w:t>Pescott</w:t>
      </w:r>
      <w:proofErr w:type="spellEnd"/>
      <w:r w:rsidRPr="00EA0D4A">
        <w:rPr>
          <w:rFonts w:ascii="Arial" w:eastAsia="Times New Roman" w:hAnsi="Arial" w:cs="Arial"/>
        </w:rPr>
        <w:t>, 2017), and recognises the importance of children’s life experiences (Maynard, 2012). Furthermore, the </w:t>
      </w:r>
      <w:proofErr w:type="spellStart"/>
      <w:r w:rsidRPr="00EA0D4A">
        <w:rPr>
          <w:rFonts w:ascii="Arial" w:eastAsia="Times New Roman" w:hAnsi="Arial" w:cs="Arial"/>
        </w:rPr>
        <w:t>Te</w:t>
      </w:r>
      <w:proofErr w:type="spellEnd"/>
      <w:r w:rsidRPr="00EA0D4A">
        <w:rPr>
          <w:rFonts w:ascii="Arial" w:eastAsia="Times New Roman" w:hAnsi="Arial" w:cs="Arial"/>
        </w:rPr>
        <w:t> </w:t>
      </w:r>
      <w:proofErr w:type="spellStart"/>
      <w:r w:rsidRPr="00EA0D4A">
        <w:rPr>
          <w:rFonts w:ascii="Arial" w:eastAsia="Times New Roman" w:hAnsi="Arial" w:cs="Arial"/>
        </w:rPr>
        <w:t>Whariki</w:t>
      </w:r>
      <w:proofErr w:type="spellEnd"/>
      <w:r w:rsidRPr="00EA0D4A">
        <w:rPr>
          <w:rFonts w:ascii="Arial" w:eastAsia="Times New Roman" w:hAnsi="Arial" w:cs="Arial"/>
        </w:rPr>
        <w:t> approach, recognises the importance of play and advocates a holistic and inclusive way of teaching and learning. Much like that of the Foundation phase pedagogy (</w:t>
      </w:r>
      <w:proofErr w:type="spellStart"/>
      <w:r w:rsidRPr="00EA0D4A">
        <w:rPr>
          <w:rFonts w:ascii="Arial" w:eastAsia="Times New Roman" w:hAnsi="Arial" w:cs="Arial"/>
        </w:rPr>
        <w:t>Pescott</w:t>
      </w:r>
      <w:proofErr w:type="spellEnd"/>
      <w:r w:rsidRPr="00EA0D4A">
        <w:rPr>
          <w:rFonts w:ascii="Arial" w:eastAsia="Times New Roman" w:hAnsi="Arial" w:cs="Arial"/>
        </w:rPr>
        <w:t>,</w:t>
      </w:r>
      <w:r w:rsidR="00DB4DF3">
        <w:rPr>
          <w:rFonts w:ascii="Arial" w:eastAsia="Times New Roman" w:hAnsi="Arial" w:cs="Arial"/>
        </w:rPr>
        <w:t xml:space="preserve"> </w:t>
      </w:r>
      <w:r w:rsidRPr="00EA0D4A">
        <w:rPr>
          <w:rFonts w:ascii="Arial" w:eastAsia="Times New Roman" w:hAnsi="Arial" w:cs="Arial"/>
        </w:rPr>
        <w:t>2017). However, in regard to assessments of children’s learning, </w:t>
      </w:r>
      <w:proofErr w:type="spellStart"/>
      <w:r w:rsidRPr="00EA0D4A">
        <w:rPr>
          <w:rFonts w:ascii="Arial" w:eastAsia="Times New Roman" w:hAnsi="Arial" w:cs="Arial"/>
        </w:rPr>
        <w:t>Pescott</w:t>
      </w:r>
      <w:proofErr w:type="spellEnd"/>
      <w:r w:rsidRPr="00EA0D4A">
        <w:rPr>
          <w:rFonts w:ascii="Arial" w:eastAsia="Times New Roman" w:hAnsi="Arial" w:cs="Arial"/>
        </w:rPr>
        <w:t> (2017)</w:t>
      </w:r>
      <w:r w:rsidR="000741BF">
        <w:rPr>
          <w:rFonts w:ascii="Arial" w:eastAsia="Times New Roman" w:hAnsi="Arial" w:cs="Arial"/>
        </w:rPr>
        <w:t xml:space="preserve"> </w:t>
      </w:r>
      <w:r w:rsidRPr="00EA0D4A">
        <w:rPr>
          <w:rFonts w:ascii="Arial" w:eastAsia="Times New Roman" w:hAnsi="Arial" w:cs="Arial"/>
        </w:rPr>
        <w:t>recognises that the </w:t>
      </w:r>
      <w:proofErr w:type="spellStart"/>
      <w:r w:rsidRPr="00EA0D4A">
        <w:rPr>
          <w:rFonts w:ascii="Arial" w:eastAsia="Times New Roman" w:hAnsi="Arial" w:cs="Arial"/>
        </w:rPr>
        <w:t>Te</w:t>
      </w:r>
      <w:proofErr w:type="spellEnd"/>
      <w:r w:rsidRPr="00EA0D4A">
        <w:rPr>
          <w:rFonts w:ascii="Arial" w:eastAsia="Times New Roman" w:hAnsi="Arial" w:cs="Arial"/>
        </w:rPr>
        <w:t> </w:t>
      </w:r>
      <w:proofErr w:type="spellStart"/>
      <w:r w:rsidRPr="00EA0D4A">
        <w:rPr>
          <w:rFonts w:ascii="Arial" w:eastAsia="Times New Roman" w:hAnsi="Arial" w:cs="Arial"/>
        </w:rPr>
        <w:t>Whāriki</w:t>
      </w:r>
      <w:proofErr w:type="spellEnd"/>
      <w:r w:rsidRPr="00EA0D4A">
        <w:rPr>
          <w:rFonts w:ascii="Arial" w:eastAsia="Times New Roman" w:hAnsi="Arial" w:cs="Arial"/>
        </w:rPr>
        <w:t> model, uses learning stories as an assessment method to measure children’s achievement and attainment, which differs significantly to that of the Foundation phase’s outcomes, learning goals and performance</w:t>
      </w:r>
      <w:r w:rsidR="000741BF">
        <w:rPr>
          <w:rFonts w:ascii="Arial" w:eastAsia="Times New Roman" w:hAnsi="Arial" w:cs="Arial"/>
        </w:rPr>
        <w:t xml:space="preserve"> </w:t>
      </w:r>
      <w:r w:rsidRPr="00EA0D4A">
        <w:rPr>
          <w:rFonts w:ascii="Arial" w:eastAsia="Times New Roman" w:hAnsi="Arial" w:cs="Arial"/>
        </w:rPr>
        <w:t>measures. Learning stories, according to Hanrahan, Niles and White (2019), are</w:t>
      </w:r>
      <w:r w:rsidR="000741BF">
        <w:rPr>
          <w:rFonts w:ascii="Arial" w:eastAsia="Times New Roman" w:hAnsi="Arial" w:cs="Arial"/>
        </w:rPr>
        <w:t xml:space="preserve"> </w:t>
      </w:r>
      <w:r w:rsidRPr="00EA0D4A">
        <w:rPr>
          <w:rFonts w:ascii="Arial" w:eastAsia="Times New Roman" w:hAnsi="Arial" w:cs="Arial"/>
        </w:rPr>
        <w:t>structured narratives, written by practitioners, following an observation of children’s</w:t>
      </w:r>
      <w:r w:rsidR="000741BF">
        <w:rPr>
          <w:rFonts w:ascii="Arial" w:eastAsia="Times New Roman" w:hAnsi="Arial" w:cs="Arial"/>
        </w:rPr>
        <w:t xml:space="preserve"> </w:t>
      </w:r>
      <w:r w:rsidRPr="00EA0D4A">
        <w:rPr>
          <w:rFonts w:ascii="Arial" w:eastAsia="Times New Roman" w:hAnsi="Arial" w:cs="Arial"/>
        </w:rPr>
        <w:t>learning experiences, and highlight what children have been doing, what they learnt and their abilities, interests and strengths. Additionally, learning stories are shared with the families of the children and they are encouraged to contribute towards them, supporting parents to engage and connect with their children’s learning (Southcott, 2015). </w:t>
      </w:r>
    </w:p>
    <w:p w14:paraId="2D46EB30" w14:textId="530BEB33" w:rsidR="00EA0D4A" w:rsidRPr="000741BF" w:rsidRDefault="00EA0D4A" w:rsidP="00427653">
      <w:pPr>
        <w:spacing w:after="160" w:line="360" w:lineRule="auto"/>
        <w:jc w:val="both"/>
        <w:textAlignment w:val="baseline"/>
        <w:rPr>
          <w:rFonts w:ascii="Arial" w:eastAsia="Times New Roman" w:hAnsi="Arial" w:cs="Arial"/>
        </w:rPr>
      </w:pPr>
      <w:r w:rsidRPr="00EA0D4A">
        <w:rPr>
          <w:rFonts w:ascii="Arial" w:eastAsia="Times New Roman" w:hAnsi="Arial" w:cs="Arial"/>
        </w:rPr>
        <w:t>Hanrahan, Niles and White (2019) suggest that the learning stories framework</w:t>
      </w:r>
      <w:r w:rsidR="0073595B">
        <w:rPr>
          <w:rFonts w:ascii="Arial" w:eastAsia="Times New Roman" w:hAnsi="Arial" w:cs="Arial"/>
        </w:rPr>
        <w:t xml:space="preserve"> a</w:t>
      </w:r>
      <w:r w:rsidRPr="00EA0D4A">
        <w:rPr>
          <w:rFonts w:ascii="Arial" w:eastAsia="Times New Roman" w:hAnsi="Arial" w:cs="Arial"/>
        </w:rPr>
        <w:t>lso</w:t>
      </w:r>
      <w:r w:rsidR="00F9578D">
        <w:rPr>
          <w:rFonts w:ascii="Arial" w:eastAsia="Times New Roman" w:hAnsi="Arial" w:cs="Arial"/>
        </w:rPr>
        <w:t xml:space="preserve"> </w:t>
      </w:r>
      <w:r w:rsidRPr="00EA0D4A">
        <w:rPr>
          <w:rFonts w:ascii="Arial" w:eastAsia="Times New Roman" w:hAnsi="Arial" w:cs="Arial"/>
        </w:rPr>
        <w:t>differs from the ways of more formal assessments, by recognising practitioners as active participants and acknowledging their views. Furthermore,</w:t>
      </w:r>
      <w:r w:rsidR="000741BF">
        <w:rPr>
          <w:rFonts w:ascii="Arial" w:eastAsia="Times New Roman" w:hAnsi="Arial" w:cs="Arial"/>
        </w:rPr>
        <w:t xml:space="preserve"> </w:t>
      </w:r>
      <w:r w:rsidRPr="00EA0D4A">
        <w:rPr>
          <w:rFonts w:ascii="Arial" w:eastAsia="Times New Roman" w:hAnsi="Arial" w:cs="Arial"/>
        </w:rPr>
        <w:t>Southcott (2015) states that as well as highlighting the skills the children are developing through their thinking and actions, the learning stories also recognise how the practitioners</w:t>
      </w:r>
      <w:r w:rsidR="007D7287">
        <w:rPr>
          <w:rFonts w:ascii="Arial" w:eastAsia="Times New Roman" w:hAnsi="Arial" w:cs="Arial"/>
        </w:rPr>
        <w:t xml:space="preserve"> </w:t>
      </w:r>
      <w:r w:rsidRPr="00EA0D4A">
        <w:rPr>
          <w:rFonts w:ascii="Arial" w:eastAsia="Times New Roman" w:hAnsi="Arial" w:cs="Arial"/>
        </w:rPr>
        <w:t>support and extend the learning further. Therefore, </w:t>
      </w:r>
      <w:proofErr w:type="spellStart"/>
      <w:r w:rsidRPr="00EA0D4A">
        <w:rPr>
          <w:rFonts w:ascii="Arial" w:eastAsia="Times New Roman" w:hAnsi="Arial" w:cs="Arial"/>
        </w:rPr>
        <w:t>Goodsir</w:t>
      </w:r>
      <w:proofErr w:type="spellEnd"/>
      <w:r w:rsidRPr="00EA0D4A">
        <w:rPr>
          <w:rFonts w:ascii="Arial" w:eastAsia="Times New Roman" w:hAnsi="Arial" w:cs="Arial"/>
        </w:rPr>
        <w:t> (2017)</w:t>
      </w:r>
      <w:r w:rsidR="000741BF">
        <w:rPr>
          <w:rFonts w:ascii="Arial" w:eastAsia="Times New Roman" w:hAnsi="Arial" w:cs="Arial"/>
        </w:rPr>
        <w:t xml:space="preserve"> </w:t>
      </w:r>
      <w:r w:rsidRPr="00EA0D4A">
        <w:rPr>
          <w:rFonts w:ascii="Arial" w:eastAsia="Times New Roman" w:hAnsi="Arial" w:cs="Arial"/>
        </w:rPr>
        <w:t>advocates that</w:t>
      </w:r>
      <w:r w:rsidR="007D7287">
        <w:rPr>
          <w:rFonts w:ascii="Arial" w:eastAsia="Times New Roman" w:hAnsi="Arial" w:cs="Arial"/>
        </w:rPr>
        <w:t xml:space="preserve"> </w:t>
      </w:r>
      <w:r w:rsidRPr="00EA0D4A">
        <w:rPr>
          <w:rFonts w:ascii="Arial" w:eastAsia="Times New Roman" w:hAnsi="Arial" w:cs="Arial"/>
        </w:rPr>
        <w:t>observations and assessments using learning stories are most successful when the adults know and understand each child individually. Moreover,</w:t>
      </w:r>
      <w:r w:rsidR="000741BF">
        <w:rPr>
          <w:rFonts w:ascii="Arial" w:eastAsia="Times New Roman" w:hAnsi="Arial" w:cs="Arial"/>
        </w:rPr>
        <w:t xml:space="preserve"> </w:t>
      </w:r>
      <w:r w:rsidRPr="00EA0D4A">
        <w:rPr>
          <w:rFonts w:ascii="Arial" w:eastAsia="Times New Roman" w:hAnsi="Arial" w:cs="Arial"/>
        </w:rPr>
        <w:t xml:space="preserve">Helm, </w:t>
      </w:r>
      <w:proofErr w:type="spellStart"/>
      <w:r w:rsidRPr="00EA0D4A">
        <w:rPr>
          <w:rFonts w:ascii="Arial" w:eastAsia="Times New Roman" w:hAnsi="Arial" w:cs="Arial"/>
        </w:rPr>
        <w:t>Beneke</w:t>
      </w:r>
      <w:proofErr w:type="spellEnd"/>
      <w:r w:rsidRPr="00EA0D4A">
        <w:rPr>
          <w:rFonts w:ascii="Arial" w:eastAsia="Times New Roman" w:hAnsi="Arial" w:cs="Arial"/>
        </w:rPr>
        <w:t>, and </w:t>
      </w:r>
      <w:proofErr w:type="spellStart"/>
      <w:r w:rsidRPr="00EA0D4A">
        <w:rPr>
          <w:rFonts w:ascii="Arial" w:eastAsia="Times New Roman" w:hAnsi="Arial" w:cs="Arial"/>
        </w:rPr>
        <w:t>Steinheimer</w:t>
      </w:r>
      <w:proofErr w:type="spellEnd"/>
      <w:r w:rsidRPr="00EA0D4A">
        <w:rPr>
          <w:rFonts w:ascii="Arial" w:eastAsia="Times New Roman" w:hAnsi="Arial" w:cs="Arial"/>
        </w:rPr>
        <w:t xml:space="preserve"> (2007 cited in Southcott, 2015) suggest that the professional development of practitioners is also promoted through the use of learning stories, particularly when needing to think critically and reflect on their practice to consider the </w:t>
      </w:r>
      <w:r w:rsidRPr="00EA0D4A">
        <w:rPr>
          <w:rFonts w:ascii="Arial" w:eastAsia="Times New Roman" w:hAnsi="Arial" w:cs="Arial"/>
        </w:rPr>
        <w:lastRenderedPageBreak/>
        <w:t>best ways to support children’s learning dispositions, and furthermore,</w:t>
      </w:r>
      <w:r w:rsidR="000741BF">
        <w:rPr>
          <w:rFonts w:ascii="Arial" w:eastAsia="Times New Roman" w:hAnsi="Arial" w:cs="Arial"/>
        </w:rPr>
        <w:t xml:space="preserve"> </w:t>
      </w:r>
      <w:r w:rsidRPr="00EA0D4A">
        <w:rPr>
          <w:rFonts w:ascii="Arial" w:eastAsia="Times New Roman" w:hAnsi="Arial" w:cs="Arial"/>
        </w:rPr>
        <w:t>achieve the desired knowledge, skills and attitudes set by the curriculum (Wood, 2013). Additionally, when</w:t>
      </w:r>
      <w:r w:rsidR="004C04AB">
        <w:rPr>
          <w:rFonts w:ascii="Arial" w:eastAsia="Times New Roman" w:hAnsi="Arial" w:cs="Arial"/>
        </w:rPr>
        <w:t xml:space="preserve"> </w:t>
      </w:r>
      <w:r w:rsidRPr="00EA0D4A">
        <w:rPr>
          <w:rFonts w:ascii="Arial" w:eastAsia="Times New Roman" w:hAnsi="Arial" w:cs="Arial"/>
        </w:rPr>
        <w:t>the narratives are</w:t>
      </w:r>
      <w:r w:rsidR="004C04AB">
        <w:rPr>
          <w:rFonts w:ascii="Arial" w:eastAsia="Times New Roman" w:hAnsi="Arial" w:cs="Arial"/>
        </w:rPr>
        <w:t xml:space="preserve"> </w:t>
      </w:r>
      <w:r w:rsidRPr="00EA0D4A">
        <w:rPr>
          <w:rFonts w:ascii="Arial" w:eastAsia="Times New Roman" w:hAnsi="Arial" w:cs="Arial"/>
        </w:rPr>
        <w:t>evaluated together</w:t>
      </w:r>
      <w:r w:rsidR="004C04AB">
        <w:rPr>
          <w:rFonts w:ascii="Arial" w:eastAsia="Times New Roman" w:hAnsi="Arial" w:cs="Arial"/>
        </w:rPr>
        <w:t xml:space="preserve"> </w:t>
      </w:r>
      <w:r w:rsidRPr="00EA0D4A">
        <w:rPr>
          <w:rFonts w:ascii="Arial" w:eastAsia="Times New Roman" w:hAnsi="Arial" w:cs="Arial"/>
        </w:rPr>
        <w:t>and ideas and</w:t>
      </w:r>
      <w:r w:rsidR="004C04AB">
        <w:rPr>
          <w:rFonts w:ascii="Arial" w:eastAsia="Times New Roman" w:hAnsi="Arial" w:cs="Arial"/>
        </w:rPr>
        <w:t xml:space="preserve"> f</w:t>
      </w:r>
      <w:r w:rsidRPr="00EA0D4A">
        <w:rPr>
          <w:rFonts w:ascii="Arial" w:eastAsia="Times New Roman" w:hAnsi="Arial" w:cs="Arial"/>
        </w:rPr>
        <w:t>eedback</w:t>
      </w:r>
      <w:r w:rsidR="00631923">
        <w:rPr>
          <w:rFonts w:ascii="Arial" w:eastAsia="Times New Roman" w:hAnsi="Arial" w:cs="Arial"/>
        </w:rPr>
        <w:t xml:space="preserve"> </w:t>
      </w:r>
      <w:r w:rsidRPr="00EA0D4A">
        <w:rPr>
          <w:rFonts w:ascii="Arial" w:eastAsia="Times New Roman" w:hAnsi="Arial" w:cs="Arial"/>
        </w:rPr>
        <w:t>shared (Pack, 2016), Wood (2013) believes that the interaction of ‘sustained shared thinking’ enables the adults to support children’s emergent understanding and working theories. Thus, according to Pack (2016) can administer a sense of self-worth and confidence in children when they feel that their ideas, thoughts and actions are valued. Consequently, giving children a voice (Southcott, 2015) and empowering</w:t>
      </w:r>
      <w:r w:rsidR="00351B34">
        <w:rPr>
          <w:rFonts w:ascii="Arial" w:eastAsia="Times New Roman" w:hAnsi="Arial" w:cs="Arial"/>
        </w:rPr>
        <w:t xml:space="preserve"> </w:t>
      </w:r>
      <w:r w:rsidRPr="00EA0D4A">
        <w:rPr>
          <w:rFonts w:ascii="Arial" w:eastAsia="Times New Roman" w:hAnsi="Arial" w:cs="Arial"/>
        </w:rPr>
        <w:t>them to take control of their own learning (Lee </w:t>
      </w:r>
      <w:r w:rsidRPr="00EA0D4A">
        <w:rPr>
          <w:rFonts w:ascii="Arial" w:eastAsia="Times New Roman" w:hAnsi="Arial" w:cs="Arial"/>
          <w:i/>
          <w:iCs/>
        </w:rPr>
        <w:t>et a</w:t>
      </w:r>
      <w:r w:rsidRPr="00EA0D4A">
        <w:rPr>
          <w:rFonts w:ascii="Arial" w:eastAsia="Times New Roman" w:hAnsi="Arial" w:cs="Arial"/>
        </w:rPr>
        <w:t>l.,</w:t>
      </w:r>
      <w:r w:rsidRPr="00EA0D4A">
        <w:rPr>
          <w:rFonts w:ascii="Arial" w:eastAsia="Times New Roman" w:hAnsi="Arial" w:cs="Arial"/>
          <w:i/>
          <w:iCs/>
        </w:rPr>
        <w:t> </w:t>
      </w:r>
      <w:r w:rsidRPr="00EA0D4A">
        <w:rPr>
          <w:rFonts w:ascii="Arial" w:eastAsia="Times New Roman" w:hAnsi="Arial" w:cs="Arial"/>
        </w:rPr>
        <w:t>2013). </w:t>
      </w:r>
    </w:p>
    <w:p w14:paraId="14B96CFA" w14:textId="0B5BE619" w:rsidR="00EA0D4A" w:rsidRPr="004C04AB" w:rsidRDefault="00EA0D4A" w:rsidP="00427653">
      <w:pPr>
        <w:spacing w:after="160" w:line="360" w:lineRule="auto"/>
        <w:jc w:val="both"/>
        <w:textAlignment w:val="baseline"/>
        <w:rPr>
          <w:rFonts w:ascii="Arial" w:eastAsia="Times New Roman" w:hAnsi="Arial" w:cs="Arial"/>
        </w:rPr>
      </w:pPr>
      <w:r w:rsidRPr="00EA0D4A">
        <w:rPr>
          <w:rFonts w:ascii="Arial" w:eastAsia="Times New Roman" w:hAnsi="Arial" w:cs="Arial"/>
        </w:rPr>
        <w:t>Like all good curriculum approaches and frameworks, they are not without challenge and Gould and Meade (2008 cited in Cameron, McLachlan and Rawlins, 2016) suggest that learning stories can be viewed as a simple scrapbook of children’s play and experiences and do not document their progressive development from one stage to another. However, Wood (2013) argues that the learning stories provide meaningful narratives that consider the process of children’s learning and outcomes, which are more beneficial than simply ticking a box. Furthermore, Cameron, McLachlan and Rawlins (2016) state that many practitioners note difficulties in a lack of time to both assess and then create the learning stories, however most believed in the benefits they provided, such as, supporting and nurturing the individuality and emotional well-being of each child (</w:t>
      </w:r>
      <w:proofErr w:type="spellStart"/>
      <w:r w:rsidRPr="00EA0D4A">
        <w:rPr>
          <w:rFonts w:ascii="Arial" w:eastAsia="Times New Roman" w:hAnsi="Arial" w:cs="Arial"/>
        </w:rPr>
        <w:t>Blaiklock</w:t>
      </w:r>
      <w:proofErr w:type="spellEnd"/>
      <w:r w:rsidRPr="00EA0D4A">
        <w:rPr>
          <w:rFonts w:ascii="Arial" w:eastAsia="Times New Roman" w:hAnsi="Arial" w:cs="Arial"/>
        </w:rPr>
        <w:t>, 2010).  </w:t>
      </w:r>
    </w:p>
    <w:p w14:paraId="289672D0" w14:textId="77777777" w:rsidR="00EA0D4A" w:rsidRPr="00EA0D4A" w:rsidRDefault="00EA0D4A" w:rsidP="00427653">
      <w:pPr>
        <w:spacing w:after="160" w:line="360" w:lineRule="auto"/>
        <w:jc w:val="both"/>
        <w:textAlignment w:val="baseline"/>
        <w:rPr>
          <w:rFonts w:ascii="Segoe UI" w:eastAsia="Times New Roman" w:hAnsi="Segoe UI" w:cs="Segoe UI"/>
          <w:sz w:val="18"/>
          <w:szCs w:val="18"/>
        </w:rPr>
      </w:pPr>
      <w:r w:rsidRPr="00EA0D4A">
        <w:rPr>
          <w:rFonts w:ascii="Arial" w:eastAsia="Times New Roman" w:hAnsi="Arial" w:cs="Arial"/>
        </w:rPr>
        <w:t>Similarly, Maynard </w:t>
      </w:r>
      <w:r w:rsidRPr="00EA0D4A">
        <w:rPr>
          <w:rFonts w:ascii="Arial" w:eastAsia="Times New Roman" w:hAnsi="Arial" w:cs="Arial"/>
          <w:i/>
          <w:iCs/>
        </w:rPr>
        <w:t>et al</w:t>
      </w:r>
      <w:r w:rsidRPr="00EA0D4A">
        <w:rPr>
          <w:rFonts w:ascii="Arial" w:eastAsia="Times New Roman" w:hAnsi="Arial" w:cs="Arial"/>
        </w:rPr>
        <w:t>. (2010) recognises that children’s well-being is fundamental to the Foundation phase pedagogy and much like the learning story assessments of </w:t>
      </w:r>
      <w:proofErr w:type="spellStart"/>
      <w:r w:rsidRPr="00EA0D4A">
        <w:rPr>
          <w:rFonts w:ascii="Arial" w:eastAsia="Times New Roman" w:hAnsi="Arial" w:cs="Arial"/>
        </w:rPr>
        <w:t>Te</w:t>
      </w:r>
      <w:proofErr w:type="spellEnd"/>
      <w:r w:rsidRPr="00EA0D4A">
        <w:rPr>
          <w:rFonts w:ascii="Arial" w:eastAsia="Times New Roman" w:hAnsi="Arial" w:cs="Arial"/>
        </w:rPr>
        <w:t> </w:t>
      </w:r>
      <w:proofErr w:type="spellStart"/>
      <w:r w:rsidRPr="00EA0D4A">
        <w:rPr>
          <w:rFonts w:ascii="Arial" w:eastAsia="Times New Roman" w:hAnsi="Arial" w:cs="Arial"/>
        </w:rPr>
        <w:t>Whariki</w:t>
      </w:r>
      <w:proofErr w:type="spellEnd"/>
      <w:r w:rsidRPr="00EA0D4A">
        <w:rPr>
          <w:rFonts w:ascii="Arial" w:eastAsia="Times New Roman" w:hAnsi="Arial" w:cs="Arial"/>
        </w:rPr>
        <w:t>, this is supported when children are able to actively participate in their learning, assessments and decisions that affect them. Likewise, the importance of this is reiterated in article three of t</w:t>
      </w:r>
      <w:r w:rsidRPr="00EA0D4A">
        <w:rPr>
          <w:rFonts w:ascii="Arial" w:eastAsia="Times New Roman" w:hAnsi="Arial" w:cs="Arial"/>
          <w:color w:val="1E1E1E"/>
        </w:rPr>
        <w:t>he United Nations Convention on the Rights of the Child (</w:t>
      </w:r>
      <w:proofErr w:type="spellStart"/>
      <w:r w:rsidRPr="00EA0D4A">
        <w:rPr>
          <w:rFonts w:ascii="Arial" w:eastAsia="Times New Roman" w:hAnsi="Arial" w:cs="Arial"/>
          <w:color w:val="1E1E1E"/>
        </w:rPr>
        <w:t>Unicef</w:t>
      </w:r>
      <w:proofErr w:type="spellEnd"/>
      <w:r w:rsidRPr="00EA0D4A">
        <w:rPr>
          <w:rFonts w:ascii="Arial" w:eastAsia="Times New Roman" w:hAnsi="Arial" w:cs="Arial"/>
          <w:color w:val="1E1E1E"/>
        </w:rPr>
        <w:t>, 2010). </w:t>
      </w:r>
      <w:r w:rsidRPr="00EA0D4A">
        <w:rPr>
          <w:rFonts w:ascii="Arial" w:eastAsia="Times New Roman" w:hAnsi="Arial" w:cs="Arial"/>
        </w:rPr>
        <w:t>Therefore, Maynard </w:t>
      </w:r>
      <w:r w:rsidRPr="00EA0D4A">
        <w:rPr>
          <w:rFonts w:ascii="Arial" w:eastAsia="Times New Roman" w:hAnsi="Arial" w:cs="Arial"/>
          <w:i/>
          <w:iCs/>
        </w:rPr>
        <w:t>et al.</w:t>
      </w:r>
      <w:r w:rsidRPr="00EA0D4A">
        <w:rPr>
          <w:rFonts w:ascii="Arial" w:eastAsia="Times New Roman" w:hAnsi="Arial" w:cs="Arial"/>
        </w:rPr>
        <w:t> (2010) believe that when early years practitioners in Wales involve children in their own learning and self-assessment, they will further improve learning, and support children to understand how they can improve on what they can already do (Welsh Government, 2017a). Which, according to La Paro, Hamre and </w:t>
      </w:r>
      <w:proofErr w:type="spellStart"/>
      <w:r w:rsidRPr="00EA0D4A">
        <w:rPr>
          <w:rFonts w:ascii="Arial" w:eastAsia="Times New Roman" w:hAnsi="Arial" w:cs="Arial"/>
        </w:rPr>
        <w:t>Pianta</w:t>
      </w:r>
      <w:proofErr w:type="spellEnd"/>
      <w:r w:rsidRPr="00EA0D4A">
        <w:rPr>
          <w:rFonts w:ascii="Arial" w:eastAsia="Times New Roman" w:hAnsi="Arial" w:cs="Arial"/>
        </w:rPr>
        <w:t> (2012 cited in </w:t>
      </w:r>
      <w:proofErr w:type="spellStart"/>
      <w:r w:rsidRPr="00EA0D4A">
        <w:rPr>
          <w:rFonts w:ascii="Arial" w:eastAsia="Times New Roman" w:hAnsi="Arial" w:cs="Arial"/>
        </w:rPr>
        <w:t>Perren</w:t>
      </w:r>
      <w:proofErr w:type="spellEnd"/>
      <w:r w:rsidRPr="00EA0D4A">
        <w:rPr>
          <w:rFonts w:ascii="Arial" w:eastAsia="Times New Roman" w:hAnsi="Arial" w:cs="Arial"/>
        </w:rPr>
        <w:t> </w:t>
      </w:r>
      <w:r w:rsidRPr="00EA0D4A">
        <w:rPr>
          <w:rFonts w:ascii="Arial" w:eastAsia="Times New Roman" w:hAnsi="Arial" w:cs="Arial"/>
          <w:i/>
          <w:iCs/>
        </w:rPr>
        <w:t>et al</w:t>
      </w:r>
      <w:r w:rsidRPr="00EA0D4A">
        <w:rPr>
          <w:rFonts w:ascii="Arial" w:eastAsia="Times New Roman" w:hAnsi="Arial" w:cs="Arial"/>
        </w:rPr>
        <w:t xml:space="preserve">., 2017) can be achieved when practitioners value children’s perspectives and provide high quality feedback. Furthermore, Black and </w:t>
      </w:r>
      <w:proofErr w:type="spellStart"/>
      <w:r w:rsidRPr="00EA0D4A">
        <w:rPr>
          <w:rFonts w:ascii="Arial" w:eastAsia="Times New Roman" w:hAnsi="Arial" w:cs="Arial"/>
        </w:rPr>
        <w:t>Wiliam</w:t>
      </w:r>
      <w:proofErr w:type="spellEnd"/>
      <w:r w:rsidRPr="00EA0D4A">
        <w:rPr>
          <w:rFonts w:ascii="Arial" w:eastAsia="Times New Roman" w:hAnsi="Arial" w:cs="Arial"/>
        </w:rPr>
        <w:t xml:space="preserve"> (1998 cited in Aubrey and Riley, 2019) believe that feedback given to children should ideally occur at the time of the event </w:t>
      </w:r>
      <w:r w:rsidRPr="00EA0D4A">
        <w:rPr>
          <w:rFonts w:ascii="Arial" w:eastAsia="Times New Roman" w:hAnsi="Arial" w:cs="Arial"/>
        </w:rPr>
        <w:lastRenderedPageBreak/>
        <w:t>and recognise the quality of children’s work, while providing positive advice, sharing ideas and more importantly, questioning on how or where they could improve. This Vygotskian approach of scaffolding, according to Howard </w:t>
      </w:r>
      <w:r w:rsidRPr="00EA0D4A">
        <w:rPr>
          <w:rFonts w:ascii="Arial" w:eastAsia="Times New Roman" w:hAnsi="Arial" w:cs="Arial"/>
          <w:i/>
          <w:iCs/>
        </w:rPr>
        <w:t>et al. </w:t>
      </w:r>
      <w:r w:rsidRPr="00EA0D4A">
        <w:rPr>
          <w:rFonts w:ascii="Arial" w:eastAsia="Times New Roman" w:hAnsi="Arial" w:cs="Arial"/>
        </w:rPr>
        <w:t>(2018), extends children’s critical thinking, reasoning, and problem-solving skills and leads to better future outcomes for children (Waters, 2016). Furthermore, Wood (2013) suggests that adult and child discussions and reflections during activities enable practitioners to regard and interpret children’s intentions and meanings, and gain an understanding of children’s holistic development, both informing practitioners and supporting assessment (Brodie, 2014). </w:t>
      </w:r>
    </w:p>
    <w:p w14:paraId="61CB0C32" w14:textId="77777777" w:rsidR="00727016" w:rsidRDefault="00EA0D4A" w:rsidP="00427653">
      <w:pPr>
        <w:spacing w:after="160" w:line="360" w:lineRule="auto"/>
        <w:jc w:val="both"/>
        <w:textAlignment w:val="baseline"/>
        <w:rPr>
          <w:rFonts w:ascii="Arial" w:eastAsia="Times New Roman" w:hAnsi="Arial" w:cs="Arial"/>
        </w:rPr>
      </w:pPr>
      <w:r w:rsidRPr="00EA0D4A">
        <w:rPr>
          <w:rFonts w:ascii="Arial" w:eastAsia="Times New Roman" w:hAnsi="Arial" w:cs="Arial"/>
        </w:rPr>
        <w:t>The Welsh Government (2015) recognise that all children are unique in their own way and develop and learn new skills at their own rate and time, and therefore require practitioners to assess and plan for children’s learning to suit the needs of individual children, through differentiation and an understanding of the stages each child is at (Welsh Government, 2015). Additionally, the Welsh Government (2017a) suggest that practitioners can adapt the way they assess to suit the needs of the settings, in order to gather evidence of children’s abilities and plan accordingly. Moreover,</w:t>
      </w:r>
      <w:r w:rsidR="000741BF">
        <w:rPr>
          <w:rFonts w:ascii="Arial" w:eastAsia="Times New Roman" w:hAnsi="Arial" w:cs="Arial"/>
        </w:rPr>
        <w:t xml:space="preserve"> </w:t>
      </w:r>
      <w:r w:rsidRPr="00EA0D4A">
        <w:rPr>
          <w:rFonts w:ascii="Arial" w:eastAsia="Times New Roman" w:hAnsi="Arial" w:cs="Arial"/>
        </w:rPr>
        <w:t>Tierney (2013) believes that to ensure equality in the setting, practitioners should provide all children with the same tasks and challenges, however, by adapting and differentiating the difficulty of the same task, equity is created. According to Welsh</w:t>
      </w:r>
      <w:r w:rsidR="00140F64">
        <w:rPr>
          <w:rFonts w:ascii="Arial" w:eastAsia="Times New Roman" w:hAnsi="Arial" w:cs="Arial"/>
        </w:rPr>
        <w:t xml:space="preserve"> </w:t>
      </w:r>
      <w:r w:rsidRPr="00EA0D4A">
        <w:rPr>
          <w:rFonts w:ascii="Arial" w:eastAsia="Times New Roman" w:hAnsi="Arial" w:cs="Arial"/>
        </w:rPr>
        <w:t>Government (2015) the national curriculum of Wales aims to provide a fully inclusive education for all children, with the ambition to ensure that all children reach their individual potential, regardless of their age, ability or circumstances. The Welsh</w:t>
      </w:r>
      <w:r w:rsidR="00140F64">
        <w:rPr>
          <w:rFonts w:ascii="Arial" w:eastAsia="Times New Roman" w:hAnsi="Arial" w:cs="Arial"/>
        </w:rPr>
        <w:t xml:space="preserve"> </w:t>
      </w:r>
      <w:r w:rsidRPr="00EA0D4A">
        <w:rPr>
          <w:rFonts w:ascii="Arial" w:eastAsia="Times New Roman" w:hAnsi="Arial" w:cs="Arial"/>
        </w:rPr>
        <w:t>Government (2019) recognise that this includes supporting practitioners and settings</w:t>
      </w:r>
      <w:r w:rsidR="00140F64">
        <w:rPr>
          <w:rFonts w:ascii="Arial" w:eastAsia="Times New Roman" w:hAnsi="Arial" w:cs="Arial"/>
        </w:rPr>
        <w:t xml:space="preserve"> </w:t>
      </w:r>
      <w:r w:rsidRPr="00EA0D4A">
        <w:rPr>
          <w:rFonts w:ascii="Arial" w:eastAsia="Times New Roman" w:hAnsi="Arial" w:cs="Arial"/>
        </w:rPr>
        <w:t>to strengthen their knowledge and understanding of the principles and procedures of assessing children’s learning. Particularly, as Donaldson (2015) recognised som</w:t>
      </w:r>
      <w:r w:rsidR="00140F64">
        <w:rPr>
          <w:rFonts w:ascii="Arial" w:eastAsia="Times New Roman" w:hAnsi="Arial" w:cs="Arial"/>
        </w:rPr>
        <w:t xml:space="preserve">e </w:t>
      </w:r>
      <w:r w:rsidRPr="00EA0D4A">
        <w:rPr>
          <w:rFonts w:ascii="Arial" w:eastAsia="Times New Roman" w:hAnsi="Arial" w:cs="Arial"/>
        </w:rPr>
        <w:t>weaknesses in the current assessment frameworks and arrangements in Wales, in regard to practitioners understanding of the assessment for learning approach.</w:t>
      </w:r>
      <w:r w:rsidR="00140F64">
        <w:rPr>
          <w:rFonts w:ascii="Arial" w:eastAsia="Times New Roman" w:hAnsi="Arial" w:cs="Arial"/>
        </w:rPr>
        <w:t xml:space="preserve"> </w:t>
      </w:r>
      <w:r w:rsidRPr="00EA0D4A">
        <w:rPr>
          <w:rFonts w:ascii="Arial" w:eastAsia="Times New Roman" w:hAnsi="Arial" w:cs="Arial"/>
        </w:rPr>
        <w:t>Notably, Estyn (2013b; Hill, 2013 cited in OECD, 2014) state that there is a differentiation in what practitioners observe and assess, with some describing the actions of children and others, understanding the skills achieved. Therefore, Donaldson (2015) suggests that where possible, practitioners should work together to agree on standards and moderate results, to improve the reliability of the overall outcomes. </w:t>
      </w:r>
    </w:p>
    <w:p w14:paraId="44CEDC1C" w14:textId="0BD0BC0E" w:rsidR="00490817" w:rsidRDefault="00EA0D4A" w:rsidP="00427653">
      <w:pPr>
        <w:spacing w:after="160" w:line="360" w:lineRule="auto"/>
        <w:jc w:val="both"/>
        <w:textAlignment w:val="baseline"/>
        <w:rPr>
          <w:rFonts w:ascii="Arial" w:eastAsia="Times New Roman" w:hAnsi="Arial" w:cs="Arial"/>
        </w:rPr>
      </w:pPr>
      <w:r w:rsidRPr="00EA0D4A">
        <w:rPr>
          <w:rFonts w:ascii="Arial" w:eastAsia="Times New Roman" w:hAnsi="Arial" w:cs="Arial"/>
        </w:rPr>
        <w:lastRenderedPageBreak/>
        <w:t>Additionally, Donaldson (2015) states that the Welsh Government recognise the importance of providing children with high-quality feedback throughout formative assessment, which will support children to take control of their own learning. Moreover, the Welsh Government (2017b) affirm that the newly reformed curriculum</w:t>
      </w:r>
      <w:r w:rsidR="00140F64">
        <w:rPr>
          <w:rFonts w:ascii="Arial" w:eastAsia="Times New Roman" w:hAnsi="Arial" w:cs="Arial"/>
        </w:rPr>
        <w:t xml:space="preserve"> </w:t>
      </w:r>
      <w:r w:rsidRPr="00EA0D4A">
        <w:rPr>
          <w:rFonts w:ascii="Arial" w:eastAsia="Times New Roman" w:hAnsi="Arial" w:cs="Arial"/>
        </w:rPr>
        <w:t>and assessment arrangements being implemented in Wales, aim to place the well-being, emotional resilience and individuality of all children at the forefront of education. Equally important, the Welsh Government (2020b) maintain their support in enabling practitioners to not simply teach but to understand how they teach and more importantly, why.</w:t>
      </w:r>
    </w:p>
    <w:p w14:paraId="49BE7634" w14:textId="589770CA" w:rsidR="001D36B8" w:rsidRDefault="001D36B8" w:rsidP="00427653">
      <w:pPr>
        <w:spacing w:after="160" w:line="360" w:lineRule="auto"/>
        <w:jc w:val="both"/>
        <w:textAlignment w:val="baseline"/>
        <w:rPr>
          <w:rFonts w:ascii="Arial" w:eastAsia="Times New Roman" w:hAnsi="Arial" w:cs="Arial"/>
        </w:rPr>
        <w:sectPr w:rsidR="001D36B8" w:rsidSect="002750B7">
          <w:headerReference w:type="default" r:id="rId10"/>
          <w:pgSz w:w="11900" w:h="16840"/>
          <w:pgMar w:top="1440" w:right="1440" w:bottom="1440" w:left="1440" w:header="284" w:footer="340" w:gutter="0"/>
          <w:pgNumType w:start="7"/>
          <w:cols w:space="708"/>
          <w:docGrid w:linePitch="360"/>
        </w:sectPr>
      </w:pPr>
    </w:p>
    <w:p w14:paraId="5B087AD2" w14:textId="67729CC1" w:rsidR="001D36B8" w:rsidRDefault="00631923" w:rsidP="00427653">
      <w:pPr>
        <w:spacing w:after="160" w:line="360" w:lineRule="auto"/>
        <w:jc w:val="both"/>
        <w:textAlignment w:val="baseline"/>
        <w:rPr>
          <w:rFonts w:ascii="Arial" w:eastAsia="Times New Roman" w:hAnsi="Arial" w:cs="Arial"/>
          <w:sz w:val="28"/>
          <w:szCs w:val="28"/>
        </w:rPr>
      </w:pPr>
      <w:r w:rsidRPr="00631923">
        <w:rPr>
          <w:rFonts w:ascii="Arial" w:eastAsia="Times New Roman" w:hAnsi="Arial" w:cs="Arial"/>
          <w:noProof/>
          <w:sz w:val="28"/>
          <w:szCs w:val="28"/>
        </w:rPr>
        <w:lastRenderedPageBreak/>
        <w:drawing>
          <wp:anchor distT="0" distB="0" distL="114300" distR="114300" simplePos="0" relativeHeight="251658240" behindDoc="1" locked="0" layoutInCell="1" allowOverlap="1" wp14:anchorId="1FF4605A" wp14:editId="2D2BAFBA">
            <wp:simplePos x="0" y="0"/>
            <wp:positionH relativeFrom="column">
              <wp:posOffset>-84455</wp:posOffset>
            </wp:positionH>
            <wp:positionV relativeFrom="paragraph">
              <wp:posOffset>405305</wp:posOffset>
            </wp:positionV>
            <wp:extent cx="5906770" cy="3195320"/>
            <wp:effectExtent l="0" t="0" r="0" b="5080"/>
            <wp:wrapTight wrapText="bothSides">
              <wp:wrapPolygon edited="0">
                <wp:start x="0" y="0"/>
                <wp:lineTo x="0" y="21548"/>
                <wp:lineTo x="21549" y="21548"/>
                <wp:lineTo x="21549" y="0"/>
                <wp:lineTo x="0" y="0"/>
              </wp:wrapPolygon>
            </wp:wrapTight>
            <wp:docPr id="1" name="Picture 1" descr="/var/folders/5f/z_p4_381605gnxt76j6v10b80000gn/T/com.microsoft.Word/Content.MSO/6612B20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ar/folders/5f/z_p4_381605gnxt76j6v10b80000gn/T/com.microsoft.Word/Content.MSO/6612B204.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06770" cy="31953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31923">
        <w:rPr>
          <w:rFonts w:ascii="Arial" w:eastAsia="Times New Roman" w:hAnsi="Arial" w:cs="Arial"/>
          <w:sz w:val="28"/>
          <w:szCs w:val="28"/>
        </w:rPr>
        <w:t xml:space="preserve">Let </w:t>
      </w:r>
      <w:r w:rsidR="003B5E97">
        <w:rPr>
          <w:rFonts w:ascii="Arial" w:eastAsia="Times New Roman" w:hAnsi="Arial" w:cs="Arial"/>
          <w:sz w:val="28"/>
          <w:szCs w:val="28"/>
        </w:rPr>
        <w:t xml:space="preserve">the </w:t>
      </w:r>
      <w:r w:rsidR="00102FC9">
        <w:rPr>
          <w:rFonts w:ascii="Arial" w:eastAsia="Times New Roman" w:hAnsi="Arial" w:cs="Arial"/>
          <w:sz w:val="28"/>
          <w:szCs w:val="28"/>
        </w:rPr>
        <w:t>c</w:t>
      </w:r>
      <w:r w:rsidR="003B5E97">
        <w:rPr>
          <w:rFonts w:ascii="Arial" w:eastAsia="Times New Roman" w:hAnsi="Arial" w:cs="Arial"/>
          <w:sz w:val="28"/>
          <w:szCs w:val="28"/>
        </w:rPr>
        <w:t>hildren</w:t>
      </w:r>
      <w:r w:rsidRPr="00631923">
        <w:rPr>
          <w:rFonts w:ascii="Arial" w:eastAsia="Times New Roman" w:hAnsi="Arial" w:cs="Arial"/>
          <w:sz w:val="28"/>
          <w:szCs w:val="28"/>
        </w:rPr>
        <w:t xml:space="preserve"> </w:t>
      </w:r>
      <w:r w:rsidR="00102FC9">
        <w:rPr>
          <w:rFonts w:ascii="Arial" w:eastAsia="Times New Roman" w:hAnsi="Arial" w:cs="Arial"/>
          <w:sz w:val="28"/>
          <w:szCs w:val="28"/>
        </w:rPr>
        <w:t>o</w:t>
      </w:r>
      <w:r w:rsidRPr="00631923">
        <w:rPr>
          <w:rFonts w:ascii="Arial" w:eastAsia="Times New Roman" w:hAnsi="Arial" w:cs="Arial"/>
          <w:sz w:val="28"/>
          <w:szCs w:val="28"/>
        </w:rPr>
        <w:t>ut</w:t>
      </w:r>
      <w:r w:rsidR="003B5E97">
        <w:rPr>
          <w:rFonts w:ascii="Arial" w:eastAsia="Times New Roman" w:hAnsi="Arial" w:cs="Arial"/>
          <w:sz w:val="28"/>
          <w:szCs w:val="28"/>
        </w:rPr>
        <w:t xml:space="preserve"> to play</w:t>
      </w:r>
      <w:r w:rsidRPr="00631923">
        <w:rPr>
          <w:rFonts w:ascii="Arial" w:eastAsia="Times New Roman" w:hAnsi="Arial" w:cs="Arial"/>
          <w:sz w:val="28"/>
          <w:szCs w:val="28"/>
        </w:rPr>
        <w:t>!</w:t>
      </w:r>
    </w:p>
    <w:p w14:paraId="26997EA2" w14:textId="062AA435" w:rsidR="00631923" w:rsidRDefault="001D36B8" w:rsidP="00631923">
      <w:pPr>
        <w:rPr>
          <w:rFonts w:ascii="Arial" w:eastAsia="Times New Roman" w:hAnsi="Arial" w:cs="Arial"/>
        </w:rPr>
      </w:pPr>
      <w:r w:rsidRPr="00E45177">
        <w:rPr>
          <w:rFonts w:ascii="Arial" w:eastAsia="Times New Roman" w:hAnsi="Arial" w:cs="Arial"/>
          <w:noProof/>
        </w:rPr>
        <w:drawing>
          <wp:inline distT="0" distB="0" distL="0" distR="0" wp14:anchorId="2CEA3476" wp14:editId="2FEB56FA">
            <wp:extent cx="1605280" cy="189186"/>
            <wp:effectExtent l="0" t="0" r="0" b="1905"/>
            <wp:docPr id="2" name="Picture 2" descr="/var/folders/5f/z_p4_381605gnxt76j6v10b80000gn/T/com.microsoft.Word/Content.MSO/3FC2200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5f/z_p4_381605gnxt76j6v10b80000gn/T/com.microsoft.Word/Content.MSO/3FC22006.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96331" cy="199917"/>
                    </a:xfrm>
                    <a:prstGeom prst="rect">
                      <a:avLst/>
                    </a:prstGeom>
                    <a:noFill/>
                    <a:ln>
                      <a:noFill/>
                    </a:ln>
                  </pic:spPr>
                </pic:pic>
              </a:graphicData>
            </a:graphic>
          </wp:inline>
        </w:drawing>
      </w:r>
    </w:p>
    <w:p w14:paraId="42273283" w14:textId="6DAE120D" w:rsidR="00631923" w:rsidRDefault="00631923" w:rsidP="00631923">
      <w:pPr>
        <w:rPr>
          <w:rFonts w:ascii="Arial" w:eastAsia="Times New Roman" w:hAnsi="Arial" w:cs="Arial"/>
        </w:rPr>
      </w:pPr>
    </w:p>
    <w:p w14:paraId="445637EE" w14:textId="0CB89844"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t>Improved physical and mental well-being, better social and physical development and</w:t>
      </w:r>
      <w:r w:rsidR="005F0D13">
        <w:rPr>
          <w:rFonts w:ascii="Arial" w:eastAsia="Times New Roman" w:hAnsi="Arial" w:cs="Arial"/>
        </w:rPr>
        <w:t xml:space="preserve"> </w:t>
      </w:r>
      <w:r w:rsidRPr="002A17FD">
        <w:rPr>
          <w:rFonts w:ascii="Arial" w:eastAsia="Times New Roman" w:hAnsi="Arial" w:cs="Arial"/>
        </w:rPr>
        <w:t>an increase in emotional resilience. These are just some of the recognised benefits</w:t>
      </w:r>
      <w:r w:rsidR="005F0D13">
        <w:rPr>
          <w:rFonts w:ascii="Arial" w:eastAsia="Times New Roman" w:hAnsi="Arial" w:cs="Arial"/>
        </w:rPr>
        <w:t xml:space="preserve"> </w:t>
      </w:r>
      <w:r w:rsidRPr="002A17FD">
        <w:rPr>
          <w:rFonts w:ascii="Arial" w:eastAsia="Times New Roman" w:hAnsi="Arial" w:cs="Arial"/>
        </w:rPr>
        <w:t>for children when playing, being and learning in the natural environment (Robertson, 2014). </w:t>
      </w:r>
    </w:p>
    <w:p w14:paraId="3AAC6CB8" w14:textId="1EEC1D5B"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t>Playing outside is certainly not a new concept. Many highly regarded theorists such as, Froebel and Steiner viewed being outdoors as significantly essential to children’s education (Davies and Hamilton, 2016). Consequently, the Welsh Government made</w:t>
      </w:r>
      <w:r w:rsidR="005F0D13">
        <w:rPr>
          <w:rFonts w:ascii="Arial" w:eastAsia="Times New Roman" w:hAnsi="Arial" w:cs="Arial"/>
        </w:rPr>
        <w:t xml:space="preserve"> </w:t>
      </w:r>
      <w:r w:rsidRPr="002A17FD">
        <w:rPr>
          <w:rFonts w:ascii="Arial" w:eastAsia="Times New Roman" w:hAnsi="Arial" w:cs="Arial"/>
        </w:rPr>
        <w:t>outdoor learning opportunities a fundamental requirement of the Foundation phase</w:t>
      </w:r>
      <w:r w:rsidR="005F0D13">
        <w:rPr>
          <w:rFonts w:ascii="Arial" w:eastAsia="Times New Roman" w:hAnsi="Arial" w:cs="Arial"/>
        </w:rPr>
        <w:t xml:space="preserve"> </w:t>
      </w:r>
      <w:r w:rsidRPr="002A17FD">
        <w:rPr>
          <w:rFonts w:ascii="Arial" w:eastAsia="Times New Roman" w:hAnsi="Arial" w:cs="Arial"/>
        </w:rPr>
        <w:t>early education in Wales (</w:t>
      </w:r>
      <w:proofErr w:type="spellStart"/>
      <w:r w:rsidRPr="002A17FD">
        <w:rPr>
          <w:rFonts w:ascii="Arial" w:eastAsia="Times New Roman" w:hAnsi="Arial" w:cs="Arial"/>
        </w:rPr>
        <w:t>Bilton</w:t>
      </w:r>
      <w:proofErr w:type="spellEnd"/>
      <w:r w:rsidRPr="002A17FD">
        <w:rPr>
          <w:rFonts w:ascii="Arial" w:eastAsia="Times New Roman" w:hAnsi="Arial" w:cs="Arial"/>
        </w:rPr>
        <w:t> and Waters, 2016). </w:t>
      </w:r>
    </w:p>
    <w:p w14:paraId="03D39EB9" w14:textId="4EACFC74"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t>So why, as recognised by </w:t>
      </w:r>
      <w:proofErr w:type="spellStart"/>
      <w:r w:rsidRPr="002A17FD">
        <w:rPr>
          <w:rFonts w:ascii="Arial" w:eastAsia="Times New Roman" w:hAnsi="Arial" w:cs="Arial"/>
        </w:rPr>
        <w:t>MacQuarrie</w:t>
      </w:r>
      <w:proofErr w:type="spellEnd"/>
      <w:r w:rsidRPr="002A17FD">
        <w:rPr>
          <w:rFonts w:ascii="Arial" w:eastAsia="Times New Roman" w:hAnsi="Arial" w:cs="Arial"/>
        </w:rPr>
        <w:t> (2018) is there a noticeable decline in</w:t>
      </w:r>
      <w:r w:rsidR="005F0D13">
        <w:rPr>
          <w:rFonts w:ascii="Arial" w:eastAsia="Times New Roman" w:hAnsi="Arial" w:cs="Arial"/>
        </w:rPr>
        <w:t xml:space="preserve"> </w:t>
      </w:r>
      <w:r w:rsidRPr="002A17FD">
        <w:rPr>
          <w:rFonts w:ascii="Arial" w:eastAsia="Times New Roman" w:hAnsi="Arial" w:cs="Arial"/>
        </w:rPr>
        <w:t>opportunities for outdoor play?  </w:t>
      </w:r>
    </w:p>
    <w:p w14:paraId="687CC472" w14:textId="60CCB60B"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t>While findings from Estyn (2011) suggest that provision for outdoor learning is progressing well in many schools, there is still significant variation among settings, where some children have very limited or basic opportunities to meaningfully explore the natural environment.  </w:t>
      </w:r>
    </w:p>
    <w:p w14:paraId="15892DD2" w14:textId="77777777" w:rsidR="002A17FD" w:rsidRPr="002A17FD" w:rsidRDefault="002A17FD" w:rsidP="002A17FD">
      <w:pPr>
        <w:spacing w:after="160" w:line="360" w:lineRule="auto"/>
        <w:jc w:val="both"/>
        <w:textAlignment w:val="baseline"/>
        <w:rPr>
          <w:rFonts w:ascii="Segoe UI" w:eastAsia="Times New Roman" w:hAnsi="Segoe UI" w:cs="Segoe UI"/>
          <w:sz w:val="18"/>
          <w:szCs w:val="18"/>
        </w:rPr>
      </w:pPr>
      <w:r w:rsidRPr="002A17FD">
        <w:rPr>
          <w:rFonts w:ascii="Arial" w:eastAsia="Times New Roman" w:hAnsi="Arial" w:cs="Arial"/>
        </w:rPr>
        <w:t>The reasons for the lack of time spent outdoors widely differ.  </w:t>
      </w:r>
    </w:p>
    <w:p w14:paraId="4AAF940D" w14:textId="0CBFD8DD"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lastRenderedPageBreak/>
        <w:t>Ernst (2014) suggests the educational perspectives and beliefs of practitioners determine the amount and more importantly, the quality of the outdoor provision.</w:t>
      </w:r>
      <w:r w:rsidR="002750B7">
        <w:rPr>
          <w:rFonts w:ascii="Arial" w:eastAsia="Times New Roman" w:hAnsi="Arial" w:cs="Arial"/>
        </w:rPr>
        <w:t xml:space="preserve"> </w:t>
      </w:r>
      <w:r w:rsidRPr="002A17FD">
        <w:rPr>
          <w:rFonts w:ascii="Arial" w:eastAsia="Times New Roman" w:hAnsi="Arial" w:cs="Arial"/>
        </w:rPr>
        <w:t>Many practitioners state that the weather plays a significant role in whether children go outside or not, particularly rain (</w:t>
      </w:r>
      <w:proofErr w:type="spellStart"/>
      <w:r w:rsidRPr="002A17FD">
        <w:rPr>
          <w:rFonts w:ascii="Arial" w:eastAsia="Times New Roman" w:hAnsi="Arial" w:cs="Arial"/>
        </w:rPr>
        <w:t>Fruin</w:t>
      </w:r>
      <w:proofErr w:type="spellEnd"/>
      <w:r w:rsidRPr="002A17FD">
        <w:rPr>
          <w:rFonts w:ascii="Arial" w:eastAsia="Times New Roman" w:hAnsi="Arial" w:cs="Arial"/>
        </w:rPr>
        <w:t>, 2020).  </w:t>
      </w:r>
    </w:p>
    <w:p w14:paraId="4CCF8A7E" w14:textId="1DD94B25"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t>On rainy days most set school yard ‘playtimes’ become indoor time, with children</w:t>
      </w:r>
      <w:r w:rsidR="002750B7">
        <w:rPr>
          <w:rFonts w:ascii="Arial" w:eastAsia="Times New Roman" w:hAnsi="Arial" w:cs="Arial"/>
        </w:rPr>
        <w:t xml:space="preserve"> </w:t>
      </w:r>
      <w:r w:rsidRPr="002A17FD">
        <w:rPr>
          <w:rFonts w:ascii="Arial" w:eastAsia="Times New Roman" w:hAnsi="Arial" w:cs="Arial"/>
        </w:rPr>
        <w:t>often sat watching a movie. Consequently, with an increased interest in media and technology at home and families driving to school (</w:t>
      </w:r>
      <w:proofErr w:type="spellStart"/>
      <w:r w:rsidRPr="002A17FD">
        <w:rPr>
          <w:rFonts w:ascii="Arial" w:eastAsia="Times New Roman" w:hAnsi="Arial" w:cs="Arial"/>
        </w:rPr>
        <w:t>Bilton</w:t>
      </w:r>
      <w:proofErr w:type="spellEnd"/>
      <w:r w:rsidRPr="002A17FD">
        <w:rPr>
          <w:rFonts w:ascii="Arial" w:eastAsia="Times New Roman" w:hAnsi="Arial" w:cs="Arial"/>
        </w:rPr>
        <w:t>,</w:t>
      </w:r>
      <w:r w:rsidR="00F62190">
        <w:rPr>
          <w:rFonts w:ascii="Arial" w:eastAsia="Times New Roman" w:hAnsi="Arial" w:cs="Arial"/>
        </w:rPr>
        <w:t xml:space="preserve"> </w:t>
      </w:r>
      <w:r w:rsidRPr="002A17FD">
        <w:rPr>
          <w:rFonts w:ascii="Arial" w:eastAsia="Times New Roman" w:hAnsi="Arial" w:cs="Arial"/>
        </w:rPr>
        <w:t>2010), </w:t>
      </w:r>
      <w:proofErr w:type="spellStart"/>
      <w:r w:rsidRPr="002A17FD">
        <w:rPr>
          <w:rFonts w:ascii="Arial" w:eastAsia="Times New Roman" w:hAnsi="Arial" w:cs="Arial"/>
        </w:rPr>
        <w:t>Boffey</w:t>
      </w:r>
      <w:proofErr w:type="spellEnd"/>
      <w:r w:rsidRPr="002A17FD">
        <w:rPr>
          <w:rFonts w:ascii="Arial" w:eastAsia="Times New Roman" w:hAnsi="Arial" w:cs="Arial"/>
        </w:rPr>
        <w:t> (2017)</w:t>
      </w:r>
      <w:r w:rsidR="00F62190">
        <w:rPr>
          <w:rFonts w:ascii="Arial" w:eastAsia="Times New Roman" w:hAnsi="Arial" w:cs="Arial"/>
        </w:rPr>
        <w:t xml:space="preserve"> </w:t>
      </w:r>
      <w:r w:rsidRPr="002A17FD">
        <w:rPr>
          <w:rFonts w:ascii="Arial" w:eastAsia="Times New Roman" w:hAnsi="Arial" w:cs="Arial"/>
        </w:rPr>
        <w:t>contends that rainy days could result in many children not having spent any time outdoors at all. </w:t>
      </w:r>
    </w:p>
    <w:p w14:paraId="5100E076" w14:textId="77777777" w:rsidR="002A17FD" w:rsidRPr="002A17FD" w:rsidRDefault="002A17FD" w:rsidP="002A17FD">
      <w:pPr>
        <w:spacing w:after="160" w:line="360" w:lineRule="auto"/>
        <w:textAlignment w:val="baseline"/>
        <w:rPr>
          <w:rFonts w:ascii="Segoe UI" w:eastAsia="Times New Roman" w:hAnsi="Segoe UI" w:cs="Segoe UI"/>
          <w:sz w:val="18"/>
          <w:szCs w:val="18"/>
        </w:rPr>
      </w:pPr>
      <w:r w:rsidRPr="002A17FD">
        <w:rPr>
          <w:rFonts w:ascii="Arial" w:eastAsia="Times New Roman" w:hAnsi="Arial" w:cs="Arial"/>
        </w:rPr>
        <w:t>What message is this giving to children?  </w:t>
      </w:r>
    </w:p>
    <w:p w14:paraId="29AFDCCB" w14:textId="781F97B4"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t>Taking Bandura’s social cognitive theory into</w:t>
      </w:r>
      <w:r w:rsidR="007802D3">
        <w:rPr>
          <w:rFonts w:ascii="Arial" w:eastAsia="Times New Roman" w:hAnsi="Arial" w:cs="Arial"/>
        </w:rPr>
        <w:t xml:space="preserve"> </w:t>
      </w:r>
      <w:r w:rsidRPr="002A17FD">
        <w:rPr>
          <w:rFonts w:ascii="Arial" w:eastAsia="Times New Roman" w:hAnsi="Arial" w:cs="Arial"/>
        </w:rPr>
        <w:t>account, which suggests that children learn from what they observe (Aubrey and Riley, 2019). We could be inadvertently teaching children to view the rain in a negative way, when there are so many sensory benefits to be gained from experiencing the rain and seasonal weather changes, as well as learning to manage risk (Welsh Assembly Government, 2009). </w:t>
      </w:r>
    </w:p>
    <w:p w14:paraId="5AB62DFD" w14:textId="428F6CF4" w:rsidR="002A17FD" w:rsidRPr="002A17FD" w:rsidRDefault="002A17FD" w:rsidP="004A08B6">
      <w:pPr>
        <w:spacing w:after="160" w:line="360" w:lineRule="auto"/>
        <w:jc w:val="both"/>
        <w:textAlignment w:val="baseline"/>
        <w:rPr>
          <w:rFonts w:ascii="Arial" w:eastAsia="Times New Roman" w:hAnsi="Arial" w:cs="Arial"/>
        </w:rPr>
      </w:pPr>
      <w:r w:rsidRPr="002A17FD">
        <w:rPr>
          <w:rFonts w:ascii="Arial" w:eastAsia="Times New Roman" w:hAnsi="Arial" w:cs="Arial"/>
        </w:rPr>
        <w:t>A further concern noted by Ray and </w:t>
      </w:r>
      <w:proofErr w:type="spellStart"/>
      <w:r w:rsidRPr="002A17FD">
        <w:rPr>
          <w:rFonts w:ascii="Arial" w:eastAsia="Times New Roman" w:hAnsi="Arial" w:cs="Arial"/>
        </w:rPr>
        <w:t>Jakubec</w:t>
      </w:r>
      <w:proofErr w:type="spellEnd"/>
      <w:r w:rsidRPr="002A17FD">
        <w:rPr>
          <w:rFonts w:ascii="Arial" w:eastAsia="Times New Roman" w:hAnsi="Arial" w:cs="Arial"/>
        </w:rPr>
        <w:t> (2018) is that many practitioners</w:t>
      </w:r>
      <w:r w:rsidR="007563AF">
        <w:rPr>
          <w:rFonts w:ascii="Arial" w:eastAsia="Times New Roman" w:hAnsi="Arial" w:cs="Arial"/>
        </w:rPr>
        <w:t xml:space="preserve"> </w:t>
      </w:r>
      <w:r w:rsidRPr="002A17FD">
        <w:rPr>
          <w:rFonts w:ascii="Arial" w:eastAsia="Times New Roman" w:hAnsi="Arial" w:cs="Arial"/>
        </w:rPr>
        <w:t>recognise an increase in negative emotional and social behaviours when children</w:t>
      </w:r>
      <w:r w:rsidR="007563AF">
        <w:rPr>
          <w:rFonts w:ascii="Arial" w:eastAsia="Times New Roman" w:hAnsi="Arial" w:cs="Arial"/>
        </w:rPr>
        <w:t xml:space="preserve"> </w:t>
      </w:r>
      <w:r w:rsidRPr="002A17FD">
        <w:rPr>
          <w:rFonts w:ascii="Arial" w:eastAsia="Times New Roman" w:hAnsi="Arial" w:cs="Arial"/>
        </w:rPr>
        <w:t>have been restricted from going outside. Likewise, </w:t>
      </w:r>
      <w:proofErr w:type="spellStart"/>
      <w:r w:rsidRPr="002A17FD">
        <w:rPr>
          <w:rFonts w:ascii="Arial" w:eastAsia="Times New Roman" w:hAnsi="Arial" w:cs="Arial"/>
        </w:rPr>
        <w:t>Bilton</w:t>
      </w:r>
      <w:proofErr w:type="spellEnd"/>
      <w:r w:rsidRPr="002A17FD">
        <w:rPr>
          <w:rFonts w:ascii="Arial" w:eastAsia="Times New Roman" w:hAnsi="Arial" w:cs="Arial"/>
        </w:rPr>
        <w:t> and Waters (2016) note</w:t>
      </w:r>
      <w:r w:rsidR="007563AF">
        <w:rPr>
          <w:rFonts w:ascii="Arial" w:eastAsia="Times New Roman" w:hAnsi="Arial" w:cs="Arial"/>
        </w:rPr>
        <w:t xml:space="preserve">s </w:t>
      </w:r>
      <w:r w:rsidRPr="002A17FD">
        <w:rPr>
          <w:rFonts w:ascii="Arial" w:eastAsia="Times New Roman" w:hAnsi="Arial" w:cs="Arial"/>
        </w:rPr>
        <w:t>that an increase in sedentary lifestyles has seen a decrease in children’s physical and mental well-being over time. </w:t>
      </w:r>
    </w:p>
    <w:p w14:paraId="1A0F1F60" w14:textId="77777777" w:rsidR="002A17FD" w:rsidRPr="002A17FD" w:rsidRDefault="002A17FD" w:rsidP="002A17FD">
      <w:pPr>
        <w:spacing w:after="160" w:line="360" w:lineRule="auto"/>
        <w:jc w:val="both"/>
        <w:textAlignment w:val="baseline"/>
        <w:rPr>
          <w:rFonts w:ascii="Segoe UI" w:eastAsia="Times New Roman" w:hAnsi="Segoe UI" w:cs="Segoe UI"/>
          <w:sz w:val="18"/>
          <w:szCs w:val="18"/>
        </w:rPr>
      </w:pPr>
      <w:r w:rsidRPr="002A17FD">
        <w:rPr>
          <w:rFonts w:ascii="Arial" w:eastAsia="Times New Roman" w:hAnsi="Arial" w:cs="Arial"/>
        </w:rPr>
        <w:t>So, what are the children’s perspectives?  </w:t>
      </w:r>
    </w:p>
    <w:p w14:paraId="51335EE5" w14:textId="2829F2B2"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t>Well, according to Merewether (2015) most children love the freedom and space that the outdoors affords them, particularly with open-ended natural resources, which can provide opportunities for challenge and social engagement. Observing nature and pretend play were also highly valued.  </w:t>
      </w:r>
    </w:p>
    <w:p w14:paraId="3ACC59CC" w14:textId="01FED4B1"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t>Opportunities for muddy, wet play and climbing trees are often highly supervised when allowed (</w:t>
      </w:r>
      <w:proofErr w:type="spellStart"/>
      <w:r w:rsidRPr="002A17FD">
        <w:rPr>
          <w:rFonts w:ascii="Arial" w:eastAsia="Times New Roman" w:hAnsi="Arial" w:cs="Arial"/>
        </w:rPr>
        <w:t>Whitebread</w:t>
      </w:r>
      <w:proofErr w:type="spellEnd"/>
      <w:r w:rsidRPr="002A17FD">
        <w:rPr>
          <w:rFonts w:ascii="Arial" w:eastAsia="Times New Roman" w:hAnsi="Arial" w:cs="Arial"/>
        </w:rPr>
        <w:t>,</w:t>
      </w:r>
      <w:r w:rsidR="000A13FA">
        <w:rPr>
          <w:rFonts w:ascii="Arial" w:eastAsia="Times New Roman" w:hAnsi="Arial" w:cs="Arial"/>
        </w:rPr>
        <w:t xml:space="preserve"> 2012) yet </w:t>
      </w:r>
      <w:proofErr w:type="spellStart"/>
      <w:r w:rsidR="00CC44F0" w:rsidRPr="002A17FD">
        <w:rPr>
          <w:rFonts w:ascii="Arial" w:eastAsia="Times New Roman" w:hAnsi="Arial" w:cs="Arial"/>
        </w:rPr>
        <w:t>Fjørtoft</w:t>
      </w:r>
      <w:proofErr w:type="spellEnd"/>
      <w:r w:rsidR="00CC44F0" w:rsidRPr="002A17FD">
        <w:rPr>
          <w:rFonts w:ascii="Arial" w:eastAsia="Times New Roman" w:hAnsi="Arial" w:cs="Arial"/>
        </w:rPr>
        <w:t> </w:t>
      </w:r>
      <w:r w:rsidR="00CC44F0">
        <w:rPr>
          <w:rFonts w:ascii="Arial" w:eastAsia="Times New Roman" w:hAnsi="Arial" w:cs="Arial"/>
        </w:rPr>
        <w:t>(2001 cited in Knight, 2013) observed significantly</w:t>
      </w:r>
      <w:r w:rsidR="00604AC7">
        <w:rPr>
          <w:rFonts w:ascii="Arial" w:eastAsia="Times New Roman" w:hAnsi="Arial" w:cs="Arial"/>
        </w:rPr>
        <w:t xml:space="preserve"> better gross </w:t>
      </w:r>
      <w:r w:rsidRPr="002A17FD">
        <w:rPr>
          <w:rFonts w:ascii="Arial" w:eastAsia="Times New Roman" w:hAnsi="Arial" w:cs="Arial"/>
        </w:rPr>
        <w:t>motor skills, agility, balance and coordination in children who</w:t>
      </w:r>
      <w:r w:rsidR="00604AC7">
        <w:rPr>
          <w:rFonts w:ascii="Arial" w:eastAsia="Times New Roman" w:hAnsi="Arial" w:cs="Arial"/>
        </w:rPr>
        <w:t xml:space="preserve"> </w:t>
      </w:r>
      <w:r w:rsidRPr="002A17FD">
        <w:rPr>
          <w:rFonts w:ascii="Arial" w:eastAsia="Times New Roman" w:hAnsi="Arial" w:cs="Arial"/>
        </w:rPr>
        <w:t>are able to freely run, climb, explore and build for example.  </w:t>
      </w:r>
    </w:p>
    <w:p w14:paraId="4C9DC272" w14:textId="29E8CE6A"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lastRenderedPageBreak/>
        <w:t>There was a time when this free, unstructured play was a huge part of every</w:t>
      </w:r>
      <w:r w:rsidR="000A13FA">
        <w:rPr>
          <w:rFonts w:ascii="Arial" w:eastAsia="Times New Roman" w:hAnsi="Arial" w:cs="Arial"/>
        </w:rPr>
        <w:t xml:space="preserve"> </w:t>
      </w:r>
      <w:r w:rsidRPr="002A17FD">
        <w:rPr>
          <w:rFonts w:ascii="Arial" w:eastAsia="Times New Roman" w:hAnsi="Arial" w:cs="Arial"/>
        </w:rPr>
        <w:t>childhood.  </w:t>
      </w:r>
    </w:p>
    <w:p w14:paraId="5B39795D" w14:textId="0E202B40"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t>More recent times has seen a significant emphasis on safety and an increase in</w:t>
      </w:r>
      <w:r w:rsidR="00604AC7">
        <w:rPr>
          <w:rFonts w:ascii="Arial" w:eastAsia="Times New Roman" w:hAnsi="Arial" w:cs="Arial"/>
        </w:rPr>
        <w:t xml:space="preserve"> </w:t>
      </w:r>
      <w:r w:rsidRPr="002A17FD">
        <w:rPr>
          <w:rFonts w:ascii="Arial" w:eastAsia="Times New Roman" w:hAnsi="Arial" w:cs="Arial"/>
        </w:rPr>
        <w:t>evidence of children being shielded from risk</w:t>
      </w:r>
      <w:r w:rsidRPr="002A17FD">
        <w:rPr>
          <w:rFonts w:ascii="Arial" w:eastAsia="Times New Roman" w:hAnsi="Arial" w:cs="Arial"/>
          <w:sz w:val="20"/>
          <w:szCs w:val="20"/>
        </w:rPr>
        <w:t> </w:t>
      </w:r>
      <w:r w:rsidRPr="002A17FD">
        <w:rPr>
          <w:rFonts w:ascii="Arial" w:eastAsia="Times New Roman" w:hAnsi="Arial" w:cs="Arial"/>
        </w:rPr>
        <w:t>(O’Sullivan 2018). Often due to the over-exaggerated perceived dangers portrayed by the media (Welsh Government, 2014b).</w:t>
      </w:r>
      <w:r w:rsidR="00604AC7">
        <w:rPr>
          <w:rFonts w:ascii="Arial" w:eastAsia="Times New Roman" w:hAnsi="Arial" w:cs="Arial"/>
        </w:rPr>
        <w:t xml:space="preserve"> </w:t>
      </w:r>
      <w:r w:rsidRPr="002A17FD">
        <w:rPr>
          <w:rFonts w:ascii="Arial" w:eastAsia="Times New Roman" w:hAnsi="Arial" w:cs="Arial"/>
        </w:rPr>
        <w:t>There are, however, recognised consequences to this.  </w:t>
      </w:r>
    </w:p>
    <w:p w14:paraId="46F1B87B" w14:textId="61541FEA"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t>Children who do not have opportunities to experience risk at a young age could lack the knowledge and ability of how to positively deal with risky situations in later life. As</w:t>
      </w:r>
      <w:r w:rsidR="00604AC7">
        <w:rPr>
          <w:rFonts w:ascii="Arial" w:eastAsia="Times New Roman" w:hAnsi="Arial" w:cs="Arial"/>
        </w:rPr>
        <w:t xml:space="preserve"> </w:t>
      </w:r>
      <w:r w:rsidRPr="002A17FD">
        <w:rPr>
          <w:rFonts w:ascii="Arial" w:eastAsia="Times New Roman" w:hAnsi="Arial" w:cs="Arial"/>
        </w:rPr>
        <w:t>facing the challenges of risk when young, supports emotional well-being, creative thinking and problem-solving skills (</w:t>
      </w:r>
      <w:proofErr w:type="spellStart"/>
      <w:r w:rsidRPr="002A17FD">
        <w:rPr>
          <w:rFonts w:ascii="Arial" w:eastAsia="Times New Roman" w:hAnsi="Arial" w:cs="Arial"/>
        </w:rPr>
        <w:t>Yalcin</w:t>
      </w:r>
      <w:proofErr w:type="spellEnd"/>
      <w:r w:rsidRPr="002A17FD">
        <w:rPr>
          <w:rFonts w:ascii="Arial" w:eastAsia="Times New Roman" w:hAnsi="Arial" w:cs="Arial"/>
        </w:rPr>
        <w:t> and </w:t>
      </w:r>
      <w:proofErr w:type="spellStart"/>
      <w:r w:rsidRPr="002A17FD">
        <w:rPr>
          <w:rFonts w:ascii="Arial" w:eastAsia="Times New Roman" w:hAnsi="Arial" w:cs="Arial"/>
        </w:rPr>
        <w:t>Erden</w:t>
      </w:r>
      <w:proofErr w:type="spellEnd"/>
      <w:r w:rsidRPr="002A17FD">
        <w:rPr>
          <w:rFonts w:ascii="Arial" w:eastAsia="Times New Roman" w:hAnsi="Arial" w:cs="Arial"/>
        </w:rPr>
        <w:t>, 2018). </w:t>
      </w:r>
    </w:p>
    <w:p w14:paraId="423F1C67" w14:textId="77777777" w:rsidR="002A17FD" w:rsidRPr="002A17FD" w:rsidRDefault="002A17FD" w:rsidP="002A17FD">
      <w:pPr>
        <w:spacing w:after="160" w:line="360" w:lineRule="auto"/>
        <w:jc w:val="both"/>
        <w:textAlignment w:val="baseline"/>
        <w:rPr>
          <w:rFonts w:ascii="Segoe UI" w:eastAsia="Times New Roman" w:hAnsi="Segoe UI" w:cs="Segoe UI"/>
          <w:sz w:val="18"/>
          <w:szCs w:val="18"/>
        </w:rPr>
      </w:pPr>
      <w:r w:rsidRPr="002A17FD">
        <w:rPr>
          <w:rFonts w:ascii="Arial" w:eastAsia="Times New Roman" w:hAnsi="Arial" w:cs="Arial"/>
        </w:rPr>
        <w:t>Scrapes and scratches are part of growing up but children who experience diverse and challenging play opportunities outdoors, with fewer restrictions, learn to recognise their own capabilities, strengths and limits, and consequently, fewer injuries occur (O’Sullivan, 2018). </w:t>
      </w:r>
    </w:p>
    <w:p w14:paraId="0A316D78" w14:textId="74B0EC58"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t>Undoubtedly, the classroom environment rarely affords children the opportunities to develop a broad range of gross motor skills that the outdoor could. </w:t>
      </w:r>
    </w:p>
    <w:p w14:paraId="2541441A" w14:textId="77777777" w:rsidR="002A17FD" w:rsidRPr="002A17FD" w:rsidRDefault="002A17FD" w:rsidP="002A17FD">
      <w:pPr>
        <w:spacing w:after="160" w:line="360" w:lineRule="auto"/>
        <w:jc w:val="both"/>
        <w:textAlignment w:val="baseline"/>
        <w:rPr>
          <w:rFonts w:ascii="Segoe UI" w:eastAsia="Times New Roman" w:hAnsi="Segoe UI" w:cs="Segoe UI"/>
          <w:sz w:val="18"/>
          <w:szCs w:val="18"/>
        </w:rPr>
      </w:pPr>
      <w:r w:rsidRPr="002A17FD">
        <w:rPr>
          <w:rFonts w:ascii="Arial" w:eastAsia="Times New Roman" w:hAnsi="Arial" w:cs="Arial"/>
        </w:rPr>
        <w:t>So, do children learn more from hands-on, practical learning experiences? </w:t>
      </w:r>
    </w:p>
    <w:p w14:paraId="53DE5310" w14:textId="3D577FCE"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t>Estyn (2017) recognise that children achieve higher outcomes in literacy and numeracy for example, when they have opportunities to experience active and fun learning, delivered in a creative and imaginative way.  </w:t>
      </w:r>
    </w:p>
    <w:p w14:paraId="132580CE" w14:textId="77777777" w:rsidR="002A17FD" w:rsidRPr="002A17FD" w:rsidRDefault="002A17FD" w:rsidP="002A17FD">
      <w:pPr>
        <w:spacing w:after="160" w:line="360" w:lineRule="auto"/>
        <w:jc w:val="both"/>
        <w:textAlignment w:val="baseline"/>
        <w:rPr>
          <w:rFonts w:ascii="Segoe UI" w:eastAsia="Times New Roman" w:hAnsi="Segoe UI" w:cs="Segoe UI"/>
          <w:sz w:val="18"/>
          <w:szCs w:val="18"/>
        </w:rPr>
      </w:pPr>
      <w:r w:rsidRPr="002A17FD">
        <w:rPr>
          <w:rFonts w:ascii="Arial" w:eastAsia="Times New Roman" w:hAnsi="Arial" w:cs="Arial"/>
        </w:rPr>
        <w:t>There are countless ways to incorporate both literacy and numeracy and other areas of learning into the outdoors. Julia Robertson’s book</w:t>
      </w:r>
      <w:r w:rsidRPr="002A17FD">
        <w:rPr>
          <w:rFonts w:ascii="Arial" w:eastAsia="Times New Roman" w:hAnsi="Arial" w:cs="Arial"/>
          <w:color w:val="FF0000"/>
        </w:rPr>
        <w:t> </w:t>
      </w:r>
      <w:r w:rsidRPr="002A17FD">
        <w:rPr>
          <w:rFonts w:ascii="Arial" w:eastAsia="Times New Roman" w:hAnsi="Arial" w:cs="Arial"/>
        </w:rPr>
        <w:t>‘Dirty teaching’ has some fantastic ideas.  </w:t>
      </w:r>
    </w:p>
    <w:p w14:paraId="20CB1935" w14:textId="77777777" w:rsidR="002A17FD" w:rsidRPr="002A17FD" w:rsidRDefault="002A17FD" w:rsidP="002A17FD">
      <w:pPr>
        <w:spacing w:after="160" w:line="360" w:lineRule="auto"/>
        <w:jc w:val="both"/>
        <w:textAlignment w:val="baseline"/>
        <w:rPr>
          <w:rFonts w:ascii="Segoe UI" w:eastAsia="Times New Roman" w:hAnsi="Segoe UI" w:cs="Segoe UI"/>
          <w:sz w:val="18"/>
          <w:szCs w:val="18"/>
        </w:rPr>
      </w:pPr>
      <w:r w:rsidRPr="002A17FD">
        <w:rPr>
          <w:rFonts w:ascii="Arial" w:eastAsia="Times New Roman" w:hAnsi="Arial" w:cs="Arial"/>
        </w:rPr>
        <w:t>Think of a walk in the park, through grass, mud and trees, the sounds and the smells, how things feel, and studying real-life creatures as opposed to pictures in a book. Even concrete grounds can be developed by adding sand, water, soil, tyres and wood for example (Robertson, 2014).  </w:t>
      </w:r>
    </w:p>
    <w:p w14:paraId="2A92CCD7" w14:textId="77777777" w:rsidR="002A17FD" w:rsidRPr="002A17FD" w:rsidRDefault="002A17FD" w:rsidP="002A17FD">
      <w:pPr>
        <w:spacing w:after="160" w:line="360" w:lineRule="auto"/>
        <w:jc w:val="both"/>
        <w:textAlignment w:val="baseline"/>
        <w:rPr>
          <w:rFonts w:ascii="Segoe UI" w:eastAsia="Times New Roman" w:hAnsi="Segoe UI" w:cs="Segoe UI"/>
          <w:sz w:val="18"/>
          <w:szCs w:val="18"/>
        </w:rPr>
      </w:pPr>
      <w:r w:rsidRPr="002A17FD">
        <w:rPr>
          <w:rFonts w:ascii="Arial" w:eastAsia="Times New Roman" w:hAnsi="Arial" w:cs="Arial"/>
        </w:rPr>
        <w:t>Children are often far more likely to become motivated, engaged and involved when learning is active and experiential (Estyn, 2017) and motivated children have a desire to learn, which in turn leads to success (Davis and Hamilton, 2016). </w:t>
      </w:r>
    </w:p>
    <w:p w14:paraId="5CC90BA0" w14:textId="77CAA1F3"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lastRenderedPageBreak/>
        <w:t>With children being naturally curious and</w:t>
      </w:r>
      <w:r w:rsidR="00604AC7">
        <w:rPr>
          <w:rFonts w:ascii="Arial" w:eastAsia="Times New Roman" w:hAnsi="Arial" w:cs="Arial"/>
        </w:rPr>
        <w:t xml:space="preserve"> </w:t>
      </w:r>
      <w:r w:rsidRPr="002A17FD">
        <w:rPr>
          <w:rFonts w:ascii="Arial" w:eastAsia="Times New Roman" w:hAnsi="Arial" w:cs="Arial"/>
        </w:rPr>
        <w:t>inquisitive (Waters, 2016) nature is an exemplary way to inspire their learning.  </w:t>
      </w:r>
    </w:p>
    <w:p w14:paraId="27CFE9D2" w14:textId="1B2FB2F6"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t>Ray and </w:t>
      </w:r>
      <w:proofErr w:type="spellStart"/>
      <w:r w:rsidRPr="002A17FD">
        <w:rPr>
          <w:rFonts w:ascii="Arial" w:eastAsia="Times New Roman" w:hAnsi="Arial" w:cs="Arial"/>
        </w:rPr>
        <w:t>Jakubee</w:t>
      </w:r>
      <w:proofErr w:type="spellEnd"/>
      <w:r w:rsidRPr="002A17FD">
        <w:rPr>
          <w:rFonts w:ascii="Arial" w:eastAsia="Times New Roman" w:hAnsi="Arial" w:cs="Arial"/>
        </w:rPr>
        <w:t> (2018) believe that the awe and wonder that outdoor learning provides, entices children’s imaginative play and expands their knowledge and independence, supports cooperative play and decision-making and leadership skills.</w:t>
      </w:r>
      <w:r w:rsidR="00604AC7">
        <w:rPr>
          <w:rFonts w:ascii="Arial" w:eastAsia="Times New Roman" w:hAnsi="Arial" w:cs="Arial"/>
        </w:rPr>
        <w:t xml:space="preserve"> </w:t>
      </w:r>
      <w:r w:rsidRPr="002A17FD">
        <w:rPr>
          <w:rFonts w:ascii="Arial" w:eastAsia="Times New Roman" w:hAnsi="Arial" w:cs="Arial"/>
        </w:rPr>
        <w:t>Many writers, scientists, inventors and artists have been inspired by nature to create and innovate (Robertson, 2014).  </w:t>
      </w:r>
    </w:p>
    <w:p w14:paraId="6E49D7F5" w14:textId="77777777" w:rsidR="002A17FD" w:rsidRPr="002A17FD" w:rsidRDefault="002A17FD" w:rsidP="002A17FD">
      <w:pPr>
        <w:spacing w:after="160" w:line="360" w:lineRule="auto"/>
        <w:jc w:val="both"/>
        <w:textAlignment w:val="baseline"/>
        <w:rPr>
          <w:rFonts w:ascii="Segoe UI" w:eastAsia="Times New Roman" w:hAnsi="Segoe UI" w:cs="Segoe UI"/>
          <w:sz w:val="18"/>
          <w:szCs w:val="18"/>
        </w:rPr>
      </w:pPr>
      <w:r w:rsidRPr="002A17FD">
        <w:rPr>
          <w:rFonts w:ascii="Arial" w:eastAsia="Times New Roman" w:hAnsi="Arial" w:cs="Arial"/>
        </w:rPr>
        <w:t>Outdoor learning also supports children to become global citizens and contribute to sustainable development, when they are encouraged to appreciate and respect their environment and show empathy and care for living things (</w:t>
      </w:r>
      <w:proofErr w:type="spellStart"/>
      <w:r w:rsidRPr="002A17FD">
        <w:rPr>
          <w:rFonts w:ascii="Arial" w:eastAsia="Times New Roman" w:hAnsi="Arial" w:cs="Arial"/>
        </w:rPr>
        <w:t>Tinney</w:t>
      </w:r>
      <w:proofErr w:type="spellEnd"/>
      <w:r w:rsidRPr="002A17FD">
        <w:rPr>
          <w:rFonts w:ascii="Arial" w:eastAsia="Times New Roman" w:hAnsi="Arial" w:cs="Arial"/>
        </w:rPr>
        <w:t xml:space="preserve"> and Merriman, 2018). </w:t>
      </w:r>
    </w:p>
    <w:p w14:paraId="21EEB476" w14:textId="77777777" w:rsidR="002A17FD" w:rsidRPr="002A17FD" w:rsidRDefault="002A17FD" w:rsidP="002A17FD">
      <w:pPr>
        <w:spacing w:after="160" w:line="360" w:lineRule="auto"/>
        <w:jc w:val="both"/>
        <w:textAlignment w:val="baseline"/>
        <w:rPr>
          <w:rFonts w:ascii="Segoe UI" w:eastAsia="Times New Roman" w:hAnsi="Segoe UI" w:cs="Segoe UI"/>
          <w:sz w:val="18"/>
          <w:szCs w:val="18"/>
        </w:rPr>
      </w:pPr>
      <w:r w:rsidRPr="002A17FD">
        <w:rPr>
          <w:rFonts w:ascii="Arial" w:eastAsia="Times New Roman" w:hAnsi="Arial" w:cs="Arial"/>
        </w:rPr>
        <w:t>Concluding with the understanding that outdoor play, particularly when unstructured, child-led and freely chosen, promotes children’s holistic development. How can the perceived barriers be overcome to bring back the connection to the outdoors?  </w:t>
      </w:r>
    </w:p>
    <w:p w14:paraId="5D8DE06B" w14:textId="0DC0568C" w:rsidR="002A17FD" w:rsidRPr="002A17FD" w:rsidRDefault="002A17FD" w:rsidP="002A17FD">
      <w:pPr>
        <w:spacing w:after="160" w:line="360" w:lineRule="auto"/>
        <w:jc w:val="both"/>
        <w:textAlignment w:val="baseline"/>
        <w:rPr>
          <w:rFonts w:ascii="Arial" w:eastAsia="Times New Roman" w:hAnsi="Arial" w:cs="Arial"/>
        </w:rPr>
      </w:pPr>
      <w:r w:rsidRPr="002A17FD">
        <w:rPr>
          <w:rFonts w:ascii="Arial" w:eastAsia="Times New Roman" w:hAnsi="Arial" w:cs="Arial"/>
        </w:rPr>
        <w:t>Ensuring the use of appropriate clothing is essential for overcoming any concerns over weather conditions and, creating an informative risk assessment could help relieve any fears over safety (Robertson, 2014). </w:t>
      </w:r>
    </w:p>
    <w:p w14:paraId="26E742A3" w14:textId="1B52F0BC" w:rsidR="002A17FD" w:rsidRPr="002A17FD" w:rsidRDefault="002A17FD" w:rsidP="002A17FD">
      <w:pPr>
        <w:spacing w:after="160" w:line="360" w:lineRule="auto"/>
        <w:jc w:val="both"/>
        <w:textAlignment w:val="baseline"/>
        <w:rPr>
          <w:rFonts w:ascii="Segoe UI" w:eastAsia="Times New Roman" w:hAnsi="Segoe UI" w:cs="Segoe UI"/>
          <w:sz w:val="18"/>
          <w:szCs w:val="18"/>
        </w:rPr>
      </w:pPr>
      <w:r w:rsidRPr="2E3409AE">
        <w:rPr>
          <w:rFonts w:ascii="Arial" w:eastAsia="Times New Roman" w:hAnsi="Arial" w:cs="Arial"/>
        </w:rPr>
        <w:t>Finally, experience it!</w:t>
      </w:r>
      <w:r w:rsidR="3F794B8B" w:rsidRPr="2E3409AE">
        <w:rPr>
          <w:rFonts w:ascii="Arial" w:eastAsia="Times New Roman" w:hAnsi="Arial" w:cs="Arial"/>
        </w:rPr>
        <w:t xml:space="preserve"> </w:t>
      </w:r>
      <w:r w:rsidRPr="2E3409AE">
        <w:rPr>
          <w:rFonts w:ascii="Arial" w:eastAsia="Times New Roman" w:hAnsi="Arial" w:cs="Arial"/>
        </w:rPr>
        <w:t>The only way to understand and reap the benefits of outdoor learning is to experience it. Not just simply take indoor activities outside but to view the outdoor environment as a resource for learning in its own right (Welsh Assembly Government, 2009).  </w:t>
      </w:r>
    </w:p>
    <w:p w14:paraId="10F431EC" w14:textId="77777777" w:rsidR="002A17FD" w:rsidRPr="002A17FD" w:rsidRDefault="002A17FD" w:rsidP="002A17FD">
      <w:pPr>
        <w:spacing w:after="160" w:line="360" w:lineRule="auto"/>
        <w:jc w:val="both"/>
        <w:textAlignment w:val="baseline"/>
        <w:rPr>
          <w:rFonts w:ascii="Segoe UI" w:eastAsia="Times New Roman" w:hAnsi="Segoe UI" w:cs="Segoe UI"/>
          <w:sz w:val="18"/>
          <w:szCs w:val="18"/>
        </w:rPr>
      </w:pPr>
      <w:r w:rsidRPr="002A17FD">
        <w:rPr>
          <w:rFonts w:ascii="Arial" w:eastAsia="Times New Roman" w:hAnsi="Arial" w:cs="Arial"/>
        </w:rPr>
        <w:t>For outdoor learning to be effective it needs practitioners who understand the benefits and are enthusiastic about providing an inclusive and empowering learning environment for children (Leggett and Newman, 2017).  </w:t>
      </w:r>
    </w:p>
    <w:p w14:paraId="04C6AECC" w14:textId="77777777" w:rsidR="005D502C" w:rsidRDefault="002A17FD" w:rsidP="00BA47F6">
      <w:pPr>
        <w:spacing w:after="160" w:line="360" w:lineRule="auto"/>
        <w:jc w:val="both"/>
        <w:textAlignment w:val="baseline"/>
        <w:rPr>
          <w:rFonts w:ascii="Segoe UI" w:eastAsia="Times New Roman" w:hAnsi="Segoe UI" w:cs="Segoe UI"/>
          <w:sz w:val="18"/>
          <w:szCs w:val="18"/>
        </w:rPr>
      </w:pPr>
      <w:r w:rsidRPr="002A17FD">
        <w:rPr>
          <w:rFonts w:ascii="Arial" w:eastAsia="Times New Roman" w:hAnsi="Arial" w:cs="Arial"/>
        </w:rPr>
        <w:t>Better still, invite the parents to join in sometimes too and let the children out to play! </w:t>
      </w:r>
    </w:p>
    <w:p w14:paraId="78E0C96D" w14:textId="702634DB" w:rsidR="00BA47F6" w:rsidRPr="00BA47F6" w:rsidRDefault="00BA47F6" w:rsidP="00BA47F6">
      <w:pPr>
        <w:spacing w:after="160" w:line="360" w:lineRule="auto"/>
        <w:jc w:val="both"/>
        <w:textAlignment w:val="baseline"/>
        <w:rPr>
          <w:rFonts w:ascii="Segoe UI" w:eastAsia="Times New Roman" w:hAnsi="Segoe UI" w:cs="Segoe UI"/>
          <w:sz w:val="18"/>
          <w:szCs w:val="18"/>
        </w:rPr>
        <w:sectPr w:rsidR="00BA47F6" w:rsidRPr="00BA47F6" w:rsidSect="002750B7">
          <w:headerReference w:type="default" r:id="rId13"/>
          <w:footerReference w:type="default" r:id="rId14"/>
          <w:pgSz w:w="11900" w:h="16840"/>
          <w:pgMar w:top="1440" w:right="1440" w:bottom="1440" w:left="1440" w:header="284" w:footer="340" w:gutter="0"/>
          <w:pgNumType w:start="13"/>
          <w:cols w:space="708"/>
          <w:docGrid w:linePitch="360"/>
        </w:sectPr>
      </w:pPr>
    </w:p>
    <w:p w14:paraId="5D1A321D"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lastRenderedPageBreak/>
        <w:t>Aubrey, K. and Riley, A. (2019) </w:t>
      </w:r>
      <w:r w:rsidRPr="005D502C">
        <w:rPr>
          <w:rFonts w:ascii="Arial" w:eastAsia="Times New Roman" w:hAnsi="Arial" w:cs="Arial"/>
          <w:i/>
          <w:iCs/>
        </w:rPr>
        <w:t>Understanding and using educational theories.</w:t>
      </w:r>
      <w:r w:rsidRPr="005D502C">
        <w:rPr>
          <w:rFonts w:ascii="Arial" w:eastAsia="Times New Roman" w:hAnsi="Arial" w:cs="Arial"/>
        </w:rPr>
        <w:t> 2</w:t>
      </w:r>
      <w:r w:rsidRPr="005D502C">
        <w:rPr>
          <w:rFonts w:ascii="Arial" w:eastAsia="Times New Roman" w:hAnsi="Arial" w:cs="Arial"/>
          <w:sz w:val="19"/>
          <w:szCs w:val="19"/>
          <w:vertAlign w:val="superscript"/>
        </w:rPr>
        <w:t>nd</w:t>
      </w:r>
      <w:r w:rsidRPr="005D502C">
        <w:rPr>
          <w:rFonts w:ascii="Arial" w:eastAsia="Times New Roman" w:hAnsi="Arial" w:cs="Arial"/>
        </w:rPr>
        <w:t> </w:t>
      </w:r>
      <w:proofErr w:type="spellStart"/>
      <w:r w:rsidRPr="005D502C">
        <w:rPr>
          <w:rFonts w:ascii="Arial" w:eastAsia="Times New Roman" w:hAnsi="Arial" w:cs="Arial"/>
        </w:rPr>
        <w:t>edn</w:t>
      </w:r>
      <w:proofErr w:type="spellEnd"/>
      <w:r w:rsidRPr="005D502C">
        <w:rPr>
          <w:rFonts w:ascii="Arial" w:eastAsia="Times New Roman" w:hAnsi="Arial" w:cs="Arial"/>
        </w:rPr>
        <w:t>. London: SAGE publications ltd. </w:t>
      </w:r>
    </w:p>
    <w:p w14:paraId="51017D1F"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Beyer, K. </w:t>
      </w:r>
      <w:r w:rsidRPr="005D502C">
        <w:rPr>
          <w:rFonts w:ascii="Arial" w:eastAsia="Times New Roman" w:hAnsi="Arial" w:cs="Arial"/>
          <w:i/>
          <w:iCs/>
        </w:rPr>
        <w:t>et al. </w:t>
      </w:r>
      <w:r w:rsidRPr="005D502C">
        <w:rPr>
          <w:rFonts w:ascii="Arial" w:eastAsia="Times New Roman" w:hAnsi="Arial" w:cs="Arial"/>
        </w:rPr>
        <w:t>(2014) ‘Development and Validation of the Attitudes toward Outdoor Play Scales for Children’. </w:t>
      </w:r>
      <w:r w:rsidRPr="005D502C">
        <w:rPr>
          <w:rFonts w:ascii="Arial" w:eastAsia="Times New Roman" w:hAnsi="Arial" w:cs="Arial"/>
          <w:i/>
          <w:iCs/>
        </w:rPr>
        <w:t>Social science &amp; medicine.</w:t>
      </w:r>
      <w:r w:rsidRPr="005D502C">
        <w:rPr>
          <w:rFonts w:ascii="Arial" w:eastAsia="Times New Roman" w:hAnsi="Arial" w:cs="Arial"/>
        </w:rPr>
        <w:t> 133, pp. 253-260.</w:t>
      </w:r>
      <w:r w:rsidRPr="005D502C">
        <w:rPr>
          <w:rFonts w:ascii="Arial" w:eastAsia="Times New Roman" w:hAnsi="Arial" w:cs="Arial"/>
          <w:color w:val="2E2E2E"/>
          <w:sz w:val="21"/>
          <w:szCs w:val="21"/>
        </w:rPr>
        <w:t> </w:t>
      </w:r>
      <w:r w:rsidRPr="005D502C">
        <w:rPr>
          <w:rFonts w:ascii="Arial" w:eastAsia="Times New Roman" w:hAnsi="Arial" w:cs="Arial"/>
        </w:rPr>
        <w:t>DOI: 10.1016/j.socscimed.2014.10.033. (Accessed: 26</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4129DF09"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Bilton</w:t>
      </w:r>
      <w:proofErr w:type="spellEnd"/>
      <w:r w:rsidRPr="005D502C">
        <w:rPr>
          <w:rFonts w:ascii="Arial" w:eastAsia="Times New Roman" w:hAnsi="Arial" w:cs="Arial"/>
        </w:rPr>
        <w:t>, H. (2010) </w:t>
      </w:r>
      <w:r w:rsidRPr="005D502C">
        <w:rPr>
          <w:rFonts w:ascii="Arial" w:eastAsia="Times New Roman" w:hAnsi="Arial" w:cs="Arial"/>
          <w:i/>
          <w:iCs/>
        </w:rPr>
        <w:t>Outdoor Learning in the Early Years: Management and Innovation.</w:t>
      </w:r>
      <w:r w:rsidRPr="005D502C">
        <w:rPr>
          <w:rFonts w:ascii="Arial" w:eastAsia="Times New Roman" w:hAnsi="Arial" w:cs="Arial"/>
        </w:rPr>
        <w:t> Abingdon: Routledge  </w:t>
      </w:r>
    </w:p>
    <w:p w14:paraId="7E5E2EC3"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Bilton</w:t>
      </w:r>
      <w:proofErr w:type="spellEnd"/>
      <w:r w:rsidRPr="005D502C">
        <w:rPr>
          <w:rFonts w:ascii="Arial" w:eastAsia="Times New Roman" w:hAnsi="Arial" w:cs="Arial"/>
        </w:rPr>
        <w:t>, H. and Waters, J. (2016) ‘Why Take Young Children Outside? A Critical Consideration of the Professed Aims for Outdoor Learning in the Early Years by Teachers from England and Wales’. </w:t>
      </w:r>
      <w:r w:rsidRPr="005D502C">
        <w:rPr>
          <w:rFonts w:ascii="Arial" w:eastAsia="Times New Roman" w:hAnsi="Arial" w:cs="Arial"/>
          <w:i/>
          <w:iCs/>
        </w:rPr>
        <w:t>Social Sciences</w:t>
      </w:r>
      <w:r w:rsidRPr="005D502C">
        <w:rPr>
          <w:rFonts w:ascii="Arial" w:eastAsia="Times New Roman" w:hAnsi="Arial" w:cs="Arial"/>
        </w:rPr>
        <w:t>, 6(1), p.1. doi:10.3390/socsci6010001 (Accessed: 4</w:t>
      </w:r>
      <w:r w:rsidRPr="005D502C">
        <w:rPr>
          <w:rFonts w:ascii="Arial" w:eastAsia="Times New Roman" w:hAnsi="Arial" w:cs="Arial"/>
          <w:sz w:val="19"/>
          <w:szCs w:val="19"/>
          <w:vertAlign w:val="superscript"/>
        </w:rPr>
        <w:t>th</w:t>
      </w:r>
      <w:r w:rsidRPr="005D502C">
        <w:rPr>
          <w:rFonts w:ascii="Arial" w:eastAsia="Times New Roman" w:hAnsi="Arial" w:cs="Arial"/>
        </w:rPr>
        <w:t> April 2020).  </w:t>
      </w:r>
    </w:p>
    <w:p w14:paraId="7E34EE84"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Blaiklock</w:t>
      </w:r>
      <w:proofErr w:type="spellEnd"/>
      <w:r w:rsidRPr="005D502C">
        <w:rPr>
          <w:rFonts w:ascii="Arial" w:eastAsia="Times New Roman" w:hAnsi="Arial" w:cs="Arial"/>
        </w:rPr>
        <w:t>, K. (2010) ‘</w:t>
      </w:r>
      <w:proofErr w:type="spellStart"/>
      <w:r w:rsidRPr="005D502C">
        <w:rPr>
          <w:rFonts w:ascii="Arial" w:eastAsia="Times New Roman" w:hAnsi="Arial" w:cs="Arial"/>
        </w:rPr>
        <w:t>Te</w:t>
      </w:r>
      <w:proofErr w:type="spellEnd"/>
      <w:r w:rsidRPr="005D502C">
        <w:rPr>
          <w:rFonts w:ascii="Arial" w:eastAsia="Times New Roman" w:hAnsi="Arial" w:cs="Arial"/>
        </w:rPr>
        <w:t> </w:t>
      </w:r>
      <w:proofErr w:type="spellStart"/>
      <w:r w:rsidRPr="005D502C">
        <w:rPr>
          <w:rFonts w:ascii="Arial" w:eastAsia="Times New Roman" w:hAnsi="Arial" w:cs="Arial"/>
        </w:rPr>
        <w:t>Whariki</w:t>
      </w:r>
      <w:proofErr w:type="spellEnd"/>
      <w:r w:rsidRPr="005D502C">
        <w:rPr>
          <w:rFonts w:ascii="Arial" w:eastAsia="Times New Roman" w:hAnsi="Arial" w:cs="Arial"/>
        </w:rPr>
        <w:t>, the New Zealand early childhood curriculum: is it effective?’ </w:t>
      </w:r>
      <w:r w:rsidRPr="005D502C">
        <w:rPr>
          <w:rFonts w:ascii="Arial" w:eastAsia="Times New Roman" w:hAnsi="Arial" w:cs="Arial"/>
          <w:i/>
          <w:iCs/>
        </w:rPr>
        <w:t>International Journal of Early Years Education</w:t>
      </w:r>
      <w:r w:rsidRPr="005D502C">
        <w:rPr>
          <w:rFonts w:ascii="Arial" w:eastAsia="Times New Roman" w:hAnsi="Arial" w:cs="Arial"/>
        </w:rPr>
        <w:t>, 18(3), pp.201–213. </w:t>
      </w:r>
      <w:r w:rsidRPr="005D502C">
        <w:rPr>
          <w:rFonts w:ascii="Arial" w:eastAsia="Times New Roman" w:hAnsi="Arial" w:cs="Arial"/>
          <w:b/>
          <w:bCs/>
          <w:color w:val="333333"/>
        </w:rPr>
        <w:t>DOI: </w:t>
      </w:r>
      <w:r w:rsidRPr="005D502C">
        <w:rPr>
          <w:rFonts w:ascii="Arial" w:eastAsia="Times New Roman" w:hAnsi="Arial" w:cs="Arial"/>
          <w:color w:val="333333"/>
        </w:rPr>
        <w:t>10.1080/09669760.2010.521296 </w:t>
      </w:r>
      <w:r w:rsidRPr="005D502C">
        <w:rPr>
          <w:rFonts w:ascii="Arial" w:eastAsia="Times New Roman" w:hAnsi="Arial" w:cs="Arial"/>
        </w:rPr>
        <w:t>(Accessed: 25</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4FAF2B93"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Boffey</w:t>
      </w:r>
      <w:proofErr w:type="spellEnd"/>
      <w:r w:rsidRPr="005D502C">
        <w:rPr>
          <w:rFonts w:ascii="Arial" w:eastAsia="Times New Roman" w:hAnsi="Arial" w:cs="Arial"/>
        </w:rPr>
        <w:t>, L. (2017) ‘It’s raining today, so no outdoor learning....’</w:t>
      </w:r>
      <w:r w:rsidRPr="005D502C">
        <w:rPr>
          <w:rFonts w:ascii="Arial" w:eastAsia="Times New Roman" w:hAnsi="Arial" w:cs="Arial"/>
          <w:i/>
          <w:iCs/>
        </w:rPr>
        <w:t>TTS </w:t>
      </w:r>
      <w:r w:rsidRPr="005D502C">
        <w:rPr>
          <w:rFonts w:ascii="Arial" w:eastAsia="Times New Roman" w:hAnsi="Arial" w:cs="Arial"/>
        </w:rPr>
        <w:t>[blog]. 4</w:t>
      </w:r>
      <w:r w:rsidRPr="005D502C">
        <w:rPr>
          <w:rFonts w:ascii="Arial" w:eastAsia="Times New Roman" w:hAnsi="Arial" w:cs="Arial"/>
          <w:sz w:val="19"/>
          <w:szCs w:val="19"/>
          <w:vertAlign w:val="superscript"/>
        </w:rPr>
        <w:t>th</w:t>
      </w:r>
      <w:r w:rsidRPr="005D502C">
        <w:rPr>
          <w:rFonts w:ascii="Arial" w:eastAsia="Times New Roman" w:hAnsi="Arial" w:cs="Arial"/>
        </w:rPr>
        <w:t> October. Available at </w:t>
      </w:r>
      <w:hyperlink r:id="rId15" w:tgtFrame="_blank" w:history="1">
        <w:r w:rsidRPr="005D502C">
          <w:rPr>
            <w:rFonts w:ascii="Arial" w:eastAsia="Times New Roman" w:hAnsi="Arial" w:cs="Arial"/>
            <w:color w:val="0563C1"/>
            <w:u w:val="single"/>
          </w:rPr>
          <w:t>https://www.tts-group.co.uk/blog/2017/10/04/raining-today-no-outdoor-learning.html</w:t>
        </w:r>
      </w:hyperlink>
      <w:r w:rsidRPr="005D502C">
        <w:rPr>
          <w:rFonts w:ascii="Arial" w:eastAsia="Times New Roman" w:hAnsi="Arial" w:cs="Arial"/>
        </w:rPr>
        <w:t> (Accessed: 4</w:t>
      </w:r>
      <w:r w:rsidRPr="005D502C">
        <w:rPr>
          <w:rFonts w:ascii="Arial" w:eastAsia="Times New Roman" w:hAnsi="Arial" w:cs="Arial"/>
          <w:sz w:val="19"/>
          <w:szCs w:val="19"/>
          <w:vertAlign w:val="superscript"/>
        </w:rPr>
        <w:t>th</w:t>
      </w:r>
      <w:r w:rsidRPr="005D502C">
        <w:rPr>
          <w:rFonts w:ascii="Arial" w:eastAsia="Times New Roman" w:hAnsi="Arial" w:cs="Arial"/>
        </w:rPr>
        <w:t> April 2020). </w:t>
      </w:r>
    </w:p>
    <w:p w14:paraId="0E27765B"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Bonetti, S. and Brown, K. (2018) </w:t>
      </w:r>
      <w:r w:rsidRPr="005D502C">
        <w:rPr>
          <w:rFonts w:ascii="Arial" w:eastAsia="Times New Roman" w:hAnsi="Arial" w:cs="Arial"/>
          <w:i/>
          <w:iCs/>
        </w:rPr>
        <w:t>Structural elements of quality early years provision. A review of the evidence.</w:t>
      </w:r>
      <w:r w:rsidRPr="005D502C">
        <w:rPr>
          <w:rFonts w:ascii="Arial" w:eastAsia="Times New Roman" w:hAnsi="Arial" w:cs="Arial"/>
        </w:rPr>
        <w:t> Available at: </w:t>
      </w:r>
      <w:hyperlink r:id="rId16" w:tgtFrame="_blank" w:history="1">
        <w:r w:rsidRPr="005D502C">
          <w:rPr>
            <w:rFonts w:ascii="Arial" w:eastAsia="Times New Roman" w:hAnsi="Arial" w:cs="Arial"/>
            <w:color w:val="0563C1"/>
            <w:u w:val="single"/>
          </w:rPr>
          <w:t>file:///Users/helen/Downloads/Early-years-structural-quality-review_EPI.pdf</w:t>
        </w:r>
      </w:hyperlink>
      <w:r w:rsidRPr="005D502C">
        <w:rPr>
          <w:rFonts w:ascii="Arial" w:eastAsia="Times New Roman" w:hAnsi="Arial" w:cs="Arial"/>
        </w:rPr>
        <w:t> (Accessed: 24</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1AF42D45" w14:textId="77777777" w:rsidR="00BA47F6" w:rsidRPr="005D502C" w:rsidRDefault="00BA47F6" w:rsidP="00BA47F6">
      <w:pPr>
        <w:spacing w:afterLines="140" w:after="336"/>
        <w:textAlignment w:val="baseline"/>
        <w:rPr>
          <w:rFonts w:ascii="Segoe UI" w:eastAsia="Times New Roman" w:hAnsi="Segoe UI" w:cs="Segoe UI"/>
          <w:color w:val="2F5496"/>
          <w:sz w:val="18"/>
          <w:szCs w:val="18"/>
        </w:rPr>
      </w:pPr>
      <w:r w:rsidRPr="005D502C">
        <w:rPr>
          <w:rFonts w:ascii="Arial" w:eastAsia="Times New Roman" w:hAnsi="Arial" w:cs="Arial"/>
        </w:rPr>
        <w:t>Brodie, K. (2014) </w:t>
      </w:r>
      <w:r w:rsidRPr="005D502C">
        <w:rPr>
          <w:rFonts w:ascii="Arial" w:eastAsia="Times New Roman" w:hAnsi="Arial" w:cs="Arial"/>
          <w:i/>
          <w:iCs/>
        </w:rPr>
        <w:t>Sustained Shared Thinking in the Early Years: Linking theory to practice.</w:t>
      </w:r>
      <w:r w:rsidRPr="005D502C">
        <w:rPr>
          <w:rFonts w:ascii="Arial" w:eastAsia="Times New Roman" w:hAnsi="Arial" w:cs="Arial"/>
        </w:rPr>
        <w:t> Oxon: Routledge.</w:t>
      </w:r>
      <w:r w:rsidRPr="005D502C">
        <w:rPr>
          <w:rFonts w:ascii="Arial" w:eastAsia="Times New Roman" w:hAnsi="Arial" w:cs="Arial"/>
          <w:color w:val="2F5496"/>
        </w:rPr>
        <w:t> </w:t>
      </w:r>
    </w:p>
    <w:p w14:paraId="247969FD"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Brogaard</w:t>
      </w:r>
      <w:proofErr w:type="spellEnd"/>
      <w:r w:rsidRPr="005D502C">
        <w:rPr>
          <w:rFonts w:ascii="Arial" w:eastAsia="Times New Roman" w:hAnsi="Arial" w:cs="Arial"/>
        </w:rPr>
        <w:t> Clausen, S. </w:t>
      </w:r>
      <w:r w:rsidRPr="005D502C">
        <w:rPr>
          <w:rFonts w:ascii="Arial" w:eastAsia="Times New Roman" w:hAnsi="Arial" w:cs="Arial"/>
          <w:i/>
          <w:iCs/>
        </w:rPr>
        <w:t>et al.</w:t>
      </w:r>
      <w:r w:rsidRPr="005D502C">
        <w:rPr>
          <w:rFonts w:ascii="Arial" w:eastAsia="Times New Roman" w:hAnsi="Arial" w:cs="Arial"/>
        </w:rPr>
        <w:t> (2015) ‘Assessment of young children on entry to school: Informative, Formative or Performative?’ </w:t>
      </w:r>
      <w:r w:rsidRPr="005D502C">
        <w:rPr>
          <w:rFonts w:ascii="Arial" w:eastAsia="Times New Roman" w:hAnsi="Arial" w:cs="Arial"/>
          <w:i/>
          <w:iCs/>
        </w:rPr>
        <w:t>International Journal for Cross-Disciplinary Subjects in Education.</w:t>
      </w:r>
      <w:r w:rsidRPr="005D502C">
        <w:rPr>
          <w:rFonts w:ascii="Arial" w:eastAsia="Times New Roman" w:hAnsi="Arial" w:cs="Arial"/>
        </w:rPr>
        <w:t> 6. pp. 2120-2132. </w:t>
      </w:r>
      <w:proofErr w:type="spellStart"/>
      <w:r w:rsidRPr="005D502C">
        <w:rPr>
          <w:rFonts w:ascii="Arial" w:eastAsia="Times New Roman" w:hAnsi="Arial" w:cs="Arial"/>
        </w:rPr>
        <w:t>Doi</w:t>
      </w:r>
      <w:proofErr w:type="spellEnd"/>
      <w:r w:rsidRPr="005D502C">
        <w:rPr>
          <w:rFonts w:ascii="Arial" w:eastAsia="Times New Roman" w:hAnsi="Arial" w:cs="Arial"/>
        </w:rPr>
        <w:t>: 10.20533/ijcdse.2042.6364.2015.0294. (Accessed: 31</w:t>
      </w:r>
      <w:r w:rsidRPr="005D502C">
        <w:rPr>
          <w:rFonts w:ascii="Arial" w:eastAsia="Times New Roman" w:hAnsi="Arial" w:cs="Arial"/>
          <w:sz w:val="19"/>
          <w:szCs w:val="19"/>
          <w:vertAlign w:val="superscript"/>
        </w:rPr>
        <w:t>st</w:t>
      </w:r>
      <w:r w:rsidRPr="005D502C">
        <w:rPr>
          <w:rFonts w:ascii="Arial" w:eastAsia="Times New Roman" w:hAnsi="Arial" w:cs="Arial"/>
        </w:rPr>
        <w:t> March 2020). </w:t>
      </w:r>
    </w:p>
    <w:p w14:paraId="60E3D20B"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Cameron, M., McLachlan, C. and Rawlins, P. (2016) ‘Assessment in ECE is overwhelming at times’: Uncovering the challenges of assessing four-year-old children’s learning. </w:t>
      </w:r>
      <w:r w:rsidRPr="005D502C">
        <w:rPr>
          <w:rFonts w:ascii="Arial" w:eastAsia="Times New Roman" w:hAnsi="Arial" w:cs="Arial"/>
          <w:i/>
          <w:iCs/>
        </w:rPr>
        <w:t>Early Education,</w:t>
      </w:r>
      <w:r w:rsidRPr="005D502C">
        <w:rPr>
          <w:rFonts w:ascii="Arial" w:eastAsia="Times New Roman" w:hAnsi="Arial" w:cs="Arial"/>
        </w:rPr>
        <w:t> 60, pp. 12–16. </w:t>
      </w:r>
    </w:p>
    <w:p w14:paraId="1EFDE69C"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Clark, R.M.D. (2016) </w:t>
      </w:r>
      <w:r w:rsidRPr="005D502C">
        <w:rPr>
          <w:rFonts w:ascii="Arial" w:eastAsia="Times New Roman" w:hAnsi="Arial" w:cs="Arial"/>
          <w:i/>
          <w:iCs/>
        </w:rPr>
        <w:t>Childhood in society for the early years</w:t>
      </w:r>
      <w:r w:rsidRPr="005D502C">
        <w:rPr>
          <w:rFonts w:ascii="Arial" w:eastAsia="Times New Roman" w:hAnsi="Arial" w:cs="Arial"/>
        </w:rPr>
        <w:t>. 3</w:t>
      </w:r>
      <w:r w:rsidRPr="005D502C">
        <w:rPr>
          <w:rFonts w:ascii="Arial" w:eastAsia="Times New Roman" w:hAnsi="Arial" w:cs="Arial"/>
          <w:sz w:val="19"/>
          <w:szCs w:val="19"/>
          <w:vertAlign w:val="superscript"/>
        </w:rPr>
        <w:t>rd</w:t>
      </w:r>
      <w:r w:rsidRPr="005D502C">
        <w:rPr>
          <w:rFonts w:ascii="Arial" w:eastAsia="Times New Roman" w:hAnsi="Arial" w:cs="Arial"/>
        </w:rPr>
        <w:t> </w:t>
      </w:r>
      <w:proofErr w:type="spellStart"/>
      <w:r w:rsidRPr="005D502C">
        <w:rPr>
          <w:rFonts w:ascii="Arial" w:eastAsia="Times New Roman" w:hAnsi="Arial" w:cs="Arial"/>
        </w:rPr>
        <w:t>edn</w:t>
      </w:r>
      <w:proofErr w:type="spellEnd"/>
      <w:r w:rsidRPr="005D502C">
        <w:rPr>
          <w:rFonts w:ascii="Arial" w:eastAsia="Times New Roman" w:hAnsi="Arial" w:cs="Arial"/>
        </w:rPr>
        <w:t>. London: Learning Matters. </w:t>
      </w:r>
    </w:p>
    <w:p w14:paraId="38DEB07A" w14:textId="77777777" w:rsidR="00BA47F6"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Davies, R. and Hamilton, P. (2016) ‘Assessing learning in the early years’ outdoor classroom: examining challenges in practice’, Education 3-13: </w:t>
      </w:r>
      <w:r w:rsidRPr="005D502C">
        <w:rPr>
          <w:rFonts w:ascii="Arial" w:eastAsia="Times New Roman" w:hAnsi="Arial" w:cs="Arial"/>
          <w:i/>
          <w:iCs/>
        </w:rPr>
        <w:t>International Journal of Primary, Elementary and Early Years Education,</w:t>
      </w:r>
      <w:r w:rsidRPr="005D502C">
        <w:rPr>
          <w:rFonts w:ascii="Arial" w:eastAsia="Times New Roman" w:hAnsi="Arial" w:cs="Arial"/>
        </w:rPr>
        <w:t> Vol. 20, No.10, 1–13, </w:t>
      </w:r>
      <w:proofErr w:type="spellStart"/>
      <w:r w:rsidRPr="005D502C">
        <w:rPr>
          <w:rFonts w:ascii="Arial" w:eastAsia="Times New Roman" w:hAnsi="Arial" w:cs="Arial"/>
        </w:rPr>
        <w:t>doi</w:t>
      </w:r>
      <w:proofErr w:type="spellEnd"/>
      <w:r w:rsidRPr="005D502C">
        <w:rPr>
          <w:rFonts w:ascii="Arial" w:eastAsia="Times New Roman" w:hAnsi="Arial" w:cs="Arial"/>
        </w:rPr>
        <w:t>: 10.1080/03004279.2016.1194448 </w:t>
      </w:r>
    </w:p>
    <w:p w14:paraId="3763D9EA" w14:textId="10D0E49A"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lastRenderedPageBreak/>
        <w:t>Donaldson, G. (2015) </w:t>
      </w:r>
      <w:r w:rsidRPr="005D502C">
        <w:rPr>
          <w:rFonts w:ascii="Arial" w:eastAsia="Times New Roman" w:hAnsi="Arial" w:cs="Arial"/>
          <w:i/>
          <w:iCs/>
        </w:rPr>
        <w:t>Successful Futures. Independent Review of Curriculum and Assessment Arrangements in Wales.</w:t>
      </w:r>
      <w:r w:rsidRPr="005D502C">
        <w:rPr>
          <w:rFonts w:ascii="Arial" w:eastAsia="Times New Roman" w:hAnsi="Arial" w:cs="Arial"/>
        </w:rPr>
        <w:t> Available at: </w:t>
      </w:r>
      <w:hyperlink r:id="rId17" w:tgtFrame="_blank" w:history="1">
        <w:r w:rsidRPr="005D502C">
          <w:rPr>
            <w:rFonts w:ascii="Arial" w:eastAsia="Times New Roman" w:hAnsi="Arial" w:cs="Arial"/>
            <w:color w:val="0563C1"/>
            <w:u w:val="single"/>
          </w:rPr>
          <w:t>file:///Users/helen/Downloads/Donaldson%20Report%20-%20Successful%20Futures%20(2).pdf</w:t>
        </w:r>
      </w:hyperlink>
      <w:r w:rsidRPr="005D502C">
        <w:rPr>
          <w:rFonts w:ascii="Arial" w:eastAsia="Times New Roman" w:hAnsi="Arial" w:cs="Arial"/>
        </w:rPr>
        <w:t> (Accessed: 29</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0CABAAA5"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Ernst, Julie (2014) ‘Early childhood educators’ use of natural outdoor settings as learning environments: an exploratory study of beliefs, practices, and </w:t>
      </w:r>
      <w:proofErr w:type="gramStart"/>
      <w:r w:rsidRPr="005D502C">
        <w:rPr>
          <w:rFonts w:ascii="Arial" w:eastAsia="Times New Roman" w:hAnsi="Arial" w:cs="Arial"/>
        </w:rPr>
        <w:t>barriers’</w:t>
      </w:r>
      <w:proofErr w:type="gramEnd"/>
      <w:r w:rsidRPr="005D502C">
        <w:rPr>
          <w:rFonts w:ascii="Arial" w:eastAsia="Times New Roman" w:hAnsi="Arial" w:cs="Arial"/>
        </w:rPr>
        <w:t>. </w:t>
      </w:r>
      <w:r w:rsidRPr="005D502C">
        <w:rPr>
          <w:rFonts w:ascii="Arial" w:eastAsia="Times New Roman" w:hAnsi="Arial" w:cs="Arial"/>
          <w:i/>
          <w:iCs/>
        </w:rPr>
        <w:t>Environmental Education Research</w:t>
      </w:r>
      <w:r w:rsidRPr="005D502C">
        <w:rPr>
          <w:rFonts w:ascii="Arial" w:eastAsia="Times New Roman" w:hAnsi="Arial" w:cs="Arial"/>
        </w:rPr>
        <w:t>, 20(6), pp.735–753</w:t>
      </w:r>
      <w:r w:rsidRPr="005D502C">
        <w:rPr>
          <w:rFonts w:ascii="Arial" w:eastAsia="Times New Roman" w:hAnsi="Arial" w:cs="Arial"/>
          <w:b/>
          <w:bCs/>
          <w:color w:val="333333"/>
        </w:rPr>
        <w:t> DOI</w:t>
      </w:r>
      <w:r w:rsidRPr="005D502C">
        <w:rPr>
          <w:rFonts w:ascii="Arial" w:eastAsia="Times New Roman" w:hAnsi="Arial" w:cs="Arial"/>
          <w:b/>
          <w:bCs/>
        </w:rPr>
        <w:t>: </w:t>
      </w:r>
      <w:r w:rsidRPr="005D502C">
        <w:rPr>
          <w:rFonts w:ascii="Arial" w:eastAsia="Times New Roman" w:hAnsi="Arial" w:cs="Arial"/>
        </w:rPr>
        <w:t>10.1080/13504622.2013.833596 (Accessed: 4</w:t>
      </w:r>
      <w:r w:rsidRPr="005D502C">
        <w:rPr>
          <w:rFonts w:ascii="Arial" w:eastAsia="Times New Roman" w:hAnsi="Arial" w:cs="Arial"/>
          <w:sz w:val="19"/>
          <w:szCs w:val="19"/>
          <w:vertAlign w:val="superscript"/>
        </w:rPr>
        <w:t>th</w:t>
      </w:r>
      <w:r w:rsidRPr="005D502C">
        <w:rPr>
          <w:rFonts w:ascii="Arial" w:eastAsia="Times New Roman" w:hAnsi="Arial" w:cs="Arial"/>
        </w:rPr>
        <w:t> April 2020).  </w:t>
      </w:r>
    </w:p>
    <w:p w14:paraId="30BE3E1B"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Estyn (2011) </w:t>
      </w:r>
      <w:r w:rsidRPr="005D502C">
        <w:rPr>
          <w:rFonts w:ascii="Arial" w:eastAsia="Times New Roman" w:hAnsi="Arial" w:cs="Arial"/>
          <w:i/>
          <w:iCs/>
        </w:rPr>
        <w:t>Literacy and the Foundation Phase.</w:t>
      </w:r>
      <w:r w:rsidRPr="005D502C">
        <w:rPr>
          <w:rFonts w:ascii="Arial" w:eastAsia="Times New Roman" w:hAnsi="Arial" w:cs="Arial"/>
        </w:rPr>
        <w:t> Available at: </w:t>
      </w:r>
      <w:hyperlink r:id="rId18" w:tgtFrame="_blank" w:history="1">
        <w:r w:rsidRPr="005D502C">
          <w:rPr>
            <w:rFonts w:ascii="Arial" w:eastAsia="Times New Roman" w:hAnsi="Arial" w:cs="Arial"/>
            <w:color w:val="0563C1"/>
            <w:u w:val="single"/>
          </w:rPr>
          <w:t>https://www.estyn.gov.wales/sites/www.estyn.gov.wales/files/documents/Literacy%20and%20the%20Foundation%20Phase%20%20-%20September%202011.pdf</w:t>
        </w:r>
      </w:hyperlink>
      <w:r w:rsidRPr="005D502C">
        <w:rPr>
          <w:rFonts w:ascii="Arial" w:eastAsia="Times New Roman" w:hAnsi="Arial" w:cs="Arial"/>
        </w:rPr>
        <w:t> (Accessed: 24</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0D615433" w14:textId="77777777" w:rsidR="00BA47F6" w:rsidRPr="00BA47F6"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Estyn (2017) </w:t>
      </w:r>
      <w:r w:rsidRPr="005D502C">
        <w:rPr>
          <w:rFonts w:ascii="Arial" w:eastAsia="Times New Roman" w:hAnsi="Arial" w:cs="Arial"/>
          <w:i/>
          <w:iCs/>
        </w:rPr>
        <w:t>Active and experiential learning.</w:t>
      </w:r>
      <w:r w:rsidRPr="005D502C">
        <w:rPr>
          <w:rFonts w:ascii="Arial" w:eastAsia="Times New Roman" w:hAnsi="Arial" w:cs="Arial"/>
        </w:rPr>
        <w:t> Available at: </w:t>
      </w:r>
      <w:hyperlink r:id="rId19" w:tgtFrame="_blank" w:history="1">
        <w:r w:rsidRPr="005D502C">
          <w:rPr>
            <w:rFonts w:ascii="Arial" w:eastAsia="Times New Roman" w:hAnsi="Arial" w:cs="Arial"/>
            <w:color w:val="0563C1"/>
            <w:u w:val="single"/>
          </w:rPr>
          <w:t>https://www.estyn.gov.wales/sites/www.estyn.gov.wales/files/documents/Estyn%20Active%20and%20experiential%20learning_E_Accessible_1.pdf</w:t>
        </w:r>
      </w:hyperlink>
      <w:r w:rsidRPr="005D502C">
        <w:rPr>
          <w:rFonts w:ascii="Arial" w:eastAsia="Times New Roman" w:hAnsi="Arial" w:cs="Arial"/>
        </w:rPr>
        <w:t> (Accessed: 3</w:t>
      </w:r>
      <w:r w:rsidRPr="005D502C">
        <w:rPr>
          <w:rFonts w:ascii="Arial" w:eastAsia="Times New Roman" w:hAnsi="Arial" w:cs="Arial"/>
          <w:sz w:val="19"/>
          <w:szCs w:val="19"/>
          <w:vertAlign w:val="superscript"/>
        </w:rPr>
        <w:t>rd</w:t>
      </w:r>
      <w:r w:rsidRPr="005D502C">
        <w:rPr>
          <w:rFonts w:ascii="Arial" w:eastAsia="Times New Roman" w:hAnsi="Arial" w:cs="Arial"/>
        </w:rPr>
        <w:t> April 2020). </w:t>
      </w:r>
    </w:p>
    <w:p w14:paraId="69E7D974"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Fruin</w:t>
      </w:r>
      <w:proofErr w:type="spellEnd"/>
      <w:r w:rsidRPr="005D502C">
        <w:rPr>
          <w:rFonts w:ascii="Arial" w:eastAsia="Times New Roman" w:hAnsi="Arial" w:cs="Arial"/>
        </w:rPr>
        <w:t>, H. (2020) Muddy Play. </w:t>
      </w:r>
      <w:r w:rsidRPr="005D502C">
        <w:rPr>
          <w:rFonts w:ascii="Arial" w:eastAsia="Times New Roman" w:hAnsi="Arial" w:cs="Arial"/>
          <w:i/>
          <w:iCs/>
        </w:rPr>
        <w:t>YC: Young Children</w:t>
      </w:r>
      <w:r w:rsidRPr="005D502C">
        <w:rPr>
          <w:rFonts w:ascii="Arial" w:eastAsia="Times New Roman" w:hAnsi="Arial" w:cs="Arial"/>
        </w:rPr>
        <w:t>, pp.68–76. Available at: https://search.proquest.com/docview/2374117888?accountid=130472 (Accessed: 4</w:t>
      </w:r>
      <w:r w:rsidRPr="005D502C">
        <w:rPr>
          <w:rFonts w:ascii="Arial" w:eastAsia="Times New Roman" w:hAnsi="Arial" w:cs="Arial"/>
          <w:sz w:val="19"/>
          <w:szCs w:val="19"/>
          <w:vertAlign w:val="superscript"/>
        </w:rPr>
        <w:t>th</w:t>
      </w:r>
      <w:r w:rsidRPr="005D502C">
        <w:rPr>
          <w:rFonts w:ascii="Arial" w:eastAsia="Times New Roman" w:hAnsi="Arial" w:cs="Arial"/>
        </w:rPr>
        <w:t> April 2020). </w:t>
      </w:r>
    </w:p>
    <w:p w14:paraId="7E8E286E"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Gleave</w:t>
      </w:r>
      <w:proofErr w:type="spellEnd"/>
      <w:r w:rsidRPr="005D502C">
        <w:rPr>
          <w:rFonts w:ascii="Arial" w:eastAsia="Times New Roman" w:hAnsi="Arial" w:cs="Arial"/>
        </w:rPr>
        <w:t>, J. and Cole-Hamilton, I. (2012) </w:t>
      </w:r>
      <w:r w:rsidRPr="005D502C">
        <w:rPr>
          <w:rFonts w:ascii="Arial" w:eastAsia="Times New Roman" w:hAnsi="Arial" w:cs="Arial"/>
          <w:i/>
          <w:iCs/>
        </w:rPr>
        <w:t>A world without play: A literature review.</w:t>
      </w:r>
      <w:r w:rsidRPr="005D502C">
        <w:rPr>
          <w:rFonts w:ascii="Arial" w:eastAsia="Times New Roman" w:hAnsi="Arial" w:cs="Arial"/>
        </w:rPr>
        <w:t> Available at: </w:t>
      </w:r>
      <w:hyperlink r:id="rId20" w:tgtFrame="_blank" w:history="1">
        <w:r w:rsidRPr="005D502C">
          <w:rPr>
            <w:rFonts w:ascii="Arial" w:eastAsia="Times New Roman" w:hAnsi="Arial" w:cs="Arial"/>
            <w:color w:val="0563C1"/>
            <w:u w:val="single"/>
          </w:rPr>
          <w:t>file:///Users/helen/Downloads/a-world-without-play-literature-review-2012.pdf</w:t>
        </w:r>
      </w:hyperlink>
      <w:r w:rsidRPr="005D502C">
        <w:rPr>
          <w:rFonts w:ascii="Arial" w:eastAsia="Times New Roman" w:hAnsi="Arial" w:cs="Arial"/>
        </w:rPr>
        <w:t> (Accessed: 28</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2EB1F661"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Goodsir</w:t>
      </w:r>
      <w:proofErr w:type="spellEnd"/>
      <w:r w:rsidRPr="005D502C">
        <w:rPr>
          <w:rFonts w:ascii="Arial" w:eastAsia="Times New Roman" w:hAnsi="Arial" w:cs="Arial"/>
        </w:rPr>
        <w:t>, K. (2017) </w:t>
      </w:r>
      <w:r w:rsidRPr="005D502C">
        <w:rPr>
          <w:rFonts w:ascii="Arial" w:eastAsia="Times New Roman" w:hAnsi="Arial" w:cs="Arial"/>
          <w:i/>
          <w:iCs/>
        </w:rPr>
        <w:t>The What, Why, How and When of Learning Stories as an Assessment Tool.</w:t>
      </w:r>
      <w:r w:rsidRPr="005D502C">
        <w:rPr>
          <w:rFonts w:ascii="Arial" w:eastAsia="Times New Roman" w:hAnsi="Arial" w:cs="Arial"/>
        </w:rPr>
        <w:t> Available at: </w:t>
      </w:r>
      <w:hyperlink r:id="rId21" w:tgtFrame="_blank" w:history="1">
        <w:r w:rsidRPr="005D502C">
          <w:rPr>
            <w:rFonts w:ascii="Arial" w:eastAsia="Times New Roman" w:hAnsi="Arial" w:cs="Arial"/>
            <w:color w:val="0563C1"/>
            <w:u w:val="single"/>
          </w:rPr>
          <w:t>https://www.geteduca.com/blog/learning-stories-introduction/</w:t>
        </w:r>
      </w:hyperlink>
      <w:r w:rsidRPr="005D502C">
        <w:rPr>
          <w:rFonts w:ascii="Arial" w:eastAsia="Times New Roman" w:hAnsi="Arial" w:cs="Arial"/>
        </w:rPr>
        <w:t> (Accessed: 2</w:t>
      </w:r>
      <w:r w:rsidRPr="005D502C">
        <w:rPr>
          <w:rFonts w:ascii="Arial" w:eastAsia="Times New Roman" w:hAnsi="Arial" w:cs="Arial"/>
          <w:sz w:val="19"/>
          <w:szCs w:val="19"/>
          <w:vertAlign w:val="superscript"/>
        </w:rPr>
        <w:t>nd</w:t>
      </w:r>
      <w:r w:rsidRPr="005D502C">
        <w:rPr>
          <w:rFonts w:ascii="Arial" w:eastAsia="Times New Roman" w:hAnsi="Arial" w:cs="Arial"/>
        </w:rPr>
        <w:t> April 2020).  </w:t>
      </w:r>
    </w:p>
    <w:p w14:paraId="7C45A8CC"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Grindheim</w:t>
      </w:r>
      <w:proofErr w:type="spellEnd"/>
      <w:r w:rsidRPr="005D502C">
        <w:rPr>
          <w:rFonts w:ascii="Arial" w:eastAsia="Times New Roman" w:hAnsi="Arial" w:cs="Arial"/>
        </w:rPr>
        <w:t>, L. T. (2017) ‘Children as playing citizens’, </w:t>
      </w:r>
      <w:r w:rsidRPr="005D502C">
        <w:rPr>
          <w:rFonts w:ascii="Arial" w:eastAsia="Times New Roman" w:hAnsi="Arial" w:cs="Arial"/>
          <w:i/>
          <w:iCs/>
        </w:rPr>
        <w:t>European Early Childhood Education Research Journal,</w:t>
      </w:r>
      <w:r w:rsidRPr="005D502C">
        <w:rPr>
          <w:rFonts w:ascii="Arial" w:eastAsia="Times New Roman" w:hAnsi="Arial" w:cs="Arial"/>
        </w:rPr>
        <w:t> 25:4, pp. 624-636, DOI: 10.1080/1350293X.2017.1331076 (Accessed: 25</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176997D8"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Hanrahan, V., Niles, A. and Whyte, M. (2019) ‘Learning Stories’, </w:t>
      </w:r>
      <w:r w:rsidRPr="005D502C">
        <w:rPr>
          <w:rFonts w:ascii="Arial" w:eastAsia="Times New Roman" w:hAnsi="Arial" w:cs="Arial"/>
          <w:i/>
          <w:iCs/>
        </w:rPr>
        <w:t>Exchange (19460406)</w:t>
      </w:r>
      <w:r w:rsidRPr="005D502C">
        <w:rPr>
          <w:rFonts w:ascii="Arial" w:eastAsia="Times New Roman" w:hAnsi="Arial" w:cs="Arial"/>
        </w:rPr>
        <w:t>, (245), pp. 12–15. Available at: https://search-ebscohost-com.ezproxy.uwtsd.ac.uk/login.aspx?direct=true&amp;db=eue&amp;AN=133940804&amp;site=ehost-live (Accessed: 1 April 2020). </w:t>
      </w:r>
    </w:p>
    <w:p w14:paraId="24BAADB0" w14:textId="77777777" w:rsidR="00BA47F6"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Howard, S. et al. (2018) ‘Measuring interactional quality in pre-school settings: introduction and validation of the Sustained Shared Thinking and Emotional Wellbeing (SSTEW) scale’, </w:t>
      </w:r>
      <w:r w:rsidRPr="005D502C">
        <w:rPr>
          <w:rFonts w:ascii="Arial" w:eastAsia="Times New Roman" w:hAnsi="Arial" w:cs="Arial"/>
          <w:i/>
          <w:iCs/>
        </w:rPr>
        <w:t>Early Child Development and Care,</w:t>
      </w:r>
      <w:r w:rsidRPr="005D502C">
        <w:rPr>
          <w:rFonts w:ascii="Arial" w:eastAsia="Times New Roman" w:hAnsi="Arial" w:cs="Arial"/>
        </w:rPr>
        <w:t> 1-14. DOI: 10.1080/03004430.2018.1511549 (Accessed: 24</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294DDF0A" w14:textId="72398BF2"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lastRenderedPageBreak/>
        <w:t>Jones, C. (2019) </w:t>
      </w:r>
      <w:r w:rsidRPr="005D502C">
        <w:rPr>
          <w:rFonts w:ascii="Arial" w:eastAsia="Times New Roman" w:hAnsi="Arial" w:cs="Arial"/>
          <w:i/>
          <w:iCs/>
        </w:rPr>
        <w:t>Fit for the Future Education in Wales.</w:t>
      </w:r>
      <w:r w:rsidRPr="005D502C">
        <w:rPr>
          <w:rFonts w:ascii="Arial" w:eastAsia="Times New Roman" w:hAnsi="Arial" w:cs="Arial"/>
        </w:rPr>
        <w:t> Available at: </w:t>
      </w:r>
      <w:hyperlink r:id="rId22" w:tgtFrame="_blank" w:history="1">
        <w:r w:rsidRPr="005D502C">
          <w:rPr>
            <w:rFonts w:ascii="Arial" w:eastAsia="Times New Roman" w:hAnsi="Arial" w:cs="Arial"/>
            <w:color w:val="0563C1"/>
            <w:u w:val="single"/>
          </w:rPr>
          <w:t>https://futuregenerations.wales/wp-content/uploads/2019/10/2019-10-16-Fit-for-the-Future-Education-in-Wales-1-1.pdf</w:t>
        </w:r>
      </w:hyperlink>
      <w:r w:rsidRPr="005D502C">
        <w:rPr>
          <w:rFonts w:ascii="Arial" w:eastAsia="Times New Roman" w:hAnsi="Arial" w:cs="Arial"/>
        </w:rPr>
        <w:t> (Accessed: 29</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2B723C41"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Jones, S. (2015) ‘Baseline Assessment - Changing the Face of Achievement in the Early Years?’, </w:t>
      </w:r>
      <w:r w:rsidRPr="005D502C">
        <w:rPr>
          <w:rFonts w:ascii="Arial" w:eastAsia="Times New Roman" w:hAnsi="Arial" w:cs="Arial"/>
          <w:i/>
          <w:iCs/>
        </w:rPr>
        <w:t>Education Today (00131547)</w:t>
      </w:r>
      <w:r w:rsidRPr="005D502C">
        <w:rPr>
          <w:rFonts w:ascii="Arial" w:eastAsia="Times New Roman" w:hAnsi="Arial" w:cs="Arial"/>
        </w:rPr>
        <w:t>, 65(2), pp. 29–34. Available at: https://search-ebscohost-com.ezproxy.uwtsd.ac.uk/login.aspx?direct=true&amp;db=eue&amp;AN=120473513&amp;site=ehost-live (Accessed: 31</w:t>
      </w:r>
      <w:r w:rsidRPr="005D502C">
        <w:rPr>
          <w:rFonts w:ascii="Arial" w:eastAsia="Times New Roman" w:hAnsi="Arial" w:cs="Arial"/>
          <w:sz w:val="19"/>
          <w:szCs w:val="19"/>
          <w:vertAlign w:val="superscript"/>
        </w:rPr>
        <w:t>st</w:t>
      </w:r>
      <w:r w:rsidRPr="005D502C">
        <w:rPr>
          <w:rFonts w:ascii="Arial" w:eastAsia="Times New Roman" w:hAnsi="Arial" w:cs="Arial"/>
        </w:rPr>
        <w:t> March 2020). </w:t>
      </w:r>
    </w:p>
    <w:p w14:paraId="587E573D"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Kingston, D. and Siraj, I. (2017) ‘Supporting the Implementation of the Foundation Phase through effective Professional Development’. </w:t>
      </w:r>
      <w:r w:rsidRPr="005D502C">
        <w:rPr>
          <w:rFonts w:ascii="Arial" w:eastAsia="Times New Roman" w:hAnsi="Arial" w:cs="Arial"/>
          <w:i/>
          <w:iCs/>
        </w:rPr>
        <w:t>Welsh Journal of Education</w:t>
      </w:r>
      <w:r w:rsidRPr="005D502C">
        <w:rPr>
          <w:rFonts w:ascii="Arial" w:eastAsia="Times New Roman" w:hAnsi="Arial" w:cs="Arial"/>
        </w:rPr>
        <w:t>. 19.  </w:t>
      </w:r>
    </w:p>
    <w:p w14:paraId="01E59FE6"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Knight, S (2013) </w:t>
      </w:r>
      <w:r w:rsidRPr="005D502C">
        <w:rPr>
          <w:rFonts w:ascii="Arial" w:eastAsia="Times New Roman" w:hAnsi="Arial" w:cs="Arial"/>
          <w:i/>
          <w:iCs/>
        </w:rPr>
        <w:t>International perspectives on Forest School: natural spaces to play and learn. </w:t>
      </w:r>
      <w:r w:rsidRPr="005D502C">
        <w:rPr>
          <w:rFonts w:ascii="Arial" w:eastAsia="Times New Roman" w:hAnsi="Arial" w:cs="Arial"/>
        </w:rPr>
        <w:t>London: Sage Publications ltd.  </w:t>
      </w:r>
    </w:p>
    <w:p w14:paraId="6133DAC6"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Lee, W. </w:t>
      </w:r>
      <w:r w:rsidRPr="005D502C">
        <w:rPr>
          <w:rFonts w:ascii="Arial" w:eastAsia="Times New Roman" w:hAnsi="Arial" w:cs="Arial"/>
          <w:i/>
          <w:iCs/>
        </w:rPr>
        <w:t>et al.</w:t>
      </w:r>
      <w:r w:rsidRPr="005D502C">
        <w:rPr>
          <w:rFonts w:ascii="Arial" w:eastAsia="Times New Roman" w:hAnsi="Arial" w:cs="Arial"/>
        </w:rPr>
        <w:t> (2013) </w:t>
      </w:r>
      <w:r w:rsidRPr="005D502C">
        <w:rPr>
          <w:rFonts w:ascii="Arial" w:eastAsia="Times New Roman" w:hAnsi="Arial" w:cs="Arial"/>
          <w:i/>
          <w:iCs/>
        </w:rPr>
        <w:t>Understanding the </w:t>
      </w:r>
      <w:proofErr w:type="spellStart"/>
      <w:r w:rsidRPr="005D502C">
        <w:rPr>
          <w:rFonts w:ascii="Arial" w:eastAsia="Times New Roman" w:hAnsi="Arial" w:cs="Arial"/>
          <w:i/>
          <w:iCs/>
        </w:rPr>
        <w:t>Te</w:t>
      </w:r>
      <w:proofErr w:type="spellEnd"/>
      <w:r w:rsidRPr="005D502C">
        <w:rPr>
          <w:rFonts w:ascii="Arial" w:eastAsia="Times New Roman" w:hAnsi="Arial" w:cs="Arial"/>
          <w:i/>
          <w:iCs/>
        </w:rPr>
        <w:t> </w:t>
      </w:r>
      <w:proofErr w:type="spellStart"/>
      <w:r w:rsidRPr="005D502C">
        <w:rPr>
          <w:rFonts w:ascii="Arial" w:eastAsia="Times New Roman" w:hAnsi="Arial" w:cs="Arial"/>
          <w:i/>
          <w:iCs/>
        </w:rPr>
        <w:t>Whariki</w:t>
      </w:r>
      <w:proofErr w:type="spellEnd"/>
      <w:r w:rsidRPr="005D502C">
        <w:rPr>
          <w:rFonts w:ascii="Arial" w:eastAsia="Times New Roman" w:hAnsi="Arial" w:cs="Arial"/>
          <w:i/>
          <w:iCs/>
        </w:rPr>
        <w:t> Approach Early years education in practice.</w:t>
      </w:r>
      <w:r w:rsidRPr="005D502C">
        <w:rPr>
          <w:rFonts w:ascii="Arial" w:eastAsia="Times New Roman" w:hAnsi="Arial" w:cs="Arial"/>
        </w:rPr>
        <w:t> Hoboken: Taylor and Francis. </w:t>
      </w:r>
    </w:p>
    <w:p w14:paraId="1D5CBBD2"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Leggett, N. and Newman, L. (2017)</w:t>
      </w:r>
      <w:r w:rsidRPr="005D502C">
        <w:rPr>
          <w:rFonts w:ascii="Source Sans Pro" w:eastAsia="Times New Roman" w:hAnsi="Source Sans Pro" w:cs="Segoe UI"/>
          <w:color w:val="3A3A3A"/>
          <w:sz w:val="22"/>
          <w:szCs w:val="22"/>
        </w:rPr>
        <w:t> ‘</w:t>
      </w:r>
      <w:r w:rsidRPr="005D502C">
        <w:rPr>
          <w:rFonts w:ascii="Arial" w:eastAsia="Times New Roman" w:hAnsi="Arial" w:cs="Arial"/>
        </w:rPr>
        <w:t>Play: Challenging educators' beliefs about play in the indoor and outdoor environment.’ </w:t>
      </w:r>
      <w:r w:rsidRPr="005D502C">
        <w:rPr>
          <w:rFonts w:ascii="Arial" w:eastAsia="Times New Roman" w:hAnsi="Arial" w:cs="Arial"/>
          <w:i/>
          <w:iCs/>
        </w:rPr>
        <w:t>Australasian Journal of Early Childhood</w:t>
      </w:r>
      <w:r w:rsidRPr="005D502C">
        <w:rPr>
          <w:rFonts w:ascii="Arial" w:eastAsia="Times New Roman" w:hAnsi="Arial" w:cs="Arial"/>
        </w:rPr>
        <w:t>, 42(1), pp.24–33. </w:t>
      </w:r>
      <w:proofErr w:type="spellStart"/>
      <w:r w:rsidRPr="005D502C">
        <w:rPr>
          <w:rFonts w:ascii="Arial" w:eastAsia="Times New Roman" w:hAnsi="Arial" w:cs="Arial"/>
        </w:rPr>
        <w:t>Doi</w:t>
      </w:r>
      <w:proofErr w:type="spellEnd"/>
      <w:r w:rsidRPr="005D502C">
        <w:rPr>
          <w:rFonts w:ascii="Arial" w:eastAsia="Times New Roman" w:hAnsi="Arial" w:cs="Arial"/>
        </w:rPr>
        <w:t>: 10.23965/AJEC.42.1.01 (Accessed: 3</w:t>
      </w:r>
      <w:r w:rsidRPr="005D502C">
        <w:rPr>
          <w:rFonts w:ascii="Arial" w:eastAsia="Times New Roman" w:hAnsi="Arial" w:cs="Arial"/>
          <w:sz w:val="19"/>
          <w:szCs w:val="19"/>
          <w:vertAlign w:val="superscript"/>
        </w:rPr>
        <w:t>rd</w:t>
      </w:r>
      <w:r w:rsidRPr="005D502C">
        <w:rPr>
          <w:rFonts w:ascii="Arial" w:eastAsia="Times New Roman" w:hAnsi="Arial" w:cs="Arial"/>
        </w:rPr>
        <w:t> April 2020).  </w:t>
      </w:r>
    </w:p>
    <w:p w14:paraId="099E2243" w14:textId="77777777" w:rsidR="00BA47F6" w:rsidRDefault="00BA47F6" w:rsidP="00BA47F6">
      <w:pPr>
        <w:spacing w:afterLines="140" w:after="336"/>
        <w:textAlignment w:val="baseline"/>
        <w:rPr>
          <w:rFonts w:ascii="Arial" w:eastAsia="Times New Roman" w:hAnsi="Arial" w:cs="Arial"/>
        </w:rPr>
      </w:pPr>
      <w:r w:rsidRPr="005D502C">
        <w:rPr>
          <w:rFonts w:ascii="Arial" w:eastAsia="Times New Roman" w:hAnsi="Arial" w:cs="Arial"/>
        </w:rPr>
        <w:t>Loughborough University (no date) </w:t>
      </w:r>
      <w:r w:rsidRPr="005D502C">
        <w:rPr>
          <w:rFonts w:ascii="Arial" w:eastAsia="Times New Roman" w:hAnsi="Arial" w:cs="Arial"/>
          <w:i/>
          <w:iCs/>
        </w:rPr>
        <w:t>Happy children Forest school.</w:t>
      </w:r>
      <w:r w:rsidRPr="005D502C">
        <w:rPr>
          <w:rFonts w:ascii="Arial" w:eastAsia="Times New Roman" w:hAnsi="Arial" w:cs="Arial"/>
        </w:rPr>
        <w:t> Available at: </w:t>
      </w:r>
      <w:hyperlink r:id="rId23" w:tgtFrame="_blank" w:history="1">
        <w:r w:rsidRPr="005D502C">
          <w:rPr>
            <w:rFonts w:ascii="Arial" w:eastAsia="Times New Roman" w:hAnsi="Arial" w:cs="Arial"/>
            <w:color w:val="0563C1"/>
            <w:u w:val="single"/>
          </w:rPr>
          <w:t>https://www.lboro.ac.uk/news-events/comment/forest-school-conversation/</w:t>
        </w:r>
      </w:hyperlink>
      <w:r w:rsidRPr="005D502C">
        <w:rPr>
          <w:rFonts w:ascii="Arial" w:eastAsia="Times New Roman" w:hAnsi="Arial" w:cs="Arial"/>
        </w:rPr>
        <w:t> (Accessed: 25</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129515F2"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MacQuarrie</w:t>
      </w:r>
      <w:proofErr w:type="spellEnd"/>
      <w:r w:rsidRPr="005D502C">
        <w:rPr>
          <w:rFonts w:ascii="Arial" w:eastAsia="Times New Roman" w:hAnsi="Arial" w:cs="Arial"/>
        </w:rPr>
        <w:t>, S. (2018) ‘Everyday teaching and outdoor learning: developing an integrated approach to support school-based provision’, </w:t>
      </w:r>
      <w:r w:rsidRPr="005D502C">
        <w:rPr>
          <w:rFonts w:ascii="Arial" w:eastAsia="Times New Roman" w:hAnsi="Arial" w:cs="Arial"/>
          <w:i/>
          <w:iCs/>
        </w:rPr>
        <w:t>Education </w:t>
      </w:r>
      <w:r w:rsidRPr="005D502C">
        <w:rPr>
          <w:rFonts w:ascii="Arial" w:eastAsia="Times New Roman" w:hAnsi="Arial" w:cs="Arial"/>
        </w:rPr>
        <w:t>3-13, 46:3, 345-361, DOI: 10.1080/03004279.2016.1263968 (Accessed: 3</w:t>
      </w:r>
      <w:r w:rsidRPr="005D502C">
        <w:rPr>
          <w:rFonts w:ascii="Arial" w:eastAsia="Times New Roman" w:hAnsi="Arial" w:cs="Arial"/>
          <w:sz w:val="19"/>
          <w:szCs w:val="19"/>
          <w:vertAlign w:val="superscript"/>
        </w:rPr>
        <w:t>rd</w:t>
      </w:r>
      <w:r w:rsidRPr="005D502C">
        <w:rPr>
          <w:rFonts w:ascii="Arial" w:eastAsia="Times New Roman" w:hAnsi="Arial" w:cs="Arial"/>
        </w:rPr>
        <w:t> April 2020). </w:t>
      </w:r>
    </w:p>
    <w:p w14:paraId="7C77A1D4"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Maynard, T. </w:t>
      </w:r>
      <w:r w:rsidRPr="005D502C">
        <w:rPr>
          <w:rFonts w:ascii="Arial" w:eastAsia="Times New Roman" w:hAnsi="Arial" w:cs="Arial"/>
          <w:i/>
          <w:iCs/>
        </w:rPr>
        <w:t>et al.</w:t>
      </w:r>
      <w:r w:rsidRPr="005D502C">
        <w:rPr>
          <w:rFonts w:ascii="Arial" w:eastAsia="Times New Roman" w:hAnsi="Arial" w:cs="Arial"/>
        </w:rPr>
        <w:t> (2010) </w:t>
      </w:r>
      <w:r w:rsidRPr="005D502C">
        <w:rPr>
          <w:rFonts w:ascii="Arial" w:eastAsia="Times New Roman" w:hAnsi="Arial" w:cs="Arial"/>
          <w:i/>
          <w:iCs/>
        </w:rPr>
        <w:t>The Teaching and Learning Research Programme in Wales: The Foundation Phase</w:t>
      </w:r>
      <w:r w:rsidRPr="005D502C">
        <w:rPr>
          <w:rFonts w:ascii="Arial" w:eastAsia="Times New Roman" w:hAnsi="Arial" w:cs="Arial"/>
        </w:rPr>
        <w:t>. Available at: </w:t>
      </w:r>
      <w:hyperlink r:id="rId24" w:tgtFrame="_blank" w:history="1">
        <w:r w:rsidRPr="005D502C">
          <w:rPr>
            <w:rFonts w:ascii="Arial" w:eastAsia="Times New Roman" w:hAnsi="Arial" w:cs="Arial"/>
            <w:color w:val="0563C1"/>
            <w:u w:val="single"/>
          </w:rPr>
          <w:t>https://dera.ioe.ac.uk/1866/1/101202foundationreporten.pdf</w:t>
        </w:r>
      </w:hyperlink>
      <w:r w:rsidRPr="005D502C">
        <w:rPr>
          <w:rFonts w:ascii="Arial" w:eastAsia="Times New Roman" w:hAnsi="Arial" w:cs="Arial"/>
        </w:rPr>
        <w:t> (Accessed: 31</w:t>
      </w:r>
      <w:r w:rsidRPr="005D502C">
        <w:rPr>
          <w:rFonts w:ascii="Arial" w:eastAsia="Times New Roman" w:hAnsi="Arial" w:cs="Arial"/>
          <w:sz w:val="19"/>
          <w:szCs w:val="19"/>
          <w:vertAlign w:val="superscript"/>
        </w:rPr>
        <w:t>st</w:t>
      </w:r>
      <w:r w:rsidRPr="005D502C">
        <w:rPr>
          <w:rFonts w:ascii="Arial" w:eastAsia="Times New Roman" w:hAnsi="Arial" w:cs="Arial"/>
        </w:rPr>
        <w:t> March 2020).  </w:t>
      </w:r>
    </w:p>
    <w:p w14:paraId="148835B5"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Maynard, T. </w:t>
      </w:r>
      <w:r w:rsidRPr="005D502C">
        <w:rPr>
          <w:rFonts w:ascii="Arial" w:eastAsia="Times New Roman" w:hAnsi="Arial" w:cs="Arial"/>
          <w:i/>
          <w:iCs/>
        </w:rPr>
        <w:t>et al.</w:t>
      </w:r>
      <w:r w:rsidRPr="005D502C">
        <w:rPr>
          <w:rFonts w:ascii="Arial" w:eastAsia="Times New Roman" w:hAnsi="Arial" w:cs="Arial"/>
        </w:rPr>
        <w:t> (2012) </w:t>
      </w:r>
      <w:r w:rsidRPr="005D502C">
        <w:rPr>
          <w:rFonts w:ascii="Arial" w:eastAsia="Times New Roman" w:hAnsi="Arial" w:cs="Arial"/>
          <w:i/>
          <w:iCs/>
        </w:rPr>
        <w:t>Evaluating the Foundation Phase: Policy Logic Model and Programme Theory.</w:t>
      </w:r>
      <w:r w:rsidRPr="005D502C">
        <w:rPr>
          <w:rFonts w:ascii="Arial" w:eastAsia="Times New Roman" w:hAnsi="Arial" w:cs="Arial"/>
        </w:rPr>
        <w:t> Available at: </w:t>
      </w:r>
      <w:hyperlink r:id="rId25" w:tgtFrame="_blank" w:history="1">
        <w:r w:rsidRPr="005D502C">
          <w:rPr>
            <w:rFonts w:ascii="Arial" w:eastAsia="Times New Roman" w:hAnsi="Arial" w:cs="Arial"/>
            <w:color w:val="0563C1"/>
            <w:u w:val="single"/>
          </w:rPr>
          <w:t>https://orca.cf.ac.uk/88812/1/130318-evaluating-foundation-phase-policy-logic-model-programme-theory-en.pdf</w:t>
        </w:r>
      </w:hyperlink>
      <w:r w:rsidRPr="005D502C">
        <w:rPr>
          <w:rFonts w:ascii="Arial" w:eastAsia="Times New Roman" w:hAnsi="Arial" w:cs="Arial"/>
        </w:rPr>
        <w:t> (Accessed: 23</w:t>
      </w:r>
      <w:r w:rsidRPr="005D502C">
        <w:rPr>
          <w:rFonts w:ascii="Arial" w:eastAsia="Times New Roman" w:hAnsi="Arial" w:cs="Arial"/>
          <w:sz w:val="19"/>
          <w:szCs w:val="19"/>
          <w:vertAlign w:val="superscript"/>
        </w:rPr>
        <w:t>rd</w:t>
      </w:r>
      <w:r w:rsidRPr="005D502C">
        <w:rPr>
          <w:rFonts w:ascii="Arial" w:eastAsia="Times New Roman" w:hAnsi="Arial" w:cs="Arial"/>
        </w:rPr>
        <w:t> March 2020).  </w:t>
      </w:r>
    </w:p>
    <w:p w14:paraId="4881259D"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Merewether, J. (2015) ‘Young children’s perspectives of outdoor learning spaces: What matters?’ </w:t>
      </w:r>
      <w:r w:rsidRPr="005D502C">
        <w:rPr>
          <w:rFonts w:ascii="Arial" w:eastAsia="Times New Roman" w:hAnsi="Arial" w:cs="Arial"/>
          <w:i/>
          <w:iCs/>
        </w:rPr>
        <w:t>Australasian Journal of Early Childhood</w:t>
      </w:r>
      <w:r w:rsidRPr="005D502C">
        <w:rPr>
          <w:rFonts w:ascii="Arial" w:eastAsia="Times New Roman" w:hAnsi="Arial" w:cs="Arial"/>
        </w:rPr>
        <w:t>, 40(1), pp.99–109. (Accessed: 1</w:t>
      </w:r>
      <w:r w:rsidRPr="005D502C">
        <w:rPr>
          <w:rFonts w:ascii="Arial" w:eastAsia="Times New Roman" w:hAnsi="Arial" w:cs="Arial"/>
          <w:sz w:val="19"/>
          <w:szCs w:val="19"/>
          <w:vertAlign w:val="superscript"/>
        </w:rPr>
        <w:t>st</w:t>
      </w:r>
      <w:r w:rsidRPr="005D502C">
        <w:rPr>
          <w:rFonts w:ascii="Arial" w:eastAsia="Times New Roman" w:hAnsi="Arial" w:cs="Arial"/>
        </w:rPr>
        <w:t> April 2020). </w:t>
      </w:r>
    </w:p>
    <w:p w14:paraId="1D8CCF1B"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O’Sullivan, A. (2018) ‘Educator Decision Making about Outdoor Learning Spaces in Early Childhood Education and Care Services’, </w:t>
      </w:r>
      <w:r w:rsidRPr="005D502C">
        <w:rPr>
          <w:rFonts w:ascii="Arial" w:eastAsia="Times New Roman" w:hAnsi="Arial" w:cs="Arial"/>
          <w:i/>
          <w:iCs/>
        </w:rPr>
        <w:t xml:space="preserve">Asia-Pacific Journal of Research in </w:t>
      </w:r>
      <w:r w:rsidRPr="005D502C">
        <w:rPr>
          <w:rFonts w:ascii="Arial" w:eastAsia="Times New Roman" w:hAnsi="Arial" w:cs="Arial"/>
          <w:i/>
          <w:iCs/>
        </w:rPr>
        <w:lastRenderedPageBreak/>
        <w:t>Early Childhood Education</w:t>
      </w:r>
      <w:r w:rsidRPr="005D502C">
        <w:rPr>
          <w:rFonts w:ascii="Arial" w:eastAsia="Times New Roman" w:hAnsi="Arial" w:cs="Arial"/>
        </w:rPr>
        <w:t>, 12(2), pp. 93–103. </w:t>
      </w:r>
      <w:proofErr w:type="spellStart"/>
      <w:r w:rsidRPr="005D502C">
        <w:rPr>
          <w:rFonts w:ascii="Arial" w:eastAsia="Times New Roman" w:hAnsi="Arial" w:cs="Arial"/>
        </w:rPr>
        <w:t>doi</w:t>
      </w:r>
      <w:proofErr w:type="spellEnd"/>
      <w:r w:rsidRPr="005D502C">
        <w:rPr>
          <w:rFonts w:ascii="Arial" w:eastAsia="Times New Roman" w:hAnsi="Arial" w:cs="Arial"/>
        </w:rPr>
        <w:t>: 10.17206/apjrece.2018.12.2.93. (Accessed: 2</w:t>
      </w:r>
      <w:r w:rsidRPr="005D502C">
        <w:rPr>
          <w:rFonts w:ascii="Arial" w:eastAsia="Times New Roman" w:hAnsi="Arial" w:cs="Arial"/>
          <w:sz w:val="19"/>
          <w:szCs w:val="19"/>
          <w:vertAlign w:val="superscript"/>
        </w:rPr>
        <w:t>nd</w:t>
      </w:r>
      <w:r w:rsidRPr="005D502C">
        <w:rPr>
          <w:rFonts w:ascii="Arial" w:eastAsia="Times New Roman" w:hAnsi="Arial" w:cs="Arial"/>
        </w:rPr>
        <w:t> April 2020). </w:t>
      </w:r>
    </w:p>
    <w:p w14:paraId="3DF1F4D5"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OECD (2014) </w:t>
      </w:r>
      <w:r w:rsidRPr="005D502C">
        <w:rPr>
          <w:rFonts w:ascii="Arial" w:eastAsia="Times New Roman" w:hAnsi="Arial" w:cs="Arial"/>
          <w:i/>
          <w:iCs/>
        </w:rPr>
        <w:t>Improving Schools in Wales: An OECD Perspective. </w:t>
      </w:r>
      <w:r w:rsidRPr="005D502C">
        <w:rPr>
          <w:rFonts w:ascii="Arial" w:eastAsia="Times New Roman" w:hAnsi="Arial" w:cs="Arial"/>
        </w:rPr>
        <w:t>Available at: </w:t>
      </w:r>
      <w:hyperlink r:id="rId26" w:tgtFrame="_blank" w:history="1">
        <w:r w:rsidRPr="005D502C">
          <w:rPr>
            <w:rFonts w:ascii="Arial" w:eastAsia="Times New Roman" w:hAnsi="Arial" w:cs="Arial"/>
            <w:color w:val="0563C1"/>
            <w:u w:val="single"/>
          </w:rPr>
          <w:t>http://www.oecd.org/education/Improving-schools-in-Wales.pdf</w:t>
        </w:r>
      </w:hyperlink>
      <w:r w:rsidRPr="005D502C">
        <w:rPr>
          <w:rFonts w:ascii="Arial" w:eastAsia="Times New Roman" w:hAnsi="Arial" w:cs="Arial"/>
        </w:rPr>
        <w:t> (Accessed: 3</w:t>
      </w:r>
      <w:r w:rsidRPr="005D502C">
        <w:rPr>
          <w:rFonts w:ascii="Arial" w:eastAsia="Times New Roman" w:hAnsi="Arial" w:cs="Arial"/>
          <w:sz w:val="19"/>
          <w:szCs w:val="19"/>
          <w:vertAlign w:val="superscript"/>
        </w:rPr>
        <w:t>rd</w:t>
      </w:r>
      <w:r w:rsidRPr="005D502C">
        <w:rPr>
          <w:rFonts w:ascii="Arial" w:eastAsia="Times New Roman" w:hAnsi="Arial" w:cs="Arial"/>
        </w:rPr>
        <w:t> April 2020).  </w:t>
      </w:r>
    </w:p>
    <w:p w14:paraId="064A67CC"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OECD (2018)</w:t>
      </w:r>
      <w:r w:rsidRPr="005D502C">
        <w:rPr>
          <w:rFonts w:ascii="Arial" w:eastAsia="Times New Roman" w:hAnsi="Arial" w:cs="Arial"/>
          <w:i/>
          <w:iCs/>
        </w:rPr>
        <w:t> Engaging Young Children: Lessons from Research about Quality in Early Childhood Education and Care, Starting Strong,</w:t>
      </w:r>
      <w:r w:rsidRPr="005D502C">
        <w:rPr>
          <w:rFonts w:ascii="Arial" w:eastAsia="Times New Roman" w:hAnsi="Arial" w:cs="Arial"/>
        </w:rPr>
        <w:t> OECD Publishing, Paris. Available at: </w:t>
      </w:r>
      <w:hyperlink r:id="rId27" w:tgtFrame="_blank" w:history="1">
        <w:r w:rsidRPr="005D502C">
          <w:rPr>
            <w:rFonts w:ascii="Arial" w:eastAsia="Times New Roman" w:hAnsi="Arial" w:cs="Arial"/>
            <w:color w:val="0563C1"/>
            <w:u w:val="single"/>
          </w:rPr>
          <w:t>http://dx.doi.org/10.1787/9789264085145-en</w:t>
        </w:r>
      </w:hyperlink>
      <w:r w:rsidRPr="005D502C">
        <w:rPr>
          <w:rFonts w:ascii="Arial" w:eastAsia="Times New Roman" w:hAnsi="Arial" w:cs="Arial"/>
          <w:i/>
          <w:iCs/>
        </w:rPr>
        <w:t>. </w:t>
      </w:r>
      <w:r w:rsidRPr="005D502C">
        <w:rPr>
          <w:rFonts w:ascii="Arial" w:eastAsia="Times New Roman" w:hAnsi="Arial" w:cs="Arial"/>
        </w:rPr>
        <w:t>(Accessed: 25</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6F7CBD78"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Pack, J. (2015) ‘Learning Stories’. </w:t>
      </w:r>
      <w:r w:rsidRPr="005D502C">
        <w:rPr>
          <w:rFonts w:ascii="Arial" w:eastAsia="Times New Roman" w:hAnsi="Arial" w:cs="Arial"/>
          <w:i/>
          <w:iCs/>
        </w:rPr>
        <w:t>Teaching Young Children</w:t>
      </w:r>
      <w:r w:rsidRPr="005D502C">
        <w:rPr>
          <w:rFonts w:ascii="Arial" w:eastAsia="Times New Roman" w:hAnsi="Arial" w:cs="Arial"/>
        </w:rPr>
        <w:t>, 9(2), pp.18–21. </w:t>
      </w:r>
    </w:p>
    <w:p w14:paraId="1F7DA5EC"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Palaiologou</w:t>
      </w:r>
      <w:proofErr w:type="spellEnd"/>
      <w:r w:rsidRPr="005D502C">
        <w:rPr>
          <w:rFonts w:ascii="Arial" w:eastAsia="Times New Roman" w:hAnsi="Arial" w:cs="Arial"/>
        </w:rPr>
        <w:t>, I. </w:t>
      </w:r>
      <w:r w:rsidRPr="005D502C">
        <w:rPr>
          <w:rFonts w:ascii="Arial" w:eastAsia="Times New Roman" w:hAnsi="Arial" w:cs="Arial"/>
          <w:i/>
          <w:iCs/>
        </w:rPr>
        <w:t>et al.</w:t>
      </w:r>
      <w:r w:rsidRPr="005D502C">
        <w:rPr>
          <w:rFonts w:ascii="Arial" w:eastAsia="Times New Roman" w:hAnsi="Arial" w:cs="Arial"/>
        </w:rPr>
        <w:t> (2016) </w:t>
      </w:r>
      <w:r w:rsidRPr="005D502C">
        <w:rPr>
          <w:rFonts w:ascii="Arial" w:eastAsia="Times New Roman" w:hAnsi="Arial" w:cs="Arial"/>
          <w:i/>
          <w:iCs/>
        </w:rPr>
        <w:t>The early years foundation stage: theory and practice.</w:t>
      </w:r>
      <w:r w:rsidRPr="005D502C">
        <w:rPr>
          <w:rFonts w:ascii="Arial" w:eastAsia="Times New Roman" w:hAnsi="Arial" w:cs="Arial"/>
        </w:rPr>
        <w:t> 3</w:t>
      </w:r>
      <w:r w:rsidRPr="005D502C">
        <w:rPr>
          <w:rFonts w:ascii="Arial" w:eastAsia="Times New Roman" w:hAnsi="Arial" w:cs="Arial"/>
          <w:sz w:val="19"/>
          <w:szCs w:val="19"/>
          <w:vertAlign w:val="superscript"/>
        </w:rPr>
        <w:t>rd</w:t>
      </w:r>
      <w:r w:rsidRPr="005D502C">
        <w:rPr>
          <w:rFonts w:ascii="Arial" w:eastAsia="Times New Roman" w:hAnsi="Arial" w:cs="Arial"/>
        </w:rPr>
        <w:t> Ed. London: SAGE publications Ltd. </w:t>
      </w:r>
    </w:p>
    <w:p w14:paraId="325315FE"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Perren</w:t>
      </w:r>
      <w:proofErr w:type="spellEnd"/>
      <w:r w:rsidRPr="005D502C">
        <w:rPr>
          <w:rFonts w:ascii="Arial" w:eastAsia="Times New Roman" w:hAnsi="Arial" w:cs="Arial"/>
        </w:rPr>
        <w:t>, S. </w:t>
      </w:r>
      <w:r w:rsidRPr="005D502C">
        <w:rPr>
          <w:rFonts w:ascii="Arial" w:eastAsia="Times New Roman" w:hAnsi="Arial" w:cs="Arial"/>
          <w:i/>
          <w:iCs/>
        </w:rPr>
        <w:t>et al. </w:t>
      </w:r>
      <w:r w:rsidRPr="005D502C">
        <w:rPr>
          <w:rFonts w:ascii="Arial" w:eastAsia="Times New Roman" w:hAnsi="Arial" w:cs="Arial"/>
        </w:rPr>
        <w:t>(2017) ‘Child-centred educational practice in different early education settings: Associations with professionals' attitudes, self-efficacy, and professional background’.</w:t>
      </w:r>
      <w:r w:rsidRPr="005D502C">
        <w:rPr>
          <w:rFonts w:ascii="Arial" w:eastAsia="Times New Roman" w:hAnsi="Arial" w:cs="Arial"/>
          <w:i/>
          <w:iCs/>
        </w:rPr>
        <w:t> Early Childhood Research Quarterly.</w:t>
      </w:r>
      <w:r w:rsidRPr="005D502C">
        <w:rPr>
          <w:rFonts w:ascii="Arial" w:eastAsia="Times New Roman" w:hAnsi="Arial" w:cs="Arial"/>
        </w:rPr>
        <w:t> 38, pp.137–149. Available at: </w:t>
      </w:r>
      <w:hyperlink r:id="rId28" w:tgtFrame="_blank" w:history="1">
        <w:r w:rsidRPr="005D502C">
          <w:rPr>
            <w:rFonts w:ascii="Arial" w:eastAsia="Times New Roman" w:hAnsi="Arial" w:cs="Arial"/>
            <w:u w:val="single"/>
          </w:rPr>
          <w:t>https://doi.org/10.1016/j.ecresq.2016.07.001</w:t>
        </w:r>
      </w:hyperlink>
      <w:r w:rsidRPr="005D502C">
        <w:rPr>
          <w:rFonts w:ascii="Arial" w:eastAsia="Times New Roman" w:hAnsi="Arial" w:cs="Arial"/>
        </w:rPr>
        <w:t> (Accessed: 20</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387F8126"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Pescott</w:t>
      </w:r>
      <w:proofErr w:type="spellEnd"/>
      <w:r w:rsidRPr="005D502C">
        <w:rPr>
          <w:rFonts w:ascii="Arial" w:eastAsia="Times New Roman" w:hAnsi="Arial" w:cs="Arial"/>
        </w:rPr>
        <w:t>, C. (2017) </w:t>
      </w:r>
      <w:r w:rsidRPr="005D502C">
        <w:rPr>
          <w:rFonts w:ascii="Arial" w:eastAsia="Times New Roman" w:hAnsi="Arial" w:cs="Arial"/>
          <w:i/>
          <w:iCs/>
        </w:rPr>
        <w:t>Teaching Early Years: What Can We Learn from UK Early Years Curricula?</w:t>
      </w:r>
      <w:r w:rsidRPr="005D502C">
        <w:rPr>
          <w:rFonts w:ascii="Arial" w:eastAsia="Times New Roman" w:hAnsi="Arial" w:cs="Arial"/>
        </w:rPr>
        <w:t> Available at: </w:t>
      </w:r>
      <w:hyperlink r:id="rId29" w:tgtFrame="_blank" w:history="1">
        <w:r w:rsidRPr="005D502C">
          <w:rPr>
            <w:rFonts w:ascii="Arial" w:eastAsia="Times New Roman" w:hAnsi="Arial" w:cs="Arial"/>
            <w:color w:val="0563C1"/>
            <w:u w:val="single"/>
          </w:rPr>
          <w:t>https://us.sagepub.com/sites/default/files/upm-assets/88515_book_item_88515.pdf</w:t>
        </w:r>
      </w:hyperlink>
      <w:r w:rsidRPr="005D502C">
        <w:rPr>
          <w:rFonts w:ascii="Arial" w:eastAsia="Times New Roman" w:hAnsi="Arial" w:cs="Arial"/>
        </w:rPr>
        <w:t> (Accessed: 1</w:t>
      </w:r>
      <w:r w:rsidRPr="005D502C">
        <w:rPr>
          <w:rFonts w:ascii="Arial" w:eastAsia="Times New Roman" w:hAnsi="Arial" w:cs="Arial"/>
          <w:sz w:val="19"/>
          <w:szCs w:val="19"/>
          <w:vertAlign w:val="superscript"/>
        </w:rPr>
        <w:t>st</w:t>
      </w:r>
      <w:r w:rsidRPr="005D502C">
        <w:rPr>
          <w:rFonts w:ascii="Arial" w:eastAsia="Times New Roman" w:hAnsi="Arial" w:cs="Arial"/>
        </w:rPr>
        <w:t> April 2020).  </w:t>
      </w:r>
    </w:p>
    <w:p w14:paraId="0E8A5A69"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Play Wales (2017) </w:t>
      </w:r>
      <w:r w:rsidRPr="005D502C">
        <w:rPr>
          <w:rFonts w:ascii="Arial" w:eastAsia="Times New Roman" w:hAnsi="Arial" w:cs="Arial"/>
          <w:i/>
          <w:iCs/>
        </w:rPr>
        <w:t>Play types.</w:t>
      </w:r>
      <w:r w:rsidRPr="005D502C">
        <w:rPr>
          <w:rFonts w:ascii="Arial" w:eastAsia="Times New Roman" w:hAnsi="Arial" w:cs="Arial"/>
        </w:rPr>
        <w:t> Available at: </w:t>
      </w:r>
      <w:hyperlink r:id="rId30" w:tgtFrame="_blank" w:history="1">
        <w:r w:rsidRPr="005D502C">
          <w:rPr>
            <w:rFonts w:ascii="Arial" w:eastAsia="Times New Roman" w:hAnsi="Arial" w:cs="Arial"/>
            <w:color w:val="0563C1"/>
            <w:u w:val="single"/>
          </w:rPr>
          <w:t>https://www.playwales.org.uk/login/uploaded/documents/INFORMATION%20SHEETS/Play%20types.pdf</w:t>
        </w:r>
      </w:hyperlink>
      <w:r w:rsidRPr="005D502C">
        <w:rPr>
          <w:rFonts w:ascii="Arial" w:eastAsia="Times New Roman" w:hAnsi="Arial" w:cs="Arial"/>
        </w:rPr>
        <w:t> (Accessed: 27</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6CBB2C2F"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Ray, H. A. and </w:t>
      </w:r>
      <w:proofErr w:type="spellStart"/>
      <w:r w:rsidRPr="005D502C">
        <w:rPr>
          <w:rFonts w:ascii="Arial" w:eastAsia="Times New Roman" w:hAnsi="Arial" w:cs="Arial"/>
        </w:rPr>
        <w:t>Jakubec</w:t>
      </w:r>
      <w:proofErr w:type="spellEnd"/>
      <w:r w:rsidRPr="005D502C">
        <w:rPr>
          <w:rFonts w:ascii="Arial" w:eastAsia="Times New Roman" w:hAnsi="Arial" w:cs="Arial"/>
        </w:rPr>
        <w:t>, S. L. (2018) ‘Nature’s Classroom: A Review of Motivators and Deterrents for Teacher Engagement in Outdoor Education Field Experiences’, </w:t>
      </w:r>
      <w:r w:rsidRPr="005D502C">
        <w:rPr>
          <w:rFonts w:ascii="Arial" w:eastAsia="Times New Roman" w:hAnsi="Arial" w:cs="Arial"/>
          <w:i/>
          <w:iCs/>
        </w:rPr>
        <w:t>Journal of Outdoor Recreation, Education &amp; Leadership</w:t>
      </w:r>
      <w:r w:rsidRPr="005D502C">
        <w:rPr>
          <w:rFonts w:ascii="Arial" w:eastAsia="Times New Roman" w:hAnsi="Arial" w:cs="Arial"/>
        </w:rPr>
        <w:t>, 10(4), pp. 323–333. Available at: https://search-ebscohost-com.ezproxy.uwtsd.ac.uk/login.aspx?direct=true&amp;db=s3h&amp;AN=132662694&amp;site=ehost-live (Accessed: 4 April 2020). </w:t>
      </w:r>
    </w:p>
    <w:p w14:paraId="639AF032"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Rhys, M., Waldron, S. and Taylor, C. (2014) </w:t>
      </w:r>
      <w:r w:rsidRPr="005D502C">
        <w:rPr>
          <w:rFonts w:ascii="Arial" w:eastAsia="Times New Roman" w:hAnsi="Arial" w:cs="Arial"/>
          <w:i/>
          <w:iCs/>
        </w:rPr>
        <w:t>Evaluating the Foundation Phase Key findings on the Environment (Indoor/Outdoor).</w:t>
      </w:r>
      <w:r w:rsidRPr="005D502C">
        <w:rPr>
          <w:rFonts w:ascii="Arial" w:eastAsia="Times New Roman" w:hAnsi="Arial" w:cs="Arial"/>
        </w:rPr>
        <w:t> Available at: </w:t>
      </w:r>
      <w:hyperlink r:id="rId31" w:tgtFrame="_blank" w:history="1">
        <w:r w:rsidRPr="005D502C">
          <w:rPr>
            <w:rFonts w:ascii="Arial" w:eastAsia="Times New Roman" w:hAnsi="Arial" w:cs="Arial"/>
            <w:color w:val="0563C1"/>
            <w:u w:val="single"/>
          </w:rPr>
          <w:t>https://gov.wales/sites/default/files/statistics-and-research/2019-07/140602-foundation-phase-key-findings-environment-summary-en.pdf</w:t>
        </w:r>
      </w:hyperlink>
      <w:r w:rsidRPr="005D502C">
        <w:rPr>
          <w:rFonts w:ascii="Arial" w:eastAsia="Times New Roman" w:hAnsi="Arial" w:cs="Arial"/>
        </w:rPr>
        <w:t> (Accessed: 27</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49FDA85F"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Robertson, J. (2014) </w:t>
      </w:r>
      <w:r w:rsidRPr="005D502C">
        <w:rPr>
          <w:rFonts w:ascii="Arial" w:eastAsia="Times New Roman" w:hAnsi="Arial" w:cs="Arial"/>
          <w:i/>
          <w:iCs/>
        </w:rPr>
        <w:t>Dirty Teaching.</w:t>
      </w:r>
      <w:r w:rsidRPr="005D502C">
        <w:rPr>
          <w:rFonts w:ascii="Arial" w:eastAsia="Times New Roman" w:hAnsi="Arial" w:cs="Arial"/>
        </w:rPr>
        <w:t> Crown House Publishing. ProQuest </w:t>
      </w:r>
      <w:proofErr w:type="spellStart"/>
      <w:r w:rsidRPr="005D502C">
        <w:rPr>
          <w:rFonts w:ascii="Arial" w:eastAsia="Times New Roman" w:hAnsi="Arial" w:cs="Arial"/>
        </w:rPr>
        <w:t>Ebook</w:t>
      </w:r>
      <w:proofErr w:type="spellEnd"/>
      <w:r w:rsidRPr="005D502C">
        <w:rPr>
          <w:rFonts w:ascii="Arial" w:eastAsia="Times New Roman" w:hAnsi="Arial" w:cs="Arial"/>
        </w:rPr>
        <w:t> Central, http://ebookcentral.proquest.com/lib/trinity/detail.action?docID=1584407. </w:t>
      </w:r>
      <w:r w:rsidRPr="005D502C">
        <w:rPr>
          <w:rFonts w:ascii="Arial" w:eastAsia="Times New Roman" w:hAnsi="Arial" w:cs="Arial"/>
        </w:rPr>
        <w:br/>
        <w:t>Created from trinity on 2020-04-04 03:57:15. (Accessed: 3</w:t>
      </w:r>
      <w:r w:rsidRPr="005D502C">
        <w:rPr>
          <w:rFonts w:ascii="Arial" w:eastAsia="Times New Roman" w:hAnsi="Arial" w:cs="Arial"/>
          <w:sz w:val="19"/>
          <w:szCs w:val="19"/>
          <w:vertAlign w:val="superscript"/>
        </w:rPr>
        <w:t>rd</w:t>
      </w:r>
      <w:r w:rsidRPr="005D502C">
        <w:rPr>
          <w:rFonts w:ascii="Arial" w:eastAsia="Times New Roman" w:hAnsi="Arial" w:cs="Arial"/>
        </w:rPr>
        <w:t> April 2020). </w:t>
      </w:r>
    </w:p>
    <w:p w14:paraId="2331282B"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lastRenderedPageBreak/>
        <w:t>Sim, M. </w:t>
      </w:r>
      <w:r w:rsidRPr="005D502C">
        <w:rPr>
          <w:rFonts w:ascii="Arial" w:eastAsia="Times New Roman" w:hAnsi="Arial" w:cs="Arial"/>
          <w:i/>
          <w:iCs/>
        </w:rPr>
        <w:t>et al. </w:t>
      </w:r>
      <w:r w:rsidRPr="005D502C">
        <w:rPr>
          <w:rFonts w:ascii="Arial" w:eastAsia="Times New Roman" w:hAnsi="Arial" w:cs="Arial"/>
        </w:rPr>
        <w:t>(2018) </w:t>
      </w:r>
      <w:r w:rsidRPr="005D502C">
        <w:rPr>
          <w:rFonts w:ascii="Arial" w:eastAsia="Times New Roman" w:hAnsi="Arial" w:cs="Arial"/>
          <w:i/>
          <w:iCs/>
        </w:rPr>
        <w:t>Teaching pedagogy and practice in early years childcare: An evidence </w:t>
      </w:r>
      <w:proofErr w:type="gramStart"/>
      <w:r w:rsidRPr="005D502C">
        <w:rPr>
          <w:rFonts w:ascii="Arial" w:eastAsia="Times New Roman" w:hAnsi="Arial" w:cs="Arial"/>
          <w:i/>
          <w:iCs/>
        </w:rPr>
        <w:t>review</w:t>
      </w:r>
      <w:proofErr w:type="gramEnd"/>
      <w:r w:rsidRPr="005D502C">
        <w:rPr>
          <w:rFonts w:ascii="Arial" w:eastAsia="Times New Roman" w:hAnsi="Arial" w:cs="Arial"/>
        </w:rPr>
        <w:t>. Available at: </w:t>
      </w:r>
      <w:hyperlink r:id="rId32" w:tgtFrame="_blank" w:history="1">
        <w:r w:rsidRPr="005D502C">
          <w:rPr>
            <w:rFonts w:ascii="Arial" w:eastAsia="Times New Roman" w:hAnsi="Arial" w:cs="Arial"/>
            <w:color w:val="0563C1"/>
            <w:u w:val="single"/>
          </w:rPr>
          <w:t>file:///Users/helen/Downloads/teaching-pedagogy-and-practice-in-early-years-childcare%20(1).pdf</w:t>
        </w:r>
      </w:hyperlink>
      <w:r w:rsidRPr="005D502C">
        <w:rPr>
          <w:rFonts w:ascii="Arial" w:eastAsia="Times New Roman" w:hAnsi="Arial" w:cs="Arial"/>
        </w:rPr>
        <w:t> (Accessed: 26</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2FDEC36D"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Southcott, L, H. (2015) ‘Learning Stories: Connecting Parents, Celebrating Success, and Valuing Children's Theories. Voices of Practitioners’: </w:t>
      </w:r>
      <w:r w:rsidRPr="005D502C">
        <w:rPr>
          <w:rFonts w:ascii="Arial" w:eastAsia="Times New Roman" w:hAnsi="Arial" w:cs="Arial"/>
          <w:i/>
          <w:iCs/>
        </w:rPr>
        <w:t>Teacher Research in Early Childhood Education,</w:t>
      </w:r>
      <w:r w:rsidRPr="005D502C">
        <w:rPr>
          <w:rFonts w:ascii="Arial" w:eastAsia="Times New Roman" w:hAnsi="Arial" w:cs="Arial"/>
        </w:rPr>
        <w:t> 10, pp.34–51. https://search.proquest.com/docview/1818005035?accountid=130472 </w:t>
      </w:r>
    </w:p>
    <w:p w14:paraId="0FFC0338"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Stephen, C. (2010) ‘Pedagogy: the silent partner in early years learning,’ </w:t>
      </w:r>
      <w:r w:rsidRPr="005D502C">
        <w:rPr>
          <w:rFonts w:ascii="Arial" w:eastAsia="Times New Roman" w:hAnsi="Arial" w:cs="Arial"/>
          <w:i/>
          <w:iCs/>
        </w:rPr>
        <w:t>Early Years,</w:t>
      </w:r>
      <w:r w:rsidRPr="005D502C">
        <w:rPr>
          <w:rFonts w:ascii="Arial" w:eastAsia="Times New Roman" w:hAnsi="Arial" w:cs="Arial"/>
        </w:rPr>
        <w:t> 30(1), pp.15-28, DOI: 10.1080/09575140903402881 (Accessed: 26</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52142DEB"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Syslova</w:t>
      </w:r>
      <w:proofErr w:type="spellEnd"/>
      <w:r w:rsidRPr="005D502C">
        <w:rPr>
          <w:rFonts w:ascii="Arial" w:eastAsia="Times New Roman" w:hAnsi="Arial" w:cs="Arial"/>
        </w:rPr>
        <w:t>, Z. (2019) ‘The relation between reflection and the quality of a preschool teacher’s education performance’. </w:t>
      </w:r>
      <w:r w:rsidRPr="005D502C">
        <w:rPr>
          <w:rFonts w:ascii="Arial" w:eastAsia="Times New Roman" w:hAnsi="Arial" w:cs="Arial"/>
          <w:i/>
          <w:iCs/>
        </w:rPr>
        <w:t>International Journal of Child Care and Education Policy, </w:t>
      </w:r>
      <w:r w:rsidRPr="005D502C">
        <w:rPr>
          <w:rFonts w:ascii="Arial" w:eastAsia="Times New Roman" w:hAnsi="Arial" w:cs="Arial"/>
          <w:b/>
          <w:bCs/>
        </w:rPr>
        <w:t>13</w:t>
      </w:r>
      <w:r w:rsidRPr="005D502C">
        <w:rPr>
          <w:rFonts w:ascii="Arial" w:eastAsia="Times New Roman" w:hAnsi="Arial" w:cs="Arial"/>
        </w:rPr>
        <w:t>(1), pp. 1-21.</w:t>
      </w:r>
      <w:r w:rsidRPr="005D502C">
        <w:rPr>
          <w:rFonts w:ascii="Arial" w:eastAsia="Times New Roman" w:hAnsi="Arial" w:cs="Arial"/>
          <w:color w:val="555555"/>
          <w:sz w:val="21"/>
          <w:szCs w:val="21"/>
        </w:rPr>
        <w:t> </w:t>
      </w:r>
      <w:r w:rsidRPr="005D502C">
        <w:rPr>
          <w:rFonts w:ascii="Arial" w:eastAsia="Times New Roman" w:hAnsi="Arial" w:cs="Arial"/>
        </w:rPr>
        <w:t>DOI:10.1186/s40723-019-0060-y (Accessed: 3</w:t>
      </w:r>
      <w:r w:rsidRPr="005D502C">
        <w:rPr>
          <w:rFonts w:ascii="Arial" w:eastAsia="Times New Roman" w:hAnsi="Arial" w:cs="Arial"/>
          <w:sz w:val="19"/>
          <w:szCs w:val="19"/>
          <w:vertAlign w:val="superscript"/>
        </w:rPr>
        <w:t>rd</w:t>
      </w:r>
      <w:r w:rsidRPr="005D502C">
        <w:rPr>
          <w:rFonts w:ascii="Arial" w:eastAsia="Times New Roman" w:hAnsi="Arial" w:cs="Arial"/>
        </w:rPr>
        <w:t> April 2020).  </w:t>
      </w:r>
    </w:p>
    <w:p w14:paraId="6B328183"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Taylor, C.</w:t>
      </w:r>
      <w:r w:rsidRPr="005D502C">
        <w:rPr>
          <w:rFonts w:ascii="Arial" w:eastAsia="Times New Roman" w:hAnsi="Arial" w:cs="Arial"/>
          <w:i/>
          <w:iCs/>
        </w:rPr>
        <w:t> et al. </w:t>
      </w:r>
      <w:r w:rsidRPr="005D502C">
        <w:rPr>
          <w:rFonts w:ascii="Arial" w:eastAsia="Times New Roman" w:hAnsi="Arial" w:cs="Arial"/>
        </w:rPr>
        <w:t>(2015) </w:t>
      </w:r>
      <w:r w:rsidRPr="005D502C">
        <w:rPr>
          <w:rFonts w:ascii="Arial" w:eastAsia="Times New Roman" w:hAnsi="Arial" w:cs="Arial"/>
          <w:i/>
          <w:iCs/>
        </w:rPr>
        <w:t>Evaluating the Foundation Phase Final Report.</w:t>
      </w:r>
      <w:r w:rsidRPr="005D502C">
        <w:rPr>
          <w:rFonts w:ascii="Arial" w:eastAsia="Times New Roman" w:hAnsi="Arial" w:cs="Arial"/>
        </w:rPr>
        <w:t> Available at: </w:t>
      </w:r>
      <w:hyperlink r:id="rId33" w:tgtFrame="_blank" w:history="1">
        <w:r w:rsidRPr="005D502C">
          <w:rPr>
            <w:rFonts w:ascii="Arial" w:eastAsia="Times New Roman" w:hAnsi="Arial" w:cs="Arial"/>
            <w:color w:val="0563C1"/>
            <w:u w:val="single"/>
          </w:rPr>
          <w:t>https://moodle.uwtsd.ac.uk/pluginfile.php/344802/mod_resource/content/1/150514-foundation-phase-final-en_Redacted.pdf</w:t>
        </w:r>
      </w:hyperlink>
      <w:r w:rsidRPr="005D502C">
        <w:rPr>
          <w:rFonts w:ascii="Arial" w:eastAsia="Times New Roman" w:hAnsi="Arial" w:cs="Arial"/>
        </w:rPr>
        <w:t> (Accessed: 23</w:t>
      </w:r>
      <w:r w:rsidRPr="005D502C">
        <w:rPr>
          <w:rFonts w:ascii="Arial" w:eastAsia="Times New Roman" w:hAnsi="Arial" w:cs="Arial"/>
          <w:sz w:val="19"/>
          <w:szCs w:val="19"/>
          <w:vertAlign w:val="superscript"/>
        </w:rPr>
        <w:t>rd</w:t>
      </w:r>
      <w:r w:rsidRPr="005D502C">
        <w:rPr>
          <w:rFonts w:ascii="Arial" w:eastAsia="Times New Roman" w:hAnsi="Arial" w:cs="Arial"/>
        </w:rPr>
        <w:t> March 2020).  </w:t>
      </w:r>
    </w:p>
    <w:p w14:paraId="0B9F6312"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Taylor, C., Rhys, M. and Waldron, S. (2016) ‘Implementing curriculum reform in Wales: the case of the Foundation Phase’, </w:t>
      </w:r>
      <w:r w:rsidRPr="005D502C">
        <w:rPr>
          <w:rFonts w:ascii="Arial" w:eastAsia="Times New Roman" w:hAnsi="Arial" w:cs="Arial"/>
          <w:i/>
          <w:iCs/>
        </w:rPr>
        <w:t>Oxford Review of Education</w:t>
      </w:r>
      <w:r w:rsidRPr="005D502C">
        <w:rPr>
          <w:rFonts w:ascii="Arial" w:eastAsia="Times New Roman" w:hAnsi="Arial" w:cs="Arial"/>
        </w:rPr>
        <w:t>, 42:3, pp. 299-315, DOI: 10.1080/03054985.2016.1184872  </w:t>
      </w:r>
    </w:p>
    <w:p w14:paraId="7CA87357"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The Welsh council for outdoor learning (2018) </w:t>
      </w:r>
      <w:r w:rsidRPr="005D502C">
        <w:rPr>
          <w:rFonts w:ascii="Arial" w:eastAsia="Times New Roman" w:hAnsi="Arial" w:cs="Arial"/>
          <w:i/>
          <w:iCs/>
        </w:rPr>
        <w:t>High Quality Outdoor Learning Wales.</w:t>
      </w:r>
      <w:r w:rsidRPr="005D502C">
        <w:rPr>
          <w:rFonts w:ascii="Arial" w:eastAsia="Times New Roman" w:hAnsi="Arial" w:cs="Arial"/>
        </w:rPr>
        <w:t> Available at: </w:t>
      </w:r>
      <w:hyperlink r:id="rId34" w:tgtFrame="_blank" w:history="1">
        <w:r w:rsidRPr="005D502C">
          <w:rPr>
            <w:rFonts w:ascii="Arial" w:eastAsia="Times New Roman" w:hAnsi="Arial" w:cs="Arial"/>
            <w:color w:val="0563C1"/>
            <w:u w:val="single"/>
          </w:rPr>
          <w:t>file:///Users/helen/Downloads/high_quality_outdoor_learning_welshenglish.pdf</w:t>
        </w:r>
      </w:hyperlink>
      <w:r w:rsidRPr="005D502C">
        <w:rPr>
          <w:rFonts w:ascii="Arial" w:eastAsia="Times New Roman" w:hAnsi="Arial" w:cs="Arial"/>
        </w:rPr>
        <w:t> (Accessed: 27</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655DCD95"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Tierney, R. D. (2013) ‘Fairness in classroom assessment’. In J. H. McMillan (Ed.), </w:t>
      </w:r>
      <w:r w:rsidRPr="005D502C">
        <w:rPr>
          <w:rFonts w:ascii="Arial" w:eastAsia="Times New Roman" w:hAnsi="Arial" w:cs="Arial"/>
          <w:i/>
          <w:iCs/>
        </w:rPr>
        <w:t>SAGE Handbook of Research on Classroom Assessment. </w:t>
      </w:r>
      <w:r w:rsidRPr="005D502C">
        <w:rPr>
          <w:rFonts w:ascii="Arial" w:eastAsia="Times New Roman" w:hAnsi="Arial" w:cs="Arial"/>
        </w:rPr>
        <w:t>pp. 125-144. Thousand Oaks, CA: SAGE Publications.  </w:t>
      </w:r>
    </w:p>
    <w:p w14:paraId="5AA4CC6E"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Tinney</w:t>
      </w:r>
      <w:proofErr w:type="spellEnd"/>
      <w:r w:rsidRPr="005D502C">
        <w:rPr>
          <w:rFonts w:ascii="Arial" w:eastAsia="Times New Roman" w:hAnsi="Arial" w:cs="Arial"/>
        </w:rPr>
        <w:t>, G. and Merriman, E. (2018</w:t>
      </w:r>
      <w:proofErr w:type="gramStart"/>
      <w:r w:rsidRPr="005D502C">
        <w:rPr>
          <w:rFonts w:ascii="Arial" w:eastAsia="Times New Roman" w:hAnsi="Arial" w:cs="Arial"/>
        </w:rPr>
        <w:t>)</w:t>
      </w:r>
      <w:r w:rsidRPr="005D502C">
        <w:rPr>
          <w:rFonts w:ascii="Source Sans Pro" w:eastAsia="Times New Roman" w:hAnsi="Source Sans Pro" w:cs="Segoe UI"/>
          <w:color w:val="3A3A3A"/>
          <w:sz w:val="22"/>
          <w:szCs w:val="22"/>
        </w:rPr>
        <w:t>  ‘</w:t>
      </w:r>
      <w:proofErr w:type="gramEnd"/>
      <w:r w:rsidRPr="005D502C">
        <w:rPr>
          <w:rFonts w:ascii="Arial" w:eastAsia="Times New Roman" w:hAnsi="Arial" w:cs="Arial"/>
        </w:rPr>
        <w:t>Early Years Education and Education for Sustainable Development and Global Citizenship (ESDGC)- Two Sides of the Same Coin?’  1(1), pp. 71-76. Available at: </w:t>
      </w:r>
      <w:hyperlink r:id="rId35" w:tgtFrame="_blank" w:history="1">
        <w:r w:rsidRPr="005D502C">
          <w:rPr>
            <w:rFonts w:ascii="Arial" w:eastAsia="Times New Roman" w:hAnsi="Arial" w:cs="Arial"/>
            <w:u w:val="single"/>
          </w:rPr>
          <w:t>https://www.uwtsd.ac.uk/media/uwtsd-website/content-assets/documents/enhancement-unit/wales-journal/71-76-Tinney-and-Merriman.pdf</w:t>
        </w:r>
      </w:hyperlink>
      <w:r w:rsidRPr="005D502C">
        <w:rPr>
          <w:rFonts w:ascii="Arial" w:eastAsia="Times New Roman" w:hAnsi="Arial" w:cs="Arial"/>
        </w:rPr>
        <w:t> (Accessed: 4</w:t>
      </w:r>
      <w:r w:rsidRPr="005D502C">
        <w:rPr>
          <w:rFonts w:ascii="Arial" w:eastAsia="Times New Roman" w:hAnsi="Arial" w:cs="Arial"/>
          <w:sz w:val="19"/>
          <w:szCs w:val="19"/>
          <w:vertAlign w:val="superscript"/>
        </w:rPr>
        <w:t>th</w:t>
      </w:r>
      <w:r w:rsidRPr="005D502C">
        <w:rPr>
          <w:rFonts w:ascii="Arial" w:eastAsia="Times New Roman" w:hAnsi="Arial" w:cs="Arial"/>
        </w:rPr>
        <w:t> April 2020).  </w:t>
      </w:r>
    </w:p>
    <w:p w14:paraId="7F438919"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Unicef</w:t>
      </w:r>
      <w:proofErr w:type="spellEnd"/>
      <w:r w:rsidRPr="005D502C">
        <w:rPr>
          <w:rFonts w:ascii="Arial" w:eastAsia="Times New Roman" w:hAnsi="Arial" w:cs="Arial"/>
        </w:rPr>
        <w:t> (2010) </w:t>
      </w:r>
      <w:r w:rsidRPr="005D502C">
        <w:rPr>
          <w:rFonts w:ascii="Arial" w:eastAsia="Times New Roman" w:hAnsi="Arial" w:cs="Arial"/>
          <w:i/>
          <w:iCs/>
        </w:rPr>
        <w:t>A Summary of the UN convention on the rights of the child.</w:t>
      </w:r>
      <w:r w:rsidRPr="005D502C">
        <w:rPr>
          <w:rFonts w:ascii="Arial" w:eastAsia="Times New Roman" w:hAnsi="Arial" w:cs="Arial"/>
        </w:rPr>
        <w:t> Available at: </w:t>
      </w:r>
      <w:hyperlink r:id="rId36" w:tgtFrame="_blank" w:history="1">
        <w:r w:rsidRPr="005D502C">
          <w:rPr>
            <w:rFonts w:ascii="Arial" w:eastAsia="Times New Roman" w:hAnsi="Arial" w:cs="Arial"/>
            <w:color w:val="0563C1"/>
            <w:u w:val="single"/>
          </w:rPr>
          <w:t>https://www.unicef.org.uk/wp-content/uploads/2010/05/UNCRC_summary-1.pdf</w:t>
        </w:r>
      </w:hyperlink>
      <w:r w:rsidRPr="005D502C">
        <w:rPr>
          <w:rFonts w:ascii="Arial" w:eastAsia="Times New Roman" w:hAnsi="Arial" w:cs="Arial"/>
        </w:rPr>
        <w:t> (Accessed: 1</w:t>
      </w:r>
      <w:r w:rsidRPr="005D502C">
        <w:rPr>
          <w:rFonts w:ascii="Arial" w:eastAsia="Times New Roman" w:hAnsi="Arial" w:cs="Arial"/>
          <w:sz w:val="19"/>
          <w:szCs w:val="19"/>
          <w:vertAlign w:val="superscript"/>
        </w:rPr>
        <w:t>st</w:t>
      </w:r>
      <w:r w:rsidRPr="005D502C">
        <w:rPr>
          <w:rFonts w:ascii="Arial" w:eastAsia="Times New Roman" w:hAnsi="Arial" w:cs="Arial"/>
        </w:rPr>
        <w:t> April 2020). </w:t>
      </w:r>
    </w:p>
    <w:p w14:paraId="5CEF8EEC"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Waters, J. (2016) ‘The Foundation Phase in Wales – time to grow up?’ </w:t>
      </w:r>
      <w:r w:rsidRPr="005D502C">
        <w:rPr>
          <w:rFonts w:ascii="Arial" w:eastAsia="Times New Roman" w:hAnsi="Arial" w:cs="Arial"/>
          <w:i/>
          <w:iCs/>
        </w:rPr>
        <w:t>Wales journal of education,</w:t>
      </w:r>
      <w:r w:rsidRPr="005D502C">
        <w:rPr>
          <w:rFonts w:ascii="Arial" w:eastAsia="Times New Roman" w:hAnsi="Arial" w:cs="Arial"/>
        </w:rPr>
        <w:t> V 18(1), pp, 179-198(20). Available at: </w:t>
      </w:r>
      <w:hyperlink r:id="rId37" w:tgtFrame="_blank" w:history="1">
        <w:r w:rsidRPr="005D502C">
          <w:rPr>
            <w:rFonts w:ascii="Arial" w:eastAsia="Times New Roman" w:hAnsi="Arial" w:cs="Arial"/>
            <w:color w:val="0563C1"/>
            <w:u w:val="single"/>
          </w:rPr>
          <w:t>https://repository.uwtsd.ac.uk/715/1/Waters,%20J.(2016)%20The%20foundation</w:t>
        </w:r>
        <w:r w:rsidRPr="005D502C">
          <w:rPr>
            <w:rFonts w:ascii="Arial" w:eastAsia="Times New Roman" w:hAnsi="Arial" w:cs="Arial"/>
            <w:color w:val="0563C1"/>
            <w:u w:val="single"/>
          </w:rPr>
          <w:lastRenderedPageBreak/>
          <w:t>%20phase%20in%20Wales%20-%20time%20to%20grow.pdf</w:t>
        </w:r>
      </w:hyperlink>
      <w:r w:rsidRPr="005D502C">
        <w:rPr>
          <w:rFonts w:ascii="Arial" w:eastAsia="Times New Roman" w:hAnsi="Arial" w:cs="Arial"/>
        </w:rPr>
        <w:t> (Accessed: 25</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6D4AE3E6"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Waters, J. and MacDonald, N. (2016) ‘</w:t>
      </w:r>
      <w:r w:rsidRPr="005D502C">
        <w:rPr>
          <w:rFonts w:ascii="Arial" w:eastAsia="Times New Roman" w:hAnsi="Arial" w:cs="Arial"/>
          <w:i/>
          <w:iCs/>
        </w:rPr>
        <w:t>Chapter 3 The National Picture’, </w:t>
      </w:r>
      <w:r w:rsidRPr="005D502C">
        <w:rPr>
          <w:rFonts w:ascii="Arial" w:eastAsia="Times New Roman" w:hAnsi="Arial" w:cs="Arial"/>
        </w:rPr>
        <w:t>in </w:t>
      </w:r>
      <w:proofErr w:type="spellStart"/>
      <w:r w:rsidRPr="005D502C">
        <w:rPr>
          <w:rFonts w:ascii="Arial" w:eastAsia="Times New Roman" w:hAnsi="Arial" w:cs="Arial"/>
        </w:rPr>
        <w:t>Palaiologou</w:t>
      </w:r>
      <w:proofErr w:type="spellEnd"/>
      <w:r w:rsidRPr="005D502C">
        <w:rPr>
          <w:rFonts w:ascii="Arial" w:eastAsia="Times New Roman" w:hAnsi="Arial" w:cs="Arial"/>
        </w:rPr>
        <w:t>, I. </w:t>
      </w:r>
      <w:r w:rsidRPr="005D502C">
        <w:rPr>
          <w:rFonts w:ascii="Arial" w:eastAsia="Times New Roman" w:hAnsi="Arial" w:cs="Arial"/>
          <w:i/>
          <w:iCs/>
        </w:rPr>
        <w:t>et al. </w:t>
      </w:r>
      <w:r w:rsidRPr="005D502C">
        <w:rPr>
          <w:rFonts w:ascii="Arial" w:eastAsia="Times New Roman" w:hAnsi="Arial" w:cs="Arial"/>
        </w:rPr>
        <w:t>(2016). London: SAGE. Available at: </w:t>
      </w:r>
      <w:hyperlink r:id="rId38" w:tgtFrame="_blank" w:history="1">
        <w:r w:rsidRPr="005D502C">
          <w:rPr>
            <w:rFonts w:ascii="Arial" w:eastAsia="Times New Roman" w:hAnsi="Arial" w:cs="Arial"/>
            <w:color w:val="0563C1"/>
            <w:u w:val="single"/>
          </w:rPr>
          <w:t>https://repository.uwtsd.ac.uk/631/1/Macdonald,%20Natalie%20(2016)Early%20years%20foundation%20stage,%20theory.pdf</w:t>
        </w:r>
      </w:hyperlink>
      <w:r w:rsidRPr="005D502C">
        <w:rPr>
          <w:rFonts w:ascii="Arial" w:eastAsia="Times New Roman" w:hAnsi="Arial" w:cs="Arial"/>
        </w:rPr>
        <w:t> (Accessed: 28</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6D15EB88"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Assembly Government (2009)</w:t>
      </w:r>
      <w:r w:rsidRPr="005D502C">
        <w:rPr>
          <w:rFonts w:ascii="Arial" w:eastAsia="Times New Roman" w:hAnsi="Arial" w:cs="Arial"/>
          <w:i/>
          <w:iCs/>
        </w:rPr>
        <w:t> Foundation Phase Outdoor Learning Handbook.</w:t>
      </w:r>
      <w:r w:rsidRPr="005D502C">
        <w:rPr>
          <w:rFonts w:ascii="Arial" w:eastAsia="Times New Roman" w:hAnsi="Arial" w:cs="Arial"/>
        </w:rPr>
        <w:t> Available at: </w:t>
      </w:r>
      <w:hyperlink r:id="rId39" w:tgtFrame="_blank" w:history="1">
        <w:r w:rsidRPr="005D502C">
          <w:rPr>
            <w:rFonts w:ascii="Arial" w:eastAsia="Times New Roman" w:hAnsi="Arial" w:cs="Arial"/>
            <w:color w:val="0563C1"/>
            <w:u w:val="single"/>
          </w:rPr>
          <w:t>file:///Users/helen/Downloads/foundation-phase-outdoor-learning-handbook.pdf</w:t>
        </w:r>
      </w:hyperlink>
      <w:r w:rsidRPr="005D502C">
        <w:rPr>
          <w:rFonts w:ascii="Arial" w:eastAsia="Times New Roman" w:hAnsi="Arial" w:cs="Arial"/>
        </w:rPr>
        <w:t> (Accessed: 28</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7CF9BFB5"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(2014a) </w:t>
      </w:r>
      <w:r w:rsidRPr="005D502C">
        <w:rPr>
          <w:rFonts w:ascii="Arial" w:eastAsia="Times New Roman" w:hAnsi="Arial" w:cs="Arial"/>
          <w:i/>
          <w:iCs/>
        </w:rPr>
        <w:t>An independent stocktake of the Foundation Phase in Wales.</w:t>
      </w:r>
      <w:r w:rsidRPr="005D502C">
        <w:rPr>
          <w:rFonts w:ascii="Arial" w:eastAsia="Times New Roman" w:hAnsi="Arial" w:cs="Arial"/>
        </w:rPr>
        <w:t> Available at: </w:t>
      </w:r>
      <w:hyperlink r:id="rId40" w:tgtFrame="_blank" w:history="1">
        <w:r w:rsidRPr="005D502C">
          <w:rPr>
            <w:rFonts w:ascii="Arial" w:eastAsia="Times New Roman" w:hAnsi="Arial" w:cs="Arial"/>
            <w:color w:val="0563C1"/>
            <w:u w:val="single"/>
          </w:rPr>
          <w:t>file:///Users/helen/Downloads/an-independent-stocktake-of-the-foundation-phase-in-wales-final-report.pdf</w:t>
        </w:r>
      </w:hyperlink>
      <w:r w:rsidRPr="005D502C">
        <w:rPr>
          <w:rFonts w:ascii="Arial" w:eastAsia="Times New Roman" w:hAnsi="Arial" w:cs="Arial"/>
        </w:rPr>
        <w:t> (Accessed: 26</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143C73F9"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(2014b) </w:t>
      </w:r>
      <w:r w:rsidRPr="005D502C">
        <w:rPr>
          <w:rFonts w:ascii="Arial" w:eastAsia="Times New Roman" w:hAnsi="Arial" w:cs="Arial"/>
          <w:i/>
          <w:iCs/>
        </w:rPr>
        <w:t>Wales – a Play Friendly Country.</w:t>
      </w:r>
      <w:r w:rsidRPr="005D502C">
        <w:rPr>
          <w:rFonts w:ascii="Arial" w:eastAsia="Times New Roman" w:hAnsi="Arial" w:cs="Arial"/>
        </w:rPr>
        <w:t> Available at: </w:t>
      </w:r>
      <w:hyperlink r:id="rId41" w:tgtFrame="_blank" w:history="1">
        <w:r w:rsidRPr="005D502C">
          <w:rPr>
            <w:rFonts w:ascii="Arial" w:eastAsia="Times New Roman" w:hAnsi="Arial" w:cs="Arial"/>
            <w:color w:val="0563C1"/>
            <w:u w:val="single"/>
          </w:rPr>
          <w:t>https://gov.wales/sites/default/files/publications/2019-07/wales-a-play-friendly-country.pdf</w:t>
        </w:r>
      </w:hyperlink>
      <w:r w:rsidRPr="005D502C">
        <w:rPr>
          <w:rFonts w:ascii="Arial" w:eastAsia="Times New Roman" w:hAnsi="Arial" w:cs="Arial"/>
        </w:rPr>
        <w:t> (Accessed: 26</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6E39DC9D"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(2015) </w:t>
      </w:r>
      <w:r w:rsidRPr="005D502C">
        <w:rPr>
          <w:rFonts w:ascii="Arial" w:eastAsia="Times New Roman" w:hAnsi="Arial" w:cs="Arial"/>
          <w:i/>
          <w:iCs/>
        </w:rPr>
        <w:t>Curriculum for Wales: Foundation Phase Framework.</w:t>
      </w:r>
      <w:r w:rsidRPr="005D502C">
        <w:rPr>
          <w:rFonts w:ascii="Arial" w:eastAsia="Times New Roman" w:hAnsi="Arial" w:cs="Arial"/>
        </w:rPr>
        <w:t> Available at: </w:t>
      </w:r>
      <w:hyperlink r:id="rId42" w:tgtFrame="_blank" w:history="1">
        <w:r w:rsidRPr="005D502C">
          <w:rPr>
            <w:rFonts w:ascii="Arial" w:eastAsia="Times New Roman" w:hAnsi="Arial" w:cs="Arial"/>
            <w:color w:val="0563C1"/>
            <w:u w:val="single"/>
          </w:rPr>
          <w:t>https://hwb.gov.wales/storage/d5d8e39c-b534-40cb-a3f5-7e2e126d8077/foundation-phase-framework.pdf</w:t>
        </w:r>
      </w:hyperlink>
      <w:r w:rsidRPr="005D502C">
        <w:rPr>
          <w:rFonts w:ascii="Arial" w:eastAsia="Times New Roman" w:hAnsi="Arial" w:cs="Arial"/>
        </w:rPr>
        <w:t> (Accessed: 25</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3CD165FA"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(2017a) </w:t>
      </w:r>
      <w:r w:rsidRPr="005D502C">
        <w:rPr>
          <w:rFonts w:ascii="Arial" w:eastAsia="Times New Roman" w:hAnsi="Arial" w:cs="Arial"/>
          <w:i/>
          <w:iCs/>
        </w:rPr>
        <w:t>Foundation Phase Profile Handbook.</w:t>
      </w:r>
      <w:r w:rsidRPr="005D502C">
        <w:rPr>
          <w:rFonts w:ascii="Arial" w:eastAsia="Times New Roman" w:hAnsi="Arial" w:cs="Arial"/>
        </w:rPr>
        <w:t> Available at: </w:t>
      </w:r>
      <w:hyperlink r:id="rId43" w:tgtFrame="_blank" w:history="1">
        <w:r w:rsidRPr="005D502C">
          <w:rPr>
            <w:rFonts w:ascii="Arial" w:eastAsia="Times New Roman" w:hAnsi="Arial" w:cs="Arial"/>
            <w:color w:val="0563C1"/>
            <w:u w:val="single"/>
          </w:rPr>
          <w:t>https://hwb.gov.wales/storage/f9d85dba-85a4-4e87-bb58-a24730ad7e57/foundation-phase-profile-handbook-revised-september-2017.pdf</w:t>
        </w:r>
      </w:hyperlink>
      <w:r w:rsidRPr="005D502C">
        <w:rPr>
          <w:rFonts w:ascii="Arial" w:eastAsia="Times New Roman" w:hAnsi="Arial" w:cs="Arial"/>
        </w:rPr>
        <w:t> (Accessed: 30</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4841F3DF"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(2017b) </w:t>
      </w:r>
      <w:r w:rsidRPr="005D502C">
        <w:rPr>
          <w:rFonts w:ascii="Arial" w:eastAsia="Times New Roman" w:hAnsi="Arial" w:cs="Arial"/>
          <w:i/>
          <w:iCs/>
        </w:rPr>
        <w:t>Prosperity for All: the national strategy Taking Wales Forward.</w:t>
      </w:r>
      <w:r w:rsidRPr="005D502C">
        <w:rPr>
          <w:rFonts w:ascii="Arial" w:eastAsia="Times New Roman" w:hAnsi="Arial" w:cs="Arial"/>
        </w:rPr>
        <w:t> Available at: </w:t>
      </w:r>
      <w:hyperlink r:id="rId44" w:tgtFrame="_blank" w:history="1">
        <w:r w:rsidRPr="005D502C">
          <w:rPr>
            <w:rFonts w:ascii="Arial" w:eastAsia="Times New Roman" w:hAnsi="Arial" w:cs="Arial"/>
            <w:color w:val="0563C1"/>
            <w:u w:val="single"/>
          </w:rPr>
          <w:t>https://gov.wales/sites/default/files/publications/2017-10/prosperity-for-all-the-national-strategy.pdf</w:t>
        </w:r>
      </w:hyperlink>
      <w:r w:rsidRPr="005D502C">
        <w:rPr>
          <w:rFonts w:ascii="Arial" w:eastAsia="Times New Roman" w:hAnsi="Arial" w:cs="Arial"/>
        </w:rPr>
        <w:t> (Accessed: 3</w:t>
      </w:r>
      <w:r w:rsidRPr="005D502C">
        <w:rPr>
          <w:rFonts w:ascii="Arial" w:eastAsia="Times New Roman" w:hAnsi="Arial" w:cs="Arial"/>
          <w:sz w:val="19"/>
          <w:szCs w:val="19"/>
          <w:vertAlign w:val="superscript"/>
        </w:rPr>
        <w:t>rd</w:t>
      </w:r>
      <w:r w:rsidRPr="005D502C">
        <w:rPr>
          <w:rFonts w:ascii="Arial" w:eastAsia="Times New Roman" w:hAnsi="Arial" w:cs="Arial"/>
        </w:rPr>
        <w:t> April 2020).  </w:t>
      </w:r>
    </w:p>
    <w:p w14:paraId="253599DD"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(2017c) </w:t>
      </w:r>
      <w:r w:rsidRPr="005D502C">
        <w:rPr>
          <w:rFonts w:ascii="Arial" w:eastAsia="Times New Roman" w:hAnsi="Arial" w:cs="Arial"/>
          <w:i/>
          <w:iCs/>
        </w:rPr>
        <w:t>Taking Wales Forward 2016-2021</w:t>
      </w:r>
      <w:r w:rsidRPr="005D502C">
        <w:rPr>
          <w:rFonts w:ascii="Arial" w:eastAsia="Times New Roman" w:hAnsi="Arial" w:cs="Arial"/>
        </w:rPr>
        <w:t>. Available at: </w:t>
      </w:r>
      <w:hyperlink r:id="rId45" w:tgtFrame="_blank" w:history="1">
        <w:r w:rsidRPr="005D502C">
          <w:rPr>
            <w:rFonts w:ascii="Arial" w:eastAsia="Times New Roman" w:hAnsi="Arial" w:cs="Arial"/>
            <w:color w:val="0563C1"/>
            <w:u w:val="single"/>
          </w:rPr>
          <w:t>https://gov.wales/sites/default/files/publications/2017-08/taking-wales-forward.pdf</w:t>
        </w:r>
      </w:hyperlink>
      <w:r w:rsidRPr="005D502C">
        <w:rPr>
          <w:rFonts w:ascii="Arial" w:eastAsia="Times New Roman" w:hAnsi="Arial" w:cs="Arial"/>
        </w:rPr>
        <w:t> (Accessed: 29</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145C83B0"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(2018a) </w:t>
      </w:r>
      <w:r w:rsidRPr="005D502C">
        <w:rPr>
          <w:rFonts w:ascii="Arial" w:eastAsia="Times New Roman" w:hAnsi="Arial" w:cs="Arial"/>
          <w:i/>
          <w:iCs/>
        </w:rPr>
        <w:t>Education in Wales: Our national mission. </w:t>
      </w:r>
      <w:r w:rsidRPr="005D502C">
        <w:rPr>
          <w:rFonts w:ascii="Arial" w:eastAsia="Times New Roman" w:hAnsi="Arial" w:cs="Arial"/>
        </w:rPr>
        <w:t>Available at: </w:t>
      </w:r>
      <w:hyperlink r:id="rId46" w:tgtFrame="_blank" w:history="1">
        <w:r w:rsidRPr="005D502C">
          <w:rPr>
            <w:rFonts w:ascii="Arial" w:eastAsia="Times New Roman" w:hAnsi="Arial" w:cs="Arial"/>
            <w:color w:val="0563C1"/>
            <w:u w:val="single"/>
          </w:rPr>
          <w:t>https://gov.wales/sites/default/files/publications/2018-03/education-in-wales-our-national-mission.pdf</w:t>
        </w:r>
      </w:hyperlink>
      <w:r w:rsidRPr="005D502C">
        <w:rPr>
          <w:rFonts w:ascii="Arial" w:eastAsia="Times New Roman" w:hAnsi="Arial" w:cs="Arial"/>
        </w:rPr>
        <w:t> (Accessed: 28</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3C34A698"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(2018b) </w:t>
      </w:r>
      <w:r w:rsidRPr="005D502C">
        <w:rPr>
          <w:rFonts w:ascii="Arial" w:eastAsia="Times New Roman" w:hAnsi="Arial" w:cs="Arial"/>
          <w:i/>
          <w:iCs/>
        </w:rPr>
        <w:t>Foundation Phase Action Plan.</w:t>
      </w:r>
      <w:r w:rsidRPr="005D502C">
        <w:rPr>
          <w:rFonts w:ascii="Arial" w:eastAsia="Times New Roman" w:hAnsi="Arial" w:cs="Arial"/>
        </w:rPr>
        <w:t> Available at: </w:t>
      </w:r>
      <w:hyperlink r:id="rId47" w:tgtFrame="_blank" w:history="1">
        <w:r w:rsidRPr="005D502C">
          <w:rPr>
            <w:rFonts w:ascii="Arial" w:eastAsia="Times New Roman" w:hAnsi="Arial" w:cs="Arial"/>
            <w:color w:val="0563C1"/>
            <w:u w:val="single"/>
          </w:rPr>
          <w:t>https://gov.wales/sites/default/files/publications/2018-03/foundation-phase-action-plan.pdf</w:t>
        </w:r>
      </w:hyperlink>
      <w:r w:rsidRPr="005D502C">
        <w:rPr>
          <w:rFonts w:ascii="Arial" w:eastAsia="Times New Roman" w:hAnsi="Arial" w:cs="Arial"/>
        </w:rPr>
        <w:t> (Accessed: 28</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4AE7DCC6"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(2018c) </w:t>
      </w:r>
      <w:r w:rsidRPr="005D502C">
        <w:rPr>
          <w:rFonts w:ascii="Arial" w:eastAsia="Times New Roman" w:hAnsi="Arial" w:cs="Arial"/>
          <w:i/>
          <w:iCs/>
        </w:rPr>
        <w:t>Foundation Phase provision for three- and four-year-olds: Guidance for local authorities in Wales.</w:t>
      </w:r>
      <w:r w:rsidRPr="005D502C">
        <w:rPr>
          <w:rFonts w:ascii="Arial" w:eastAsia="Times New Roman" w:hAnsi="Arial" w:cs="Arial"/>
        </w:rPr>
        <w:t xml:space="preserve"> Available </w:t>
      </w:r>
      <w:r w:rsidRPr="005D502C">
        <w:rPr>
          <w:rFonts w:ascii="Arial" w:eastAsia="Times New Roman" w:hAnsi="Arial" w:cs="Arial"/>
        </w:rPr>
        <w:lastRenderedPageBreak/>
        <w:t>at: </w:t>
      </w:r>
      <w:hyperlink r:id="rId48" w:tgtFrame="_blank" w:history="1">
        <w:r w:rsidRPr="005D502C">
          <w:rPr>
            <w:rFonts w:ascii="Arial" w:eastAsia="Times New Roman" w:hAnsi="Arial" w:cs="Arial"/>
            <w:color w:val="0563C1"/>
            <w:u w:val="single"/>
          </w:rPr>
          <w:t>file:///Users/helen/Downloads/foundation-phase-provision-for-three-and-four-year-olds-guidance-for-local-authorities-in-wales_0.pdf</w:t>
        </w:r>
      </w:hyperlink>
      <w:r w:rsidRPr="005D502C">
        <w:rPr>
          <w:rFonts w:ascii="Arial" w:eastAsia="Times New Roman" w:hAnsi="Arial" w:cs="Arial"/>
        </w:rPr>
        <w:t> (Accessed: 24</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3C0D83AD"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(2018d) </w:t>
      </w:r>
      <w:r w:rsidRPr="005D502C">
        <w:rPr>
          <w:rFonts w:ascii="Arial" w:eastAsia="Times New Roman" w:hAnsi="Arial" w:cs="Arial"/>
          <w:i/>
          <w:iCs/>
        </w:rPr>
        <w:t>How is my child doing in the Foundation Phase?</w:t>
      </w:r>
      <w:r w:rsidRPr="005D502C">
        <w:rPr>
          <w:rFonts w:ascii="Arial" w:eastAsia="Times New Roman" w:hAnsi="Arial" w:cs="Arial"/>
        </w:rPr>
        <w:t> Available at: </w:t>
      </w:r>
      <w:hyperlink r:id="rId49" w:tgtFrame="_blank" w:history="1">
        <w:r w:rsidRPr="005D502C">
          <w:rPr>
            <w:rFonts w:ascii="Arial" w:eastAsia="Times New Roman" w:hAnsi="Arial" w:cs="Arial"/>
            <w:color w:val="0563C1"/>
            <w:u w:val="single"/>
          </w:rPr>
          <w:t>https://gov.wales/sites/default/files/publications/2018-06/how-is-my-child-doing-in-the-foundation-phase-a-guide-for-parents-and-carers.pdf</w:t>
        </w:r>
      </w:hyperlink>
      <w:r w:rsidRPr="005D502C">
        <w:rPr>
          <w:rFonts w:ascii="Arial" w:eastAsia="Times New Roman" w:hAnsi="Arial" w:cs="Arial"/>
        </w:rPr>
        <w:t> (Accessed: 28</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6D816554"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(2019) Statutory assessment arrangements for the Foundation Phase and end of Key Stages 2 and 3. Available at: </w:t>
      </w:r>
      <w:hyperlink r:id="rId50" w:tgtFrame="_blank" w:history="1">
        <w:r w:rsidRPr="005D502C">
          <w:rPr>
            <w:rFonts w:ascii="Arial" w:eastAsia="Times New Roman" w:hAnsi="Arial" w:cs="Arial"/>
            <w:color w:val="0563C1"/>
            <w:u w:val="single"/>
          </w:rPr>
          <w:t>https://hwb.gov.wales/storage/53889241-676d-4e36-8e69-b9129f8ccf51/statutory-assessment-arrangements-for-the-foundation-phase-and-end-of-key-stages-2-and-3-190909.pdf</w:t>
        </w:r>
      </w:hyperlink>
      <w:r w:rsidRPr="005D502C">
        <w:rPr>
          <w:rFonts w:ascii="Arial" w:eastAsia="Times New Roman" w:hAnsi="Arial" w:cs="Arial"/>
        </w:rPr>
        <w:t> (Accessed: 31</w:t>
      </w:r>
      <w:r w:rsidRPr="005D502C">
        <w:rPr>
          <w:rFonts w:ascii="Arial" w:eastAsia="Times New Roman" w:hAnsi="Arial" w:cs="Arial"/>
          <w:sz w:val="19"/>
          <w:szCs w:val="19"/>
          <w:vertAlign w:val="superscript"/>
        </w:rPr>
        <w:t>st</w:t>
      </w:r>
      <w:r w:rsidRPr="005D502C">
        <w:rPr>
          <w:rFonts w:ascii="Arial" w:eastAsia="Times New Roman" w:hAnsi="Arial" w:cs="Arial"/>
        </w:rPr>
        <w:t> March 2020). </w:t>
      </w:r>
    </w:p>
    <w:p w14:paraId="18192D6C"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(2020a)</w:t>
      </w:r>
      <w:r w:rsidRPr="005D502C">
        <w:rPr>
          <w:rFonts w:ascii="Arial" w:eastAsia="Times New Roman" w:hAnsi="Arial" w:cs="Arial"/>
          <w:i/>
          <w:iCs/>
        </w:rPr>
        <w:t> Areas of Learning and Experience’ are being developed as a central element of the new curriculum. </w:t>
      </w:r>
      <w:r w:rsidRPr="005D502C">
        <w:rPr>
          <w:rFonts w:ascii="Arial" w:eastAsia="Times New Roman" w:hAnsi="Arial" w:cs="Arial"/>
        </w:rPr>
        <w:t>Available at: </w:t>
      </w:r>
      <w:hyperlink r:id="rId51" w:tgtFrame="_blank" w:history="1">
        <w:r w:rsidRPr="005D502C">
          <w:rPr>
            <w:rFonts w:ascii="Arial" w:eastAsia="Times New Roman" w:hAnsi="Arial" w:cs="Arial"/>
            <w:color w:val="0563C1"/>
            <w:u w:val="single"/>
          </w:rPr>
          <w:t>https://curriculumforwales.gov.wales/2020/03/02/areas-of-learning-and-experience-as-a-central-element-of-the-new-curriculum/</w:t>
        </w:r>
      </w:hyperlink>
      <w:r w:rsidRPr="005D502C">
        <w:rPr>
          <w:rFonts w:ascii="Arial" w:eastAsia="Times New Roman" w:hAnsi="Arial" w:cs="Arial"/>
        </w:rPr>
        <w:t> (Accessed: 29</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18F03CE9"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(2020b)</w:t>
      </w:r>
      <w:r w:rsidRPr="005D502C">
        <w:rPr>
          <w:rFonts w:ascii="Arial" w:eastAsia="Times New Roman" w:hAnsi="Arial" w:cs="Arial"/>
          <w:i/>
          <w:iCs/>
        </w:rPr>
        <w:t> Introduction to curriculum for Wales guidance.</w:t>
      </w:r>
      <w:r w:rsidRPr="005D502C">
        <w:rPr>
          <w:rFonts w:ascii="Arial" w:eastAsia="Times New Roman" w:hAnsi="Arial" w:cs="Arial"/>
        </w:rPr>
        <w:t> Available at: </w:t>
      </w:r>
      <w:hyperlink r:id="rId52" w:anchor="progression-and-assessment-at-the-heart-of-curriculum-design" w:tgtFrame="_blank" w:history="1">
        <w:r w:rsidRPr="005D502C">
          <w:rPr>
            <w:rFonts w:ascii="Arial" w:eastAsia="Times New Roman" w:hAnsi="Arial" w:cs="Arial"/>
            <w:color w:val="0563C1"/>
            <w:u w:val="single"/>
          </w:rPr>
          <w:t>https://hwb.gov.wales/curriculum-for-wales/introduction#progression-and-assessment-at-the-heart-of-curriculum-design</w:t>
        </w:r>
      </w:hyperlink>
      <w:r w:rsidRPr="005D502C">
        <w:rPr>
          <w:rFonts w:ascii="Arial" w:eastAsia="Times New Roman" w:hAnsi="Arial" w:cs="Arial"/>
        </w:rPr>
        <w:t> (Accessed: 2</w:t>
      </w:r>
      <w:r w:rsidRPr="005D502C">
        <w:rPr>
          <w:rFonts w:ascii="Arial" w:eastAsia="Times New Roman" w:hAnsi="Arial" w:cs="Arial"/>
          <w:sz w:val="19"/>
          <w:szCs w:val="19"/>
          <w:vertAlign w:val="superscript"/>
        </w:rPr>
        <w:t>nd</w:t>
      </w:r>
      <w:r w:rsidRPr="005D502C">
        <w:rPr>
          <w:rFonts w:ascii="Arial" w:eastAsia="Times New Roman" w:hAnsi="Arial" w:cs="Arial"/>
        </w:rPr>
        <w:t> April 2020). </w:t>
      </w:r>
    </w:p>
    <w:p w14:paraId="535D84B8"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(2020c) </w:t>
      </w:r>
      <w:r w:rsidRPr="005D502C">
        <w:rPr>
          <w:rFonts w:ascii="Arial" w:eastAsia="Times New Roman" w:hAnsi="Arial" w:cs="Arial"/>
          <w:i/>
          <w:iCs/>
        </w:rPr>
        <w:t>Curriculum for Wales: Overview.</w:t>
      </w:r>
      <w:r w:rsidRPr="005D502C">
        <w:rPr>
          <w:rFonts w:ascii="Arial" w:eastAsia="Times New Roman" w:hAnsi="Arial" w:cs="Arial"/>
        </w:rPr>
        <w:t> Available at: </w:t>
      </w:r>
      <w:hyperlink r:id="rId53" w:tgtFrame="_blank" w:history="1">
        <w:r w:rsidRPr="005D502C">
          <w:rPr>
            <w:rFonts w:ascii="Arial" w:eastAsia="Times New Roman" w:hAnsi="Arial" w:cs="Arial"/>
            <w:color w:val="0563C1"/>
            <w:u w:val="single"/>
          </w:rPr>
          <w:t>https://gov.wales/curriculum-wales-overview</w:t>
        </w:r>
      </w:hyperlink>
      <w:r w:rsidRPr="005D502C">
        <w:rPr>
          <w:rFonts w:ascii="Arial" w:eastAsia="Times New Roman" w:hAnsi="Arial" w:cs="Arial"/>
        </w:rPr>
        <w:t> (Accessed: 3</w:t>
      </w:r>
      <w:r w:rsidRPr="005D502C">
        <w:rPr>
          <w:rFonts w:ascii="Arial" w:eastAsia="Times New Roman" w:hAnsi="Arial" w:cs="Arial"/>
          <w:sz w:val="19"/>
          <w:szCs w:val="19"/>
          <w:vertAlign w:val="superscript"/>
        </w:rPr>
        <w:t>rd</w:t>
      </w:r>
      <w:r w:rsidRPr="005D502C">
        <w:rPr>
          <w:rFonts w:ascii="Arial" w:eastAsia="Times New Roman" w:hAnsi="Arial" w:cs="Arial"/>
        </w:rPr>
        <w:t> April 2020). </w:t>
      </w:r>
    </w:p>
    <w:p w14:paraId="45B96B06"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Welsh Government (no date) </w:t>
      </w:r>
      <w:r w:rsidRPr="005D502C">
        <w:rPr>
          <w:rFonts w:ascii="Arial" w:eastAsia="Times New Roman" w:hAnsi="Arial" w:cs="Arial"/>
          <w:i/>
          <w:iCs/>
        </w:rPr>
        <w:t>Foundation Phase Profile Frequently asked questions</w:t>
      </w:r>
      <w:r w:rsidRPr="005D502C">
        <w:rPr>
          <w:rFonts w:ascii="Arial" w:eastAsia="Times New Roman" w:hAnsi="Arial" w:cs="Arial"/>
        </w:rPr>
        <w:t>.</w:t>
      </w:r>
      <w:r w:rsidRPr="005D502C">
        <w:rPr>
          <w:rFonts w:ascii="Arial" w:eastAsia="Times New Roman" w:hAnsi="Arial" w:cs="Arial"/>
          <w:color w:val="0563C1"/>
        </w:rPr>
        <w:t> </w:t>
      </w:r>
      <w:hyperlink r:id="rId54" w:tgtFrame="_blank" w:history="1">
        <w:r w:rsidRPr="005D502C">
          <w:rPr>
            <w:rFonts w:ascii="Arial" w:eastAsia="Times New Roman" w:hAnsi="Arial" w:cs="Arial"/>
            <w:color w:val="0563C1"/>
            <w:u w:val="single"/>
          </w:rPr>
          <w:t>https://hwb.gov.wales/storage/840fa930-c037-4669-8251-4794991fce91/frequently-asked-questions.pdf</w:t>
        </w:r>
      </w:hyperlink>
      <w:r w:rsidRPr="005D502C">
        <w:rPr>
          <w:rFonts w:ascii="Arial" w:eastAsia="Times New Roman" w:hAnsi="Arial" w:cs="Arial"/>
        </w:rPr>
        <w:t>. (Accessed: 30</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p w14:paraId="754B9965"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Whitebread</w:t>
      </w:r>
      <w:proofErr w:type="spellEnd"/>
      <w:r w:rsidRPr="005D502C">
        <w:rPr>
          <w:rFonts w:ascii="Arial" w:eastAsia="Times New Roman" w:hAnsi="Arial" w:cs="Arial"/>
        </w:rPr>
        <w:t>, D. et al. (2012) </w:t>
      </w:r>
      <w:r w:rsidRPr="005D502C">
        <w:rPr>
          <w:rFonts w:ascii="Arial" w:eastAsia="Times New Roman" w:hAnsi="Arial" w:cs="Arial"/>
          <w:i/>
          <w:iCs/>
        </w:rPr>
        <w:t>The importance of play</w:t>
      </w:r>
      <w:r w:rsidRPr="005D502C">
        <w:rPr>
          <w:rFonts w:ascii="Arial" w:eastAsia="Times New Roman" w:hAnsi="Arial" w:cs="Arial"/>
        </w:rPr>
        <w:t>. Available at: </w:t>
      </w:r>
      <w:hyperlink r:id="rId55" w:tgtFrame="_blank" w:history="1">
        <w:r w:rsidRPr="005D502C">
          <w:rPr>
            <w:rFonts w:ascii="Arial" w:eastAsia="Times New Roman" w:hAnsi="Arial" w:cs="Arial"/>
            <w:color w:val="0563C1"/>
            <w:u w:val="single"/>
          </w:rPr>
          <w:t>file:///Users/helen/Downloads/dr_david_whitebread_-_the_importance_of_play.pdf</w:t>
        </w:r>
      </w:hyperlink>
      <w:r w:rsidRPr="005D502C">
        <w:rPr>
          <w:rFonts w:ascii="Arial" w:eastAsia="Times New Roman" w:hAnsi="Arial" w:cs="Arial"/>
        </w:rPr>
        <w:t> (Accessed: 31</w:t>
      </w:r>
      <w:r w:rsidRPr="005D502C">
        <w:rPr>
          <w:rFonts w:ascii="Arial" w:eastAsia="Times New Roman" w:hAnsi="Arial" w:cs="Arial"/>
          <w:sz w:val="19"/>
          <w:szCs w:val="19"/>
          <w:vertAlign w:val="superscript"/>
        </w:rPr>
        <w:t>st</w:t>
      </w:r>
      <w:r w:rsidRPr="005D502C">
        <w:rPr>
          <w:rFonts w:ascii="Arial" w:eastAsia="Times New Roman" w:hAnsi="Arial" w:cs="Arial"/>
        </w:rPr>
        <w:t> March 2020).  </w:t>
      </w:r>
    </w:p>
    <w:p w14:paraId="7048BE2F" w14:textId="77777777" w:rsidR="00BA47F6" w:rsidRPr="005D502C" w:rsidRDefault="00BA47F6" w:rsidP="00BA47F6">
      <w:pPr>
        <w:spacing w:afterLines="140" w:after="336"/>
        <w:textAlignment w:val="baseline"/>
        <w:rPr>
          <w:rFonts w:ascii="Segoe UI" w:eastAsia="Times New Roman" w:hAnsi="Segoe UI" w:cs="Segoe UI"/>
          <w:sz w:val="18"/>
          <w:szCs w:val="18"/>
        </w:rPr>
      </w:pPr>
      <w:r w:rsidRPr="005D502C">
        <w:rPr>
          <w:rFonts w:ascii="Arial" w:eastAsia="Times New Roman" w:hAnsi="Arial" w:cs="Arial"/>
        </w:rPr>
        <w:t>Wood, E. (2013) </w:t>
      </w:r>
      <w:r w:rsidRPr="005D502C">
        <w:rPr>
          <w:rFonts w:ascii="Arial" w:eastAsia="Times New Roman" w:hAnsi="Arial" w:cs="Arial"/>
          <w:i/>
          <w:iCs/>
        </w:rPr>
        <w:t>Play, learning and the early childhood curriculum.</w:t>
      </w:r>
      <w:r w:rsidRPr="005D502C">
        <w:rPr>
          <w:rFonts w:ascii="Arial" w:eastAsia="Times New Roman" w:hAnsi="Arial" w:cs="Arial"/>
        </w:rPr>
        <w:t> 3</w:t>
      </w:r>
      <w:r w:rsidRPr="005D502C">
        <w:rPr>
          <w:rFonts w:ascii="Arial" w:eastAsia="Times New Roman" w:hAnsi="Arial" w:cs="Arial"/>
          <w:sz w:val="19"/>
          <w:szCs w:val="19"/>
          <w:vertAlign w:val="superscript"/>
        </w:rPr>
        <w:t>rd</w:t>
      </w:r>
      <w:r w:rsidRPr="005D502C">
        <w:rPr>
          <w:rFonts w:ascii="Arial" w:eastAsia="Times New Roman" w:hAnsi="Arial" w:cs="Arial"/>
        </w:rPr>
        <w:t> </w:t>
      </w:r>
      <w:proofErr w:type="spellStart"/>
      <w:r w:rsidRPr="005D502C">
        <w:rPr>
          <w:rFonts w:ascii="Arial" w:eastAsia="Times New Roman" w:hAnsi="Arial" w:cs="Arial"/>
        </w:rPr>
        <w:t>edn</w:t>
      </w:r>
      <w:proofErr w:type="spellEnd"/>
      <w:r w:rsidRPr="005D502C">
        <w:rPr>
          <w:rFonts w:ascii="Arial" w:eastAsia="Times New Roman" w:hAnsi="Arial" w:cs="Arial"/>
        </w:rPr>
        <w:t>. London: SAGE publications ltd.  </w:t>
      </w:r>
    </w:p>
    <w:p w14:paraId="31B51313"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Yalcin</w:t>
      </w:r>
      <w:proofErr w:type="spellEnd"/>
      <w:r w:rsidRPr="005D502C">
        <w:rPr>
          <w:rFonts w:ascii="Arial" w:eastAsia="Times New Roman" w:hAnsi="Arial" w:cs="Arial"/>
        </w:rPr>
        <w:t>, F. and </w:t>
      </w:r>
      <w:proofErr w:type="spellStart"/>
      <w:r w:rsidRPr="005D502C">
        <w:rPr>
          <w:rFonts w:ascii="Arial" w:eastAsia="Times New Roman" w:hAnsi="Arial" w:cs="Arial"/>
        </w:rPr>
        <w:t>Erden</w:t>
      </w:r>
      <w:proofErr w:type="spellEnd"/>
      <w:r w:rsidRPr="005D502C">
        <w:rPr>
          <w:rFonts w:ascii="Arial" w:eastAsia="Times New Roman" w:hAnsi="Arial" w:cs="Arial"/>
        </w:rPr>
        <w:t>, F.T. (2018) ‘Risky Play in Early Childhood Education: A Risk Worth Taking’. </w:t>
      </w:r>
      <w:proofErr w:type="spellStart"/>
      <w:r w:rsidRPr="005D502C">
        <w:rPr>
          <w:rFonts w:ascii="Arial" w:eastAsia="Times New Roman" w:hAnsi="Arial" w:cs="Arial"/>
          <w:i/>
          <w:iCs/>
        </w:rPr>
        <w:t>Ilkogretim</w:t>
      </w:r>
      <w:proofErr w:type="spellEnd"/>
      <w:r w:rsidRPr="005D502C">
        <w:rPr>
          <w:rFonts w:ascii="Arial" w:eastAsia="Times New Roman" w:hAnsi="Arial" w:cs="Arial"/>
          <w:i/>
          <w:iCs/>
        </w:rPr>
        <w:t> Online</w:t>
      </w:r>
      <w:r w:rsidRPr="005D502C">
        <w:rPr>
          <w:rFonts w:ascii="Arial" w:eastAsia="Times New Roman" w:hAnsi="Arial" w:cs="Arial"/>
        </w:rPr>
        <w:t>, 17(4), pp.1847–1861. http://ilkogretim-online.org.tr. doi 10.17051/ilkonline.2019.506862 (Accessed: 4</w:t>
      </w:r>
      <w:r w:rsidRPr="005D502C">
        <w:rPr>
          <w:rFonts w:ascii="Arial" w:eastAsia="Times New Roman" w:hAnsi="Arial" w:cs="Arial"/>
          <w:sz w:val="19"/>
          <w:szCs w:val="19"/>
          <w:vertAlign w:val="superscript"/>
        </w:rPr>
        <w:t>th</w:t>
      </w:r>
      <w:r w:rsidRPr="005D502C">
        <w:rPr>
          <w:rFonts w:ascii="Arial" w:eastAsia="Times New Roman" w:hAnsi="Arial" w:cs="Arial"/>
        </w:rPr>
        <w:t> April 2020).  </w:t>
      </w:r>
    </w:p>
    <w:p w14:paraId="0AA99F71" w14:textId="77777777" w:rsidR="00BA47F6" w:rsidRPr="005D502C" w:rsidRDefault="00BA47F6" w:rsidP="00BA47F6">
      <w:pPr>
        <w:spacing w:afterLines="140" w:after="336"/>
        <w:textAlignment w:val="baseline"/>
        <w:rPr>
          <w:rFonts w:ascii="Segoe UI" w:eastAsia="Times New Roman" w:hAnsi="Segoe UI" w:cs="Segoe UI"/>
          <w:sz w:val="18"/>
          <w:szCs w:val="18"/>
        </w:rPr>
      </w:pPr>
      <w:proofErr w:type="spellStart"/>
      <w:r w:rsidRPr="005D502C">
        <w:rPr>
          <w:rFonts w:ascii="Arial" w:eastAsia="Times New Roman" w:hAnsi="Arial" w:cs="Arial"/>
        </w:rPr>
        <w:t>Zosh</w:t>
      </w:r>
      <w:proofErr w:type="spellEnd"/>
      <w:r w:rsidRPr="005D502C">
        <w:rPr>
          <w:rFonts w:ascii="Arial" w:eastAsia="Times New Roman" w:hAnsi="Arial" w:cs="Arial"/>
        </w:rPr>
        <w:t>, J.M. </w:t>
      </w:r>
      <w:r w:rsidRPr="005D502C">
        <w:rPr>
          <w:rFonts w:ascii="Arial" w:eastAsia="Times New Roman" w:hAnsi="Arial" w:cs="Arial"/>
          <w:i/>
          <w:iCs/>
        </w:rPr>
        <w:t>et al. </w:t>
      </w:r>
      <w:r w:rsidRPr="005D502C">
        <w:rPr>
          <w:rFonts w:ascii="Arial" w:eastAsia="Times New Roman" w:hAnsi="Arial" w:cs="Arial"/>
        </w:rPr>
        <w:t>(2017) </w:t>
      </w:r>
      <w:r w:rsidRPr="005D502C">
        <w:rPr>
          <w:rFonts w:ascii="Arial" w:eastAsia="Times New Roman" w:hAnsi="Arial" w:cs="Arial"/>
          <w:i/>
          <w:iCs/>
        </w:rPr>
        <w:t>Learning through play: a review of the evidence.</w:t>
      </w:r>
      <w:r w:rsidRPr="005D502C">
        <w:rPr>
          <w:rFonts w:ascii="Arial" w:eastAsia="Times New Roman" w:hAnsi="Arial" w:cs="Arial"/>
        </w:rPr>
        <w:t> Available at: </w:t>
      </w:r>
      <w:hyperlink r:id="rId56" w:tgtFrame="_blank" w:history="1">
        <w:r w:rsidRPr="005D502C">
          <w:rPr>
            <w:rFonts w:ascii="Arial" w:eastAsia="Times New Roman" w:hAnsi="Arial" w:cs="Arial"/>
            <w:color w:val="0563C1"/>
            <w:u w:val="single"/>
          </w:rPr>
          <w:t>file:///Users/helen/Downloads/lego%20foundation%202017%20learning-through-play_web.pdf</w:t>
        </w:r>
      </w:hyperlink>
      <w:r w:rsidRPr="005D502C">
        <w:rPr>
          <w:rFonts w:ascii="Arial" w:eastAsia="Times New Roman" w:hAnsi="Arial" w:cs="Arial"/>
        </w:rPr>
        <w:t> (Accessed: 25</w:t>
      </w:r>
      <w:r w:rsidRPr="005D502C">
        <w:rPr>
          <w:rFonts w:ascii="Arial" w:eastAsia="Times New Roman" w:hAnsi="Arial" w:cs="Arial"/>
          <w:sz w:val="19"/>
          <w:szCs w:val="19"/>
          <w:vertAlign w:val="superscript"/>
        </w:rPr>
        <w:t>th</w:t>
      </w:r>
      <w:r w:rsidRPr="005D502C">
        <w:rPr>
          <w:rFonts w:ascii="Arial" w:eastAsia="Times New Roman" w:hAnsi="Arial" w:cs="Arial"/>
        </w:rPr>
        <w:t> March 2020). </w:t>
      </w:r>
    </w:p>
    <w:sectPr w:rsidR="00BA47F6" w:rsidRPr="005D502C" w:rsidSect="00BA47F6">
      <w:headerReference w:type="default" r:id="rId57"/>
      <w:footerReference w:type="default" r:id="rId58"/>
      <w:pgSz w:w="11900" w:h="16840"/>
      <w:pgMar w:top="1440" w:right="1440" w:bottom="1440" w:left="1440" w:header="284" w:footer="340" w:gutter="0"/>
      <w:pgNumType w:start="17"/>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2F2F51" w14:textId="77777777" w:rsidR="00626B0C" w:rsidRDefault="00626B0C" w:rsidP="00FA4C9E">
      <w:r>
        <w:separator/>
      </w:r>
    </w:p>
  </w:endnote>
  <w:endnote w:type="continuationSeparator" w:id="0">
    <w:p w14:paraId="2B618173" w14:textId="77777777" w:rsidR="00626B0C" w:rsidRDefault="00626B0C" w:rsidP="00FA4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Segoe UI">
    <w:altName w:val="Sylfaen"/>
    <w:panose1 w:val="020B0604020202020204"/>
    <w:charset w:val="00"/>
    <w:family w:val="swiss"/>
    <w:pitch w:val="variable"/>
    <w:sig w:usb0="E4002EFF" w:usb1="C000E47F" w:usb2="00000009" w:usb3="00000000" w:csb0="000001FF" w:csb1="00000000"/>
  </w:font>
  <w:font w:name="Source Sans Pro">
    <w:panose1 w:val="020B0503030403020204"/>
    <w:charset w:val="00"/>
    <w:family w:val="swiss"/>
    <w:pitch w:val="variable"/>
    <w:sig w:usb0="600002F7" w:usb1="02000001"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40977097"/>
      <w:docPartObj>
        <w:docPartGallery w:val="Page Numbers (Bottom of Page)"/>
        <w:docPartUnique/>
      </w:docPartObj>
    </w:sdtPr>
    <w:sdtContent>
      <w:p w14:paraId="62C33C9C" w14:textId="4D783EDC" w:rsidR="005D502C" w:rsidRDefault="005D502C" w:rsidP="005D50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704EA003" w14:textId="77777777" w:rsidR="005D502C" w:rsidRDefault="005D502C" w:rsidP="009A09C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616092783"/>
      <w:docPartObj>
        <w:docPartGallery w:val="Page Numbers (Bottom of Page)"/>
        <w:docPartUnique/>
      </w:docPartObj>
    </w:sdtPr>
    <w:sdtContent>
      <w:p w14:paraId="30411CCD" w14:textId="4817CB33" w:rsidR="005D502C" w:rsidRDefault="005D502C" w:rsidP="005D50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F8DA52F" w14:textId="3E3B51ED" w:rsidR="005D502C" w:rsidRDefault="005D502C" w:rsidP="009A09C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575441939"/>
      <w:docPartObj>
        <w:docPartGallery w:val="Page Numbers (Bottom of Page)"/>
        <w:docPartUnique/>
      </w:docPartObj>
    </w:sdtPr>
    <w:sdtContent>
      <w:p w14:paraId="4E90144A" w14:textId="77777777" w:rsidR="005D502C" w:rsidRDefault="005D502C" w:rsidP="005D50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86727EA" w14:textId="77777777" w:rsidR="005D502C" w:rsidRDefault="005D502C" w:rsidP="009A09C6">
    <w:pPr>
      <w:pStyle w:val="Footer"/>
      <w:ind w:right="360"/>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1723320"/>
      <w:docPartObj>
        <w:docPartGallery w:val="Page Numbers (Bottom of Page)"/>
        <w:docPartUnique/>
      </w:docPartObj>
    </w:sdtPr>
    <w:sdtContent>
      <w:p w14:paraId="696960F9" w14:textId="77777777" w:rsidR="00BA47F6" w:rsidRDefault="00BA47F6" w:rsidP="005D502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ABA0F52" w14:textId="77777777" w:rsidR="00BA47F6" w:rsidRDefault="00BA47F6" w:rsidP="009A09C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132CE9" w14:textId="77777777" w:rsidR="00626B0C" w:rsidRDefault="00626B0C" w:rsidP="00FA4C9E">
      <w:r>
        <w:separator/>
      </w:r>
    </w:p>
  </w:footnote>
  <w:footnote w:type="continuationSeparator" w:id="0">
    <w:p w14:paraId="7266E86A" w14:textId="77777777" w:rsidR="00626B0C" w:rsidRDefault="00626B0C" w:rsidP="00FA4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F96253" w14:textId="77777777" w:rsidR="005D502C" w:rsidRPr="00FA4C9E" w:rsidRDefault="005D502C">
    <w:pPr>
      <w:pStyle w:val="Header"/>
      <w:rPr>
        <w:rFonts w:ascii="Arial" w:hAnsi="Arial" w:cs="Arial"/>
      </w:rPr>
    </w:pPr>
    <w:r w:rsidRPr="00FA4C9E">
      <w:rPr>
        <w:rFonts w:ascii="Arial" w:hAnsi="Arial" w:cs="Arial"/>
      </w:rPr>
      <w:t>ECEY6001/C</w:t>
    </w:r>
    <w:r w:rsidRPr="00FA4C9E">
      <w:rPr>
        <w:rFonts w:ascii="Arial" w:hAnsi="Arial" w:cs="Arial"/>
      </w:rPr>
      <w:tab/>
    </w:r>
    <w:proofErr w:type="gramStart"/>
    <w:r w:rsidRPr="00FA4C9E">
      <w:rPr>
        <w:rFonts w:ascii="Arial" w:hAnsi="Arial" w:cs="Arial"/>
      </w:rPr>
      <w:t>The</w:t>
    </w:r>
    <w:proofErr w:type="gramEnd"/>
    <w:r w:rsidRPr="00FA4C9E">
      <w:rPr>
        <w:rFonts w:ascii="Arial" w:hAnsi="Arial" w:cs="Arial"/>
      </w:rPr>
      <w:t xml:space="preserve"> Foundation Phase and Early Years Curricula</w:t>
    </w:r>
    <w:r w:rsidRPr="00FA4C9E">
      <w:rPr>
        <w:rFonts w:ascii="Arial" w:hAnsi="Arial" w:cs="Arial"/>
      </w:rPr>
      <w:tab/>
      <w:t>1806929</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0793F9" w14:textId="77777777" w:rsidR="005D502C" w:rsidRPr="00FA4C9E" w:rsidRDefault="005D502C">
    <w:pPr>
      <w:pStyle w:val="Header"/>
      <w:rPr>
        <w:rFonts w:ascii="Arial" w:hAnsi="Arial" w:cs="Arial"/>
      </w:rPr>
    </w:pPr>
    <w:r w:rsidRPr="00FA4C9E">
      <w:rPr>
        <w:rFonts w:ascii="Arial" w:hAnsi="Arial" w:cs="Arial"/>
      </w:rPr>
      <w:t>ECEY6001/C</w:t>
    </w:r>
    <w:r w:rsidRPr="00FA4C9E">
      <w:rPr>
        <w:rFonts w:ascii="Arial" w:hAnsi="Arial" w:cs="Arial"/>
      </w:rPr>
      <w:tab/>
      <w:t>Curricul</w:t>
    </w:r>
    <w:r>
      <w:rPr>
        <w:rFonts w:ascii="Arial" w:hAnsi="Arial" w:cs="Arial"/>
      </w:rPr>
      <w:t>um Analysis</w:t>
    </w:r>
    <w:r w:rsidRPr="00FA4C9E">
      <w:rPr>
        <w:rFonts w:ascii="Arial" w:hAnsi="Arial" w:cs="Arial"/>
      </w:rPr>
      <w:tab/>
      <w:t>1806929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6B82F2" w14:textId="0F4069B2" w:rsidR="005D502C" w:rsidRPr="00FA4C9E" w:rsidRDefault="005D502C">
    <w:pPr>
      <w:pStyle w:val="Header"/>
      <w:rPr>
        <w:rFonts w:ascii="Arial" w:hAnsi="Arial" w:cs="Arial"/>
      </w:rPr>
    </w:pPr>
    <w:r w:rsidRPr="00FA4C9E">
      <w:rPr>
        <w:rFonts w:ascii="Arial" w:hAnsi="Arial" w:cs="Arial"/>
      </w:rPr>
      <w:t>ECEY6001/C</w:t>
    </w:r>
    <w:r w:rsidRPr="00FA4C9E">
      <w:rPr>
        <w:rFonts w:ascii="Arial" w:hAnsi="Arial" w:cs="Arial"/>
      </w:rPr>
      <w:tab/>
    </w:r>
    <w:r>
      <w:rPr>
        <w:rFonts w:ascii="Arial" w:hAnsi="Arial" w:cs="Arial"/>
      </w:rPr>
      <w:t>Assessment Evaluation</w:t>
    </w:r>
    <w:r w:rsidRPr="00FA4C9E">
      <w:rPr>
        <w:rFonts w:ascii="Arial" w:hAnsi="Arial" w:cs="Arial"/>
      </w:rPr>
      <w:tab/>
      <w:t>1806929</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ED667B" w14:textId="21FD23E3" w:rsidR="005D502C" w:rsidRPr="00FA4C9E" w:rsidRDefault="005D502C">
    <w:pPr>
      <w:pStyle w:val="Header"/>
      <w:rPr>
        <w:rFonts w:ascii="Arial" w:hAnsi="Arial" w:cs="Arial"/>
      </w:rPr>
    </w:pPr>
    <w:r w:rsidRPr="00FA4C9E">
      <w:rPr>
        <w:rFonts w:ascii="Arial" w:hAnsi="Arial" w:cs="Arial"/>
      </w:rPr>
      <w:t>ECEY6001/C</w:t>
    </w:r>
    <w:r w:rsidRPr="00FA4C9E">
      <w:rPr>
        <w:rFonts w:ascii="Arial" w:hAnsi="Arial" w:cs="Arial"/>
      </w:rPr>
      <w:tab/>
    </w:r>
    <w:r>
      <w:rPr>
        <w:rFonts w:ascii="Arial" w:hAnsi="Arial" w:cs="Arial"/>
      </w:rPr>
      <w:t xml:space="preserve">Blog </w:t>
    </w:r>
    <w:r w:rsidRPr="00FA4C9E">
      <w:rPr>
        <w:rFonts w:ascii="Arial" w:hAnsi="Arial" w:cs="Arial"/>
      </w:rPr>
      <w:tab/>
      <w:t>1806929</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B8AEA" w14:textId="28EB83C7" w:rsidR="005D502C" w:rsidRPr="00FA4C9E" w:rsidRDefault="005D502C">
    <w:pPr>
      <w:pStyle w:val="Header"/>
      <w:rPr>
        <w:rFonts w:ascii="Arial" w:hAnsi="Arial" w:cs="Arial"/>
      </w:rPr>
    </w:pPr>
    <w:r w:rsidRPr="00FA4C9E">
      <w:rPr>
        <w:rFonts w:ascii="Arial" w:hAnsi="Arial" w:cs="Arial"/>
      </w:rPr>
      <w:t>ECEY6001/C</w:t>
    </w:r>
    <w:r w:rsidRPr="00FA4C9E">
      <w:rPr>
        <w:rFonts w:ascii="Arial" w:hAnsi="Arial" w:cs="Arial"/>
      </w:rPr>
      <w:tab/>
    </w:r>
    <w:r>
      <w:rPr>
        <w:rFonts w:ascii="Arial" w:hAnsi="Arial" w:cs="Arial"/>
      </w:rPr>
      <w:t>Reference List</w:t>
    </w:r>
    <w:r w:rsidRPr="00FA4C9E">
      <w:rPr>
        <w:rFonts w:ascii="Arial" w:hAnsi="Arial" w:cs="Arial"/>
      </w:rPr>
      <w:tab/>
      <w:t>1806929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4C9E"/>
    <w:rsid w:val="0000393A"/>
    <w:rsid w:val="00053A67"/>
    <w:rsid w:val="000741BF"/>
    <w:rsid w:val="000A13FA"/>
    <w:rsid w:val="000E25B3"/>
    <w:rsid w:val="000E4384"/>
    <w:rsid w:val="000E5DBF"/>
    <w:rsid w:val="00102FC9"/>
    <w:rsid w:val="00140F64"/>
    <w:rsid w:val="001639D6"/>
    <w:rsid w:val="001C07A7"/>
    <w:rsid w:val="001D29B5"/>
    <w:rsid w:val="001D36B8"/>
    <w:rsid w:val="001D4E6A"/>
    <w:rsid w:val="001D735D"/>
    <w:rsid w:val="00222966"/>
    <w:rsid w:val="00251C62"/>
    <w:rsid w:val="002750B7"/>
    <w:rsid w:val="002A17FD"/>
    <w:rsid w:val="002D6863"/>
    <w:rsid w:val="002E63F4"/>
    <w:rsid w:val="002F2E26"/>
    <w:rsid w:val="003004FE"/>
    <w:rsid w:val="00302E7D"/>
    <w:rsid w:val="00347507"/>
    <w:rsid w:val="00351B34"/>
    <w:rsid w:val="003B5E97"/>
    <w:rsid w:val="003D67D8"/>
    <w:rsid w:val="004052D5"/>
    <w:rsid w:val="00406E0D"/>
    <w:rsid w:val="00427653"/>
    <w:rsid w:val="00436453"/>
    <w:rsid w:val="0045476A"/>
    <w:rsid w:val="00490817"/>
    <w:rsid w:val="004A08B6"/>
    <w:rsid w:val="004C04AB"/>
    <w:rsid w:val="005712B2"/>
    <w:rsid w:val="005B6AC5"/>
    <w:rsid w:val="005D502C"/>
    <w:rsid w:val="005F0D13"/>
    <w:rsid w:val="00604AC7"/>
    <w:rsid w:val="00625C6E"/>
    <w:rsid w:val="00626B0C"/>
    <w:rsid w:val="00631923"/>
    <w:rsid w:val="006618C0"/>
    <w:rsid w:val="00685D07"/>
    <w:rsid w:val="006B6E4E"/>
    <w:rsid w:val="00727016"/>
    <w:rsid w:val="00731403"/>
    <w:rsid w:val="0073479F"/>
    <w:rsid w:val="0073595B"/>
    <w:rsid w:val="00736652"/>
    <w:rsid w:val="007563AF"/>
    <w:rsid w:val="007802D3"/>
    <w:rsid w:val="007C4249"/>
    <w:rsid w:val="007D0E8B"/>
    <w:rsid w:val="007D7287"/>
    <w:rsid w:val="007E1FEC"/>
    <w:rsid w:val="00807B1A"/>
    <w:rsid w:val="00820F05"/>
    <w:rsid w:val="00824D72"/>
    <w:rsid w:val="008377BC"/>
    <w:rsid w:val="0084589D"/>
    <w:rsid w:val="00885093"/>
    <w:rsid w:val="008C2D2A"/>
    <w:rsid w:val="008D466C"/>
    <w:rsid w:val="00916E75"/>
    <w:rsid w:val="00930785"/>
    <w:rsid w:val="00971640"/>
    <w:rsid w:val="009A09C6"/>
    <w:rsid w:val="00A8753A"/>
    <w:rsid w:val="00B0136A"/>
    <w:rsid w:val="00B6397B"/>
    <w:rsid w:val="00BA47F6"/>
    <w:rsid w:val="00BA5A5D"/>
    <w:rsid w:val="00BB6DF9"/>
    <w:rsid w:val="00C347BF"/>
    <w:rsid w:val="00C437D7"/>
    <w:rsid w:val="00C53DFC"/>
    <w:rsid w:val="00C579E4"/>
    <w:rsid w:val="00CB7A02"/>
    <w:rsid w:val="00CC10C8"/>
    <w:rsid w:val="00CC44F0"/>
    <w:rsid w:val="00D06F2C"/>
    <w:rsid w:val="00D532E7"/>
    <w:rsid w:val="00D90E19"/>
    <w:rsid w:val="00DB4DF3"/>
    <w:rsid w:val="00E32DAE"/>
    <w:rsid w:val="00E45177"/>
    <w:rsid w:val="00E66C92"/>
    <w:rsid w:val="00EA0D4A"/>
    <w:rsid w:val="00EE36CF"/>
    <w:rsid w:val="00EE3EBB"/>
    <w:rsid w:val="00F41965"/>
    <w:rsid w:val="00F62190"/>
    <w:rsid w:val="00F66107"/>
    <w:rsid w:val="00F74BEB"/>
    <w:rsid w:val="00F76086"/>
    <w:rsid w:val="00F953F7"/>
    <w:rsid w:val="00F9578D"/>
    <w:rsid w:val="00FA4C9E"/>
    <w:rsid w:val="00FE3F30"/>
    <w:rsid w:val="2E3409AE"/>
    <w:rsid w:val="3F794B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132FA3"/>
  <w15:chartTrackingRefBased/>
  <w15:docId w15:val="{7EE03F07-8A93-7342-B756-11996D1952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FA4C9E"/>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DefaultParagraphFont"/>
    <w:rsid w:val="00FA4C9E"/>
  </w:style>
  <w:style w:type="character" w:customStyle="1" w:styleId="eop">
    <w:name w:val="eop"/>
    <w:basedOn w:val="DefaultParagraphFont"/>
    <w:rsid w:val="00FA4C9E"/>
  </w:style>
  <w:style w:type="paragraph" w:styleId="Header">
    <w:name w:val="header"/>
    <w:basedOn w:val="Normal"/>
    <w:link w:val="HeaderChar"/>
    <w:uiPriority w:val="99"/>
    <w:unhideWhenUsed/>
    <w:rsid w:val="00FA4C9E"/>
    <w:pPr>
      <w:tabs>
        <w:tab w:val="center" w:pos="4680"/>
        <w:tab w:val="right" w:pos="9360"/>
      </w:tabs>
    </w:pPr>
  </w:style>
  <w:style w:type="character" w:customStyle="1" w:styleId="HeaderChar">
    <w:name w:val="Header Char"/>
    <w:basedOn w:val="DefaultParagraphFont"/>
    <w:link w:val="Header"/>
    <w:uiPriority w:val="99"/>
    <w:rsid w:val="00FA4C9E"/>
  </w:style>
  <w:style w:type="paragraph" w:styleId="Footer">
    <w:name w:val="footer"/>
    <w:basedOn w:val="Normal"/>
    <w:link w:val="FooterChar"/>
    <w:uiPriority w:val="99"/>
    <w:unhideWhenUsed/>
    <w:rsid w:val="00FA4C9E"/>
    <w:pPr>
      <w:tabs>
        <w:tab w:val="center" w:pos="4680"/>
        <w:tab w:val="right" w:pos="9360"/>
      </w:tabs>
    </w:pPr>
  </w:style>
  <w:style w:type="character" w:customStyle="1" w:styleId="FooterChar">
    <w:name w:val="Footer Char"/>
    <w:basedOn w:val="DefaultParagraphFont"/>
    <w:link w:val="Footer"/>
    <w:uiPriority w:val="99"/>
    <w:rsid w:val="00FA4C9E"/>
  </w:style>
  <w:style w:type="character" w:customStyle="1" w:styleId="spellingerror">
    <w:name w:val="spellingerror"/>
    <w:basedOn w:val="DefaultParagraphFont"/>
    <w:rsid w:val="00FA4C9E"/>
  </w:style>
  <w:style w:type="character" w:customStyle="1" w:styleId="advancedproofingissue">
    <w:name w:val="advancedproofingissue"/>
    <w:basedOn w:val="DefaultParagraphFont"/>
    <w:rsid w:val="00FA4C9E"/>
  </w:style>
  <w:style w:type="character" w:styleId="PageNumber">
    <w:name w:val="page number"/>
    <w:basedOn w:val="DefaultParagraphFont"/>
    <w:uiPriority w:val="99"/>
    <w:semiHidden/>
    <w:unhideWhenUsed/>
    <w:rsid w:val="009A09C6"/>
  </w:style>
  <w:style w:type="paragraph" w:customStyle="1" w:styleId="msonormal0">
    <w:name w:val="msonormal"/>
    <w:basedOn w:val="Normal"/>
    <w:rsid w:val="00EA0D4A"/>
    <w:pPr>
      <w:spacing w:before="100" w:beforeAutospacing="1" w:after="100" w:afterAutospacing="1"/>
    </w:pPr>
    <w:rPr>
      <w:rFonts w:ascii="Times New Roman" w:eastAsia="Times New Roman" w:hAnsi="Times New Roman" w:cs="Times New Roman"/>
    </w:rPr>
  </w:style>
  <w:style w:type="character" w:customStyle="1" w:styleId="textrun">
    <w:name w:val="textrun"/>
    <w:basedOn w:val="DefaultParagraphFont"/>
    <w:rsid w:val="00EA0D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561368">
      <w:bodyDiv w:val="1"/>
      <w:marLeft w:val="0"/>
      <w:marRight w:val="0"/>
      <w:marTop w:val="0"/>
      <w:marBottom w:val="0"/>
      <w:divBdr>
        <w:top w:val="none" w:sz="0" w:space="0" w:color="auto"/>
        <w:left w:val="none" w:sz="0" w:space="0" w:color="auto"/>
        <w:bottom w:val="none" w:sz="0" w:space="0" w:color="auto"/>
        <w:right w:val="none" w:sz="0" w:space="0" w:color="auto"/>
      </w:divBdr>
    </w:div>
    <w:div w:id="463041347">
      <w:bodyDiv w:val="1"/>
      <w:marLeft w:val="0"/>
      <w:marRight w:val="0"/>
      <w:marTop w:val="0"/>
      <w:marBottom w:val="0"/>
      <w:divBdr>
        <w:top w:val="none" w:sz="0" w:space="0" w:color="auto"/>
        <w:left w:val="none" w:sz="0" w:space="0" w:color="auto"/>
        <w:bottom w:val="none" w:sz="0" w:space="0" w:color="auto"/>
        <w:right w:val="none" w:sz="0" w:space="0" w:color="auto"/>
      </w:divBdr>
      <w:divsChild>
        <w:div w:id="947272706">
          <w:marLeft w:val="0"/>
          <w:marRight w:val="0"/>
          <w:marTop w:val="0"/>
          <w:marBottom w:val="0"/>
          <w:divBdr>
            <w:top w:val="none" w:sz="0" w:space="0" w:color="auto"/>
            <w:left w:val="none" w:sz="0" w:space="0" w:color="auto"/>
            <w:bottom w:val="none" w:sz="0" w:space="0" w:color="auto"/>
            <w:right w:val="none" w:sz="0" w:space="0" w:color="auto"/>
          </w:divBdr>
        </w:div>
        <w:div w:id="558172152">
          <w:marLeft w:val="0"/>
          <w:marRight w:val="0"/>
          <w:marTop w:val="0"/>
          <w:marBottom w:val="0"/>
          <w:divBdr>
            <w:top w:val="none" w:sz="0" w:space="0" w:color="auto"/>
            <w:left w:val="none" w:sz="0" w:space="0" w:color="auto"/>
            <w:bottom w:val="none" w:sz="0" w:space="0" w:color="auto"/>
            <w:right w:val="none" w:sz="0" w:space="0" w:color="auto"/>
          </w:divBdr>
        </w:div>
        <w:div w:id="1029641644">
          <w:marLeft w:val="0"/>
          <w:marRight w:val="0"/>
          <w:marTop w:val="0"/>
          <w:marBottom w:val="0"/>
          <w:divBdr>
            <w:top w:val="none" w:sz="0" w:space="0" w:color="auto"/>
            <w:left w:val="none" w:sz="0" w:space="0" w:color="auto"/>
            <w:bottom w:val="none" w:sz="0" w:space="0" w:color="auto"/>
            <w:right w:val="none" w:sz="0" w:space="0" w:color="auto"/>
          </w:divBdr>
        </w:div>
        <w:div w:id="2059085119">
          <w:marLeft w:val="0"/>
          <w:marRight w:val="0"/>
          <w:marTop w:val="0"/>
          <w:marBottom w:val="0"/>
          <w:divBdr>
            <w:top w:val="none" w:sz="0" w:space="0" w:color="auto"/>
            <w:left w:val="none" w:sz="0" w:space="0" w:color="auto"/>
            <w:bottom w:val="none" w:sz="0" w:space="0" w:color="auto"/>
            <w:right w:val="none" w:sz="0" w:space="0" w:color="auto"/>
          </w:divBdr>
        </w:div>
        <w:div w:id="1864512890">
          <w:marLeft w:val="0"/>
          <w:marRight w:val="0"/>
          <w:marTop w:val="0"/>
          <w:marBottom w:val="0"/>
          <w:divBdr>
            <w:top w:val="none" w:sz="0" w:space="0" w:color="auto"/>
            <w:left w:val="none" w:sz="0" w:space="0" w:color="auto"/>
            <w:bottom w:val="none" w:sz="0" w:space="0" w:color="auto"/>
            <w:right w:val="none" w:sz="0" w:space="0" w:color="auto"/>
          </w:divBdr>
        </w:div>
        <w:div w:id="392966853">
          <w:marLeft w:val="0"/>
          <w:marRight w:val="0"/>
          <w:marTop w:val="0"/>
          <w:marBottom w:val="0"/>
          <w:divBdr>
            <w:top w:val="none" w:sz="0" w:space="0" w:color="auto"/>
            <w:left w:val="none" w:sz="0" w:space="0" w:color="auto"/>
            <w:bottom w:val="none" w:sz="0" w:space="0" w:color="auto"/>
            <w:right w:val="none" w:sz="0" w:space="0" w:color="auto"/>
          </w:divBdr>
        </w:div>
        <w:div w:id="1046368321">
          <w:marLeft w:val="0"/>
          <w:marRight w:val="0"/>
          <w:marTop w:val="0"/>
          <w:marBottom w:val="0"/>
          <w:divBdr>
            <w:top w:val="none" w:sz="0" w:space="0" w:color="auto"/>
            <w:left w:val="none" w:sz="0" w:space="0" w:color="auto"/>
            <w:bottom w:val="none" w:sz="0" w:space="0" w:color="auto"/>
            <w:right w:val="none" w:sz="0" w:space="0" w:color="auto"/>
          </w:divBdr>
        </w:div>
        <w:div w:id="1728187752">
          <w:marLeft w:val="0"/>
          <w:marRight w:val="0"/>
          <w:marTop w:val="0"/>
          <w:marBottom w:val="0"/>
          <w:divBdr>
            <w:top w:val="none" w:sz="0" w:space="0" w:color="auto"/>
            <w:left w:val="none" w:sz="0" w:space="0" w:color="auto"/>
            <w:bottom w:val="none" w:sz="0" w:space="0" w:color="auto"/>
            <w:right w:val="none" w:sz="0" w:space="0" w:color="auto"/>
          </w:divBdr>
        </w:div>
        <w:div w:id="1323200191">
          <w:marLeft w:val="0"/>
          <w:marRight w:val="0"/>
          <w:marTop w:val="0"/>
          <w:marBottom w:val="0"/>
          <w:divBdr>
            <w:top w:val="none" w:sz="0" w:space="0" w:color="auto"/>
            <w:left w:val="none" w:sz="0" w:space="0" w:color="auto"/>
            <w:bottom w:val="none" w:sz="0" w:space="0" w:color="auto"/>
            <w:right w:val="none" w:sz="0" w:space="0" w:color="auto"/>
          </w:divBdr>
        </w:div>
        <w:div w:id="1354385402">
          <w:marLeft w:val="0"/>
          <w:marRight w:val="0"/>
          <w:marTop w:val="0"/>
          <w:marBottom w:val="0"/>
          <w:divBdr>
            <w:top w:val="none" w:sz="0" w:space="0" w:color="auto"/>
            <w:left w:val="none" w:sz="0" w:space="0" w:color="auto"/>
            <w:bottom w:val="none" w:sz="0" w:space="0" w:color="auto"/>
            <w:right w:val="none" w:sz="0" w:space="0" w:color="auto"/>
          </w:divBdr>
        </w:div>
        <w:div w:id="1413549626">
          <w:marLeft w:val="0"/>
          <w:marRight w:val="0"/>
          <w:marTop w:val="0"/>
          <w:marBottom w:val="0"/>
          <w:divBdr>
            <w:top w:val="none" w:sz="0" w:space="0" w:color="auto"/>
            <w:left w:val="none" w:sz="0" w:space="0" w:color="auto"/>
            <w:bottom w:val="none" w:sz="0" w:space="0" w:color="auto"/>
            <w:right w:val="none" w:sz="0" w:space="0" w:color="auto"/>
          </w:divBdr>
        </w:div>
        <w:div w:id="1680695518">
          <w:marLeft w:val="0"/>
          <w:marRight w:val="0"/>
          <w:marTop w:val="0"/>
          <w:marBottom w:val="0"/>
          <w:divBdr>
            <w:top w:val="none" w:sz="0" w:space="0" w:color="auto"/>
            <w:left w:val="none" w:sz="0" w:space="0" w:color="auto"/>
            <w:bottom w:val="none" w:sz="0" w:space="0" w:color="auto"/>
            <w:right w:val="none" w:sz="0" w:space="0" w:color="auto"/>
          </w:divBdr>
        </w:div>
        <w:div w:id="1260873543">
          <w:marLeft w:val="0"/>
          <w:marRight w:val="0"/>
          <w:marTop w:val="0"/>
          <w:marBottom w:val="0"/>
          <w:divBdr>
            <w:top w:val="none" w:sz="0" w:space="0" w:color="auto"/>
            <w:left w:val="none" w:sz="0" w:space="0" w:color="auto"/>
            <w:bottom w:val="none" w:sz="0" w:space="0" w:color="auto"/>
            <w:right w:val="none" w:sz="0" w:space="0" w:color="auto"/>
          </w:divBdr>
        </w:div>
        <w:div w:id="851604727">
          <w:marLeft w:val="0"/>
          <w:marRight w:val="0"/>
          <w:marTop w:val="0"/>
          <w:marBottom w:val="0"/>
          <w:divBdr>
            <w:top w:val="none" w:sz="0" w:space="0" w:color="auto"/>
            <w:left w:val="none" w:sz="0" w:space="0" w:color="auto"/>
            <w:bottom w:val="none" w:sz="0" w:space="0" w:color="auto"/>
            <w:right w:val="none" w:sz="0" w:space="0" w:color="auto"/>
          </w:divBdr>
        </w:div>
        <w:div w:id="1083143081">
          <w:marLeft w:val="0"/>
          <w:marRight w:val="0"/>
          <w:marTop w:val="0"/>
          <w:marBottom w:val="0"/>
          <w:divBdr>
            <w:top w:val="none" w:sz="0" w:space="0" w:color="auto"/>
            <w:left w:val="none" w:sz="0" w:space="0" w:color="auto"/>
            <w:bottom w:val="none" w:sz="0" w:space="0" w:color="auto"/>
            <w:right w:val="none" w:sz="0" w:space="0" w:color="auto"/>
          </w:divBdr>
        </w:div>
        <w:div w:id="839007938">
          <w:marLeft w:val="0"/>
          <w:marRight w:val="0"/>
          <w:marTop w:val="0"/>
          <w:marBottom w:val="0"/>
          <w:divBdr>
            <w:top w:val="none" w:sz="0" w:space="0" w:color="auto"/>
            <w:left w:val="none" w:sz="0" w:space="0" w:color="auto"/>
            <w:bottom w:val="none" w:sz="0" w:space="0" w:color="auto"/>
            <w:right w:val="none" w:sz="0" w:space="0" w:color="auto"/>
          </w:divBdr>
        </w:div>
        <w:div w:id="922763528">
          <w:marLeft w:val="0"/>
          <w:marRight w:val="0"/>
          <w:marTop w:val="0"/>
          <w:marBottom w:val="0"/>
          <w:divBdr>
            <w:top w:val="none" w:sz="0" w:space="0" w:color="auto"/>
            <w:left w:val="none" w:sz="0" w:space="0" w:color="auto"/>
            <w:bottom w:val="none" w:sz="0" w:space="0" w:color="auto"/>
            <w:right w:val="none" w:sz="0" w:space="0" w:color="auto"/>
          </w:divBdr>
        </w:div>
        <w:div w:id="2048136404">
          <w:marLeft w:val="0"/>
          <w:marRight w:val="0"/>
          <w:marTop w:val="0"/>
          <w:marBottom w:val="0"/>
          <w:divBdr>
            <w:top w:val="none" w:sz="0" w:space="0" w:color="auto"/>
            <w:left w:val="none" w:sz="0" w:space="0" w:color="auto"/>
            <w:bottom w:val="none" w:sz="0" w:space="0" w:color="auto"/>
            <w:right w:val="none" w:sz="0" w:space="0" w:color="auto"/>
          </w:divBdr>
        </w:div>
        <w:div w:id="178663162">
          <w:marLeft w:val="0"/>
          <w:marRight w:val="0"/>
          <w:marTop w:val="0"/>
          <w:marBottom w:val="0"/>
          <w:divBdr>
            <w:top w:val="none" w:sz="0" w:space="0" w:color="auto"/>
            <w:left w:val="none" w:sz="0" w:space="0" w:color="auto"/>
            <w:bottom w:val="none" w:sz="0" w:space="0" w:color="auto"/>
            <w:right w:val="none" w:sz="0" w:space="0" w:color="auto"/>
          </w:divBdr>
        </w:div>
        <w:div w:id="801386022">
          <w:marLeft w:val="0"/>
          <w:marRight w:val="0"/>
          <w:marTop w:val="0"/>
          <w:marBottom w:val="0"/>
          <w:divBdr>
            <w:top w:val="none" w:sz="0" w:space="0" w:color="auto"/>
            <w:left w:val="none" w:sz="0" w:space="0" w:color="auto"/>
            <w:bottom w:val="none" w:sz="0" w:space="0" w:color="auto"/>
            <w:right w:val="none" w:sz="0" w:space="0" w:color="auto"/>
          </w:divBdr>
        </w:div>
        <w:div w:id="1873573746">
          <w:marLeft w:val="0"/>
          <w:marRight w:val="0"/>
          <w:marTop w:val="0"/>
          <w:marBottom w:val="0"/>
          <w:divBdr>
            <w:top w:val="none" w:sz="0" w:space="0" w:color="auto"/>
            <w:left w:val="none" w:sz="0" w:space="0" w:color="auto"/>
            <w:bottom w:val="none" w:sz="0" w:space="0" w:color="auto"/>
            <w:right w:val="none" w:sz="0" w:space="0" w:color="auto"/>
          </w:divBdr>
        </w:div>
        <w:div w:id="1780686313">
          <w:marLeft w:val="0"/>
          <w:marRight w:val="0"/>
          <w:marTop w:val="0"/>
          <w:marBottom w:val="0"/>
          <w:divBdr>
            <w:top w:val="none" w:sz="0" w:space="0" w:color="auto"/>
            <w:left w:val="none" w:sz="0" w:space="0" w:color="auto"/>
            <w:bottom w:val="none" w:sz="0" w:space="0" w:color="auto"/>
            <w:right w:val="none" w:sz="0" w:space="0" w:color="auto"/>
          </w:divBdr>
        </w:div>
        <w:div w:id="230890322">
          <w:marLeft w:val="0"/>
          <w:marRight w:val="0"/>
          <w:marTop w:val="0"/>
          <w:marBottom w:val="0"/>
          <w:divBdr>
            <w:top w:val="none" w:sz="0" w:space="0" w:color="auto"/>
            <w:left w:val="none" w:sz="0" w:space="0" w:color="auto"/>
            <w:bottom w:val="none" w:sz="0" w:space="0" w:color="auto"/>
            <w:right w:val="none" w:sz="0" w:space="0" w:color="auto"/>
          </w:divBdr>
        </w:div>
        <w:div w:id="935022641">
          <w:marLeft w:val="0"/>
          <w:marRight w:val="0"/>
          <w:marTop w:val="0"/>
          <w:marBottom w:val="0"/>
          <w:divBdr>
            <w:top w:val="none" w:sz="0" w:space="0" w:color="auto"/>
            <w:left w:val="none" w:sz="0" w:space="0" w:color="auto"/>
            <w:bottom w:val="none" w:sz="0" w:space="0" w:color="auto"/>
            <w:right w:val="none" w:sz="0" w:space="0" w:color="auto"/>
          </w:divBdr>
        </w:div>
        <w:div w:id="400324400">
          <w:marLeft w:val="0"/>
          <w:marRight w:val="0"/>
          <w:marTop w:val="0"/>
          <w:marBottom w:val="0"/>
          <w:divBdr>
            <w:top w:val="none" w:sz="0" w:space="0" w:color="auto"/>
            <w:left w:val="none" w:sz="0" w:space="0" w:color="auto"/>
            <w:bottom w:val="none" w:sz="0" w:space="0" w:color="auto"/>
            <w:right w:val="none" w:sz="0" w:space="0" w:color="auto"/>
          </w:divBdr>
        </w:div>
        <w:div w:id="717971914">
          <w:marLeft w:val="0"/>
          <w:marRight w:val="0"/>
          <w:marTop w:val="0"/>
          <w:marBottom w:val="0"/>
          <w:divBdr>
            <w:top w:val="none" w:sz="0" w:space="0" w:color="auto"/>
            <w:left w:val="none" w:sz="0" w:space="0" w:color="auto"/>
            <w:bottom w:val="none" w:sz="0" w:space="0" w:color="auto"/>
            <w:right w:val="none" w:sz="0" w:space="0" w:color="auto"/>
          </w:divBdr>
        </w:div>
        <w:div w:id="376516306">
          <w:marLeft w:val="0"/>
          <w:marRight w:val="0"/>
          <w:marTop w:val="0"/>
          <w:marBottom w:val="0"/>
          <w:divBdr>
            <w:top w:val="none" w:sz="0" w:space="0" w:color="auto"/>
            <w:left w:val="none" w:sz="0" w:space="0" w:color="auto"/>
            <w:bottom w:val="none" w:sz="0" w:space="0" w:color="auto"/>
            <w:right w:val="none" w:sz="0" w:space="0" w:color="auto"/>
          </w:divBdr>
        </w:div>
        <w:div w:id="1248078164">
          <w:marLeft w:val="0"/>
          <w:marRight w:val="0"/>
          <w:marTop w:val="0"/>
          <w:marBottom w:val="0"/>
          <w:divBdr>
            <w:top w:val="none" w:sz="0" w:space="0" w:color="auto"/>
            <w:left w:val="none" w:sz="0" w:space="0" w:color="auto"/>
            <w:bottom w:val="none" w:sz="0" w:space="0" w:color="auto"/>
            <w:right w:val="none" w:sz="0" w:space="0" w:color="auto"/>
          </w:divBdr>
        </w:div>
        <w:div w:id="81220442">
          <w:marLeft w:val="0"/>
          <w:marRight w:val="0"/>
          <w:marTop w:val="0"/>
          <w:marBottom w:val="0"/>
          <w:divBdr>
            <w:top w:val="none" w:sz="0" w:space="0" w:color="auto"/>
            <w:left w:val="none" w:sz="0" w:space="0" w:color="auto"/>
            <w:bottom w:val="none" w:sz="0" w:space="0" w:color="auto"/>
            <w:right w:val="none" w:sz="0" w:space="0" w:color="auto"/>
          </w:divBdr>
        </w:div>
        <w:div w:id="895625096">
          <w:marLeft w:val="0"/>
          <w:marRight w:val="0"/>
          <w:marTop w:val="0"/>
          <w:marBottom w:val="0"/>
          <w:divBdr>
            <w:top w:val="none" w:sz="0" w:space="0" w:color="auto"/>
            <w:left w:val="none" w:sz="0" w:space="0" w:color="auto"/>
            <w:bottom w:val="none" w:sz="0" w:space="0" w:color="auto"/>
            <w:right w:val="none" w:sz="0" w:space="0" w:color="auto"/>
          </w:divBdr>
        </w:div>
        <w:div w:id="304428540">
          <w:marLeft w:val="0"/>
          <w:marRight w:val="0"/>
          <w:marTop w:val="0"/>
          <w:marBottom w:val="0"/>
          <w:divBdr>
            <w:top w:val="none" w:sz="0" w:space="0" w:color="auto"/>
            <w:left w:val="none" w:sz="0" w:space="0" w:color="auto"/>
            <w:bottom w:val="none" w:sz="0" w:space="0" w:color="auto"/>
            <w:right w:val="none" w:sz="0" w:space="0" w:color="auto"/>
          </w:divBdr>
        </w:div>
        <w:div w:id="543755603">
          <w:marLeft w:val="0"/>
          <w:marRight w:val="0"/>
          <w:marTop w:val="0"/>
          <w:marBottom w:val="0"/>
          <w:divBdr>
            <w:top w:val="none" w:sz="0" w:space="0" w:color="auto"/>
            <w:left w:val="none" w:sz="0" w:space="0" w:color="auto"/>
            <w:bottom w:val="none" w:sz="0" w:space="0" w:color="auto"/>
            <w:right w:val="none" w:sz="0" w:space="0" w:color="auto"/>
          </w:divBdr>
        </w:div>
        <w:div w:id="1134718373">
          <w:marLeft w:val="0"/>
          <w:marRight w:val="0"/>
          <w:marTop w:val="0"/>
          <w:marBottom w:val="0"/>
          <w:divBdr>
            <w:top w:val="none" w:sz="0" w:space="0" w:color="auto"/>
            <w:left w:val="none" w:sz="0" w:space="0" w:color="auto"/>
            <w:bottom w:val="none" w:sz="0" w:space="0" w:color="auto"/>
            <w:right w:val="none" w:sz="0" w:space="0" w:color="auto"/>
          </w:divBdr>
        </w:div>
        <w:div w:id="2077126643">
          <w:marLeft w:val="0"/>
          <w:marRight w:val="0"/>
          <w:marTop w:val="0"/>
          <w:marBottom w:val="0"/>
          <w:divBdr>
            <w:top w:val="none" w:sz="0" w:space="0" w:color="auto"/>
            <w:left w:val="none" w:sz="0" w:space="0" w:color="auto"/>
            <w:bottom w:val="none" w:sz="0" w:space="0" w:color="auto"/>
            <w:right w:val="none" w:sz="0" w:space="0" w:color="auto"/>
          </w:divBdr>
        </w:div>
        <w:div w:id="1592080645">
          <w:marLeft w:val="0"/>
          <w:marRight w:val="0"/>
          <w:marTop w:val="0"/>
          <w:marBottom w:val="0"/>
          <w:divBdr>
            <w:top w:val="none" w:sz="0" w:space="0" w:color="auto"/>
            <w:left w:val="none" w:sz="0" w:space="0" w:color="auto"/>
            <w:bottom w:val="none" w:sz="0" w:space="0" w:color="auto"/>
            <w:right w:val="none" w:sz="0" w:space="0" w:color="auto"/>
          </w:divBdr>
        </w:div>
        <w:div w:id="247157289">
          <w:marLeft w:val="0"/>
          <w:marRight w:val="0"/>
          <w:marTop w:val="0"/>
          <w:marBottom w:val="0"/>
          <w:divBdr>
            <w:top w:val="none" w:sz="0" w:space="0" w:color="auto"/>
            <w:left w:val="none" w:sz="0" w:space="0" w:color="auto"/>
            <w:bottom w:val="none" w:sz="0" w:space="0" w:color="auto"/>
            <w:right w:val="none" w:sz="0" w:space="0" w:color="auto"/>
          </w:divBdr>
        </w:div>
        <w:div w:id="346912580">
          <w:marLeft w:val="0"/>
          <w:marRight w:val="0"/>
          <w:marTop w:val="0"/>
          <w:marBottom w:val="0"/>
          <w:divBdr>
            <w:top w:val="none" w:sz="0" w:space="0" w:color="auto"/>
            <w:left w:val="none" w:sz="0" w:space="0" w:color="auto"/>
            <w:bottom w:val="none" w:sz="0" w:space="0" w:color="auto"/>
            <w:right w:val="none" w:sz="0" w:space="0" w:color="auto"/>
          </w:divBdr>
        </w:div>
        <w:div w:id="581527892">
          <w:marLeft w:val="0"/>
          <w:marRight w:val="0"/>
          <w:marTop w:val="0"/>
          <w:marBottom w:val="0"/>
          <w:divBdr>
            <w:top w:val="none" w:sz="0" w:space="0" w:color="auto"/>
            <w:left w:val="none" w:sz="0" w:space="0" w:color="auto"/>
            <w:bottom w:val="none" w:sz="0" w:space="0" w:color="auto"/>
            <w:right w:val="none" w:sz="0" w:space="0" w:color="auto"/>
          </w:divBdr>
        </w:div>
        <w:div w:id="1933902266">
          <w:marLeft w:val="0"/>
          <w:marRight w:val="0"/>
          <w:marTop w:val="0"/>
          <w:marBottom w:val="0"/>
          <w:divBdr>
            <w:top w:val="none" w:sz="0" w:space="0" w:color="auto"/>
            <w:left w:val="none" w:sz="0" w:space="0" w:color="auto"/>
            <w:bottom w:val="none" w:sz="0" w:space="0" w:color="auto"/>
            <w:right w:val="none" w:sz="0" w:space="0" w:color="auto"/>
          </w:divBdr>
        </w:div>
        <w:div w:id="1056584092">
          <w:marLeft w:val="0"/>
          <w:marRight w:val="0"/>
          <w:marTop w:val="0"/>
          <w:marBottom w:val="0"/>
          <w:divBdr>
            <w:top w:val="none" w:sz="0" w:space="0" w:color="auto"/>
            <w:left w:val="none" w:sz="0" w:space="0" w:color="auto"/>
            <w:bottom w:val="none" w:sz="0" w:space="0" w:color="auto"/>
            <w:right w:val="none" w:sz="0" w:space="0" w:color="auto"/>
          </w:divBdr>
        </w:div>
        <w:div w:id="1226065114">
          <w:marLeft w:val="0"/>
          <w:marRight w:val="0"/>
          <w:marTop w:val="0"/>
          <w:marBottom w:val="0"/>
          <w:divBdr>
            <w:top w:val="none" w:sz="0" w:space="0" w:color="auto"/>
            <w:left w:val="none" w:sz="0" w:space="0" w:color="auto"/>
            <w:bottom w:val="none" w:sz="0" w:space="0" w:color="auto"/>
            <w:right w:val="none" w:sz="0" w:space="0" w:color="auto"/>
          </w:divBdr>
        </w:div>
        <w:div w:id="214660007">
          <w:marLeft w:val="0"/>
          <w:marRight w:val="0"/>
          <w:marTop w:val="0"/>
          <w:marBottom w:val="0"/>
          <w:divBdr>
            <w:top w:val="none" w:sz="0" w:space="0" w:color="auto"/>
            <w:left w:val="none" w:sz="0" w:space="0" w:color="auto"/>
            <w:bottom w:val="none" w:sz="0" w:space="0" w:color="auto"/>
            <w:right w:val="none" w:sz="0" w:space="0" w:color="auto"/>
          </w:divBdr>
        </w:div>
        <w:div w:id="1887983188">
          <w:marLeft w:val="0"/>
          <w:marRight w:val="0"/>
          <w:marTop w:val="0"/>
          <w:marBottom w:val="0"/>
          <w:divBdr>
            <w:top w:val="none" w:sz="0" w:space="0" w:color="auto"/>
            <w:left w:val="none" w:sz="0" w:space="0" w:color="auto"/>
            <w:bottom w:val="none" w:sz="0" w:space="0" w:color="auto"/>
            <w:right w:val="none" w:sz="0" w:space="0" w:color="auto"/>
          </w:divBdr>
        </w:div>
        <w:div w:id="1784223249">
          <w:marLeft w:val="0"/>
          <w:marRight w:val="0"/>
          <w:marTop w:val="0"/>
          <w:marBottom w:val="0"/>
          <w:divBdr>
            <w:top w:val="none" w:sz="0" w:space="0" w:color="auto"/>
            <w:left w:val="none" w:sz="0" w:space="0" w:color="auto"/>
            <w:bottom w:val="none" w:sz="0" w:space="0" w:color="auto"/>
            <w:right w:val="none" w:sz="0" w:space="0" w:color="auto"/>
          </w:divBdr>
        </w:div>
        <w:div w:id="291326912">
          <w:marLeft w:val="0"/>
          <w:marRight w:val="0"/>
          <w:marTop w:val="0"/>
          <w:marBottom w:val="0"/>
          <w:divBdr>
            <w:top w:val="none" w:sz="0" w:space="0" w:color="auto"/>
            <w:left w:val="none" w:sz="0" w:space="0" w:color="auto"/>
            <w:bottom w:val="none" w:sz="0" w:space="0" w:color="auto"/>
            <w:right w:val="none" w:sz="0" w:space="0" w:color="auto"/>
          </w:divBdr>
        </w:div>
        <w:div w:id="310258623">
          <w:marLeft w:val="0"/>
          <w:marRight w:val="0"/>
          <w:marTop w:val="0"/>
          <w:marBottom w:val="0"/>
          <w:divBdr>
            <w:top w:val="none" w:sz="0" w:space="0" w:color="auto"/>
            <w:left w:val="none" w:sz="0" w:space="0" w:color="auto"/>
            <w:bottom w:val="none" w:sz="0" w:space="0" w:color="auto"/>
            <w:right w:val="none" w:sz="0" w:space="0" w:color="auto"/>
          </w:divBdr>
        </w:div>
        <w:div w:id="1125778185">
          <w:marLeft w:val="0"/>
          <w:marRight w:val="0"/>
          <w:marTop w:val="0"/>
          <w:marBottom w:val="0"/>
          <w:divBdr>
            <w:top w:val="none" w:sz="0" w:space="0" w:color="auto"/>
            <w:left w:val="none" w:sz="0" w:space="0" w:color="auto"/>
            <w:bottom w:val="none" w:sz="0" w:space="0" w:color="auto"/>
            <w:right w:val="none" w:sz="0" w:space="0" w:color="auto"/>
          </w:divBdr>
        </w:div>
        <w:div w:id="2109039448">
          <w:marLeft w:val="0"/>
          <w:marRight w:val="0"/>
          <w:marTop w:val="0"/>
          <w:marBottom w:val="0"/>
          <w:divBdr>
            <w:top w:val="none" w:sz="0" w:space="0" w:color="auto"/>
            <w:left w:val="none" w:sz="0" w:space="0" w:color="auto"/>
            <w:bottom w:val="none" w:sz="0" w:space="0" w:color="auto"/>
            <w:right w:val="none" w:sz="0" w:space="0" w:color="auto"/>
          </w:divBdr>
        </w:div>
        <w:div w:id="1331447051">
          <w:marLeft w:val="0"/>
          <w:marRight w:val="0"/>
          <w:marTop w:val="0"/>
          <w:marBottom w:val="0"/>
          <w:divBdr>
            <w:top w:val="none" w:sz="0" w:space="0" w:color="auto"/>
            <w:left w:val="none" w:sz="0" w:space="0" w:color="auto"/>
            <w:bottom w:val="none" w:sz="0" w:space="0" w:color="auto"/>
            <w:right w:val="none" w:sz="0" w:space="0" w:color="auto"/>
          </w:divBdr>
        </w:div>
        <w:div w:id="1401294525">
          <w:marLeft w:val="0"/>
          <w:marRight w:val="0"/>
          <w:marTop w:val="0"/>
          <w:marBottom w:val="0"/>
          <w:divBdr>
            <w:top w:val="none" w:sz="0" w:space="0" w:color="auto"/>
            <w:left w:val="none" w:sz="0" w:space="0" w:color="auto"/>
            <w:bottom w:val="none" w:sz="0" w:space="0" w:color="auto"/>
            <w:right w:val="none" w:sz="0" w:space="0" w:color="auto"/>
          </w:divBdr>
        </w:div>
        <w:div w:id="1673558168">
          <w:marLeft w:val="0"/>
          <w:marRight w:val="0"/>
          <w:marTop w:val="0"/>
          <w:marBottom w:val="0"/>
          <w:divBdr>
            <w:top w:val="none" w:sz="0" w:space="0" w:color="auto"/>
            <w:left w:val="none" w:sz="0" w:space="0" w:color="auto"/>
            <w:bottom w:val="none" w:sz="0" w:space="0" w:color="auto"/>
            <w:right w:val="none" w:sz="0" w:space="0" w:color="auto"/>
          </w:divBdr>
        </w:div>
        <w:div w:id="213472208">
          <w:marLeft w:val="0"/>
          <w:marRight w:val="0"/>
          <w:marTop w:val="0"/>
          <w:marBottom w:val="0"/>
          <w:divBdr>
            <w:top w:val="none" w:sz="0" w:space="0" w:color="auto"/>
            <w:left w:val="none" w:sz="0" w:space="0" w:color="auto"/>
            <w:bottom w:val="none" w:sz="0" w:space="0" w:color="auto"/>
            <w:right w:val="none" w:sz="0" w:space="0" w:color="auto"/>
          </w:divBdr>
        </w:div>
        <w:div w:id="2103837325">
          <w:marLeft w:val="0"/>
          <w:marRight w:val="0"/>
          <w:marTop w:val="0"/>
          <w:marBottom w:val="0"/>
          <w:divBdr>
            <w:top w:val="none" w:sz="0" w:space="0" w:color="auto"/>
            <w:left w:val="none" w:sz="0" w:space="0" w:color="auto"/>
            <w:bottom w:val="none" w:sz="0" w:space="0" w:color="auto"/>
            <w:right w:val="none" w:sz="0" w:space="0" w:color="auto"/>
          </w:divBdr>
        </w:div>
        <w:div w:id="1717971969">
          <w:marLeft w:val="0"/>
          <w:marRight w:val="0"/>
          <w:marTop w:val="0"/>
          <w:marBottom w:val="0"/>
          <w:divBdr>
            <w:top w:val="none" w:sz="0" w:space="0" w:color="auto"/>
            <w:left w:val="none" w:sz="0" w:space="0" w:color="auto"/>
            <w:bottom w:val="none" w:sz="0" w:space="0" w:color="auto"/>
            <w:right w:val="none" w:sz="0" w:space="0" w:color="auto"/>
          </w:divBdr>
        </w:div>
        <w:div w:id="1160925577">
          <w:marLeft w:val="0"/>
          <w:marRight w:val="0"/>
          <w:marTop w:val="0"/>
          <w:marBottom w:val="0"/>
          <w:divBdr>
            <w:top w:val="none" w:sz="0" w:space="0" w:color="auto"/>
            <w:left w:val="none" w:sz="0" w:space="0" w:color="auto"/>
            <w:bottom w:val="none" w:sz="0" w:space="0" w:color="auto"/>
            <w:right w:val="none" w:sz="0" w:space="0" w:color="auto"/>
          </w:divBdr>
        </w:div>
        <w:div w:id="127820128">
          <w:marLeft w:val="0"/>
          <w:marRight w:val="0"/>
          <w:marTop w:val="0"/>
          <w:marBottom w:val="0"/>
          <w:divBdr>
            <w:top w:val="none" w:sz="0" w:space="0" w:color="auto"/>
            <w:left w:val="none" w:sz="0" w:space="0" w:color="auto"/>
            <w:bottom w:val="none" w:sz="0" w:space="0" w:color="auto"/>
            <w:right w:val="none" w:sz="0" w:space="0" w:color="auto"/>
          </w:divBdr>
        </w:div>
        <w:div w:id="1279138537">
          <w:marLeft w:val="0"/>
          <w:marRight w:val="0"/>
          <w:marTop w:val="0"/>
          <w:marBottom w:val="0"/>
          <w:divBdr>
            <w:top w:val="none" w:sz="0" w:space="0" w:color="auto"/>
            <w:left w:val="none" w:sz="0" w:space="0" w:color="auto"/>
            <w:bottom w:val="none" w:sz="0" w:space="0" w:color="auto"/>
            <w:right w:val="none" w:sz="0" w:space="0" w:color="auto"/>
          </w:divBdr>
        </w:div>
        <w:div w:id="1854176824">
          <w:marLeft w:val="0"/>
          <w:marRight w:val="0"/>
          <w:marTop w:val="0"/>
          <w:marBottom w:val="0"/>
          <w:divBdr>
            <w:top w:val="none" w:sz="0" w:space="0" w:color="auto"/>
            <w:left w:val="none" w:sz="0" w:space="0" w:color="auto"/>
            <w:bottom w:val="none" w:sz="0" w:space="0" w:color="auto"/>
            <w:right w:val="none" w:sz="0" w:space="0" w:color="auto"/>
          </w:divBdr>
        </w:div>
        <w:div w:id="1423256439">
          <w:marLeft w:val="0"/>
          <w:marRight w:val="0"/>
          <w:marTop w:val="0"/>
          <w:marBottom w:val="0"/>
          <w:divBdr>
            <w:top w:val="none" w:sz="0" w:space="0" w:color="auto"/>
            <w:left w:val="none" w:sz="0" w:space="0" w:color="auto"/>
            <w:bottom w:val="none" w:sz="0" w:space="0" w:color="auto"/>
            <w:right w:val="none" w:sz="0" w:space="0" w:color="auto"/>
          </w:divBdr>
        </w:div>
        <w:div w:id="252127550">
          <w:marLeft w:val="0"/>
          <w:marRight w:val="0"/>
          <w:marTop w:val="0"/>
          <w:marBottom w:val="0"/>
          <w:divBdr>
            <w:top w:val="none" w:sz="0" w:space="0" w:color="auto"/>
            <w:left w:val="none" w:sz="0" w:space="0" w:color="auto"/>
            <w:bottom w:val="none" w:sz="0" w:space="0" w:color="auto"/>
            <w:right w:val="none" w:sz="0" w:space="0" w:color="auto"/>
          </w:divBdr>
        </w:div>
        <w:div w:id="1423912254">
          <w:marLeft w:val="0"/>
          <w:marRight w:val="0"/>
          <w:marTop w:val="0"/>
          <w:marBottom w:val="0"/>
          <w:divBdr>
            <w:top w:val="none" w:sz="0" w:space="0" w:color="auto"/>
            <w:left w:val="none" w:sz="0" w:space="0" w:color="auto"/>
            <w:bottom w:val="none" w:sz="0" w:space="0" w:color="auto"/>
            <w:right w:val="none" w:sz="0" w:space="0" w:color="auto"/>
          </w:divBdr>
        </w:div>
        <w:div w:id="1166553928">
          <w:marLeft w:val="0"/>
          <w:marRight w:val="0"/>
          <w:marTop w:val="0"/>
          <w:marBottom w:val="0"/>
          <w:divBdr>
            <w:top w:val="none" w:sz="0" w:space="0" w:color="auto"/>
            <w:left w:val="none" w:sz="0" w:space="0" w:color="auto"/>
            <w:bottom w:val="none" w:sz="0" w:space="0" w:color="auto"/>
            <w:right w:val="none" w:sz="0" w:space="0" w:color="auto"/>
          </w:divBdr>
        </w:div>
        <w:div w:id="1518350135">
          <w:marLeft w:val="0"/>
          <w:marRight w:val="0"/>
          <w:marTop w:val="0"/>
          <w:marBottom w:val="0"/>
          <w:divBdr>
            <w:top w:val="none" w:sz="0" w:space="0" w:color="auto"/>
            <w:left w:val="none" w:sz="0" w:space="0" w:color="auto"/>
            <w:bottom w:val="none" w:sz="0" w:space="0" w:color="auto"/>
            <w:right w:val="none" w:sz="0" w:space="0" w:color="auto"/>
          </w:divBdr>
        </w:div>
        <w:div w:id="1555190264">
          <w:marLeft w:val="0"/>
          <w:marRight w:val="0"/>
          <w:marTop w:val="0"/>
          <w:marBottom w:val="0"/>
          <w:divBdr>
            <w:top w:val="none" w:sz="0" w:space="0" w:color="auto"/>
            <w:left w:val="none" w:sz="0" w:space="0" w:color="auto"/>
            <w:bottom w:val="none" w:sz="0" w:space="0" w:color="auto"/>
            <w:right w:val="none" w:sz="0" w:space="0" w:color="auto"/>
          </w:divBdr>
        </w:div>
        <w:div w:id="1249460955">
          <w:marLeft w:val="0"/>
          <w:marRight w:val="0"/>
          <w:marTop w:val="0"/>
          <w:marBottom w:val="0"/>
          <w:divBdr>
            <w:top w:val="none" w:sz="0" w:space="0" w:color="auto"/>
            <w:left w:val="none" w:sz="0" w:space="0" w:color="auto"/>
            <w:bottom w:val="none" w:sz="0" w:space="0" w:color="auto"/>
            <w:right w:val="none" w:sz="0" w:space="0" w:color="auto"/>
          </w:divBdr>
        </w:div>
        <w:div w:id="1963536139">
          <w:marLeft w:val="0"/>
          <w:marRight w:val="0"/>
          <w:marTop w:val="0"/>
          <w:marBottom w:val="0"/>
          <w:divBdr>
            <w:top w:val="none" w:sz="0" w:space="0" w:color="auto"/>
            <w:left w:val="none" w:sz="0" w:space="0" w:color="auto"/>
            <w:bottom w:val="none" w:sz="0" w:space="0" w:color="auto"/>
            <w:right w:val="none" w:sz="0" w:space="0" w:color="auto"/>
          </w:divBdr>
        </w:div>
        <w:div w:id="1114134002">
          <w:marLeft w:val="0"/>
          <w:marRight w:val="0"/>
          <w:marTop w:val="0"/>
          <w:marBottom w:val="0"/>
          <w:divBdr>
            <w:top w:val="none" w:sz="0" w:space="0" w:color="auto"/>
            <w:left w:val="none" w:sz="0" w:space="0" w:color="auto"/>
            <w:bottom w:val="none" w:sz="0" w:space="0" w:color="auto"/>
            <w:right w:val="none" w:sz="0" w:space="0" w:color="auto"/>
          </w:divBdr>
        </w:div>
        <w:div w:id="1406487422">
          <w:marLeft w:val="0"/>
          <w:marRight w:val="0"/>
          <w:marTop w:val="0"/>
          <w:marBottom w:val="0"/>
          <w:divBdr>
            <w:top w:val="none" w:sz="0" w:space="0" w:color="auto"/>
            <w:left w:val="none" w:sz="0" w:space="0" w:color="auto"/>
            <w:bottom w:val="none" w:sz="0" w:space="0" w:color="auto"/>
            <w:right w:val="none" w:sz="0" w:space="0" w:color="auto"/>
          </w:divBdr>
        </w:div>
        <w:div w:id="905921089">
          <w:marLeft w:val="0"/>
          <w:marRight w:val="0"/>
          <w:marTop w:val="0"/>
          <w:marBottom w:val="0"/>
          <w:divBdr>
            <w:top w:val="none" w:sz="0" w:space="0" w:color="auto"/>
            <w:left w:val="none" w:sz="0" w:space="0" w:color="auto"/>
            <w:bottom w:val="none" w:sz="0" w:space="0" w:color="auto"/>
            <w:right w:val="none" w:sz="0" w:space="0" w:color="auto"/>
          </w:divBdr>
        </w:div>
        <w:div w:id="1649280404">
          <w:marLeft w:val="0"/>
          <w:marRight w:val="0"/>
          <w:marTop w:val="0"/>
          <w:marBottom w:val="0"/>
          <w:divBdr>
            <w:top w:val="none" w:sz="0" w:space="0" w:color="auto"/>
            <w:left w:val="none" w:sz="0" w:space="0" w:color="auto"/>
            <w:bottom w:val="none" w:sz="0" w:space="0" w:color="auto"/>
            <w:right w:val="none" w:sz="0" w:space="0" w:color="auto"/>
          </w:divBdr>
        </w:div>
        <w:div w:id="291130390">
          <w:marLeft w:val="0"/>
          <w:marRight w:val="0"/>
          <w:marTop w:val="0"/>
          <w:marBottom w:val="0"/>
          <w:divBdr>
            <w:top w:val="none" w:sz="0" w:space="0" w:color="auto"/>
            <w:left w:val="none" w:sz="0" w:space="0" w:color="auto"/>
            <w:bottom w:val="none" w:sz="0" w:space="0" w:color="auto"/>
            <w:right w:val="none" w:sz="0" w:space="0" w:color="auto"/>
          </w:divBdr>
        </w:div>
        <w:div w:id="2046908035">
          <w:marLeft w:val="0"/>
          <w:marRight w:val="0"/>
          <w:marTop w:val="0"/>
          <w:marBottom w:val="0"/>
          <w:divBdr>
            <w:top w:val="none" w:sz="0" w:space="0" w:color="auto"/>
            <w:left w:val="none" w:sz="0" w:space="0" w:color="auto"/>
            <w:bottom w:val="none" w:sz="0" w:space="0" w:color="auto"/>
            <w:right w:val="none" w:sz="0" w:space="0" w:color="auto"/>
          </w:divBdr>
        </w:div>
        <w:div w:id="262230019">
          <w:marLeft w:val="0"/>
          <w:marRight w:val="0"/>
          <w:marTop w:val="0"/>
          <w:marBottom w:val="0"/>
          <w:divBdr>
            <w:top w:val="none" w:sz="0" w:space="0" w:color="auto"/>
            <w:left w:val="none" w:sz="0" w:space="0" w:color="auto"/>
            <w:bottom w:val="none" w:sz="0" w:space="0" w:color="auto"/>
            <w:right w:val="none" w:sz="0" w:space="0" w:color="auto"/>
          </w:divBdr>
        </w:div>
        <w:div w:id="398870325">
          <w:marLeft w:val="0"/>
          <w:marRight w:val="0"/>
          <w:marTop w:val="0"/>
          <w:marBottom w:val="0"/>
          <w:divBdr>
            <w:top w:val="none" w:sz="0" w:space="0" w:color="auto"/>
            <w:left w:val="none" w:sz="0" w:space="0" w:color="auto"/>
            <w:bottom w:val="none" w:sz="0" w:space="0" w:color="auto"/>
            <w:right w:val="none" w:sz="0" w:space="0" w:color="auto"/>
          </w:divBdr>
        </w:div>
        <w:div w:id="1181748150">
          <w:marLeft w:val="0"/>
          <w:marRight w:val="0"/>
          <w:marTop w:val="0"/>
          <w:marBottom w:val="0"/>
          <w:divBdr>
            <w:top w:val="none" w:sz="0" w:space="0" w:color="auto"/>
            <w:left w:val="none" w:sz="0" w:space="0" w:color="auto"/>
            <w:bottom w:val="none" w:sz="0" w:space="0" w:color="auto"/>
            <w:right w:val="none" w:sz="0" w:space="0" w:color="auto"/>
          </w:divBdr>
        </w:div>
        <w:div w:id="1518422048">
          <w:marLeft w:val="0"/>
          <w:marRight w:val="0"/>
          <w:marTop w:val="0"/>
          <w:marBottom w:val="0"/>
          <w:divBdr>
            <w:top w:val="none" w:sz="0" w:space="0" w:color="auto"/>
            <w:left w:val="none" w:sz="0" w:space="0" w:color="auto"/>
            <w:bottom w:val="none" w:sz="0" w:space="0" w:color="auto"/>
            <w:right w:val="none" w:sz="0" w:space="0" w:color="auto"/>
          </w:divBdr>
        </w:div>
      </w:divsChild>
    </w:div>
    <w:div w:id="627470090">
      <w:bodyDiv w:val="1"/>
      <w:marLeft w:val="0"/>
      <w:marRight w:val="0"/>
      <w:marTop w:val="0"/>
      <w:marBottom w:val="0"/>
      <w:divBdr>
        <w:top w:val="none" w:sz="0" w:space="0" w:color="auto"/>
        <w:left w:val="none" w:sz="0" w:space="0" w:color="auto"/>
        <w:bottom w:val="none" w:sz="0" w:space="0" w:color="auto"/>
        <w:right w:val="none" w:sz="0" w:space="0" w:color="auto"/>
      </w:divBdr>
    </w:div>
    <w:div w:id="757365965">
      <w:bodyDiv w:val="1"/>
      <w:marLeft w:val="0"/>
      <w:marRight w:val="0"/>
      <w:marTop w:val="0"/>
      <w:marBottom w:val="0"/>
      <w:divBdr>
        <w:top w:val="none" w:sz="0" w:space="0" w:color="auto"/>
        <w:left w:val="none" w:sz="0" w:space="0" w:color="auto"/>
        <w:bottom w:val="none" w:sz="0" w:space="0" w:color="auto"/>
        <w:right w:val="none" w:sz="0" w:space="0" w:color="auto"/>
      </w:divBdr>
    </w:div>
    <w:div w:id="875387038">
      <w:bodyDiv w:val="1"/>
      <w:marLeft w:val="0"/>
      <w:marRight w:val="0"/>
      <w:marTop w:val="0"/>
      <w:marBottom w:val="0"/>
      <w:divBdr>
        <w:top w:val="none" w:sz="0" w:space="0" w:color="auto"/>
        <w:left w:val="none" w:sz="0" w:space="0" w:color="auto"/>
        <w:bottom w:val="none" w:sz="0" w:space="0" w:color="auto"/>
        <w:right w:val="none" w:sz="0" w:space="0" w:color="auto"/>
      </w:divBdr>
      <w:divsChild>
        <w:div w:id="1833444130">
          <w:marLeft w:val="0"/>
          <w:marRight w:val="0"/>
          <w:marTop w:val="0"/>
          <w:marBottom w:val="0"/>
          <w:divBdr>
            <w:top w:val="none" w:sz="0" w:space="0" w:color="auto"/>
            <w:left w:val="none" w:sz="0" w:space="0" w:color="auto"/>
            <w:bottom w:val="none" w:sz="0" w:space="0" w:color="auto"/>
            <w:right w:val="none" w:sz="0" w:space="0" w:color="auto"/>
          </w:divBdr>
        </w:div>
        <w:div w:id="1335304983">
          <w:marLeft w:val="0"/>
          <w:marRight w:val="0"/>
          <w:marTop w:val="0"/>
          <w:marBottom w:val="0"/>
          <w:divBdr>
            <w:top w:val="none" w:sz="0" w:space="0" w:color="auto"/>
            <w:left w:val="none" w:sz="0" w:space="0" w:color="auto"/>
            <w:bottom w:val="none" w:sz="0" w:space="0" w:color="auto"/>
            <w:right w:val="none" w:sz="0" w:space="0" w:color="auto"/>
          </w:divBdr>
        </w:div>
        <w:div w:id="1145662597">
          <w:marLeft w:val="0"/>
          <w:marRight w:val="0"/>
          <w:marTop w:val="0"/>
          <w:marBottom w:val="0"/>
          <w:divBdr>
            <w:top w:val="none" w:sz="0" w:space="0" w:color="auto"/>
            <w:left w:val="none" w:sz="0" w:space="0" w:color="auto"/>
            <w:bottom w:val="none" w:sz="0" w:space="0" w:color="auto"/>
            <w:right w:val="none" w:sz="0" w:space="0" w:color="auto"/>
          </w:divBdr>
        </w:div>
        <w:div w:id="1386679497">
          <w:marLeft w:val="0"/>
          <w:marRight w:val="0"/>
          <w:marTop w:val="0"/>
          <w:marBottom w:val="0"/>
          <w:divBdr>
            <w:top w:val="none" w:sz="0" w:space="0" w:color="auto"/>
            <w:left w:val="none" w:sz="0" w:space="0" w:color="auto"/>
            <w:bottom w:val="none" w:sz="0" w:space="0" w:color="auto"/>
            <w:right w:val="none" w:sz="0" w:space="0" w:color="auto"/>
          </w:divBdr>
        </w:div>
        <w:div w:id="380174594">
          <w:marLeft w:val="0"/>
          <w:marRight w:val="0"/>
          <w:marTop w:val="0"/>
          <w:marBottom w:val="0"/>
          <w:divBdr>
            <w:top w:val="none" w:sz="0" w:space="0" w:color="auto"/>
            <w:left w:val="none" w:sz="0" w:space="0" w:color="auto"/>
            <w:bottom w:val="none" w:sz="0" w:space="0" w:color="auto"/>
            <w:right w:val="none" w:sz="0" w:space="0" w:color="auto"/>
          </w:divBdr>
        </w:div>
        <w:div w:id="630981819">
          <w:marLeft w:val="0"/>
          <w:marRight w:val="0"/>
          <w:marTop w:val="0"/>
          <w:marBottom w:val="0"/>
          <w:divBdr>
            <w:top w:val="none" w:sz="0" w:space="0" w:color="auto"/>
            <w:left w:val="none" w:sz="0" w:space="0" w:color="auto"/>
            <w:bottom w:val="none" w:sz="0" w:space="0" w:color="auto"/>
            <w:right w:val="none" w:sz="0" w:space="0" w:color="auto"/>
          </w:divBdr>
        </w:div>
        <w:div w:id="1936011991">
          <w:marLeft w:val="0"/>
          <w:marRight w:val="0"/>
          <w:marTop w:val="0"/>
          <w:marBottom w:val="0"/>
          <w:divBdr>
            <w:top w:val="none" w:sz="0" w:space="0" w:color="auto"/>
            <w:left w:val="none" w:sz="0" w:space="0" w:color="auto"/>
            <w:bottom w:val="none" w:sz="0" w:space="0" w:color="auto"/>
            <w:right w:val="none" w:sz="0" w:space="0" w:color="auto"/>
          </w:divBdr>
        </w:div>
        <w:div w:id="151872225">
          <w:marLeft w:val="0"/>
          <w:marRight w:val="0"/>
          <w:marTop w:val="0"/>
          <w:marBottom w:val="0"/>
          <w:divBdr>
            <w:top w:val="none" w:sz="0" w:space="0" w:color="auto"/>
            <w:left w:val="none" w:sz="0" w:space="0" w:color="auto"/>
            <w:bottom w:val="none" w:sz="0" w:space="0" w:color="auto"/>
            <w:right w:val="none" w:sz="0" w:space="0" w:color="auto"/>
          </w:divBdr>
        </w:div>
        <w:div w:id="149098240">
          <w:marLeft w:val="0"/>
          <w:marRight w:val="0"/>
          <w:marTop w:val="0"/>
          <w:marBottom w:val="0"/>
          <w:divBdr>
            <w:top w:val="none" w:sz="0" w:space="0" w:color="auto"/>
            <w:left w:val="none" w:sz="0" w:space="0" w:color="auto"/>
            <w:bottom w:val="none" w:sz="0" w:space="0" w:color="auto"/>
            <w:right w:val="none" w:sz="0" w:space="0" w:color="auto"/>
          </w:divBdr>
        </w:div>
        <w:div w:id="2023970730">
          <w:marLeft w:val="0"/>
          <w:marRight w:val="0"/>
          <w:marTop w:val="0"/>
          <w:marBottom w:val="0"/>
          <w:divBdr>
            <w:top w:val="none" w:sz="0" w:space="0" w:color="auto"/>
            <w:left w:val="none" w:sz="0" w:space="0" w:color="auto"/>
            <w:bottom w:val="none" w:sz="0" w:space="0" w:color="auto"/>
            <w:right w:val="none" w:sz="0" w:space="0" w:color="auto"/>
          </w:divBdr>
        </w:div>
        <w:div w:id="819274151">
          <w:marLeft w:val="0"/>
          <w:marRight w:val="0"/>
          <w:marTop w:val="0"/>
          <w:marBottom w:val="0"/>
          <w:divBdr>
            <w:top w:val="none" w:sz="0" w:space="0" w:color="auto"/>
            <w:left w:val="none" w:sz="0" w:space="0" w:color="auto"/>
            <w:bottom w:val="none" w:sz="0" w:space="0" w:color="auto"/>
            <w:right w:val="none" w:sz="0" w:space="0" w:color="auto"/>
          </w:divBdr>
        </w:div>
        <w:div w:id="487983582">
          <w:marLeft w:val="0"/>
          <w:marRight w:val="0"/>
          <w:marTop w:val="0"/>
          <w:marBottom w:val="0"/>
          <w:divBdr>
            <w:top w:val="none" w:sz="0" w:space="0" w:color="auto"/>
            <w:left w:val="none" w:sz="0" w:space="0" w:color="auto"/>
            <w:bottom w:val="none" w:sz="0" w:space="0" w:color="auto"/>
            <w:right w:val="none" w:sz="0" w:space="0" w:color="auto"/>
          </w:divBdr>
        </w:div>
        <w:div w:id="79717121">
          <w:marLeft w:val="0"/>
          <w:marRight w:val="0"/>
          <w:marTop w:val="0"/>
          <w:marBottom w:val="0"/>
          <w:divBdr>
            <w:top w:val="none" w:sz="0" w:space="0" w:color="auto"/>
            <w:left w:val="none" w:sz="0" w:space="0" w:color="auto"/>
            <w:bottom w:val="none" w:sz="0" w:space="0" w:color="auto"/>
            <w:right w:val="none" w:sz="0" w:space="0" w:color="auto"/>
          </w:divBdr>
        </w:div>
      </w:divsChild>
    </w:div>
    <w:div w:id="911044425">
      <w:bodyDiv w:val="1"/>
      <w:marLeft w:val="0"/>
      <w:marRight w:val="0"/>
      <w:marTop w:val="0"/>
      <w:marBottom w:val="0"/>
      <w:divBdr>
        <w:top w:val="none" w:sz="0" w:space="0" w:color="auto"/>
        <w:left w:val="none" w:sz="0" w:space="0" w:color="auto"/>
        <w:bottom w:val="none" w:sz="0" w:space="0" w:color="auto"/>
        <w:right w:val="none" w:sz="0" w:space="0" w:color="auto"/>
      </w:divBdr>
      <w:divsChild>
        <w:div w:id="385615603">
          <w:marLeft w:val="0"/>
          <w:marRight w:val="0"/>
          <w:marTop w:val="0"/>
          <w:marBottom w:val="0"/>
          <w:divBdr>
            <w:top w:val="none" w:sz="0" w:space="0" w:color="auto"/>
            <w:left w:val="none" w:sz="0" w:space="0" w:color="auto"/>
            <w:bottom w:val="none" w:sz="0" w:space="0" w:color="auto"/>
            <w:right w:val="none" w:sz="0" w:space="0" w:color="auto"/>
          </w:divBdr>
        </w:div>
        <w:div w:id="262156924">
          <w:marLeft w:val="0"/>
          <w:marRight w:val="0"/>
          <w:marTop w:val="0"/>
          <w:marBottom w:val="0"/>
          <w:divBdr>
            <w:top w:val="none" w:sz="0" w:space="0" w:color="auto"/>
            <w:left w:val="none" w:sz="0" w:space="0" w:color="auto"/>
            <w:bottom w:val="none" w:sz="0" w:space="0" w:color="auto"/>
            <w:right w:val="none" w:sz="0" w:space="0" w:color="auto"/>
          </w:divBdr>
        </w:div>
        <w:div w:id="1226183251">
          <w:marLeft w:val="0"/>
          <w:marRight w:val="0"/>
          <w:marTop w:val="0"/>
          <w:marBottom w:val="0"/>
          <w:divBdr>
            <w:top w:val="none" w:sz="0" w:space="0" w:color="auto"/>
            <w:left w:val="none" w:sz="0" w:space="0" w:color="auto"/>
            <w:bottom w:val="none" w:sz="0" w:space="0" w:color="auto"/>
            <w:right w:val="none" w:sz="0" w:space="0" w:color="auto"/>
          </w:divBdr>
        </w:div>
        <w:div w:id="98449245">
          <w:marLeft w:val="0"/>
          <w:marRight w:val="0"/>
          <w:marTop w:val="0"/>
          <w:marBottom w:val="0"/>
          <w:divBdr>
            <w:top w:val="none" w:sz="0" w:space="0" w:color="auto"/>
            <w:left w:val="none" w:sz="0" w:space="0" w:color="auto"/>
            <w:bottom w:val="none" w:sz="0" w:space="0" w:color="auto"/>
            <w:right w:val="none" w:sz="0" w:space="0" w:color="auto"/>
          </w:divBdr>
        </w:div>
        <w:div w:id="304242537">
          <w:marLeft w:val="0"/>
          <w:marRight w:val="0"/>
          <w:marTop w:val="0"/>
          <w:marBottom w:val="0"/>
          <w:divBdr>
            <w:top w:val="none" w:sz="0" w:space="0" w:color="auto"/>
            <w:left w:val="none" w:sz="0" w:space="0" w:color="auto"/>
            <w:bottom w:val="none" w:sz="0" w:space="0" w:color="auto"/>
            <w:right w:val="none" w:sz="0" w:space="0" w:color="auto"/>
          </w:divBdr>
        </w:div>
        <w:div w:id="1609461123">
          <w:marLeft w:val="0"/>
          <w:marRight w:val="0"/>
          <w:marTop w:val="0"/>
          <w:marBottom w:val="0"/>
          <w:divBdr>
            <w:top w:val="none" w:sz="0" w:space="0" w:color="auto"/>
            <w:left w:val="none" w:sz="0" w:space="0" w:color="auto"/>
            <w:bottom w:val="none" w:sz="0" w:space="0" w:color="auto"/>
            <w:right w:val="none" w:sz="0" w:space="0" w:color="auto"/>
          </w:divBdr>
        </w:div>
        <w:div w:id="1718043365">
          <w:marLeft w:val="0"/>
          <w:marRight w:val="0"/>
          <w:marTop w:val="0"/>
          <w:marBottom w:val="0"/>
          <w:divBdr>
            <w:top w:val="none" w:sz="0" w:space="0" w:color="auto"/>
            <w:left w:val="none" w:sz="0" w:space="0" w:color="auto"/>
            <w:bottom w:val="none" w:sz="0" w:space="0" w:color="auto"/>
            <w:right w:val="none" w:sz="0" w:space="0" w:color="auto"/>
          </w:divBdr>
        </w:div>
        <w:div w:id="2010326543">
          <w:marLeft w:val="0"/>
          <w:marRight w:val="0"/>
          <w:marTop w:val="0"/>
          <w:marBottom w:val="0"/>
          <w:divBdr>
            <w:top w:val="none" w:sz="0" w:space="0" w:color="auto"/>
            <w:left w:val="none" w:sz="0" w:space="0" w:color="auto"/>
            <w:bottom w:val="none" w:sz="0" w:space="0" w:color="auto"/>
            <w:right w:val="none" w:sz="0" w:space="0" w:color="auto"/>
          </w:divBdr>
        </w:div>
        <w:div w:id="558715249">
          <w:marLeft w:val="0"/>
          <w:marRight w:val="0"/>
          <w:marTop w:val="0"/>
          <w:marBottom w:val="0"/>
          <w:divBdr>
            <w:top w:val="none" w:sz="0" w:space="0" w:color="auto"/>
            <w:left w:val="none" w:sz="0" w:space="0" w:color="auto"/>
            <w:bottom w:val="none" w:sz="0" w:space="0" w:color="auto"/>
            <w:right w:val="none" w:sz="0" w:space="0" w:color="auto"/>
          </w:divBdr>
        </w:div>
        <w:div w:id="4407540">
          <w:marLeft w:val="0"/>
          <w:marRight w:val="0"/>
          <w:marTop w:val="0"/>
          <w:marBottom w:val="0"/>
          <w:divBdr>
            <w:top w:val="none" w:sz="0" w:space="0" w:color="auto"/>
            <w:left w:val="none" w:sz="0" w:space="0" w:color="auto"/>
            <w:bottom w:val="none" w:sz="0" w:space="0" w:color="auto"/>
            <w:right w:val="none" w:sz="0" w:space="0" w:color="auto"/>
          </w:divBdr>
        </w:div>
        <w:div w:id="2072997309">
          <w:marLeft w:val="0"/>
          <w:marRight w:val="0"/>
          <w:marTop w:val="0"/>
          <w:marBottom w:val="0"/>
          <w:divBdr>
            <w:top w:val="none" w:sz="0" w:space="0" w:color="auto"/>
            <w:left w:val="none" w:sz="0" w:space="0" w:color="auto"/>
            <w:bottom w:val="none" w:sz="0" w:space="0" w:color="auto"/>
            <w:right w:val="none" w:sz="0" w:space="0" w:color="auto"/>
          </w:divBdr>
        </w:div>
        <w:div w:id="439691324">
          <w:marLeft w:val="0"/>
          <w:marRight w:val="0"/>
          <w:marTop w:val="0"/>
          <w:marBottom w:val="0"/>
          <w:divBdr>
            <w:top w:val="none" w:sz="0" w:space="0" w:color="auto"/>
            <w:left w:val="none" w:sz="0" w:space="0" w:color="auto"/>
            <w:bottom w:val="none" w:sz="0" w:space="0" w:color="auto"/>
            <w:right w:val="none" w:sz="0" w:space="0" w:color="auto"/>
          </w:divBdr>
        </w:div>
        <w:div w:id="733892950">
          <w:marLeft w:val="0"/>
          <w:marRight w:val="0"/>
          <w:marTop w:val="0"/>
          <w:marBottom w:val="0"/>
          <w:divBdr>
            <w:top w:val="none" w:sz="0" w:space="0" w:color="auto"/>
            <w:left w:val="none" w:sz="0" w:space="0" w:color="auto"/>
            <w:bottom w:val="none" w:sz="0" w:space="0" w:color="auto"/>
            <w:right w:val="none" w:sz="0" w:space="0" w:color="auto"/>
          </w:divBdr>
        </w:div>
        <w:div w:id="22904382">
          <w:marLeft w:val="0"/>
          <w:marRight w:val="0"/>
          <w:marTop w:val="0"/>
          <w:marBottom w:val="0"/>
          <w:divBdr>
            <w:top w:val="none" w:sz="0" w:space="0" w:color="auto"/>
            <w:left w:val="none" w:sz="0" w:space="0" w:color="auto"/>
            <w:bottom w:val="none" w:sz="0" w:space="0" w:color="auto"/>
            <w:right w:val="none" w:sz="0" w:space="0" w:color="auto"/>
          </w:divBdr>
        </w:div>
        <w:div w:id="1121149938">
          <w:marLeft w:val="0"/>
          <w:marRight w:val="0"/>
          <w:marTop w:val="0"/>
          <w:marBottom w:val="0"/>
          <w:divBdr>
            <w:top w:val="none" w:sz="0" w:space="0" w:color="auto"/>
            <w:left w:val="none" w:sz="0" w:space="0" w:color="auto"/>
            <w:bottom w:val="none" w:sz="0" w:space="0" w:color="auto"/>
            <w:right w:val="none" w:sz="0" w:space="0" w:color="auto"/>
          </w:divBdr>
        </w:div>
        <w:div w:id="1434742233">
          <w:marLeft w:val="0"/>
          <w:marRight w:val="0"/>
          <w:marTop w:val="0"/>
          <w:marBottom w:val="0"/>
          <w:divBdr>
            <w:top w:val="none" w:sz="0" w:space="0" w:color="auto"/>
            <w:left w:val="none" w:sz="0" w:space="0" w:color="auto"/>
            <w:bottom w:val="none" w:sz="0" w:space="0" w:color="auto"/>
            <w:right w:val="none" w:sz="0" w:space="0" w:color="auto"/>
          </w:divBdr>
        </w:div>
        <w:div w:id="1176118385">
          <w:marLeft w:val="0"/>
          <w:marRight w:val="0"/>
          <w:marTop w:val="0"/>
          <w:marBottom w:val="0"/>
          <w:divBdr>
            <w:top w:val="none" w:sz="0" w:space="0" w:color="auto"/>
            <w:left w:val="none" w:sz="0" w:space="0" w:color="auto"/>
            <w:bottom w:val="none" w:sz="0" w:space="0" w:color="auto"/>
            <w:right w:val="none" w:sz="0" w:space="0" w:color="auto"/>
          </w:divBdr>
        </w:div>
        <w:div w:id="49815373">
          <w:marLeft w:val="0"/>
          <w:marRight w:val="0"/>
          <w:marTop w:val="0"/>
          <w:marBottom w:val="0"/>
          <w:divBdr>
            <w:top w:val="none" w:sz="0" w:space="0" w:color="auto"/>
            <w:left w:val="none" w:sz="0" w:space="0" w:color="auto"/>
            <w:bottom w:val="none" w:sz="0" w:space="0" w:color="auto"/>
            <w:right w:val="none" w:sz="0" w:space="0" w:color="auto"/>
          </w:divBdr>
        </w:div>
        <w:div w:id="1458597005">
          <w:marLeft w:val="0"/>
          <w:marRight w:val="0"/>
          <w:marTop w:val="0"/>
          <w:marBottom w:val="0"/>
          <w:divBdr>
            <w:top w:val="none" w:sz="0" w:space="0" w:color="auto"/>
            <w:left w:val="none" w:sz="0" w:space="0" w:color="auto"/>
            <w:bottom w:val="none" w:sz="0" w:space="0" w:color="auto"/>
            <w:right w:val="none" w:sz="0" w:space="0" w:color="auto"/>
          </w:divBdr>
        </w:div>
        <w:div w:id="68231844">
          <w:marLeft w:val="0"/>
          <w:marRight w:val="0"/>
          <w:marTop w:val="0"/>
          <w:marBottom w:val="0"/>
          <w:divBdr>
            <w:top w:val="none" w:sz="0" w:space="0" w:color="auto"/>
            <w:left w:val="none" w:sz="0" w:space="0" w:color="auto"/>
            <w:bottom w:val="none" w:sz="0" w:space="0" w:color="auto"/>
            <w:right w:val="none" w:sz="0" w:space="0" w:color="auto"/>
          </w:divBdr>
        </w:div>
        <w:div w:id="2131127147">
          <w:marLeft w:val="0"/>
          <w:marRight w:val="0"/>
          <w:marTop w:val="0"/>
          <w:marBottom w:val="0"/>
          <w:divBdr>
            <w:top w:val="none" w:sz="0" w:space="0" w:color="auto"/>
            <w:left w:val="none" w:sz="0" w:space="0" w:color="auto"/>
            <w:bottom w:val="none" w:sz="0" w:space="0" w:color="auto"/>
            <w:right w:val="none" w:sz="0" w:space="0" w:color="auto"/>
          </w:divBdr>
        </w:div>
        <w:div w:id="53894965">
          <w:marLeft w:val="0"/>
          <w:marRight w:val="0"/>
          <w:marTop w:val="0"/>
          <w:marBottom w:val="0"/>
          <w:divBdr>
            <w:top w:val="none" w:sz="0" w:space="0" w:color="auto"/>
            <w:left w:val="none" w:sz="0" w:space="0" w:color="auto"/>
            <w:bottom w:val="none" w:sz="0" w:space="0" w:color="auto"/>
            <w:right w:val="none" w:sz="0" w:space="0" w:color="auto"/>
          </w:divBdr>
        </w:div>
        <w:div w:id="205601014">
          <w:marLeft w:val="0"/>
          <w:marRight w:val="0"/>
          <w:marTop w:val="0"/>
          <w:marBottom w:val="0"/>
          <w:divBdr>
            <w:top w:val="none" w:sz="0" w:space="0" w:color="auto"/>
            <w:left w:val="none" w:sz="0" w:space="0" w:color="auto"/>
            <w:bottom w:val="none" w:sz="0" w:space="0" w:color="auto"/>
            <w:right w:val="none" w:sz="0" w:space="0" w:color="auto"/>
          </w:divBdr>
        </w:div>
        <w:div w:id="1115438602">
          <w:marLeft w:val="0"/>
          <w:marRight w:val="0"/>
          <w:marTop w:val="0"/>
          <w:marBottom w:val="0"/>
          <w:divBdr>
            <w:top w:val="none" w:sz="0" w:space="0" w:color="auto"/>
            <w:left w:val="none" w:sz="0" w:space="0" w:color="auto"/>
            <w:bottom w:val="none" w:sz="0" w:space="0" w:color="auto"/>
            <w:right w:val="none" w:sz="0" w:space="0" w:color="auto"/>
          </w:divBdr>
        </w:div>
        <w:div w:id="767770086">
          <w:marLeft w:val="0"/>
          <w:marRight w:val="0"/>
          <w:marTop w:val="0"/>
          <w:marBottom w:val="0"/>
          <w:divBdr>
            <w:top w:val="none" w:sz="0" w:space="0" w:color="auto"/>
            <w:left w:val="none" w:sz="0" w:space="0" w:color="auto"/>
            <w:bottom w:val="none" w:sz="0" w:space="0" w:color="auto"/>
            <w:right w:val="none" w:sz="0" w:space="0" w:color="auto"/>
          </w:divBdr>
        </w:div>
        <w:div w:id="977687373">
          <w:marLeft w:val="0"/>
          <w:marRight w:val="0"/>
          <w:marTop w:val="0"/>
          <w:marBottom w:val="0"/>
          <w:divBdr>
            <w:top w:val="none" w:sz="0" w:space="0" w:color="auto"/>
            <w:left w:val="none" w:sz="0" w:space="0" w:color="auto"/>
            <w:bottom w:val="none" w:sz="0" w:space="0" w:color="auto"/>
            <w:right w:val="none" w:sz="0" w:space="0" w:color="auto"/>
          </w:divBdr>
        </w:div>
        <w:div w:id="1172916975">
          <w:marLeft w:val="0"/>
          <w:marRight w:val="0"/>
          <w:marTop w:val="0"/>
          <w:marBottom w:val="0"/>
          <w:divBdr>
            <w:top w:val="none" w:sz="0" w:space="0" w:color="auto"/>
            <w:left w:val="none" w:sz="0" w:space="0" w:color="auto"/>
            <w:bottom w:val="none" w:sz="0" w:space="0" w:color="auto"/>
            <w:right w:val="none" w:sz="0" w:space="0" w:color="auto"/>
          </w:divBdr>
        </w:div>
        <w:div w:id="1110397226">
          <w:marLeft w:val="0"/>
          <w:marRight w:val="0"/>
          <w:marTop w:val="0"/>
          <w:marBottom w:val="0"/>
          <w:divBdr>
            <w:top w:val="none" w:sz="0" w:space="0" w:color="auto"/>
            <w:left w:val="none" w:sz="0" w:space="0" w:color="auto"/>
            <w:bottom w:val="none" w:sz="0" w:space="0" w:color="auto"/>
            <w:right w:val="none" w:sz="0" w:space="0" w:color="auto"/>
          </w:divBdr>
        </w:div>
        <w:div w:id="1597446081">
          <w:marLeft w:val="0"/>
          <w:marRight w:val="0"/>
          <w:marTop w:val="0"/>
          <w:marBottom w:val="0"/>
          <w:divBdr>
            <w:top w:val="none" w:sz="0" w:space="0" w:color="auto"/>
            <w:left w:val="none" w:sz="0" w:space="0" w:color="auto"/>
            <w:bottom w:val="none" w:sz="0" w:space="0" w:color="auto"/>
            <w:right w:val="none" w:sz="0" w:space="0" w:color="auto"/>
          </w:divBdr>
        </w:div>
        <w:div w:id="1545293078">
          <w:marLeft w:val="0"/>
          <w:marRight w:val="0"/>
          <w:marTop w:val="0"/>
          <w:marBottom w:val="0"/>
          <w:divBdr>
            <w:top w:val="none" w:sz="0" w:space="0" w:color="auto"/>
            <w:left w:val="none" w:sz="0" w:space="0" w:color="auto"/>
            <w:bottom w:val="none" w:sz="0" w:space="0" w:color="auto"/>
            <w:right w:val="none" w:sz="0" w:space="0" w:color="auto"/>
          </w:divBdr>
        </w:div>
        <w:div w:id="1940749239">
          <w:marLeft w:val="0"/>
          <w:marRight w:val="0"/>
          <w:marTop w:val="0"/>
          <w:marBottom w:val="0"/>
          <w:divBdr>
            <w:top w:val="none" w:sz="0" w:space="0" w:color="auto"/>
            <w:left w:val="none" w:sz="0" w:space="0" w:color="auto"/>
            <w:bottom w:val="none" w:sz="0" w:space="0" w:color="auto"/>
            <w:right w:val="none" w:sz="0" w:space="0" w:color="auto"/>
          </w:divBdr>
        </w:div>
      </w:divsChild>
    </w:div>
    <w:div w:id="1226575429">
      <w:bodyDiv w:val="1"/>
      <w:marLeft w:val="0"/>
      <w:marRight w:val="0"/>
      <w:marTop w:val="0"/>
      <w:marBottom w:val="0"/>
      <w:divBdr>
        <w:top w:val="none" w:sz="0" w:space="0" w:color="auto"/>
        <w:left w:val="none" w:sz="0" w:space="0" w:color="auto"/>
        <w:bottom w:val="none" w:sz="0" w:space="0" w:color="auto"/>
        <w:right w:val="none" w:sz="0" w:space="0" w:color="auto"/>
      </w:divBdr>
      <w:divsChild>
        <w:div w:id="876312391">
          <w:marLeft w:val="0"/>
          <w:marRight w:val="0"/>
          <w:marTop w:val="0"/>
          <w:marBottom w:val="0"/>
          <w:divBdr>
            <w:top w:val="none" w:sz="0" w:space="0" w:color="auto"/>
            <w:left w:val="none" w:sz="0" w:space="0" w:color="auto"/>
            <w:bottom w:val="none" w:sz="0" w:space="0" w:color="auto"/>
            <w:right w:val="none" w:sz="0" w:space="0" w:color="auto"/>
          </w:divBdr>
        </w:div>
        <w:div w:id="2145854898">
          <w:marLeft w:val="0"/>
          <w:marRight w:val="0"/>
          <w:marTop w:val="0"/>
          <w:marBottom w:val="0"/>
          <w:divBdr>
            <w:top w:val="none" w:sz="0" w:space="0" w:color="auto"/>
            <w:left w:val="none" w:sz="0" w:space="0" w:color="auto"/>
            <w:bottom w:val="none" w:sz="0" w:space="0" w:color="auto"/>
            <w:right w:val="none" w:sz="0" w:space="0" w:color="auto"/>
          </w:divBdr>
        </w:div>
        <w:div w:id="928780027">
          <w:marLeft w:val="0"/>
          <w:marRight w:val="0"/>
          <w:marTop w:val="0"/>
          <w:marBottom w:val="0"/>
          <w:divBdr>
            <w:top w:val="none" w:sz="0" w:space="0" w:color="auto"/>
            <w:left w:val="none" w:sz="0" w:space="0" w:color="auto"/>
            <w:bottom w:val="none" w:sz="0" w:space="0" w:color="auto"/>
            <w:right w:val="none" w:sz="0" w:space="0" w:color="auto"/>
          </w:divBdr>
        </w:div>
        <w:div w:id="1245458207">
          <w:marLeft w:val="0"/>
          <w:marRight w:val="0"/>
          <w:marTop w:val="0"/>
          <w:marBottom w:val="0"/>
          <w:divBdr>
            <w:top w:val="none" w:sz="0" w:space="0" w:color="auto"/>
            <w:left w:val="none" w:sz="0" w:space="0" w:color="auto"/>
            <w:bottom w:val="none" w:sz="0" w:space="0" w:color="auto"/>
            <w:right w:val="none" w:sz="0" w:space="0" w:color="auto"/>
          </w:divBdr>
        </w:div>
        <w:div w:id="1352803653">
          <w:marLeft w:val="0"/>
          <w:marRight w:val="0"/>
          <w:marTop w:val="0"/>
          <w:marBottom w:val="0"/>
          <w:divBdr>
            <w:top w:val="none" w:sz="0" w:space="0" w:color="auto"/>
            <w:left w:val="none" w:sz="0" w:space="0" w:color="auto"/>
            <w:bottom w:val="none" w:sz="0" w:space="0" w:color="auto"/>
            <w:right w:val="none" w:sz="0" w:space="0" w:color="auto"/>
          </w:divBdr>
        </w:div>
        <w:div w:id="1234664520">
          <w:marLeft w:val="0"/>
          <w:marRight w:val="0"/>
          <w:marTop w:val="0"/>
          <w:marBottom w:val="0"/>
          <w:divBdr>
            <w:top w:val="none" w:sz="0" w:space="0" w:color="auto"/>
            <w:left w:val="none" w:sz="0" w:space="0" w:color="auto"/>
            <w:bottom w:val="none" w:sz="0" w:space="0" w:color="auto"/>
            <w:right w:val="none" w:sz="0" w:space="0" w:color="auto"/>
          </w:divBdr>
        </w:div>
        <w:div w:id="1944846953">
          <w:marLeft w:val="0"/>
          <w:marRight w:val="0"/>
          <w:marTop w:val="0"/>
          <w:marBottom w:val="0"/>
          <w:divBdr>
            <w:top w:val="none" w:sz="0" w:space="0" w:color="auto"/>
            <w:left w:val="none" w:sz="0" w:space="0" w:color="auto"/>
            <w:bottom w:val="none" w:sz="0" w:space="0" w:color="auto"/>
            <w:right w:val="none" w:sz="0" w:space="0" w:color="auto"/>
          </w:divBdr>
        </w:div>
        <w:div w:id="2145585194">
          <w:marLeft w:val="0"/>
          <w:marRight w:val="0"/>
          <w:marTop w:val="0"/>
          <w:marBottom w:val="0"/>
          <w:divBdr>
            <w:top w:val="none" w:sz="0" w:space="0" w:color="auto"/>
            <w:left w:val="none" w:sz="0" w:space="0" w:color="auto"/>
            <w:bottom w:val="none" w:sz="0" w:space="0" w:color="auto"/>
            <w:right w:val="none" w:sz="0" w:space="0" w:color="auto"/>
          </w:divBdr>
        </w:div>
      </w:divsChild>
    </w:div>
    <w:div w:id="1734692436">
      <w:bodyDiv w:val="1"/>
      <w:marLeft w:val="0"/>
      <w:marRight w:val="0"/>
      <w:marTop w:val="0"/>
      <w:marBottom w:val="0"/>
      <w:divBdr>
        <w:top w:val="none" w:sz="0" w:space="0" w:color="auto"/>
        <w:left w:val="none" w:sz="0" w:space="0" w:color="auto"/>
        <w:bottom w:val="none" w:sz="0" w:space="0" w:color="auto"/>
        <w:right w:val="none" w:sz="0" w:space="0" w:color="auto"/>
      </w:divBdr>
    </w:div>
    <w:div w:id="1872187276">
      <w:bodyDiv w:val="1"/>
      <w:marLeft w:val="0"/>
      <w:marRight w:val="0"/>
      <w:marTop w:val="0"/>
      <w:marBottom w:val="0"/>
      <w:divBdr>
        <w:top w:val="none" w:sz="0" w:space="0" w:color="auto"/>
        <w:left w:val="none" w:sz="0" w:space="0" w:color="auto"/>
        <w:bottom w:val="none" w:sz="0" w:space="0" w:color="auto"/>
        <w:right w:val="none" w:sz="0" w:space="0" w:color="auto"/>
      </w:divBdr>
      <w:divsChild>
        <w:div w:id="1312251333">
          <w:marLeft w:val="0"/>
          <w:marRight w:val="0"/>
          <w:marTop w:val="0"/>
          <w:marBottom w:val="0"/>
          <w:divBdr>
            <w:top w:val="none" w:sz="0" w:space="0" w:color="auto"/>
            <w:left w:val="none" w:sz="0" w:space="0" w:color="auto"/>
            <w:bottom w:val="none" w:sz="0" w:space="0" w:color="auto"/>
            <w:right w:val="none" w:sz="0" w:space="0" w:color="auto"/>
          </w:divBdr>
          <w:divsChild>
            <w:div w:id="80982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0996167">
      <w:bodyDiv w:val="1"/>
      <w:marLeft w:val="0"/>
      <w:marRight w:val="0"/>
      <w:marTop w:val="0"/>
      <w:marBottom w:val="0"/>
      <w:divBdr>
        <w:top w:val="none" w:sz="0" w:space="0" w:color="auto"/>
        <w:left w:val="none" w:sz="0" w:space="0" w:color="auto"/>
        <w:bottom w:val="none" w:sz="0" w:space="0" w:color="auto"/>
        <w:right w:val="none" w:sz="0" w:space="0" w:color="auto"/>
      </w:divBdr>
      <w:divsChild>
        <w:div w:id="886260991">
          <w:marLeft w:val="0"/>
          <w:marRight w:val="0"/>
          <w:marTop w:val="0"/>
          <w:marBottom w:val="0"/>
          <w:divBdr>
            <w:top w:val="none" w:sz="0" w:space="0" w:color="auto"/>
            <w:left w:val="none" w:sz="0" w:space="0" w:color="auto"/>
            <w:bottom w:val="none" w:sz="0" w:space="0" w:color="auto"/>
            <w:right w:val="none" w:sz="0" w:space="0" w:color="auto"/>
          </w:divBdr>
        </w:div>
        <w:div w:id="434985998">
          <w:marLeft w:val="0"/>
          <w:marRight w:val="0"/>
          <w:marTop w:val="0"/>
          <w:marBottom w:val="0"/>
          <w:divBdr>
            <w:top w:val="none" w:sz="0" w:space="0" w:color="auto"/>
            <w:left w:val="none" w:sz="0" w:space="0" w:color="auto"/>
            <w:bottom w:val="none" w:sz="0" w:space="0" w:color="auto"/>
            <w:right w:val="none" w:sz="0" w:space="0" w:color="auto"/>
          </w:divBdr>
        </w:div>
        <w:div w:id="980421201">
          <w:marLeft w:val="0"/>
          <w:marRight w:val="0"/>
          <w:marTop w:val="0"/>
          <w:marBottom w:val="0"/>
          <w:divBdr>
            <w:top w:val="none" w:sz="0" w:space="0" w:color="auto"/>
            <w:left w:val="none" w:sz="0" w:space="0" w:color="auto"/>
            <w:bottom w:val="none" w:sz="0" w:space="0" w:color="auto"/>
            <w:right w:val="none" w:sz="0" w:space="0" w:color="auto"/>
          </w:divBdr>
        </w:div>
        <w:div w:id="1335767855">
          <w:marLeft w:val="0"/>
          <w:marRight w:val="0"/>
          <w:marTop w:val="0"/>
          <w:marBottom w:val="0"/>
          <w:divBdr>
            <w:top w:val="none" w:sz="0" w:space="0" w:color="auto"/>
            <w:left w:val="none" w:sz="0" w:space="0" w:color="auto"/>
            <w:bottom w:val="none" w:sz="0" w:space="0" w:color="auto"/>
            <w:right w:val="none" w:sz="0" w:space="0" w:color="auto"/>
          </w:divBdr>
        </w:div>
        <w:div w:id="918637971">
          <w:marLeft w:val="0"/>
          <w:marRight w:val="0"/>
          <w:marTop w:val="0"/>
          <w:marBottom w:val="0"/>
          <w:divBdr>
            <w:top w:val="none" w:sz="0" w:space="0" w:color="auto"/>
            <w:left w:val="none" w:sz="0" w:space="0" w:color="auto"/>
            <w:bottom w:val="none" w:sz="0" w:space="0" w:color="auto"/>
            <w:right w:val="none" w:sz="0" w:space="0" w:color="auto"/>
          </w:divBdr>
        </w:div>
        <w:div w:id="278031105">
          <w:marLeft w:val="0"/>
          <w:marRight w:val="0"/>
          <w:marTop w:val="0"/>
          <w:marBottom w:val="0"/>
          <w:divBdr>
            <w:top w:val="none" w:sz="0" w:space="0" w:color="auto"/>
            <w:left w:val="none" w:sz="0" w:space="0" w:color="auto"/>
            <w:bottom w:val="none" w:sz="0" w:space="0" w:color="auto"/>
            <w:right w:val="none" w:sz="0" w:space="0" w:color="auto"/>
          </w:divBdr>
        </w:div>
        <w:div w:id="604923574">
          <w:marLeft w:val="0"/>
          <w:marRight w:val="0"/>
          <w:marTop w:val="0"/>
          <w:marBottom w:val="0"/>
          <w:divBdr>
            <w:top w:val="none" w:sz="0" w:space="0" w:color="auto"/>
            <w:left w:val="none" w:sz="0" w:space="0" w:color="auto"/>
            <w:bottom w:val="none" w:sz="0" w:space="0" w:color="auto"/>
            <w:right w:val="none" w:sz="0" w:space="0" w:color="auto"/>
          </w:divBdr>
        </w:div>
        <w:div w:id="110131205">
          <w:marLeft w:val="0"/>
          <w:marRight w:val="0"/>
          <w:marTop w:val="0"/>
          <w:marBottom w:val="0"/>
          <w:divBdr>
            <w:top w:val="none" w:sz="0" w:space="0" w:color="auto"/>
            <w:left w:val="none" w:sz="0" w:space="0" w:color="auto"/>
            <w:bottom w:val="none" w:sz="0" w:space="0" w:color="auto"/>
            <w:right w:val="none" w:sz="0" w:space="0" w:color="auto"/>
          </w:divBdr>
        </w:div>
        <w:div w:id="135267424">
          <w:marLeft w:val="0"/>
          <w:marRight w:val="0"/>
          <w:marTop w:val="0"/>
          <w:marBottom w:val="0"/>
          <w:divBdr>
            <w:top w:val="none" w:sz="0" w:space="0" w:color="auto"/>
            <w:left w:val="none" w:sz="0" w:space="0" w:color="auto"/>
            <w:bottom w:val="none" w:sz="0" w:space="0" w:color="auto"/>
            <w:right w:val="none" w:sz="0" w:space="0" w:color="auto"/>
          </w:divBdr>
        </w:div>
      </w:divsChild>
    </w:div>
    <w:div w:id="20087107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hyperlink" Target="https://www.estyn.gov.wales/sites/www.estyn.gov.wales/files/documents/Literacy%20and%20the%20Foundation%20Phase%20%20-%20September%202011.pdf" TargetMode="External"/><Relationship Id="rId26" Type="http://schemas.openxmlformats.org/officeDocument/2006/relationships/hyperlink" Target="http://www.oecd.org/education/Improving-schools-in-Wales.pdf" TargetMode="External"/><Relationship Id="rId39" Type="http://schemas.openxmlformats.org/officeDocument/2006/relationships/hyperlink" Target="file:///Users/helen/Downloads/foundation-phase-outdoor-learning-handbook.pdf" TargetMode="External"/><Relationship Id="rId21" Type="http://schemas.openxmlformats.org/officeDocument/2006/relationships/hyperlink" Target="https://www.geteduca.com/blog/learning-stories-introduction/" TargetMode="External"/><Relationship Id="rId34" Type="http://schemas.openxmlformats.org/officeDocument/2006/relationships/hyperlink" Target="file:///Users/helen/Downloads/high_quality_outdoor_learning_welshenglish.pdf" TargetMode="External"/><Relationship Id="rId42" Type="http://schemas.openxmlformats.org/officeDocument/2006/relationships/hyperlink" Target="https://hwb.gov.wales/storage/d5d8e39c-b534-40cb-a3f5-7e2e126d8077/foundation-phase-framework.pdf" TargetMode="External"/><Relationship Id="rId47" Type="http://schemas.openxmlformats.org/officeDocument/2006/relationships/hyperlink" Target="https://gov.wales/sites/default/files/publications/2018-03/foundation-phase-action-plan.pdf" TargetMode="External"/><Relationship Id="rId50" Type="http://schemas.openxmlformats.org/officeDocument/2006/relationships/hyperlink" Target="https://hwb.gov.wales/storage/53889241-676d-4e36-8e69-b9129f8ccf51/statutory-assessment-arrangements-for-the-foundation-phase-and-end-of-key-stages-2-and-3-190909.pdf" TargetMode="External"/><Relationship Id="rId55" Type="http://schemas.openxmlformats.org/officeDocument/2006/relationships/hyperlink" Target="file:///Users/helen/Downloads/dr_david_whitebread_-_the_importance_of_play.pdf" TargetMode="External"/><Relationship Id="rId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file:///Users/helen/Downloads/Early-years-structural-quality-review_EPI.pdf" TargetMode="External"/><Relationship Id="rId29" Type="http://schemas.openxmlformats.org/officeDocument/2006/relationships/hyperlink" Target="https://us.sagepub.com/sites/default/files/upm-assets/88515_book_item_88515.pdf" TargetMode="External"/><Relationship Id="rId11" Type="http://schemas.openxmlformats.org/officeDocument/2006/relationships/image" Target="media/image1.png"/><Relationship Id="rId24" Type="http://schemas.openxmlformats.org/officeDocument/2006/relationships/hyperlink" Target="https://dera.ioe.ac.uk/1866/1/101202foundationreporten.pdf" TargetMode="External"/><Relationship Id="rId32" Type="http://schemas.openxmlformats.org/officeDocument/2006/relationships/hyperlink" Target="file:///Users/helen/Downloads/teaching-pedagogy-and-practice-in-early-years-childcare%20(1).pdf" TargetMode="External"/><Relationship Id="rId37" Type="http://schemas.openxmlformats.org/officeDocument/2006/relationships/hyperlink" Target="https://repository.uwtsd.ac.uk/715/1/Waters,%20J.(2016)%20The%20foundation%20phase%20in%20Wales%20-%20time%20to%20grow.pdf" TargetMode="External"/><Relationship Id="rId40" Type="http://schemas.openxmlformats.org/officeDocument/2006/relationships/hyperlink" Target="file:///Users/helen/Downloads/an-independent-stocktake-of-the-foundation-phase-in-wales-final-report.pdf" TargetMode="External"/><Relationship Id="rId45" Type="http://schemas.openxmlformats.org/officeDocument/2006/relationships/hyperlink" Target="https://gov.wales/sites/default/files/publications/2017-08/taking-wales-forward.pdf" TargetMode="External"/><Relationship Id="rId53" Type="http://schemas.openxmlformats.org/officeDocument/2006/relationships/hyperlink" Target="https://gov.wales/curriculum-wales-overview" TargetMode="External"/><Relationship Id="rId58" Type="http://schemas.openxmlformats.org/officeDocument/2006/relationships/footer" Target="footer4.xml"/><Relationship Id="rId5" Type="http://schemas.openxmlformats.org/officeDocument/2006/relationships/endnotes" Target="endnotes.xml"/><Relationship Id="rId19" Type="http://schemas.openxmlformats.org/officeDocument/2006/relationships/hyperlink" Target="https://www.estyn.gov.wales/sites/www.estyn.gov.wales/files/documents/Estyn%20Active%20and%20experiential%20learning_E_Accessible_1.pdf" TargetMode="Externa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3.xml"/><Relationship Id="rId22" Type="http://schemas.openxmlformats.org/officeDocument/2006/relationships/hyperlink" Target="https://futuregenerations.wales/wp-content/uploads/2019/10/2019-10-16-Fit-for-the-Future-Education-in-Wales-1-1.pdf" TargetMode="External"/><Relationship Id="rId27" Type="http://schemas.openxmlformats.org/officeDocument/2006/relationships/hyperlink" Target="http://dx.doi.org/10.1787/9789264085145-en" TargetMode="External"/><Relationship Id="rId30" Type="http://schemas.openxmlformats.org/officeDocument/2006/relationships/hyperlink" Target="https://www.playwales.org.uk/login/uploaded/documents/INFORMATION%20SHEETS/Play%20types.pdf" TargetMode="External"/><Relationship Id="rId35" Type="http://schemas.openxmlformats.org/officeDocument/2006/relationships/hyperlink" Target="https://www.uwtsd.ac.uk/media/uwtsd-website/content-assets/documents/enhancement-unit/wales-journal/71-76-Tinney-and-Merriman.pdf" TargetMode="External"/><Relationship Id="rId43" Type="http://schemas.openxmlformats.org/officeDocument/2006/relationships/hyperlink" Target="https://hwb.gov.wales/storage/f9d85dba-85a4-4e87-bb58-a24730ad7e57/foundation-phase-profile-handbook-revised-september-2017.pdf" TargetMode="External"/><Relationship Id="rId48" Type="http://schemas.openxmlformats.org/officeDocument/2006/relationships/hyperlink" Target="file:///Users/helen/Downloads/foundation-phase-provision-for-three-and-four-year-olds-guidance-for-local-authorities-in-wales_0.pdf" TargetMode="External"/><Relationship Id="rId56" Type="http://schemas.openxmlformats.org/officeDocument/2006/relationships/hyperlink" Target="file:///Users/helen/Downloads/lego%20foundation%202017%20learning-through-play_web.pdf" TargetMode="External"/><Relationship Id="rId8" Type="http://schemas.openxmlformats.org/officeDocument/2006/relationships/header" Target="header2.xml"/><Relationship Id="rId51" Type="http://schemas.openxmlformats.org/officeDocument/2006/relationships/hyperlink" Target="https://curriculumforwales.gov.wales/2020/03/02/areas-of-learning-and-experience-as-a-central-element-of-the-new-curriculum/" TargetMode="External"/><Relationship Id="rId3"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hyperlink" Target="file:///Users/helen/Downloads/Donaldson%20Report%20-%20Successful%20Futures%20(2).pdf" TargetMode="External"/><Relationship Id="rId25" Type="http://schemas.openxmlformats.org/officeDocument/2006/relationships/hyperlink" Target="https://orca.cf.ac.uk/88812/1/130318-evaluating-foundation-phase-policy-logic-model-programme-theory-en.pdf" TargetMode="External"/><Relationship Id="rId33" Type="http://schemas.openxmlformats.org/officeDocument/2006/relationships/hyperlink" Target="https://moodle.uwtsd.ac.uk/pluginfile.php/344802/mod_resource/content/1/150514-foundation-phase-final-en_Redacted.pdf" TargetMode="External"/><Relationship Id="rId38" Type="http://schemas.openxmlformats.org/officeDocument/2006/relationships/hyperlink" Target="https://repository.uwtsd.ac.uk/631/1/Macdonald,%20Natalie%20(2016)Early%20years%20foundation%20stage,%20theory.pdf" TargetMode="External"/><Relationship Id="rId46" Type="http://schemas.openxmlformats.org/officeDocument/2006/relationships/hyperlink" Target="https://gov.wales/sites/default/files/publications/2018-03/education-in-wales-our-national-mission.pdf" TargetMode="External"/><Relationship Id="rId59" Type="http://schemas.openxmlformats.org/officeDocument/2006/relationships/fontTable" Target="fontTable.xml"/><Relationship Id="rId20" Type="http://schemas.openxmlformats.org/officeDocument/2006/relationships/hyperlink" Target="file:///Users/helen/Downloads/a-world-without-play-literature-review-2012.pdf" TargetMode="External"/><Relationship Id="rId41" Type="http://schemas.openxmlformats.org/officeDocument/2006/relationships/hyperlink" Target="https://gov.wales/sites/default/files/publications/2019-07/wales-a-play-friendly-country.pdf" TargetMode="External"/><Relationship Id="rId54" Type="http://schemas.openxmlformats.org/officeDocument/2006/relationships/hyperlink" Target="https://hwb.gov.wales/storage/840fa930-c037-4669-8251-4794991fce91/frequently-asked-questions.pdf" TargetMode="External"/><Relationship Id="rId1" Type="http://schemas.openxmlformats.org/officeDocument/2006/relationships/styles" Target="styles.xml"/><Relationship Id="rId6" Type="http://schemas.openxmlformats.org/officeDocument/2006/relationships/header" Target="header1.xml"/><Relationship Id="rId15" Type="http://schemas.openxmlformats.org/officeDocument/2006/relationships/hyperlink" Target="https://www.tts-group.co.uk/blog/2017/10/04/raining-today-no-outdoor-learning.html" TargetMode="External"/><Relationship Id="rId23" Type="http://schemas.openxmlformats.org/officeDocument/2006/relationships/hyperlink" Target="https://www.lboro.ac.uk/news-events/comment/forest-school-conversation/" TargetMode="External"/><Relationship Id="rId28" Type="http://schemas.openxmlformats.org/officeDocument/2006/relationships/hyperlink" Target="https://doi-org.ezproxy.uwtsd.ac.uk/10.1016/j.ecresq.2016.07.001" TargetMode="External"/><Relationship Id="rId36" Type="http://schemas.openxmlformats.org/officeDocument/2006/relationships/hyperlink" Target="https://www.unicef.org.uk/wp-content/uploads/2010/05/UNCRC_summary-1.pdf" TargetMode="External"/><Relationship Id="rId49" Type="http://schemas.openxmlformats.org/officeDocument/2006/relationships/hyperlink" Target="https://gov.wales/sites/default/files/publications/2018-06/how-is-my-child-doing-in-the-foundation-phase-a-guide-for-parents-and-carers.pdf" TargetMode="External"/><Relationship Id="rId57" Type="http://schemas.openxmlformats.org/officeDocument/2006/relationships/header" Target="header5.xml"/><Relationship Id="rId10" Type="http://schemas.openxmlformats.org/officeDocument/2006/relationships/header" Target="header3.xml"/><Relationship Id="rId31" Type="http://schemas.openxmlformats.org/officeDocument/2006/relationships/hyperlink" Target="https://gov.wales/sites/default/files/statistics-and-research/2019-07/140602-foundation-phase-key-findings-environment-summary-en.pdf" TargetMode="External"/><Relationship Id="rId44" Type="http://schemas.openxmlformats.org/officeDocument/2006/relationships/hyperlink" Target="https://gov.wales/sites/default/files/publications/2017-10/prosperity-for-all-the-national-strategy.pdf" TargetMode="External"/><Relationship Id="rId52" Type="http://schemas.openxmlformats.org/officeDocument/2006/relationships/hyperlink" Target="https://hwb.gov.wales/curriculum-for-wales/introduction" TargetMode="External"/><Relationship Id="rId6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TotalTime>
  <Pages>24</Pages>
  <Words>8533</Words>
  <Characters>48644</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Price (1806929)</dc:creator>
  <cp:keywords/>
  <dc:description/>
  <cp:lastModifiedBy>Helen Price (1806929)</cp:lastModifiedBy>
  <cp:revision>94</cp:revision>
  <dcterms:created xsi:type="dcterms:W3CDTF">2020-04-03T08:31:00Z</dcterms:created>
  <dcterms:modified xsi:type="dcterms:W3CDTF">2020-04-05T17:01:00Z</dcterms:modified>
</cp:coreProperties>
</file>