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CE653" w14:textId="72E45EB8" w:rsidR="00FA4D3D" w:rsidRDefault="00FA4D3D">
      <w:pPr>
        <w:rPr>
          <w:b/>
        </w:rPr>
      </w:pPr>
      <w:r>
        <w:rPr>
          <w:b/>
        </w:rPr>
        <w:t>Take Home Exam</w:t>
      </w:r>
    </w:p>
    <w:p w14:paraId="3E12A62A" w14:textId="3DECB27E" w:rsidR="00FA4D3D" w:rsidRPr="00FA4D3D" w:rsidRDefault="00FA4D3D">
      <w:pPr>
        <w:rPr>
          <w:b/>
        </w:rPr>
      </w:pPr>
      <w:r>
        <w:rPr>
          <w:b/>
        </w:rPr>
        <w:t>19</w:t>
      </w:r>
      <w:r w:rsidRPr="00FA4D3D">
        <w:rPr>
          <w:b/>
          <w:vertAlign w:val="superscript"/>
        </w:rPr>
        <w:t>th</w:t>
      </w:r>
      <w:r>
        <w:rPr>
          <w:b/>
        </w:rPr>
        <w:t xml:space="preserve"> January 2018</w:t>
      </w:r>
      <w:bookmarkStart w:id="0" w:name="_GoBack"/>
      <w:bookmarkEnd w:id="0"/>
    </w:p>
    <w:p w14:paraId="3870928F" w14:textId="09897B30" w:rsidR="00393896" w:rsidRDefault="00A57064">
      <w:pPr>
        <w:rPr>
          <w:b/>
          <w:u w:val="single"/>
        </w:rPr>
      </w:pPr>
      <w:r>
        <w:rPr>
          <w:b/>
          <w:u w:val="single"/>
        </w:rPr>
        <w:t>Ancient representations of India often include large numbers of monstrous or fantastical creatures. With reference to one ancient source, what impact does this have on the representations of the country?</w:t>
      </w:r>
    </w:p>
    <w:p w14:paraId="2E6BB14D" w14:textId="29C0720C" w:rsidR="00A57064" w:rsidRDefault="00A57064">
      <w:r>
        <w:t>Monst</w:t>
      </w:r>
      <w:r w:rsidR="0050515A">
        <w:t>rous and fantastical creatures</w:t>
      </w:r>
      <w:r>
        <w:t xml:space="preserve"> tend to be in a different spatial area to us, they are often in the periphery, in places that are reachable but mainly inaccessible. India is one such place where the Ancient Greek world </w:t>
      </w:r>
      <w:r w:rsidR="0050515A">
        <w:t>deemed</w:t>
      </w:r>
      <w:r>
        <w:t xml:space="preserve"> as filled with creatures both monstrous and fantastical. Throughout history, the creation of monsters is as much a result of</w:t>
      </w:r>
      <w:r w:rsidR="0050515A">
        <w:t xml:space="preserve"> the views of</w:t>
      </w:r>
      <w:r>
        <w:t xml:space="preserve"> different races as it is of </w:t>
      </w:r>
      <w:r w:rsidR="0050515A">
        <w:t xml:space="preserve">the traditions within </w:t>
      </w:r>
      <w:r>
        <w:t>different cultures</w:t>
      </w:r>
      <w:r>
        <w:rPr>
          <w:rStyle w:val="FootnoteReference"/>
        </w:rPr>
        <w:footnoteReference w:id="1"/>
      </w:r>
      <w:r>
        <w:t xml:space="preserve"> and this greatly impacts the representations of the countries or regions where these creatures dwell.</w:t>
      </w:r>
      <w:r w:rsidR="00EC45C2">
        <w:t xml:space="preserve"> </w:t>
      </w:r>
      <w:r w:rsidR="00F2509B">
        <w:t xml:space="preserve">Fantastical and monstrous creatures such as the </w:t>
      </w:r>
      <w:proofErr w:type="spellStart"/>
      <w:r w:rsidR="00F2509B">
        <w:t>Cynocephaloi</w:t>
      </w:r>
      <w:proofErr w:type="spellEnd"/>
      <w:r w:rsidR="00F2509B">
        <w:t xml:space="preserve"> and the </w:t>
      </w:r>
      <w:proofErr w:type="spellStart"/>
      <w:r w:rsidR="00F2509B">
        <w:t>Martichora</w:t>
      </w:r>
      <w:proofErr w:type="spellEnd"/>
      <w:r w:rsidR="00F2509B">
        <w:t xml:space="preserve">, to name a few, </w:t>
      </w:r>
      <w:r w:rsidR="00EC45C2">
        <w:t xml:space="preserve">will be discussed throughout this essay to successfully determine the impact these creatures had on the representations of India. </w:t>
      </w:r>
      <w:proofErr w:type="spellStart"/>
      <w:r w:rsidR="00EC45C2">
        <w:t>Photius</w:t>
      </w:r>
      <w:proofErr w:type="spellEnd"/>
      <w:r w:rsidR="00EC45C2">
        <w:t xml:space="preserve">’ commentary on Ctesias’ </w:t>
      </w:r>
      <w:proofErr w:type="spellStart"/>
      <w:r w:rsidR="00EC45C2">
        <w:rPr>
          <w:i/>
        </w:rPr>
        <w:t>Indika</w:t>
      </w:r>
      <w:proofErr w:type="spellEnd"/>
      <w:r w:rsidR="00EC45C2">
        <w:t xml:space="preserve"> will be used in this essay due to the more monstrous descriptions of the creatures inhabiting India.</w:t>
      </w:r>
    </w:p>
    <w:p w14:paraId="01FCA59E" w14:textId="5067738A" w:rsidR="00DA4CA5" w:rsidRDefault="00F570E1">
      <w:r>
        <w:t xml:space="preserve">Ctesias talks of dog-headed people called </w:t>
      </w:r>
      <w:proofErr w:type="spellStart"/>
      <w:r>
        <w:t>Cynocephaloi</w:t>
      </w:r>
      <w:proofErr w:type="spellEnd"/>
      <w:r>
        <w:t xml:space="preserve"> living in the Indian mountains</w:t>
      </w:r>
      <w:r w:rsidR="00624A27">
        <w:t>;</w:t>
      </w:r>
      <w:r>
        <w:t xml:space="preserve"> </w:t>
      </w:r>
      <w:r w:rsidR="00624A27">
        <w:t xml:space="preserve">their hybridity, having the biology of both human and dog, with their claws, dog heads, and tails, makes these creatures, or people, appear monstrous. However, </w:t>
      </w:r>
      <w:r>
        <w:t xml:space="preserve">they understand the words of Indians, </w:t>
      </w:r>
      <w:r w:rsidR="00624A27">
        <w:t xml:space="preserve">not by having the ability to </w:t>
      </w:r>
      <w:r>
        <w:t xml:space="preserve">converse in their tongue, </w:t>
      </w:r>
      <w:r w:rsidR="00624A27">
        <w:t xml:space="preserve">but </w:t>
      </w:r>
      <w:r>
        <w:t xml:space="preserve">instead </w:t>
      </w:r>
      <w:r w:rsidR="00624A27">
        <w:t xml:space="preserve">by </w:t>
      </w:r>
      <w:r>
        <w:t xml:space="preserve">communicating </w:t>
      </w:r>
      <w:r w:rsidR="00624A27">
        <w:t>through</w:t>
      </w:r>
      <w:r>
        <w:t xml:space="preserve"> howling and a series of gestures they make with their hands and clawed fingers, like the deaf and mute</w:t>
      </w:r>
      <w:r w:rsidR="00B9326A">
        <w:t xml:space="preserve"> which implies that they are fantastical rather than monstrous</w:t>
      </w:r>
      <w:r>
        <w:t>.</w:t>
      </w:r>
      <w:r>
        <w:rPr>
          <w:rStyle w:val="FootnoteReference"/>
        </w:rPr>
        <w:footnoteReference w:id="2"/>
      </w:r>
      <w:r w:rsidR="00CB5900">
        <w:t xml:space="preserve"> This incapability of speech represents the difference of the culture in India, not because they cannot speak, but because these creatures can communicate with and understand the people. It integrates monsters into the society through communication. In the Ancient Greek world, most monsters did reside in far off lands, much like the </w:t>
      </w:r>
      <w:proofErr w:type="spellStart"/>
      <w:r w:rsidR="00CB5900">
        <w:t>Cynocephaloi</w:t>
      </w:r>
      <w:proofErr w:type="spellEnd"/>
      <w:r w:rsidR="00CB5900">
        <w:t>, but it was heroes and the Gods that communicated with them, or battled with them, not the common people.</w:t>
      </w:r>
      <w:r w:rsidR="00DA4CA5">
        <w:t xml:space="preserve">  Furthermore, Ctesias explains how the </w:t>
      </w:r>
      <w:proofErr w:type="spellStart"/>
      <w:r w:rsidR="00DA4CA5">
        <w:t>Cynocephaloi</w:t>
      </w:r>
      <w:proofErr w:type="spellEnd"/>
      <w:r w:rsidR="00DA4CA5">
        <w:t xml:space="preserve"> fornicated on all fours like animals which, much like Jeffery Cohen’s explanation, represents a sort ‘living excoriation’ of sexual abnormality.</w:t>
      </w:r>
      <w:r w:rsidR="00DA4CA5">
        <w:rPr>
          <w:rStyle w:val="FootnoteReference"/>
        </w:rPr>
        <w:footnoteReference w:id="3"/>
      </w:r>
      <w:r w:rsidR="00DA4CA5">
        <w:t xml:space="preserve"> Does this represent the Indian people as a whole? It is quite possible as Herodotus also dictates the wild nature of sex in the Indian country; he writes </w:t>
      </w:r>
      <w:r w:rsidR="005E22D1">
        <w:t>about how</w:t>
      </w:r>
      <w:r w:rsidR="00DA4CA5">
        <w:t xml:space="preserve"> all the Indians “</w:t>
      </w:r>
      <w:r w:rsidR="005E22D1">
        <w:t>mate with one another in public, just as livestock do”.</w:t>
      </w:r>
      <w:r w:rsidR="005E22D1">
        <w:rPr>
          <w:rStyle w:val="FootnoteReference"/>
        </w:rPr>
        <w:footnoteReference w:id="4"/>
      </w:r>
      <w:r w:rsidR="005E22D1">
        <w:t xml:space="preserve"> From this one can infer that the fantastical and monstrous creatures of India all impact the representations of the country because the Indian peoples share </w:t>
      </w:r>
      <w:r w:rsidR="000033F6">
        <w:t>the same animalistic</w:t>
      </w:r>
      <w:r w:rsidR="001C48FC">
        <w:t xml:space="preserve"> </w:t>
      </w:r>
      <w:r w:rsidR="005E22D1">
        <w:t xml:space="preserve">characteristics with their monstrous and fantastical creatures. </w:t>
      </w:r>
    </w:p>
    <w:p w14:paraId="0E5BC63A" w14:textId="5B71B6E1" w:rsidR="00144050" w:rsidRDefault="00CB5900">
      <w:r>
        <w:t xml:space="preserve"> </w:t>
      </w:r>
      <w:proofErr w:type="spellStart"/>
      <w:r w:rsidR="00624A27">
        <w:t>Photius</w:t>
      </w:r>
      <w:proofErr w:type="spellEnd"/>
      <w:r w:rsidR="00624A27">
        <w:t xml:space="preserve"> explains that Ctesias knew of the trade that this tribe participated in, sending 1,000 talents of amber </w:t>
      </w:r>
      <w:r w:rsidR="0006230D">
        <w:t xml:space="preserve">that formed from the sap that dripped from the trees for thirty days once a year </w:t>
      </w:r>
      <w:r w:rsidR="00624A27">
        <w:t>to the king</w:t>
      </w:r>
      <w:r w:rsidR="0006230D">
        <w:t>.</w:t>
      </w:r>
      <w:r w:rsidR="0006230D">
        <w:rPr>
          <w:rStyle w:val="FootnoteReference"/>
        </w:rPr>
        <w:footnoteReference w:id="5"/>
      </w:r>
      <w:r w:rsidR="00624A27">
        <w:t xml:space="preserve"> </w:t>
      </w:r>
      <w:r w:rsidR="00992EEC">
        <w:t xml:space="preserve">The length of time in which this amber appears is a fantastical representation of India s it shows the preciousness of the materials that is given to the Indian people by the land, and how the people live </w:t>
      </w:r>
      <w:proofErr w:type="gramStart"/>
      <w:r w:rsidR="00992EEC">
        <w:t>off of</w:t>
      </w:r>
      <w:proofErr w:type="gramEnd"/>
      <w:r w:rsidR="00992EEC">
        <w:t xml:space="preserve"> this. </w:t>
      </w:r>
      <w:r w:rsidR="0006230D">
        <w:t xml:space="preserve">As well as this </w:t>
      </w:r>
      <w:r w:rsidR="00624A27">
        <w:t>every fifth year the king would send 300,00 bows and javelins, as well as swords and shields, to these people.</w:t>
      </w:r>
      <w:r w:rsidR="00624A27">
        <w:rPr>
          <w:rStyle w:val="FootnoteReference"/>
        </w:rPr>
        <w:footnoteReference w:id="6"/>
      </w:r>
      <w:r w:rsidR="00624A27">
        <w:t xml:space="preserve"> This trade further integrates these </w:t>
      </w:r>
      <w:r w:rsidR="00B9326A">
        <w:t xml:space="preserve">fantastical </w:t>
      </w:r>
      <w:r w:rsidR="00B9326A">
        <w:lastRenderedPageBreak/>
        <w:t>creatures</w:t>
      </w:r>
      <w:r w:rsidR="00624A27">
        <w:t xml:space="preserve"> into the Indian society. The description of a class system, where the richest man is who owns the most sheep, and how the richest wear linen instead of thin strips of leather,</w:t>
      </w:r>
      <w:r w:rsidR="00D87678">
        <w:rPr>
          <w:rStyle w:val="FootnoteReference"/>
        </w:rPr>
        <w:footnoteReference w:id="7"/>
      </w:r>
      <w:r w:rsidR="00624A27">
        <w:t xml:space="preserve"> makes these creatures or people appear like another region of people rather than a tribe of monstrous creatures. </w:t>
      </w:r>
      <w:r w:rsidR="00D87678">
        <w:t>With what has been discussed, it may be more apt to describe these creatures as fantastical rather than monstrous, and in turn to describe the country as fantastical as the representation of these creatures shows the harmonious nature of creature and human within Indian culture.</w:t>
      </w:r>
      <w:r w:rsidR="00D87678">
        <w:rPr>
          <w:rStyle w:val="FootnoteReference"/>
        </w:rPr>
        <w:footnoteReference w:id="8"/>
      </w:r>
      <w:r w:rsidR="00D87678">
        <w:t xml:space="preserve"> However, Michael </w:t>
      </w:r>
      <w:proofErr w:type="spellStart"/>
      <w:r w:rsidR="00D87678">
        <w:t>Uebel</w:t>
      </w:r>
      <w:proofErr w:type="spellEnd"/>
      <w:r w:rsidR="00D87678">
        <w:t xml:space="preserve"> describes the </w:t>
      </w:r>
      <w:proofErr w:type="spellStart"/>
      <w:r w:rsidR="00D87678">
        <w:t>Cynocephaloi</w:t>
      </w:r>
      <w:proofErr w:type="spellEnd"/>
      <w:r w:rsidR="00D87678">
        <w:t xml:space="preserve"> as monstrous; the limit or boundary of where they reside means that they are monsters. If the boundaries are important to determine whether creatures are monstrous or not, then by comparison to other monsters throughout the Ancient Greek world, the Cynocephali are mon</w:t>
      </w:r>
      <w:r w:rsidR="007D69E4">
        <w:t>s</w:t>
      </w:r>
      <w:r w:rsidR="00D87678">
        <w:t xml:space="preserve">ters because they </w:t>
      </w:r>
      <w:r w:rsidR="002751C5">
        <w:t>l</w:t>
      </w:r>
      <w:r w:rsidR="00D87678">
        <w:t>i</w:t>
      </w:r>
      <w:r w:rsidR="002751C5">
        <w:t>v</w:t>
      </w:r>
      <w:r w:rsidR="00D87678">
        <w:t>e at the edge</w:t>
      </w:r>
      <w:r w:rsidR="007D69E4">
        <w:t>s</w:t>
      </w:r>
      <w:r w:rsidR="00D87678">
        <w:t xml:space="preserve"> of the</w:t>
      </w:r>
      <w:r w:rsidR="007D69E4">
        <w:t xml:space="preserve"> known</w:t>
      </w:r>
      <w:r w:rsidR="00D87678">
        <w:t xml:space="preserve"> world, and Ctesias does explain that India is the edge of the world because no man lives beyond it</w:t>
      </w:r>
      <w:r w:rsidR="002751C5">
        <w:t>.</w:t>
      </w:r>
      <w:r w:rsidR="007C28C9">
        <w:rPr>
          <w:rStyle w:val="FootnoteReference"/>
        </w:rPr>
        <w:footnoteReference w:id="9"/>
      </w:r>
      <w:r w:rsidR="007D69E4">
        <w:t xml:space="preserve"> </w:t>
      </w:r>
      <w:r w:rsidR="004B0B03">
        <w:t>Ctesias’ view</w:t>
      </w:r>
      <w:r w:rsidR="007D69E4">
        <w:t xml:space="preserve"> of India as being the edge of the world </w:t>
      </w:r>
      <w:r w:rsidR="004B0B03">
        <w:t xml:space="preserve">may impact the representations of the country as it implies that India is a dangerous place where not only do they live in the same narrative space as monsters, but they also converse and trade with these monsters. It could also be argued that this representation of India means that the Indians themselves are monsters because of the inhabiting of this space. </w:t>
      </w:r>
    </w:p>
    <w:p w14:paraId="1ED8F4BC" w14:textId="4D76ED44" w:rsidR="00661056" w:rsidRDefault="00661056">
      <w:r>
        <w:t xml:space="preserve">Other creatures in Ctesias’ </w:t>
      </w:r>
      <w:proofErr w:type="spellStart"/>
      <w:r>
        <w:rPr>
          <w:i/>
        </w:rPr>
        <w:t>Indika</w:t>
      </w:r>
      <w:proofErr w:type="spellEnd"/>
      <w:r>
        <w:t xml:space="preserve"> such as the Pygmies in the </w:t>
      </w:r>
      <w:r w:rsidR="00E21F8C">
        <w:t xml:space="preserve">middle of India show another fantastical representation of India as a country. These </w:t>
      </w:r>
      <w:r w:rsidR="00C240FF">
        <w:t>‘</w:t>
      </w:r>
      <w:r w:rsidR="00E21F8C">
        <w:t>little black men</w:t>
      </w:r>
      <w:r w:rsidR="00C240FF">
        <w:t>’</w:t>
      </w:r>
      <w:r w:rsidR="00E21F8C">
        <w:t xml:space="preserve"> speak the same language as men but are a fraction of the size and wear clothes due to the abundance of hair growing from their heads and their beards.</w:t>
      </w:r>
      <w:r w:rsidR="00E21F8C">
        <w:rPr>
          <w:rStyle w:val="FootnoteReference"/>
        </w:rPr>
        <w:footnoteReference w:id="10"/>
      </w:r>
      <w:r w:rsidR="00E21F8C">
        <w:t xml:space="preserve"> Like the </w:t>
      </w:r>
      <w:proofErr w:type="spellStart"/>
      <w:r w:rsidR="00E21F8C">
        <w:t>Cynocephaloi</w:t>
      </w:r>
      <w:proofErr w:type="spellEnd"/>
      <w:r w:rsidR="00E21F8C">
        <w:t>, the Pygmies are integrated into society, forming a three-thousand strong battalion of the Indian King’s army.</w:t>
      </w:r>
      <w:r w:rsidR="00E21F8C">
        <w:rPr>
          <w:rStyle w:val="FootnoteReference"/>
        </w:rPr>
        <w:footnoteReference w:id="11"/>
      </w:r>
      <w:r w:rsidR="00E21F8C">
        <w:t xml:space="preserve"> The use of these Pygmies and their excellent bow skills, implies that the Indians rely on the country’s fantastical and monstrous creatures; this also impacts the representation of India as it puts monster and human alongside each</w:t>
      </w:r>
      <w:r w:rsidR="00DA4CA5">
        <w:t xml:space="preserve"> </w:t>
      </w:r>
      <w:r w:rsidR="00E21F8C">
        <w:t xml:space="preserve">other, </w:t>
      </w:r>
      <w:r w:rsidR="00B4051A">
        <w:t xml:space="preserve">once again </w:t>
      </w:r>
      <w:r w:rsidR="00E21F8C">
        <w:t>indicating that the Indians themselves could be</w:t>
      </w:r>
      <w:r w:rsidR="00FF4E63">
        <w:t xml:space="preserve"> fantastical or monstrous creat</w:t>
      </w:r>
      <w:r w:rsidR="00C2637F">
        <w:t>u</w:t>
      </w:r>
      <w:r w:rsidR="00FF4E63">
        <w:t>res</w:t>
      </w:r>
      <w:r w:rsidR="00E21F8C">
        <w:t>.</w:t>
      </w:r>
    </w:p>
    <w:p w14:paraId="17EB5E09" w14:textId="271EB0C6" w:rsidR="00B4051A" w:rsidRDefault="00B4051A">
      <w:r>
        <w:t>In contrast to this, another creature that impacts the representations of India is the Unicorn. Described as an ass with one horn in the centre of its head</w:t>
      </w:r>
      <w:r w:rsidR="001C48FC">
        <w:t xml:space="preserve"> that has medicinal qualities such as the prevention of seizures and the holy sickness</w:t>
      </w:r>
      <w:r w:rsidR="007500B9">
        <w:t>,</w:t>
      </w:r>
      <w:r w:rsidR="001C48FC">
        <w:rPr>
          <w:rStyle w:val="FootnoteReference"/>
        </w:rPr>
        <w:footnoteReference w:id="12"/>
      </w:r>
      <w:r w:rsidR="001C48FC">
        <w:t xml:space="preserve"> the Unicorn is fantastical in nature. The impact of this creature on the representations of India and its people, is the barbaric nature of how the common people herd and hunt these creatures instead of, like in Greek Mythology, heroes hunting the beasts. This immense difference of man hunting monstrous and fantastical creatures can also be seen in the descriptions of the </w:t>
      </w:r>
      <w:proofErr w:type="spellStart"/>
      <w:r w:rsidR="001C48FC">
        <w:t>Martichora</w:t>
      </w:r>
      <w:proofErr w:type="spellEnd"/>
      <w:r w:rsidR="001C48FC">
        <w:t>. Once again human characteristics of the face, ears and eyes are put onto a red, lion-like body.</w:t>
      </w:r>
      <w:r w:rsidR="001C48FC">
        <w:rPr>
          <w:rStyle w:val="FootnoteReference"/>
        </w:rPr>
        <w:footnoteReference w:id="13"/>
      </w:r>
      <w:r w:rsidR="001C48FC">
        <w:t xml:space="preserve"> The appearance is like that of a tiger, which is native to the Indian country, and this creature is hunted by men on the back of ‘</w:t>
      </w:r>
      <w:r w:rsidR="00D05226">
        <w:t xml:space="preserve">wall-destroying elephants’ as they are immune to the stinger </w:t>
      </w:r>
      <w:r w:rsidR="00FD6B97">
        <w:t xml:space="preserve">(very unlike the tiger known to the modern world) </w:t>
      </w:r>
      <w:r w:rsidR="00D05226">
        <w:t xml:space="preserve">that is imbedded in the tail of the </w:t>
      </w:r>
      <w:proofErr w:type="spellStart"/>
      <w:r w:rsidR="00D05226">
        <w:t>Martichora</w:t>
      </w:r>
      <w:proofErr w:type="spellEnd"/>
      <w:r w:rsidR="00D05226">
        <w:t>.</w:t>
      </w:r>
      <w:r w:rsidR="00D05226">
        <w:rPr>
          <w:rStyle w:val="FootnoteReference"/>
        </w:rPr>
        <w:footnoteReference w:id="14"/>
      </w:r>
      <w:r w:rsidR="00D05226">
        <w:t xml:space="preserve"> This impacts the representations of India as, once again, it implies that India is a dangerous place where these man-hunting beasts are hunted not on horse-back but on elephants which are dangerous themselves as they are able to break walls. It also indicates the difference of Indians as they are wild and more primitive as they are only described in Ctesias’ </w:t>
      </w:r>
      <w:proofErr w:type="spellStart"/>
      <w:r w:rsidR="00D05226">
        <w:rPr>
          <w:i/>
        </w:rPr>
        <w:t>Indika</w:t>
      </w:r>
      <w:proofErr w:type="spellEnd"/>
      <w:r w:rsidR="00D05226">
        <w:t xml:space="preserve"> as either traders, hunters, soldiers in the army, or being half animal like the Cynocephali with a King ruling the country. The lack of description </w:t>
      </w:r>
      <w:r w:rsidR="007261DE">
        <w:t xml:space="preserve">of </w:t>
      </w:r>
      <w:r w:rsidR="00D05226">
        <w:t>common</w:t>
      </w:r>
      <w:r w:rsidR="007261DE">
        <w:t>, everyday</w:t>
      </w:r>
      <w:r w:rsidR="00D05226">
        <w:t xml:space="preserve"> India</w:t>
      </w:r>
      <w:r w:rsidR="007261DE">
        <w:t>n life</w:t>
      </w:r>
      <w:r w:rsidR="00D05226">
        <w:t xml:space="preserve"> impacts the </w:t>
      </w:r>
      <w:r w:rsidR="00D05226">
        <w:lastRenderedPageBreak/>
        <w:t xml:space="preserve">representations of the country as it puts a clear contrast in Ancient Greek life and Indian life. It is possible to say that because of the location at the edge of the world, it is impossible for a ‘normal’ way of life because that is where Ancient Greek monsters resided. </w:t>
      </w:r>
    </w:p>
    <w:p w14:paraId="35CE17C4" w14:textId="77777777" w:rsidR="00C63532" w:rsidRDefault="00D05226">
      <w:r>
        <w:t xml:space="preserve">Furthermore, the Indian </w:t>
      </w:r>
      <w:proofErr w:type="spellStart"/>
      <w:r>
        <w:t>Bittakos</w:t>
      </w:r>
      <w:proofErr w:type="spellEnd"/>
      <w:r>
        <w:t xml:space="preserve"> could possibly be a representation of Indian peoples and their intelligence. Ctesias explains how the multicoloured bird can converse like a human and if taught Greek can speak it.</w:t>
      </w:r>
      <w:r>
        <w:rPr>
          <w:rStyle w:val="FootnoteReference"/>
        </w:rPr>
        <w:footnoteReference w:id="15"/>
      </w:r>
      <w:r>
        <w:t xml:space="preserve"> What this implies is that</w:t>
      </w:r>
      <w:r w:rsidR="00FA5419">
        <w:t xml:space="preserve"> ‘monstrous’ bodies are tied into culture through characteristic</w:t>
      </w:r>
      <w:r w:rsidR="001E196B">
        <w:t>s</w:t>
      </w:r>
      <w:r w:rsidR="00FA5419">
        <w:t xml:space="preserve"> such as communication, and with the Indian people it implies that they may </w:t>
      </w:r>
      <w:r w:rsidR="005137AA">
        <w:t xml:space="preserve">be monstrous although the </w:t>
      </w:r>
      <w:r w:rsidR="00FA5419">
        <w:t xml:space="preserve">description of what is clearly a parrot </w:t>
      </w:r>
      <w:r w:rsidR="005137AA">
        <w:t xml:space="preserve">is </w:t>
      </w:r>
      <w:r w:rsidR="00FA5419">
        <w:t>quite fantastical</w:t>
      </w:r>
      <w:r w:rsidR="00D8318D">
        <w:t>. As already discussed, the human qualities given to these creatures impact the representations of the Indian country and its people as it is given the Indian people a shared trait with the creatures that reside on the land</w:t>
      </w:r>
      <w:r w:rsidR="007261DE">
        <w:t>; this is the view that the nature of where you live influences who you are</w:t>
      </w:r>
      <w:r w:rsidR="00D8318D">
        <w:t xml:space="preserve">. </w:t>
      </w:r>
    </w:p>
    <w:p w14:paraId="145A4C18" w14:textId="11D951DF" w:rsidR="000F7E32" w:rsidRDefault="00D8318D">
      <w:r>
        <w:t xml:space="preserve">However, the impact these creatures have on the representations of the country is that it is a fantastical place. The exotic representations of this country make India seem other-worldly. </w:t>
      </w:r>
      <w:r w:rsidR="007261DE">
        <w:t>The heat is described to be so immense that people suffocate from it, yet the Indians do not suffer from headaches, tooth-aches or putrefaction and instead live to 120-150 years old, some even living to the age of 200.</w:t>
      </w:r>
      <w:r w:rsidR="007261DE">
        <w:rPr>
          <w:rStyle w:val="FootnoteReference"/>
        </w:rPr>
        <w:footnoteReference w:id="16"/>
      </w:r>
      <w:r w:rsidR="007261DE">
        <w:t xml:space="preserve"> This is a fantastical representation which is impacted by the explanations of how these people survive in a land that has no rain, where the sun is ten times larger than anywhere else and hurricanes destroy all in their path.</w:t>
      </w:r>
      <w:r w:rsidR="007261DE">
        <w:rPr>
          <w:rStyle w:val="FootnoteReference"/>
        </w:rPr>
        <w:footnoteReference w:id="17"/>
      </w:r>
      <w:r w:rsidR="007261DE">
        <w:t xml:space="preserve"> This show </w:t>
      </w:r>
      <w:r w:rsidR="00CD5E13">
        <w:t>the inhospitable nature of India, yet people live upon the land alongside creatures both fantastical and monstrous.</w:t>
      </w:r>
      <w:r w:rsidR="000F7E32">
        <w:t xml:space="preserve"> The fantastical nature of India is further expressed by the creatures that protect or secrete precious oils, gems, stones, and gold. The Griffin is one such creature, residing in the mountains protecting gold. The Griffin </w:t>
      </w:r>
      <w:r w:rsidR="00E842D5">
        <w:t xml:space="preserve">in </w:t>
      </w:r>
      <w:r w:rsidR="000F7E32">
        <w:t xml:space="preserve">Ancient Greek </w:t>
      </w:r>
      <w:r w:rsidR="00E842D5">
        <w:t>is synonymous with gold; Herodotus explains how they guard the gold,</w:t>
      </w:r>
      <w:r w:rsidR="00E842D5">
        <w:rPr>
          <w:rStyle w:val="FootnoteReference"/>
        </w:rPr>
        <w:footnoteReference w:id="18"/>
      </w:r>
      <w:r w:rsidR="00E842D5">
        <w:t xml:space="preserve"> Ctesias does this also, but instead places them in India.</w:t>
      </w:r>
      <w:r w:rsidR="00E842D5">
        <w:rPr>
          <w:rStyle w:val="FootnoteReference"/>
        </w:rPr>
        <w:footnoteReference w:id="19"/>
      </w:r>
      <w:r w:rsidR="00E842D5">
        <w:t xml:space="preserve"> The abundance of gold that they protect impacts India’s representation, a place filled with gold is nothing but fantastical. The creatures protecting it however, are described to be monstrous and fierce</w:t>
      </w:r>
      <w:r w:rsidR="0089595A">
        <w:t xml:space="preserve"> as well as fantastical</w:t>
      </w:r>
      <w:r w:rsidR="00E842D5">
        <w:t>; the body of a lion</w:t>
      </w:r>
      <w:r w:rsidR="009B1FC9">
        <w:t>,</w:t>
      </w:r>
      <w:r w:rsidR="00E842D5">
        <w:t xml:space="preserve"> the head and wings of an eagle, and </w:t>
      </w:r>
      <w:r w:rsidR="009B1FC9">
        <w:t>the size of the wolf is a description of a dangerous creature,</w:t>
      </w:r>
      <w:r w:rsidR="009B1FC9">
        <w:rPr>
          <w:rStyle w:val="FootnoteReference"/>
        </w:rPr>
        <w:footnoteReference w:id="20"/>
      </w:r>
      <w:r w:rsidR="009B1FC9">
        <w:t xml:space="preserve"> thus </w:t>
      </w:r>
      <w:r w:rsidR="0089595A">
        <w:t xml:space="preserve">impacting the representations of India, </w:t>
      </w:r>
      <w:r w:rsidR="009B1FC9">
        <w:t>implying that the land upon which it lives is also a dangerous place to inhabit.</w:t>
      </w:r>
      <w:r w:rsidR="0089595A">
        <w:t xml:space="preserve"> </w:t>
      </w:r>
    </w:p>
    <w:p w14:paraId="592697D9" w14:textId="09516592" w:rsidR="0089595A" w:rsidRDefault="0089595A">
      <w:r>
        <w:t>Another monstrous creature that impacts the representations of India is a worm that inhabits the Indus River. It is so large in length that a ten-year-old could not embrace it.</w:t>
      </w:r>
      <w:r>
        <w:rPr>
          <w:rStyle w:val="FootnoteReference"/>
        </w:rPr>
        <w:footnoteReference w:id="21"/>
      </w:r>
      <w:r>
        <w:t xml:space="preserve"> The size of this creature and its night-time hunting is shocking to any reader, darkness </w:t>
      </w:r>
      <w:r w:rsidR="00ED0CC7">
        <w:t xml:space="preserve">effects </w:t>
      </w:r>
      <w:r>
        <w:t>people</w:t>
      </w:r>
      <w:r w:rsidR="00ED0CC7">
        <w:t>, causing</w:t>
      </w:r>
      <w:r>
        <w:t xml:space="preserve"> </w:t>
      </w:r>
      <w:r w:rsidR="00ED0CC7">
        <w:t>the</w:t>
      </w:r>
      <w:r>
        <w:t xml:space="preserve"> response of fear.</w:t>
      </w:r>
      <w:r>
        <w:rPr>
          <w:rStyle w:val="FootnoteReference"/>
        </w:rPr>
        <w:footnoteReference w:id="22"/>
      </w:r>
      <w:r w:rsidR="00ED0CC7">
        <w:t xml:space="preserve"> This worm’s description indicates that this monstrous creature could possibly be a form of sea-snake; its two sharp teeth, worm-like body, and nocturnal hunting seem as much.</w:t>
      </w:r>
      <w:r w:rsidR="00ED0CC7">
        <w:rPr>
          <w:rStyle w:val="FootnoteReference"/>
        </w:rPr>
        <w:footnoteReference w:id="23"/>
      </w:r>
      <w:r w:rsidR="00ED0CC7">
        <w:t xml:space="preserve"> Snakes are a frightening creatures but why must Ctesias describe them as a worm when snakes are common in most regions countries and known to the Greek world? They are often related to monstrous beings such as Medusa with her snake-like appearance, so it is possible that Ctesias wanted to represent India as a monstrous and dangerous place. Furthermore, Ctesias explains how, using a child as bait, </w:t>
      </w:r>
      <w:r w:rsidR="00ED0CC7">
        <w:lastRenderedPageBreak/>
        <w:t>one can catch the worm on a fish hook and hang it upside down so that oil drips from it and is gathered and taken to the king.</w:t>
      </w:r>
      <w:r w:rsidR="00ED0CC7">
        <w:rPr>
          <w:rStyle w:val="FootnoteReference"/>
        </w:rPr>
        <w:footnoteReference w:id="24"/>
      </w:r>
      <w:r w:rsidR="00ED0CC7">
        <w:t xml:space="preserve"> The oil is told to be highly flammable, which adds another monstrous element to the creature and by default another monstrous impact on the representations of India</w:t>
      </w:r>
      <w:r w:rsidR="00DA2805">
        <w:t xml:space="preserve">. </w:t>
      </w:r>
    </w:p>
    <w:p w14:paraId="6EB1A67D" w14:textId="32A639B9" w:rsidR="00ED0CC7" w:rsidRDefault="00ED0CC7">
      <w:r>
        <w:t>In conclusion</w:t>
      </w:r>
      <w:r w:rsidR="00DA2805">
        <w:t xml:space="preserve">, Ctesias’ </w:t>
      </w:r>
      <w:proofErr w:type="spellStart"/>
      <w:r w:rsidR="00DA2805">
        <w:rPr>
          <w:i/>
        </w:rPr>
        <w:t>Indika</w:t>
      </w:r>
      <w:proofErr w:type="spellEnd"/>
      <w:r w:rsidR="00DA2805">
        <w:t xml:space="preserve"> impacts the representations of India through his explanations of the creatures and people, both fantastical and monstrous, that inhabit the country. Creatures such as the </w:t>
      </w:r>
      <w:proofErr w:type="spellStart"/>
      <w:r w:rsidR="00DA2805">
        <w:t>Cynocephaloi</w:t>
      </w:r>
      <w:proofErr w:type="spellEnd"/>
      <w:r w:rsidR="00DA2805">
        <w:t xml:space="preserve"> and the Pygmies are an example of the representations of the Indian people’s relations to monstrous and fantastical creatures as they are integrated into society. The human qualities of communication also bring the creatures further into society and out of the periphery vision that is most seen in Ancient Greek culture; the </w:t>
      </w:r>
      <w:proofErr w:type="spellStart"/>
      <w:r w:rsidR="00DA2805">
        <w:t>Bittakos</w:t>
      </w:r>
      <w:proofErr w:type="spellEnd"/>
      <w:r w:rsidR="00DA2805">
        <w:t xml:space="preserve"> can speak like a human although it is a bird, and the </w:t>
      </w:r>
      <w:proofErr w:type="spellStart"/>
      <w:r w:rsidR="00DA2805">
        <w:t>Cynocephaloi</w:t>
      </w:r>
      <w:proofErr w:type="spellEnd"/>
      <w:r w:rsidR="00DA2805">
        <w:t xml:space="preserve"> can communicate like the deaf and mute and with a series of howling, the Pygmies us the Indian language as their main form of communication. The integration of these creatures into society impacts India’s representations as it appears </w:t>
      </w:r>
      <w:r w:rsidR="00B90A8C">
        <w:t xml:space="preserve">that India is a dangerous place; the </w:t>
      </w:r>
      <w:proofErr w:type="spellStart"/>
      <w:r w:rsidR="00B90A8C">
        <w:t>Martichora</w:t>
      </w:r>
      <w:proofErr w:type="spellEnd"/>
      <w:r w:rsidR="00B90A8C">
        <w:t xml:space="preserve"> and the Indus River worm and their descriptions of manlike features and comparisons to ten-year-olds further implement the representation of danger, but also creat</w:t>
      </w:r>
      <w:r w:rsidR="0006230D">
        <w:t>e</w:t>
      </w:r>
      <w:r w:rsidR="00B90A8C">
        <w:t xml:space="preserve"> a fantastical element to India.</w:t>
      </w:r>
      <w:r w:rsidR="0006230D">
        <w:t xml:space="preserve"> In addition, Ctesias’ descriptions of the Unicorn’s medicinal horn, the use of elephants as horses, and the Griffin’s abundance of gold emphasise the fantastical nature of India. When put together with the description of the heat and hurricanes, and the plentiful gems such as amber in the river, represent as India as other-worldly.</w:t>
      </w:r>
    </w:p>
    <w:p w14:paraId="2E013C22" w14:textId="006CBA99" w:rsidR="004B05EE" w:rsidRDefault="004B05EE"/>
    <w:p w14:paraId="663F35AE" w14:textId="62B65610" w:rsidR="004B05EE" w:rsidRDefault="004B05EE">
      <w:r>
        <w:rPr>
          <w:b/>
          <w:u w:val="single"/>
        </w:rPr>
        <w:t xml:space="preserve">Wordcount: </w:t>
      </w:r>
      <w:r>
        <w:t>2053</w:t>
      </w:r>
    </w:p>
    <w:p w14:paraId="08108227" w14:textId="26A78DF6" w:rsidR="004B05EE" w:rsidRDefault="004B05EE">
      <w:pPr>
        <w:rPr>
          <w:b/>
          <w:u w:val="single"/>
        </w:rPr>
      </w:pPr>
      <w:r>
        <w:rPr>
          <w:b/>
          <w:u w:val="single"/>
        </w:rPr>
        <w:t>Bibliography</w:t>
      </w:r>
    </w:p>
    <w:p w14:paraId="001B7BA4" w14:textId="1091944F" w:rsidR="004B05EE" w:rsidRDefault="004B05EE">
      <w:pPr>
        <w:rPr>
          <w:b/>
        </w:rPr>
      </w:pPr>
      <w:r>
        <w:rPr>
          <w:b/>
        </w:rPr>
        <w:t>Modern sources</w:t>
      </w:r>
    </w:p>
    <w:p w14:paraId="3CD28AC4" w14:textId="7C35F8C4" w:rsidR="00AD3CA5" w:rsidRPr="00AD3CA5" w:rsidRDefault="00AD3CA5" w:rsidP="00AB52D9">
      <w:pPr>
        <w:rPr>
          <w:rFonts w:cstheme="minorHAnsi"/>
        </w:rPr>
      </w:pPr>
      <w:r>
        <w:rPr>
          <w:rFonts w:cstheme="minorHAnsi"/>
        </w:rPr>
        <w:t xml:space="preserve">Cohen, J. J., 1996. </w:t>
      </w:r>
      <w:r>
        <w:rPr>
          <w:rFonts w:cstheme="minorHAnsi"/>
          <w:i/>
        </w:rPr>
        <w:t xml:space="preserve">Monster Theory. </w:t>
      </w:r>
      <w:r>
        <w:rPr>
          <w:rFonts w:cstheme="minorHAnsi"/>
        </w:rPr>
        <w:t xml:space="preserve">University of Minnesota Press: Minneapolis. </w:t>
      </w:r>
    </w:p>
    <w:p w14:paraId="6B0E1978" w14:textId="7AA591AD" w:rsidR="00AB52D9" w:rsidRPr="00B471BA" w:rsidRDefault="00AB52D9" w:rsidP="00AB52D9">
      <w:pPr>
        <w:rPr>
          <w:rFonts w:cstheme="minorHAnsi"/>
        </w:rPr>
      </w:pPr>
      <w:proofErr w:type="spellStart"/>
      <w:r w:rsidRPr="00B471BA">
        <w:rPr>
          <w:rFonts w:cstheme="minorHAnsi"/>
        </w:rPr>
        <w:t>Csapo</w:t>
      </w:r>
      <w:proofErr w:type="spellEnd"/>
      <w:r w:rsidRPr="00B471BA">
        <w:rPr>
          <w:rFonts w:cstheme="minorHAnsi"/>
        </w:rPr>
        <w:t xml:space="preserve">, E., 2005. </w:t>
      </w:r>
      <w:r w:rsidRPr="00B471BA">
        <w:rPr>
          <w:rFonts w:cstheme="minorHAnsi"/>
          <w:i/>
        </w:rPr>
        <w:t>Theories of Mythology.</w:t>
      </w:r>
      <w:r w:rsidRPr="00B471BA">
        <w:rPr>
          <w:rFonts w:cstheme="minorHAnsi"/>
        </w:rPr>
        <w:t xml:space="preserve"> Blackwell Publishing: Oxford.</w:t>
      </w:r>
    </w:p>
    <w:p w14:paraId="3BF34B1A" w14:textId="3D957323" w:rsidR="00AB52D9" w:rsidRDefault="00AB52D9">
      <w:pPr>
        <w:rPr>
          <w:rFonts w:cstheme="minorHAnsi"/>
        </w:rPr>
      </w:pPr>
      <w:proofErr w:type="spellStart"/>
      <w:r w:rsidRPr="00B471BA">
        <w:rPr>
          <w:rFonts w:cstheme="minorHAnsi"/>
        </w:rPr>
        <w:t>Murgatroyd</w:t>
      </w:r>
      <w:proofErr w:type="spellEnd"/>
      <w:r w:rsidRPr="00B471BA">
        <w:rPr>
          <w:rFonts w:cstheme="minorHAnsi"/>
        </w:rPr>
        <w:t xml:space="preserve">, P., 2007. </w:t>
      </w:r>
      <w:r w:rsidRPr="00B471BA">
        <w:rPr>
          <w:rFonts w:cstheme="minorHAnsi"/>
          <w:i/>
        </w:rPr>
        <w:t>Mythical Monsters in Classical Literature.</w:t>
      </w:r>
      <w:r w:rsidRPr="00B471BA">
        <w:rPr>
          <w:rFonts w:cstheme="minorHAnsi"/>
        </w:rPr>
        <w:t xml:space="preserve"> Gerald Duckworth and Co. Ltd.: London.</w:t>
      </w:r>
    </w:p>
    <w:p w14:paraId="296EC9FA" w14:textId="16B10B1F" w:rsidR="00AD3CA5" w:rsidRPr="00AD3CA5" w:rsidRDefault="00AD3CA5">
      <w:pPr>
        <w:rPr>
          <w:rFonts w:cstheme="minorHAnsi"/>
        </w:rPr>
      </w:pPr>
      <w:r>
        <w:rPr>
          <w:rFonts w:cstheme="minorHAnsi"/>
        </w:rPr>
        <w:t xml:space="preserve">Purves, A. C., 2010. </w:t>
      </w:r>
      <w:r>
        <w:rPr>
          <w:rFonts w:cstheme="minorHAnsi"/>
          <w:i/>
        </w:rPr>
        <w:t>Space and Time in the Ancient Greek Narrative.</w:t>
      </w:r>
      <w:r>
        <w:rPr>
          <w:rFonts w:cstheme="minorHAnsi"/>
        </w:rPr>
        <w:t xml:space="preserve"> Cambridge University Press: New York.</w:t>
      </w:r>
    </w:p>
    <w:p w14:paraId="468C0C4F" w14:textId="36C35EE0" w:rsidR="004B05EE" w:rsidRDefault="004B05EE">
      <w:r>
        <w:t xml:space="preserve">Ruickbie, L., 2016. </w:t>
      </w:r>
      <w:r>
        <w:rPr>
          <w:i/>
        </w:rPr>
        <w:t>The Impossible Zoo.</w:t>
      </w:r>
      <w:r>
        <w:t xml:space="preserve"> Robinson: London.</w:t>
      </w:r>
    </w:p>
    <w:p w14:paraId="581B9F84" w14:textId="789D8F16" w:rsidR="004B05EE" w:rsidRDefault="00AB52D9">
      <w:pPr>
        <w:rPr>
          <w:b/>
        </w:rPr>
      </w:pPr>
      <w:r>
        <w:rPr>
          <w:b/>
        </w:rPr>
        <w:t>Ancient sources</w:t>
      </w:r>
    </w:p>
    <w:p w14:paraId="10F24589" w14:textId="77777777" w:rsidR="00AB52D9" w:rsidRPr="00B471BA" w:rsidRDefault="00AB52D9" w:rsidP="00AB52D9">
      <w:pPr>
        <w:spacing w:line="240" w:lineRule="auto"/>
        <w:rPr>
          <w:rFonts w:cstheme="minorHAnsi"/>
          <w:shd w:val="clear" w:color="auto" w:fill="FFFFFF"/>
        </w:rPr>
      </w:pPr>
      <w:r w:rsidRPr="00B471BA">
        <w:rPr>
          <w:rFonts w:cstheme="minorHAnsi"/>
        </w:rPr>
        <w:t>Herodotus</w:t>
      </w:r>
      <w:r w:rsidRPr="00B471BA">
        <w:rPr>
          <w:rFonts w:cstheme="minorHAnsi"/>
          <w:i/>
        </w:rPr>
        <w:t>, The Histories.</w:t>
      </w:r>
      <w:r w:rsidRPr="00B471BA">
        <w:rPr>
          <w:rFonts w:cstheme="minorHAnsi"/>
        </w:rPr>
        <w:t xml:space="preserve"> T. Holland (trans.). 2014. London: </w:t>
      </w:r>
      <w:r w:rsidRPr="00B471BA">
        <w:rPr>
          <w:rFonts w:cstheme="minorHAnsi"/>
          <w:shd w:val="clear" w:color="auto" w:fill="FFFFFF"/>
        </w:rPr>
        <w:t>Penguin Classics.</w:t>
      </w:r>
    </w:p>
    <w:p w14:paraId="4F873467" w14:textId="6D193224" w:rsidR="00AB52D9" w:rsidRPr="00AB52D9" w:rsidRDefault="00AB52D9">
      <w:proofErr w:type="spellStart"/>
      <w:r>
        <w:t>Photius</w:t>
      </w:r>
      <w:proofErr w:type="spellEnd"/>
      <w:r>
        <w:t xml:space="preserve">, </w:t>
      </w:r>
      <w:r>
        <w:rPr>
          <w:i/>
        </w:rPr>
        <w:t xml:space="preserve">The </w:t>
      </w:r>
      <w:proofErr w:type="spellStart"/>
      <w:r>
        <w:rPr>
          <w:i/>
        </w:rPr>
        <w:t>Bibliothca</w:t>
      </w:r>
      <w:proofErr w:type="spellEnd"/>
      <w:r>
        <w:rPr>
          <w:i/>
        </w:rPr>
        <w:t>.</w:t>
      </w:r>
      <w:r>
        <w:t xml:space="preserve"> N. G. Wilson (trans.). 1994. </w:t>
      </w:r>
      <w:r w:rsidR="00AD3CA5">
        <w:t>Oxford: Bloomsbury Academic.</w:t>
      </w:r>
    </w:p>
    <w:sectPr w:rsidR="00AB52D9" w:rsidRPr="00AB52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5ADD4" w14:textId="77777777" w:rsidR="007D7593" w:rsidRDefault="007D7593" w:rsidP="00A57064">
      <w:pPr>
        <w:spacing w:after="0" w:line="240" w:lineRule="auto"/>
      </w:pPr>
      <w:r>
        <w:separator/>
      </w:r>
    </w:p>
  </w:endnote>
  <w:endnote w:type="continuationSeparator" w:id="0">
    <w:p w14:paraId="16651425" w14:textId="77777777" w:rsidR="007D7593" w:rsidRDefault="007D7593" w:rsidP="00A5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4DA85" w14:textId="77777777" w:rsidR="007D7593" w:rsidRDefault="007D7593" w:rsidP="00A57064">
      <w:pPr>
        <w:spacing w:after="0" w:line="240" w:lineRule="auto"/>
      </w:pPr>
      <w:r>
        <w:separator/>
      </w:r>
    </w:p>
  </w:footnote>
  <w:footnote w:type="continuationSeparator" w:id="0">
    <w:p w14:paraId="4E7D43F1" w14:textId="77777777" w:rsidR="007D7593" w:rsidRDefault="007D7593" w:rsidP="00A57064">
      <w:pPr>
        <w:spacing w:after="0" w:line="240" w:lineRule="auto"/>
      </w:pPr>
      <w:r>
        <w:continuationSeparator/>
      </w:r>
    </w:p>
  </w:footnote>
  <w:footnote w:id="1">
    <w:p w14:paraId="0525EA2C" w14:textId="30FB4EF4" w:rsidR="00ED0CC7" w:rsidRDefault="00ED0CC7">
      <w:pPr>
        <w:pStyle w:val="FootnoteText"/>
      </w:pPr>
      <w:r>
        <w:rPr>
          <w:rStyle w:val="FootnoteReference"/>
        </w:rPr>
        <w:footnoteRef/>
      </w:r>
      <w:r>
        <w:t xml:space="preserve"> Cohen 1996: 10</w:t>
      </w:r>
    </w:p>
  </w:footnote>
  <w:footnote w:id="2">
    <w:p w14:paraId="4C0B71B2" w14:textId="5517F0F3" w:rsidR="00ED0CC7" w:rsidRDefault="00ED0CC7">
      <w:pPr>
        <w:pStyle w:val="FootnoteText"/>
      </w:pPr>
      <w:r>
        <w:rPr>
          <w:rStyle w:val="FootnoteReference"/>
        </w:rPr>
        <w:footnoteRef/>
      </w:r>
      <w:r>
        <w:t xml:space="preserve"> Phot. Bibl. 72p. 45a 21-50a 4</w:t>
      </w:r>
    </w:p>
  </w:footnote>
  <w:footnote w:id="3">
    <w:p w14:paraId="2ECCBC48" w14:textId="4F7E1CB2" w:rsidR="00ED0CC7" w:rsidRDefault="00ED0CC7">
      <w:pPr>
        <w:pStyle w:val="FootnoteText"/>
      </w:pPr>
      <w:r>
        <w:rPr>
          <w:rStyle w:val="FootnoteReference"/>
        </w:rPr>
        <w:footnoteRef/>
      </w:r>
      <w:r>
        <w:t xml:space="preserve"> Cohen 1996: 9</w:t>
      </w:r>
    </w:p>
  </w:footnote>
  <w:footnote w:id="4">
    <w:p w14:paraId="1CA13FC0" w14:textId="214210F8" w:rsidR="00ED0CC7" w:rsidRDefault="00ED0CC7">
      <w:pPr>
        <w:pStyle w:val="FootnoteText"/>
      </w:pPr>
      <w:r>
        <w:rPr>
          <w:rStyle w:val="FootnoteReference"/>
        </w:rPr>
        <w:footnoteRef/>
      </w:r>
      <w:r>
        <w:t xml:space="preserve"> </w:t>
      </w:r>
      <w:proofErr w:type="spellStart"/>
      <w:r>
        <w:t>Hdt</w:t>
      </w:r>
      <w:proofErr w:type="spellEnd"/>
      <w:r>
        <w:t>. 3.101</w:t>
      </w:r>
    </w:p>
  </w:footnote>
  <w:footnote w:id="5">
    <w:p w14:paraId="6F440E3F" w14:textId="1D6AE579" w:rsidR="0006230D" w:rsidRDefault="0006230D">
      <w:pPr>
        <w:pStyle w:val="FootnoteText"/>
      </w:pPr>
      <w:r>
        <w:rPr>
          <w:rStyle w:val="FootnoteReference"/>
        </w:rPr>
        <w:footnoteRef/>
      </w:r>
      <w:r>
        <w:t xml:space="preserve"> </w:t>
      </w:r>
      <w:r>
        <w:t>Phot. Bibl. 72p. 45a 21-50a 4</w:t>
      </w:r>
    </w:p>
  </w:footnote>
  <w:footnote w:id="6">
    <w:p w14:paraId="24F83143" w14:textId="1DB739C2" w:rsidR="00ED0CC7" w:rsidRDefault="00ED0CC7">
      <w:pPr>
        <w:pStyle w:val="FootnoteText"/>
      </w:pPr>
      <w:r>
        <w:rPr>
          <w:rStyle w:val="FootnoteReference"/>
        </w:rPr>
        <w:footnoteRef/>
      </w:r>
      <w:r>
        <w:t xml:space="preserve"> Phot. Bibl. 72p. 45a 21-50a 4</w:t>
      </w:r>
    </w:p>
  </w:footnote>
  <w:footnote w:id="7">
    <w:p w14:paraId="02E95B05" w14:textId="0B9665E7" w:rsidR="00ED0CC7" w:rsidRDefault="00ED0CC7">
      <w:pPr>
        <w:pStyle w:val="FootnoteText"/>
      </w:pPr>
      <w:r>
        <w:rPr>
          <w:rStyle w:val="FootnoteReference"/>
        </w:rPr>
        <w:footnoteRef/>
      </w:r>
      <w:r>
        <w:t xml:space="preserve"> Phot. Bibl. 72p. 45a 21-50a 4</w:t>
      </w:r>
    </w:p>
  </w:footnote>
  <w:footnote w:id="8">
    <w:p w14:paraId="04F162A4" w14:textId="734D7593" w:rsidR="00ED0CC7" w:rsidRDefault="00ED0CC7">
      <w:pPr>
        <w:pStyle w:val="FootnoteText"/>
      </w:pPr>
      <w:r>
        <w:rPr>
          <w:rStyle w:val="FootnoteReference"/>
        </w:rPr>
        <w:footnoteRef/>
      </w:r>
      <w:r>
        <w:t xml:space="preserve"> Ruickbie 2016: 47</w:t>
      </w:r>
    </w:p>
  </w:footnote>
  <w:footnote w:id="9">
    <w:p w14:paraId="39161A77" w14:textId="5B0CEE92" w:rsidR="00ED0CC7" w:rsidRDefault="00ED0CC7">
      <w:pPr>
        <w:pStyle w:val="FootnoteText"/>
      </w:pPr>
      <w:r>
        <w:rPr>
          <w:rStyle w:val="FootnoteReference"/>
        </w:rPr>
        <w:footnoteRef/>
      </w:r>
      <w:r>
        <w:t xml:space="preserve"> Phot. Bibl. 72p. 45a 21-50a 4</w:t>
      </w:r>
    </w:p>
  </w:footnote>
  <w:footnote w:id="10">
    <w:p w14:paraId="71529276" w14:textId="5AF19879" w:rsidR="00ED0CC7" w:rsidRDefault="00ED0CC7">
      <w:pPr>
        <w:pStyle w:val="FootnoteText"/>
      </w:pPr>
      <w:r>
        <w:rPr>
          <w:rStyle w:val="FootnoteReference"/>
        </w:rPr>
        <w:footnoteRef/>
      </w:r>
      <w:r>
        <w:t xml:space="preserve"> Phot. Bibl. 72p. 45a 21-50a 4</w:t>
      </w:r>
    </w:p>
  </w:footnote>
  <w:footnote w:id="11">
    <w:p w14:paraId="3E27F8E5" w14:textId="78CE070A" w:rsidR="00ED0CC7" w:rsidRDefault="00ED0CC7">
      <w:pPr>
        <w:pStyle w:val="FootnoteText"/>
      </w:pPr>
      <w:r>
        <w:rPr>
          <w:rStyle w:val="FootnoteReference"/>
        </w:rPr>
        <w:footnoteRef/>
      </w:r>
      <w:r>
        <w:t xml:space="preserve"> Phot. Bibl. 72p. 45a 21-50a 4</w:t>
      </w:r>
    </w:p>
  </w:footnote>
  <w:footnote w:id="12">
    <w:p w14:paraId="5A57A696" w14:textId="63B7C633" w:rsidR="00ED0CC7" w:rsidRDefault="00ED0CC7">
      <w:pPr>
        <w:pStyle w:val="FootnoteText"/>
      </w:pPr>
      <w:r>
        <w:rPr>
          <w:rStyle w:val="FootnoteReference"/>
        </w:rPr>
        <w:footnoteRef/>
      </w:r>
      <w:r>
        <w:t xml:space="preserve"> Phot. Bibl. 72p. 45a 21-50a 4</w:t>
      </w:r>
    </w:p>
  </w:footnote>
  <w:footnote w:id="13">
    <w:p w14:paraId="2F874926" w14:textId="157361B1" w:rsidR="00ED0CC7" w:rsidRDefault="00ED0CC7">
      <w:pPr>
        <w:pStyle w:val="FootnoteText"/>
      </w:pPr>
      <w:r>
        <w:rPr>
          <w:rStyle w:val="FootnoteReference"/>
        </w:rPr>
        <w:footnoteRef/>
      </w:r>
      <w:r>
        <w:t xml:space="preserve"> Phot. Bibl. 72p. 45a 21-50a 4</w:t>
      </w:r>
    </w:p>
  </w:footnote>
  <w:footnote w:id="14">
    <w:p w14:paraId="0B25AC9C" w14:textId="18050FB2" w:rsidR="00ED0CC7" w:rsidRDefault="00ED0CC7">
      <w:pPr>
        <w:pStyle w:val="FootnoteText"/>
      </w:pPr>
      <w:r>
        <w:rPr>
          <w:rStyle w:val="FootnoteReference"/>
        </w:rPr>
        <w:footnoteRef/>
      </w:r>
      <w:r>
        <w:t xml:space="preserve"> Phot. Bibl. 72p. 45a 21-50a 4</w:t>
      </w:r>
    </w:p>
  </w:footnote>
  <w:footnote w:id="15">
    <w:p w14:paraId="3997ACFA" w14:textId="70377241" w:rsidR="00ED0CC7" w:rsidRDefault="00ED0CC7">
      <w:pPr>
        <w:pStyle w:val="FootnoteText"/>
      </w:pPr>
      <w:r>
        <w:rPr>
          <w:rStyle w:val="FootnoteReference"/>
        </w:rPr>
        <w:footnoteRef/>
      </w:r>
      <w:r>
        <w:t xml:space="preserve"> Phot. Bibl. 72p. 45a 21-50a 4</w:t>
      </w:r>
    </w:p>
  </w:footnote>
  <w:footnote w:id="16">
    <w:p w14:paraId="407E9633" w14:textId="4F934AC0" w:rsidR="00ED0CC7" w:rsidRDefault="00ED0CC7">
      <w:pPr>
        <w:pStyle w:val="FootnoteText"/>
      </w:pPr>
      <w:r>
        <w:rPr>
          <w:rStyle w:val="FootnoteReference"/>
        </w:rPr>
        <w:footnoteRef/>
      </w:r>
      <w:r>
        <w:t xml:space="preserve"> Phot. Bibl. 72p. 45a 21-50a 4</w:t>
      </w:r>
    </w:p>
  </w:footnote>
  <w:footnote w:id="17">
    <w:p w14:paraId="544100E4" w14:textId="75FFD71F" w:rsidR="00ED0CC7" w:rsidRDefault="00ED0CC7">
      <w:pPr>
        <w:pStyle w:val="FootnoteText"/>
      </w:pPr>
      <w:r>
        <w:rPr>
          <w:rStyle w:val="FootnoteReference"/>
        </w:rPr>
        <w:footnoteRef/>
      </w:r>
      <w:r>
        <w:t xml:space="preserve"> Phot. Bibl. 72p. 45a 21-50a 4</w:t>
      </w:r>
    </w:p>
  </w:footnote>
  <w:footnote w:id="18">
    <w:p w14:paraId="58E9F706" w14:textId="2EC5AA13" w:rsidR="00ED0CC7" w:rsidRDefault="00ED0CC7">
      <w:pPr>
        <w:pStyle w:val="FootnoteText"/>
      </w:pPr>
      <w:r>
        <w:rPr>
          <w:rStyle w:val="FootnoteReference"/>
        </w:rPr>
        <w:footnoteRef/>
      </w:r>
      <w:r>
        <w:t xml:space="preserve"> </w:t>
      </w:r>
      <w:proofErr w:type="spellStart"/>
      <w:r>
        <w:t>Hdt</w:t>
      </w:r>
      <w:proofErr w:type="spellEnd"/>
      <w:r>
        <w:t>. 3.116</w:t>
      </w:r>
    </w:p>
  </w:footnote>
  <w:footnote w:id="19">
    <w:p w14:paraId="716E46B7" w14:textId="13FE10AD" w:rsidR="00ED0CC7" w:rsidRDefault="00ED0CC7">
      <w:pPr>
        <w:pStyle w:val="FootnoteText"/>
      </w:pPr>
      <w:r>
        <w:rPr>
          <w:rStyle w:val="FootnoteReference"/>
        </w:rPr>
        <w:footnoteRef/>
      </w:r>
      <w:r>
        <w:t xml:space="preserve"> Ruickbie 2016: 79</w:t>
      </w:r>
    </w:p>
  </w:footnote>
  <w:footnote w:id="20">
    <w:p w14:paraId="7A6CAB71" w14:textId="17FCA8C7" w:rsidR="00ED0CC7" w:rsidRDefault="00ED0CC7">
      <w:pPr>
        <w:pStyle w:val="FootnoteText"/>
      </w:pPr>
      <w:r>
        <w:rPr>
          <w:rStyle w:val="FootnoteReference"/>
        </w:rPr>
        <w:footnoteRef/>
      </w:r>
      <w:r>
        <w:t xml:space="preserve"> Phot. Bibl. 72p. 45a 21-50a 4</w:t>
      </w:r>
    </w:p>
  </w:footnote>
  <w:footnote w:id="21">
    <w:p w14:paraId="10943DD5" w14:textId="162FB723" w:rsidR="00ED0CC7" w:rsidRDefault="00ED0CC7">
      <w:pPr>
        <w:pStyle w:val="FootnoteText"/>
      </w:pPr>
      <w:r>
        <w:rPr>
          <w:rStyle w:val="FootnoteReference"/>
        </w:rPr>
        <w:footnoteRef/>
      </w:r>
      <w:r>
        <w:t xml:space="preserve"> Phot. Bibl. 72p. 45a 21-50a 4</w:t>
      </w:r>
    </w:p>
  </w:footnote>
  <w:footnote w:id="22">
    <w:p w14:paraId="49242F76" w14:textId="78705DA3" w:rsidR="00ED0CC7" w:rsidRDefault="00ED0CC7">
      <w:pPr>
        <w:pStyle w:val="FootnoteText"/>
      </w:pPr>
      <w:r>
        <w:rPr>
          <w:rStyle w:val="FootnoteReference"/>
        </w:rPr>
        <w:footnoteRef/>
      </w:r>
      <w:r>
        <w:t xml:space="preserve"> </w:t>
      </w:r>
      <w:proofErr w:type="spellStart"/>
      <w:r>
        <w:t>Murgatroyd</w:t>
      </w:r>
      <w:proofErr w:type="spellEnd"/>
      <w:r>
        <w:t xml:space="preserve"> 2007: 24</w:t>
      </w:r>
    </w:p>
  </w:footnote>
  <w:footnote w:id="23">
    <w:p w14:paraId="517E0DFD" w14:textId="477095AA" w:rsidR="00ED0CC7" w:rsidRDefault="00ED0CC7">
      <w:pPr>
        <w:pStyle w:val="FootnoteText"/>
      </w:pPr>
      <w:r>
        <w:rPr>
          <w:rStyle w:val="FootnoteReference"/>
        </w:rPr>
        <w:footnoteRef/>
      </w:r>
      <w:r>
        <w:t xml:space="preserve"> Phot. Bibl. 72p. 45a 21-50a 4</w:t>
      </w:r>
    </w:p>
  </w:footnote>
  <w:footnote w:id="24">
    <w:p w14:paraId="3E5CCCC3" w14:textId="0E3BF2D2" w:rsidR="00ED0CC7" w:rsidRDefault="00ED0CC7">
      <w:pPr>
        <w:pStyle w:val="FootnoteText"/>
      </w:pPr>
      <w:r>
        <w:rPr>
          <w:rStyle w:val="FootnoteReference"/>
        </w:rPr>
        <w:footnoteRef/>
      </w:r>
      <w:r>
        <w:t xml:space="preserve"> Phot. Bibl. 72p. 45a 21-50a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FEDAF" w14:textId="3EB38F33" w:rsidR="00FA4D3D" w:rsidRDefault="00FA4D3D">
    <w:pPr>
      <w:pStyle w:val="Header"/>
    </w:pPr>
    <w:r>
      <w:t>Tilly Hall</w:t>
    </w:r>
    <w:r>
      <w:ptab w:relativeTo="margin" w:alignment="center" w:leader="none"/>
    </w:r>
    <w:r>
      <w:t>1502328</w:t>
    </w:r>
    <w:r>
      <w:ptab w:relativeTo="margin" w:alignment="right" w:leader="none"/>
    </w:r>
    <w:r>
      <w:t xml:space="preserve">CLCS6015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64"/>
    <w:rsid w:val="000033F6"/>
    <w:rsid w:val="0006230D"/>
    <w:rsid w:val="000F7E32"/>
    <w:rsid w:val="00144050"/>
    <w:rsid w:val="001C48FC"/>
    <w:rsid w:val="001E196B"/>
    <w:rsid w:val="002751C5"/>
    <w:rsid w:val="00393896"/>
    <w:rsid w:val="00430D8A"/>
    <w:rsid w:val="004B05EE"/>
    <w:rsid w:val="004B0B03"/>
    <w:rsid w:val="0050515A"/>
    <w:rsid w:val="005137AA"/>
    <w:rsid w:val="005737F3"/>
    <w:rsid w:val="005E22D1"/>
    <w:rsid w:val="00624A27"/>
    <w:rsid w:val="00661056"/>
    <w:rsid w:val="007261DE"/>
    <w:rsid w:val="007500B9"/>
    <w:rsid w:val="007C28C9"/>
    <w:rsid w:val="007D69E4"/>
    <w:rsid w:val="007D7593"/>
    <w:rsid w:val="0089595A"/>
    <w:rsid w:val="00992EEC"/>
    <w:rsid w:val="009B1FC9"/>
    <w:rsid w:val="009F4EB1"/>
    <w:rsid w:val="00A57064"/>
    <w:rsid w:val="00AB52D9"/>
    <w:rsid w:val="00AD3CA5"/>
    <w:rsid w:val="00B4051A"/>
    <w:rsid w:val="00B90A8C"/>
    <w:rsid w:val="00B9326A"/>
    <w:rsid w:val="00C240FF"/>
    <w:rsid w:val="00C2637F"/>
    <w:rsid w:val="00C63532"/>
    <w:rsid w:val="00C8207C"/>
    <w:rsid w:val="00CB5900"/>
    <w:rsid w:val="00CD5E13"/>
    <w:rsid w:val="00D05226"/>
    <w:rsid w:val="00D8318D"/>
    <w:rsid w:val="00D87678"/>
    <w:rsid w:val="00DA2805"/>
    <w:rsid w:val="00DA4CA5"/>
    <w:rsid w:val="00E21F8C"/>
    <w:rsid w:val="00E842D5"/>
    <w:rsid w:val="00EC45C2"/>
    <w:rsid w:val="00ED0CC7"/>
    <w:rsid w:val="00F2509B"/>
    <w:rsid w:val="00F570E1"/>
    <w:rsid w:val="00FA4D3D"/>
    <w:rsid w:val="00FA5419"/>
    <w:rsid w:val="00FD6B97"/>
    <w:rsid w:val="00FF4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6A5130"/>
  <w15:chartTrackingRefBased/>
  <w15:docId w15:val="{29D450C9-A4D9-4126-B071-627DF0A40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570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7064"/>
    <w:rPr>
      <w:sz w:val="20"/>
      <w:szCs w:val="20"/>
    </w:rPr>
  </w:style>
  <w:style w:type="character" w:styleId="FootnoteReference">
    <w:name w:val="footnote reference"/>
    <w:basedOn w:val="DefaultParagraphFont"/>
    <w:uiPriority w:val="99"/>
    <w:semiHidden/>
    <w:unhideWhenUsed/>
    <w:rsid w:val="00A57064"/>
    <w:rPr>
      <w:vertAlign w:val="superscript"/>
    </w:rPr>
  </w:style>
  <w:style w:type="paragraph" w:styleId="Header">
    <w:name w:val="header"/>
    <w:basedOn w:val="Normal"/>
    <w:link w:val="HeaderChar"/>
    <w:uiPriority w:val="99"/>
    <w:unhideWhenUsed/>
    <w:rsid w:val="00FA4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D3D"/>
  </w:style>
  <w:style w:type="paragraph" w:styleId="Footer">
    <w:name w:val="footer"/>
    <w:basedOn w:val="Normal"/>
    <w:link w:val="FooterChar"/>
    <w:uiPriority w:val="99"/>
    <w:unhideWhenUsed/>
    <w:rsid w:val="00FA4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94661-1BE5-45F4-B81B-94D8DC9AF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Pages>
  <Words>2163</Words>
  <Characters>10990</Characters>
  <Application>Microsoft Office Word</Application>
  <DocSecurity>0</DocSecurity>
  <Lines>140</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hall</dc:creator>
  <cp:keywords/>
  <dc:description/>
  <cp:lastModifiedBy>tilly hall</cp:lastModifiedBy>
  <cp:revision>32</cp:revision>
  <dcterms:created xsi:type="dcterms:W3CDTF">2018-01-19T11:59:00Z</dcterms:created>
  <dcterms:modified xsi:type="dcterms:W3CDTF">2018-01-19T16:42:00Z</dcterms:modified>
</cp:coreProperties>
</file>