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223735" w14:textId="0E779E4C" w:rsidR="001D3619" w:rsidRPr="001F6E2D" w:rsidRDefault="001D3619" w:rsidP="001D3619">
      <w:pPr>
        <w:jc w:val="center"/>
        <w:rPr>
          <w:rFonts w:asciiTheme="minorHAnsi" w:hAnsiTheme="minorHAnsi" w:cstheme="minorHAnsi"/>
          <w:b/>
          <w:bCs/>
          <w:u w:val="single"/>
        </w:rPr>
      </w:pPr>
      <w:r w:rsidRPr="001F6E2D">
        <w:rPr>
          <w:rFonts w:asciiTheme="minorHAnsi" w:hAnsiTheme="minorHAnsi" w:cstheme="minorHAnsi"/>
          <w:b/>
          <w:bCs/>
          <w:u w:val="single"/>
        </w:rPr>
        <w:t xml:space="preserve">Safeguarding </w:t>
      </w:r>
    </w:p>
    <w:p w14:paraId="2D49B15D" w14:textId="77777777" w:rsidR="00FB3DFA" w:rsidRPr="00F27A1B" w:rsidRDefault="00FB3DFA" w:rsidP="001D3619">
      <w:pPr>
        <w:jc w:val="center"/>
        <w:rPr>
          <w:rFonts w:asciiTheme="minorHAnsi" w:hAnsiTheme="minorHAnsi" w:cstheme="minorHAnsi"/>
          <w:u w:val="single"/>
        </w:rPr>
      </w:pPr>
    </w:p>
    <w:p w14:paraId="6ECC7D02" w14:textId="0BE4CDF9" w:rsidR="00FB3DFA" w:rsidRPr="001F6E2D" w:rsidRDefault="00817438" w:rsidP="00817438">
      <w:pPr>
        <w:rPr>
          <w:rFonts w:asciiTheme="minorHAnsi" w:hAnsiTheme="minorHAnsi" w:cstheme="minorHAnsi"/>
          <w:b/>
          <w:bCs/>
          <w:u w:val="single"/>
        </w:rPr>
      </w:pPr>
      <w:r w:rsidRPr="001F6E2D">
        <w:rPr>
          <w:rFonts w:asciiTheme="minorHAnsi" w:hAnsiTheme="minorHAnsi" w:cstheme="minorHAnsi"/>
          <w:b/>
          <w:bCs/>
          <w:u w:val="single"/>
        </w:rPr>
        <w:t xml:space="preserve">Part a </w:t>
      </w:r>
    </w:p>
    <w:p w14:paraId="1539DB70" w14:textId="77777777" w:rsidR="00BE512A" w:rsidRPr="00F27A1B" w:rsidRDefault="00BE512A" w:rsidP="00331B0B">
      <w:pPr>
        <w:rPr>
          <w:rFonts w:asciiTheme="minorHAnsi" w:hAnsiTheme="minorHAnsi" w:cstheme="minorHAnsi"/>
        </w:rPr>
      </w:pPr>
    </w:p>
    <w:p w14:paraId="1AE2C0B8" w14:textId="62C403EF" w:rsidR="00BE512A" w:rsidRPr="00F27A1B" w:rsidRDefault="00BE512A" w:rsidP="00331B0B">
      <w:pPr>
        <w:rPr>
          <w:rFonts w:asciiTheme="minorHAnsi" w:hAnsiTheme="minorHAnsi" w:cstheme="minorHAnsi"/>
        </w:rPr>
      </w:pPr>
      <w:r w:rsidRPr="00F27A1B">
        <w:rPr>
          <w:rFonts w:asciiTheme="minorHAnsi" w:hAnsiTheme="minorHAnsi" w:cstheme="minorHAnsi"/>
        </w:rPr>
        <w:t xml:space="preserve">The case study chosen to discuss throughout this assignment is, case study one. A </w:t>
      </w:r>
      <w:r w:rsidR="00F27A1B" w:rsidRPr="00F27A1B">
        <w:rPr>
          <w:rFonts w:asciiTheme="minorHAnsi" w:hAnsiTheme="minorHAnsi" w:cstheme="minorHAnsi"/>
        </w:rPr>
        <w:t>4-year-old</w:t>
      </w:r>
      <w:r w:rsidRPr="00F27A1B">
        <w:rPr>
          <w:rFonts w:asciiTheme="minorHAnsi" w:hAnsiTheme="minorHAnsi" w:cstheme="minorHAnsi"/>
        </w:rPr>
        <w:t xml:space="preserve"> girl whose name is Joanna has been attending a reception class and has been a happy, outgoing young child. Recently, the teaching assistant has become increasingly concerned because of the behaviour changes Joanna has been displaying. She has become clingy and quiet and has also been wearing clothing that covers her body, despite the weather being very hot. </w:t>
      </w:r>
      <w:r w:rsidR="000E319B" w:rsidRPr="00F27A1B">
        <w:rPr>
          <w:rFonts w:asciiTheme="minorHAnsi" w:hAnsiTheme="minorHAnsi" w:cstheme="minorHAnsi"/>
        </w:rPr>
        <w:t xml:space="preserve">Joanna was doing an activity in the reception class when she reached over the teaching assistant for some glue. This is when the teaching assistant noticed bruising across her ribs and questioned Joanna. She got upset and could not tell the teaching assistant what had happened. </w:t>
      </w:r>
    </w:p>
    <w:p w14:paraId="46C6E8AB" w14:textId="77777777" w:rsidR="000E319B" w:rsidRPr="00F27A1B" w:rsidRDefault="000E319B" w:rsidP="00331B0B">
      <w:pPr>
        <w:rPr>
          <w:rFonts w:asciiTheme="minorHAnsi" w:hAnsiTheme="minorHAnsi" w:cstheme="minorHAnsi"/>
        </w:rPr>
      </w:pPr>
    </w:p>
    <w:p w14:paraId="32A6DFC1" w14:textId="1FFD94AA" w:rsidR="000E319B" w:rsidRPr="00F27A1B" w:rsidRDefault="000E319B" w:rsidP="00331B0B">
      <w:pPr>
        <w:rPr>
          <w:rFonts w:asciiTheme="minorHAnsi" w:hAnsiTheme="minorHAnsi" w:cstheme="minorHAnsi"/>
        </w:rPr>
      </w:pPr>
      <w:r w:rsidRPr="00F27A1B">
        <w:rPr>
          <w:rFonts w:asciiTheme="minorHAnsi" w:hAnsiTheme="minorHAnsi" w:cstheme="minorHAnsi"/>
        </w:rPr>
        <w:t xml:space="preserve">During this assignment, there will be links made to this case study and how the concerns should be reported and what symptoms </w:t>
      </w:r>
      <w:r w:rsidR="00331ACC" w:rsidRPr="00F27A1B">
        <w:rPr>
          <w:rFonts w:asciiTheme="minorHAnsi" w:hAnsiTheme="minorHAnsi" w:cstheme="minorHAnsi"/>
        </w:rPr>
        <w:t xml:space="preserve">of abuse should be recognised within the early years. </w:t>
      </w:r>
    </w:p>
    <w:p w14:paraId="101B756B" w14:textId="77777777" w:rsidR="00E2675A" w:rsidRPr="00F27A1B" w:rsidRDefault="00E2675A" w:rsidP="00331B0B">
      <w:pPr>
        <w:rPr>
          <w:rFonts w:asciiTheme="minorHAnsi" w:hAnsiTheme="minorHAnsi" w:cstheme="minorHAnsi"/>
        </w:rPr>
      </w:pPr>
    </w:p>
    <w:p w14:paraId="6D9BF9ED" w14:textId="23D9697C" w:rsidR="00E2675A" w:rsidRPr="00F27A1B" w:rsidRDefault="00E2675A" w:rsidP="00331B0B">
      <w:pPr>
        <w:rPr>
          <w:rFonts w:asciiTheme="minorHAnsi" w:hAnsiTheme="minorHAnsi" w:cstheme="minorHAnsi"/>
          <w:b/>
          <w:bCs/>
          <w:u w:val="single"/>
        </w:rPr>
      </w:pPr>
      <w:r w:rsidRPr="00F27A1B">
        <w:rPr>
          <w:rFonts w:asciiTheme="minorHAnsi" w:hAnsiTheme="minorHAnsi" w:cstheme="minorHAnsi"/>
          <w:b/>
          <w:bCs/>
          <w:u w:val="single"/>
        </w:rPr>
        <w:t>The importance of recognising signs and symptoms of child abuse</w:t>
      </w:r>
    </w:p>
    <w:p w14:paraId="14143987" w14:textId="77777777" w:rsidR="00E2675A" w:rsidRPr="00F27A1B" w:rsidRDefault="00E2675A" w:rsidP="00331B0B">
      <w:pPr>
        <w:rPr>
          <w:rFonts w:asciiTheme="minorHAnsi" w:hAnsiTheme="minorHAnsi" w:cstheme="minorHAnsi"/>
        </w:rPr>
      </w:pPr>
    </w:p>
    <w:p w14:paraId="122A5973" w14:textId="2F1DEBC8" w:rsidR="00E2675A" w:rsidRPr="00F27A1B" w:rsidRDefault="00E2675A" w:rsidP="00331B0B">
      <w:pPr>
        <w:rPr>
          <w:rFonts w:asciiTheme="minorHAnsi" w:hAnsiTheme="minorHAnsi" w:cstheme="minorHAnsi"/>
        </w:rPr>
      </w:pPr>
      <w:r w:rsidRPr="00F27A1B">
        <w:rPr>
          <w:rFonts w:asciiTheme="minorHAnsi" w:hAnsiTheme="minorHAnsi" w:cstheme="minorHAnsi"/>
        </w:rPr>
        <w:t>For the sake of children's welfare, it is essential to identify the warning signs and symptoms of child abuse, since this aids in early intervention and prevention. The significance of swiftly identifying and resolving child abuse has been emphasised in research and literature for the past 10 years.</w:t>
      </w:r>
      <w:r w:rsidRPr="00F27A1B">
        <w:rPr>
          <w:rFonts w:asciiTheme="minorHAnsi" w:hAnsiTheme="minorHAnsi" w:cstheme="minorHAnsi"/>
        </w:rPr>
        <w:t xml:space="preserve"> </w:t>
      </w:r>
    </w:p>
    <w:p w14:paraId="7ACEC8F3" w14:textId="77777777" w:rsidR="00BB01A2" w:rsidRPr="00F27A1B" w:rsidRDefault="00BB01A2" w:rsidP="00331B0B">
      <w:pPr>
        <w:rPr>
          <w:rFonts w:asciiTheme="minorHAnsi" w:hAnsiTheme="minorHAnsi" w:cstheme="minorHAnsi"/>
        </w:rPr>
      </w:pPr>
    </w:p>
    <w:p w14:paraId="268472FB" w14:textId="550899CC" w:rsidR="001448EE" w:rsidRPr="00F27A1B" w:rsidRDefault="00961F18" w:rsidP="00331B0B">
      <w:pPr>
        <w:rPr>
          <w:rFonts w:asciiTheme="minorHAnsi" w:hAnsiTheme="minorHAnsi" w:cstheme="minorHAnsi"/>
        </w:rPr>
      </w:pPr>
      <w:r w:rsidRPr="00F27A1B">
        <w:rPr>
          <w:rFonts w:asciiTheme="minorHAnsi" w:hAnsiTheme="minorHAnsi" w:cstheme="minorHAnsi"/>
        </w:rPr>
        <w:t xml:space="preserve">There are many types of abuse such as, physical, emotional and sexual abuse. The symptoms for the different types of abuse vary. Signs of physical abuse can be unexplained injuries that are </w:t>
      </w:r>
      <w:r w:rsidR="005B5432" w:rsidRPr="00F27A1B">
        <w:rPr>
          <w:rFonts w:asciiTheme="minorHAnsi" w:hAnsiTheme="minorHAnsi" w:cstheme="minorHAnsi"/>
        </w:rPr>
        <w:t>re-occurring, the child covering their injuries with clothing even in warm weather</w:t>
      </w:r>
      <w:r w:rsidR="00F27A1B">
        <w:rPr>
          <w:rFonts w:asciiTheme="minorHAnsi" w:hAnsiTheme="minorHAnsi" w:cstheme="minorHAnsi"/>
        </w:rPr>
        <w:t xml:space="preserve"> and t</w:t>
      </w:r>
      <w:r w:rsidR="005B5432" w:rsidRPr="00F27A1B">
        <w:rPr>
          <w:rFonts w:asciiTheme="minorHAnsi" w:hAnsiTheme="minorHAnsi" w:cstheme="minorHAnsi"/>
        </w:rPr>
        <w:t xml:space="preserve">he child can also be fearful of physical contact and cower away from touch. (Metropolitan Police, 2024). </w:t>
      </w:r>
    </w:p>
    <w:p w14:paraId="325912BA" w14:textId="6B0C6196" w:rsidR="005B5432" w:rsidRPr="00F27A1B" w:rsidRDefault="001448EE" w:rsidP="00986BD3">
      <w:pPr>
        <w:pStyle w:val="NoSpacing"/>
        <w:rPr>
          <w:rFonts w:cstheme="minorHAnsi"/>
        </w:rPr>
      </w:pPr>
      <w:r w:rsidRPr="00F27A1B">
        <w:rPr>
          <w:rFonts w:cstheme="minorHAnsi"/>
        </w:rPr>
        <w:t xml:space="preserve">Signs and symptoms of </w:t>
      </w:r>
      <w:r w:rsidRPr="00F27A1B">
        <w:rPr>
          <w:rFonts w:cstheme="minorHAnsi"/>
        </w:rPr>
        <w:t xml:space="preserve">emotional </w:t>
      </w:r>
      <w:r w:rsidRPr="00F27A1B">
        <w:rPr>
          <w:rFonts w:cstheme="minorHAnsi"/>
        </w:rPr>
        <w:t xml:space="preserve">abuse can be shown as, a change in behaviour where the child becomes disruptive and angry, a drop in their </w:t>
      </w:r>
      <w:r w:rsidRPr="00F27A1B">
        <w:rPr>
          <w:rFonts w:cstheme="minorHAnsi"/>
        </w:rPr>
        <w:t xml:space="preserve">self-esteem and becoming withdrawn and anxious. (Naughton et al., 2013). </w:t>
      </w:r>
    </w:p>
    <w:p w14:paraId="3E111781" w14:textId="77777777" w:rsidR="00F27A1B" w:rsidRDefault="00C003EE" w:rsidP="00331B0B">
      <w:pPr>
        <w:rPr>
          <w:rFonts w:asciiTheme="minorHAnsi" w:hAnsiTheme="minorHAnsi" w:cstheme="minorHAnsi"/>
        </w:rPr>
      </w:pPr>
      <w:r w:rsidRPr="00F27A1B">
        <w:rPr>
          <w:rFonts w:asciiTheme="minorHAnsi" w:hAnsiTheme="minorHAnsi" w:cstheme="minorHAnsi"/>
        </w:rPr>
        <w:t>Stop It Now (</w:t>
      </w:r>
      <w:r w:rsidR="001448EE" w:rsidRPr="00F27A1B">
        <w:rPr>
          <w:rFonts w:asciiTheme="minorHAnsi" w:hAnsiTheme="minorHAnsi" w:cstheme="minorHAnsi"/>
        </w:rPr>
        <w:t>no date) explains that</w:t>
      </w:r>
      <w:r w:rsidRPr="00F27A1B">
        <w:rPr>
          <w:rFonts w:asciiTheme="minorHAnsi" w:hAnsiTheme="minorHAnsi" w:cstheme="minorHAnsi"/>
        </w:rPr>
        <w:t xml:space="preserve"> </w:t>
      </w:r>
      <w:r w:rsidR="001448EE" w:rsidRPr="00F27A1B">
        <w:rPr>
          <w:rFonts w:asciiTheme="minorHAnsi" w:hAnsiTheme="minorHAnsi" w:cstheme="minorHAnsi"/>
        </w:rPr>
        <w:t>s</w:t>
      </w:r>
      <w:r w:rsidRPr="00F27A1B">
        <w:rPr>
          <w:rFonts w:asciiTheme="minorHAnsi" w:hAnsiTheme="minorHAnsi" w:cstheme="minorHAnsi"/>
        </w:rPr>
        <w:t xml:space="preserve">exual abuse is when a child is forced against their will to engage in sexual </w:t>
      </w:r>
      <w:r w:rsidR="001448EE" w:rsidRPr="00F27A1B">
        <w:rPr>
          <w:rFonts w:asciiTheme="minorHAnsi" w:hAnsiTheme="minorHAnsi" w:cstheme="minorHAnsi"/>
        </w:rPr>
        <w:t>activity,</w:t>
      </w:r>
      <w:r w:rsidRPr="00F27A1B">
        <w:rPr>
          <w:rFonts w:asciiTheme="minorHAnsi" w:hAnsiTheme="minorHAnsi" w:cstheme="minorHAnsi"/>
        </w:rPr>
        <w:t xml:space="preserve"> and they are sometimes unaware of what is happening to them.</w:t>
      </w:r>
    </w:p>
    <w:p w14:paraId="36B5A772" w14:textId="61FABC08" w:rsidR="00961F18" w:rsidRPr="00F27A1B" w:rsidRDefault="008410E6" w:rsidP="00331B0B">
      <w:pPr>
        <w:rPr>
          <w:rFonts w:asciiTheme="minorHAnsi" w:hAnsiTheme="minorHAnsi" w:cstheme="minorHAnsi"/>
        </w:rPr>
      </w:pPr>
      <w:r>
        <w:rPr>
          <w:rFonts w:asciiTheme="minorHAnsi" w:hAnsiTheme="minorHAnsi" w:cstheme="minorHAnsi"/>
        </w:rPr>
        <w:t xml:space="preserve">The ways in which sexual abuse can be identified is if the child has trouble sitting or walking in ways that are unusual for them, bleeding or pains coming from their genital areas and changes in their mood such as, not wanting to be alone and becoming fearful of people they know. </w:t>
      </w:r>
      <w:r w:rsidR="00C003EE" w:rsidRPr="00F27A1B">
        <w:rPr>
          <w:rFonts w:asciiTheme="minorHAnsi" w:hAnsiTheme="minorHAnsi" w:cstheme="minorHAnsi"/>
        </w:rPr>
        <w:t xml:space="preserve"> </w:t>
      </w:r>
      <w:r>
        <w:rPr>
          <w:rFonts w:asciiTheme="minorHAnsi" w:hAnsiTheme="minorHAnsi" w:cstheme="minorHAnsi"/>
        </w:rPr>
        <w:t xml:space="preserve">(NSPCC, 2024) </w:t>
      </w:r>
    </w:p>
    <w:p w14:paraId="5068F3B9" w14:textId="7958266B" w:rsidR="00244FB2" w:rsidRPr="00F27A1B" w:rsidRDefault="00BB01A2" w:rsidP="00331B0B">
      <w:pPr>
        <w:rPr>
          <w:rFonts w:asciiTheme="minorHAnsi" w:hAnsiTheme="minorHAnsi" w:cstheme="minorHAnsi"/>
        </w:rPr>
      </w:pPr>
      <w:r w:rsidRPr="00F27A1B">
        <w:rPr>
          <w:rFonts w:asciiTheme="minorHAnsi" w:hAnsiTheme="minorHAnsi" w:cstheme="minorHAnsi"/>
        </w:rPr>
        <w:t xml:space="preserve">Being able to recognise symptoms of child abuse is vital when working in the early years. NSPCC (2024) tells us that when a child is experiencing </w:t>
      </w:r>
      <w:r w:rsidR="00331ACC" w:rsidRPr="00F27A1B">
        <w:rPr>
          <w:rFonts w:asciiTheme="minorHAnsi" w:hAnsiTheme="minorHAnsi" w:cstheme="minorHAnsi"/>
        </w:rPr>
        <w:t>abuse,</w:t>
      </w:r>
      <w:r w:rsidRPr="00F27A1B">
        <w:rPr>
          <w:rFonts w:asciiTheme="minorHAnsi" w:hAnsiTheme="minorHAnsi" w:cstheme="minorHAnsi"/>
        </w:rPr>
        <w:t xml:space="preserve"> they can be unable to </w:t>
      </w:r>
      <w:r w:rsidR="00CF179D" w:rsidRPr="00F27A1B">
        <w:rPr>
          <w:rFonts w:asciiTheme="minorHAnsi" w:hAnsiTheme="minorHAnsi" w:cstheme="minorHAnsi"/>
        </w:rPr>
        <w:t>express what is happening to them.</w:t>
      </w:r>
    </w:p>
    <w:p w14:paraId="4432A641" w14:textId="77777777" w:rsidR="005205DF" w:rsidRPr="00F27A1B" w:rsidRDefault="005205DF" w:rsidP="00331B0B">
      <w:pPr>
        <w:rPr>
          <w:rFonts w:asciiTheme="minorHAnsi" w:hAnsiTheme="minorHAnsi" w:cstheme="minorHAnsi"/>
        </w:rPr>
      </w:pPr>
    </w:p>
    <w:p w14:paraId="0719D92A" w14:textId="7792A88B" w:rsidR="00331ACC" w:rsidRPr="00F27A1B" w:rsidRDefault="00331ACC" w:rsidP="00331B0B">
      <w:pPr>
        <w:rPr>
          <w:rFonts w:asciiTheme="minorHAnsi" w:hAnsiTheme="minorHAnsi" w:cstheme="minorHAnsi"/>
        </w:rPr>
      </w:pPr>
      <w:r w:rsidRPr="00F27A1B">
        <w:rPr>
          <w:rFonts w:asciiTheme="minorHAnsi" w:hAnsiTheme="minorHAnsi" w:cstheme="minorHAnsi"/>
        </w:rPr>
        <w:t xml:space="preserve">In the case study, Joanna’s behaviour had </w:t>
      </w:r>
      <w:r w:rsidR="00F835E6" w:rsidRPr="00F27A1B">
        <w:rPr>
          <w:rFonts w:asciiTheme="minorHAnsi" w:hAnsiTheme="minorHAnsi" w:cstheme="minorHAnsi"/>
        </w:rPr>
        <w:t>changed,</w:t>
      </w:r>
      <w:r w:rsidRPr="00F27A1B">
        <w:rPr>
          <w:rFonts w:asciiTheme="minorHAnsi" w:hAnsiTheme="minorHAnsi" w:cstheme="minorHAnsi"/>
        </w:rPr>
        <w:t xml:space="preserve"> and she had become quiet and clingy and got upset at being questioned on the bruises noticed on her ribs.</w:t>
      </w:r>
      <w:r w:rsidR="008410E6">
        <w:rPr>
          <w:rFonts w:asciiTheme="minorHAnsi" w:hAnsiTheme="minorHAnsi" w:cstheme="minorHAnsi"/>
        </w:rPr>
        <w:t xml:space="preserve"> She was also wearing clothing that covered her body in the hot weather. Research shows that these are signs of physical abuse.</w:t>
      </w:r>
    </w:p>
    <w:p w14:paraId="58C36F9D" w14:textId="77777777" w:rsidR="001F5125" w:rsidRPr="00F27A1B" w:rsidRDefault="001F5125" w:rsidP="00331B0B">
      <w:pPr>
        <w:rPr>
          <w:rFonts w:asciiTheme="minorHAnsi" w:hAnsiTheme="minorHAnsi" w:cstheme="minorHAnsi"/>
        </w:rPr>
      </w:pPr>
    </w:p>
    <w:p w14:paraId="2C23C65B" w14:textId="62A82A4E" w:rsidR="001F5125" w:rsidRPr="00F27A1B" w:rsidRDefault="001F5125" w:rsidP="00331B0B">
      <w:pPr>
        <w:rPr>
          <w:rFonts w:asciiTheme="minorHAnsi" w:hAnsiTheme="minorHAnsi" w:cstheme="minorHAnsi"/>
        </w:rPr>
      </w:pPr>
      <w:r w:rsidRPr="00F27A1B">
        <w:rPr>
          <w:rFonts w:asciiTheme="minorHAnsi" w:hAnsiTheme="minorHAnsi" w:cstheme="minorHAnsi"/>
        </w:rPr>
        <w:t>Wales Safeguarding Procedures (2024) i</w:t>
      </w:r>
      <w:r w:rsidRPr="00F27A1B">
        <w:rPr>
          <w:rFonts w:asciiTheme="minorHAnsi" w:hAnsiTheme="minorHAnsi" w:cstheme="minorHAnsi"/>
        </w:rPr>
        <w:t>n addition to causing serious harm to children</w:t>
      </w:r>
      <w:r w:rsidR="00244FB2" w:rsidRPr="00F27A1B">
        <w:rPr>
          <w:rFonts w:asciiTheme="minorHAnsi" w:hAnsiTheme="minorHAnsi" w:cstheme="minorHAnsi"/>
        </w:rPr>
        <w:t xml:space="preserve">, </w:t>
      </w:r>
      <w:r w:rsidRPr="00F27A1B">
        <w:rPr>
          <w:rFonts w:asciiTheme="minorHAnsi" w:hAnsiTheme="minorHAnsi" w:cstheme="minorHAnsi"/>
        </w:rPr>
        <w:t>child abuse and neglect can have long-term impacts that persist into adulthood.</w:t>
      </w:r>
      <w:r w:rsidRPr="00F27A1B">
        <w:rPr>
          <w:rFonts w:asciiTheme="minorHAnsi" w:hAnsiTheme="minorHAnsi" w:cstheme="minorHAnsi"/>
        </w:rPr>
        <w:t xml:space="preserve"> </w:t>
      </w:r>
      <w:r w:rsidRPr="00F27A1B">
        <w:rPr>
          <w:rFonts w:asciiTheme="minorHAnsi" w:hAnsiTheme="minorHAnsi" w:cstheme="minorHAnsi"/>
        </w:rPr>
        <w:t>But early assistance, sometimes known as early intervention, can also:</w:t>
      </w:r>
    </w:p>
    <w:p w14:paraId="6DC8C8B6" w14:textId="1E669A8D" w:rsidR="001F5125" w:rsidRPr="00F27A1B" w:rsidRDefault="001F5125" w:rsidP="001F5125">
      <w:pPr>
        <w:pStyle w:val="ListParagraph"/>
        <w:numPr>
          <w:ilvl w:val="0"/>
          <w:numId w:val="1"/>
        </w:numPr>
        <w:rPr>
          <w:rFonts w:asciiTheme="minorHAnsi" w:hAnsiTheme="minorHAnsi" w:cstheme="minorHAnsi"/>
        </w:rPr>
      </w:pPr>
      <w:r w:rsidRPr="00F27A1B">
        <w:rPr>
          <w:rFonts w:asciiTheme="minorHAnsi" w:hAnsiTheme="minorHAnsi" w:cstheme="minorHAnsi"/>
        </w:rPr>
        <w:t>S</w:t>
      </w:r>
      <w:r w:rsidRPr="00F27A1B">
        <w:rPr>
          <w:rFonts w:asciiTheme="minorHAnsi" w:hAnsiTheme="minorHAnsi" w:cstheme="minorHAnsi"/>
        </w:rPr>
        <w:t>afeguard children from abuse, neglect, or harm</w:t>
      </w:r>
    </w:p>
    <w:p w14:paraId="332E59C6" w14:textId="0B44E163" w:rsidR="001F5125" w:rsidRPr="00F27A1B" w:rsidRDefault="001F5125" w:rsidP="001F5125">
      <w:pPr>
        <w:pStyle w:val="ListParagraph"/>
        <w:numPr>
          <w:ilvl w:val="0"/>
          <w:numId w:val="1"/>
        </w:numPr>
        <w:rPr>
          <w:rFonts w:asciiTheme="minorHAnsi" w:hAnsiTheme="minorHAnsi" w:cstheme="minorHAnsi"/>
        </w:rPr>
      </w:pPr>
      <w:r w:rsidRPr="00F27A1B">
        <w:rPr>
          <w:rFonts w:asciiTheme="minorHAnsi" w:hAnsiTheme="minorHAnsi" w:cstheme="minorHAnsi"/>
        </w:rPr>
        <w:t>P</w:t>
      </w:r>
      <w:r w:rsidRPr="00F27A1B">
        <w:rPr>
          <w:rFonts w:asciiTheme="minorHAnsi" w:hAnsiTheme="minorHAnsi" w:cstheme="minorHAnsi"/>
        </w:rPr>
        <w:t>revent issues from getting worse</w:t>
      </w:r>
    </w:p>
    <w:p w14:paraId="6BB785D0" w14:textId="1424A416" w:rsidR="001F5125" w:rsidRPr="00F27A1B" w:rsidRDefault="001F5125" w:rsidP="001F5125">
      <w:pPr>
        <w:pStyle w:val="ListParagraph"/>
        <w:numPr>
          <w:ilvl w:val="0"/>
          <w:numId w:val="1"/>
        </w:numPr>
        <w:rPr>
          <w:rFonts w:asciiTheme="minorHAnsi" w:hAnsiTheme="minorHAnsi" w:cstheme="minorHAnsi"/>
        </w:rPr>
      </w:pPr>
      <w:r w:rsidRPr="00F27A1B">
        <w:rPr>
          <w:rFonts w:asciiTheme="minorHAnsi" w:hAnsiTheme="minorHAnsi" w:cstheme="minorHAnsi"/>
        </w:rPr>
        <w:t>L</w:t>
      </w:r>
      <w:r w:rsidRPr="00F27A1B">
        <w:rPr>
          <w:rFonts w:asciiTheme="minorHAnsi" w:hAnsiTheme="minorHAnsi" w:cstheme="minorHAnsi"/>
        </w:rPr>
        <w:t>essen the need for investigations and actions related to safeguarding</w:t>
      </w:r>
    </w:p>
    <w:p w14:paraId="043E1B5C" w14:textId="5A87F86F" w:rsidR="001F5125" w:rsidRDefault="001F5125" w:rsidP="001F5125">
      <w:pPr>
        <w:pStyle w:val="ListParagraph"/>
        <w:numPr>
          <w:ilvl w:val="0"/>
          <w:numId w:val="1"/>
        </w:numPr>
        <w:rPr>
          <w:rFonts w:asciiTheme="minorHAnsi" w:hAnsiTheme="minorHAnsi" w:cstheme="minorHAnsi"/>
        </w:rPr>
      </w:pPr>
      <w:r w:rsidRPr="00F27A1B">
        <w:rPr>
          <w:rFonts w:asciiTheme="minorHAnsi" w:hAnsiTheme="minorHAnsi" w:cstheme="minorHAnsi"/>
        </w:rPr>
        <w:t>O</w:t>
      </w:r>
      <w:r w:rsidRPr="00F27A1B">
        <w:rPr>
          <w:rFonts w:asciiTheme="minorHAnsi" w:hAnsiTheme="minorHAnsi" w:cstheme="minorHAnsi"/>
        </w:rPr>
        <w:t xml:space="preserve">ffer long-term advantages for the health and wellbeing of the </w:t>
      </w:r>
      <w:r w:rsidR="00CF179D" w:rsidRPr="00F27A1B">
        <w:rPr>
          <w:rFonts w:asciiTheme="minorHAnsi" w:hAnsiTheme="minorHAnsi" w:cstheme="minorHAnsi"/>
        </w:rPr>
        <w:t>child.</w:t>
      </w:r>
    </w:p>
    <w:p w14:paraId="1B2980BF" w14:textId="77777777" w:rsidR="001F6E2D" w:rsidRDefault="001F6E2D" w:rsidP="001F6E2D">
      <w:pPr>
        <w:rPr>
          <w:rFonts w:asciiTheme="minorHAnsi" w:hAnsiTheme="minorHAnsi" w:cstheme="minorHAnsi"/>
        </w:rPr>
      </w:pPr>
    </w:p>
    <w:p w14:paraId="72047E52" w14:textId="4E58283D" w:rsidR="001F6E2D" w:rsidRDefault="00B378EB" w:rsidP="001F6E2D">
      <w:pPr>
        <w:pStyle w:val="NoSpacing"/>
        <w:rPr>
          <w:color w:val="000000" w:themeColor="text1"/>
        </w:rPr>
      </w:pPr>
      <w:r>
        <w:rPr>
          <w:rFonts w:cstheme="minorHAnsi"/>
        </w:rPr>
        <w:t xml:space="preserve">When symptoms of abuse are identified in early years settings, it is important that they are documented and recorded by the early years’ professionals. </w:t>
      </w:r>
      <w:r w:rsidR="001F6E2D">
        <w:rPr>
          <w:rFonts w:cstheme="minorHAnsi"/>
        </w:rPr>
        <w:t xml:space="preserve">Clear and thorough policies and procedures for documenting child abuse should be in place in early childhood settings. </w:t>
      </w:r>
      <w:r w:rsidR="001F6E2D" w:rsidRPr="001F6E2D">
        <w:rPr>
          <w:color w:val="000000" w:themeColor="text1"/>
        </w:rPr>
        <w:t xml:space="preserve">These records </w:t>
      </w:r>
      <w:r w:rsidR="001F6E2D">
        <w:rPr>
          <w:color w:val="000000" w:themeColor="text1"/>
        </w:rPr>
        <w:t>should</w:t>
      </w:r>
      <w:r w:rsidR="001F6E2D" w:rsidRPr="001F6E2D">
        <w:rPr>
          <w:color w:val="000000" w:themeColor="text1"/>
        </w:rPr>
        <w:t xml:space="preserve"> specify the kinds of incidents that need to be </w:t>
      </w:r>
      <w:r w:rsidR="001F6E2D">
        <w:rPr>
          <w:color w:val="000000" w:themeColor="text1"/>
        </w:rPr>
        <w:t>noted</w:t>
      </w:r>
      <w:r w:rsidR="001F6E2D" w:rsidRPr="001F6E2D">
        <w:rPr>
          <w:color w:val="000000" w:themeColor="text1"/>
        </w:rPr>
        <w:t>, how those incidents should be documented, and how to report those incidents to the proper authorities.</w:t>
      </w:r>
      <w:r w:rsidR="001F6E2D">
        <w:rPr>
          <w:color w:val="000000" w:themeColor="text1"/>
        </w:rPr>
        <w:t xml:space="preserve"> (Department for Education, 2015). </w:t>
      </w:r>
    </w:p>
    <w:p w14:paraId="2CC79ACA" w14:textId="288B8802" w:rsidR="00A56D76" w:rsidRDefault="00A56D76" w:rsidP="001F6E2D">
      <w:pPr>
        <w:pStyle w:val="NoSpacing"/>
      </w:pPr>
      <w:r>
        <w:t>Education Scotland (2021) explains that u</w:t>
      </w:r>
      <w:r w:rsidR="001F6E2D" w:rsidRPr="001F6E2D">
        <w:t>tili</w:t>
      </w:r>
      <w:r w:rsidR="00B378EB">
        <w:t>s</w:t>
      </w:r>
      <w:r w:rsidR="001F6E2D" w:rsidRPr="001F6E2D">
        <w:t>ing standardi</w:t>
      </w:r>
      <w:r w:rsidR="00033BF4">
        <w:t>s</w:t>
      </w:r>
      <w:r w:rsidR="001F6E2D" w:rsidRPr="001F6E2D">
        <w:t xml:space="preserve">ed forms for recording incidents ensures consistency and completeness. These forms may include details such as the date and time of the incident, a description of what </w:t>
      </w:r>
      <w:r>
        <w:t>has happened</w:t>
      </w:r>
      <w:r w:rsidR="001F6E2D" w:rsidRPr="001F6E2D">
        <w:t>, any observable signs or symptoms, and actions taken by staff.</w:t>
      </w:r>
      <w:r>
        <w:t xml:space="preserve"> </w:t>
      </w:r>
    </w:p>
    <w:p w14:paraId="4AA41650" w14:textId="4FCC8E85" w:rsidR="00A56D76" w:rsidRPr="00A56D76" w:rsidRDefault="00A56D76" w:rsidP="00A56D76">
      <w:pPr>
        <w:pStyle w:val="NoSpacing"/>
      </w:pPr>
      <w:r w:rsidRPr="00A56D76">
        <w:t xml:space="preserve">Maintaining the confidentiality of recorded information is paramount. Early Years settings should </w:t>
      </w:r>
      <w:r w:rsidRPr="00A56D76">
        <w:t>begin</w:t>
      </w:r>
      <w:r w:rsidRPr="00A56D76">
        <w:t xml:space="preserve"> protocols to ensure that records are accessible only to authori</w:t>
      </w:r>
      <w:r w:rsidR="00CA55A7">
        <w:t>s</w:t>
      </w:r>
      <w:r w:rsidRPr="00A56D76">
        <w:t xml:space="preserve">ed </w:t>
      </w:r>
      <w:r w:rsidR="00CA55A7" w:rsidRPr="00A56D76">
        <w:t>people</w:t>
      </w:r>
      <w:r w:rsidRPr="00A56D76">
        <w:t>, adhering to data protection regulations.</w:t>
      </w:r>
      <w:r w:rsidR="00CA55A7">
        <w:t xml:space="preserve"> (NSPCC, </w:t>
      </w:r>
      <w:r w:rsidR="00986BD3">
        <w:t xml:space="preserve">2024). </w:t>
      </w:r>
    </w:p>
    <w:p w14:paraId="032DE8B2" w14:textId="77777777" w:rsidR="00A56D76" w:rsidRDefault="00A56D76" w:rsidP="001F6E2D">
      <w:pPr>
        <w:pStyle w:val="NoSpacing"/>
      </w:pPr>
    </w:p>
    <w:p w14:paraId="315A2742" w14:textId="2F45BD45" w:rsidR="00986BD3" w:rsidRPr="001F6E2D" w:rsidRDefault="00B378EB" w:rsidP="001F6E2D">
      <w:pPr>
        <w:pStyle w:val="NoSpacing"/>
      </w:pPr>
      <w:proofErr w:type="gramStart"/>
      <w:r>
        <w:t>Referring back</w:t>
      </w:r>
      <w:proofErr w:type="gramEnd"/>
      <w:r>
        <w:t xml:space="preserve"> to the case study, Joanna’s teaching assistant should document concerns they have </w:t>
      </w:r>
      <w:r w:rsidR="001F7025">
        <w:t>in regard to</w:t>
      </w:r>
      <w:r>
        <w:t xml:space="preserve"> abuse so early interventions can be put in place for Joanna’s wellbeing. </w:t>
      </w:r>
      <w:r w:rsidR="001F7025">
        <w:t xml:space="preserve">The teaching assistant needs to ensure that they are familiar with the policies and procedures </w:t>
      </w:r>
      <w:r w:rsidR="009F7963">
        <w:t>o</w:t>
      </w:r>
      <w:r w:rsidR="001F7025">
        <w:t xml:space="preserve">f the setting for documenting child abuse concerns. When the bruising on Joanna’s ribs was seen, the teaching assistant should use open ended questions to allow Joanna to give a narrative of the events that have caused the bruising. The </w:t>
      </w:r>
      <w:proofErr w:type="gramStart"/>
      <w:r w:rsidR="001F7025">
        <w:t>open ended</w:t>
      </w:r>
      <w:proofErr w:type="gramEnd"/>
      <w:r w:rsidR="001F7025">
        <w:t xml:space="preserve"> questions should be non-leading and allow the child to explain the events in their own words</w:t>
      </w:r>
      <w:r w:rsidR="000220E0">
        <w:t xml:space="preserve"> </w:t>
      </w:r>
      <w:r w:rsidR="000220E0" w:rsidRPr="000220E0">
        <w:t>(</w:t>
      </w:r>
      <w:proofErr w:type="spellStart"/>
      <w:r w:rsidR="000220E0" w:rsidRPr="000220E0">
        <w:t>Hershkowitz</w:t>
      </w:r>
      <w:proofErr w:type="spellEnd"/>
      <w:r w:rsidR="000220E0" w:rsidRPr="000220E0">
        <w:t xml:space="preserve"> et al., 2014)</w:t>
      </w:r>
      <w:r w:rsidR="000220E0">
        <w:t>. The teaching assistant can prevent unintentional bias in Joanna’s answers by using non-suggestive language</w:t>
      </w:r>
      <w:r w:rsidR="007F0266">
        <w:t xml:space="preserve"> </w:t>
      </w:r>
      <w:r w:rsidR="007F0266" w:rsidRPr="007F0266">
        <w:t>(McWilliams et al., 2016)</w:t>
      </w:r>
      <w:r w:rsidR="007F0266">
        <w:t xml:space="preserve">. </w:t>
      </w:r>
      <w:r w:rsidR="009F7963">
        <w:t xml:space="preserve">When child abuse has occurred, it is imperative to seek specific details and clarify any information provided by the use of open-ended questions. Closed-ended questions can be used to do receive yes or no answers (NSPCC, 2024). </w:t>
      </w:r>
    </w:p>
    <w:p w14:paraId="2F9BC247" w14:textId="77777777" w:rsidR="00817438" w:rsidRPr="00F27A1B" w:rsidRDefault="00817438" w:rsidP="00244FB2">
      <w:pPr>
        <w:rPr>
          <w:rFonts w:asciiTheme="minorHAnsi" w:hAnsiTheme="minorHAnsi" w:cstheme="minorHAnsi"/>
          <w:color w:val="FF0000"/>
        </w:rPr>
      </w:pPr>
    </w:p>
    <w:p w14:paraId="2CA07225" w14:textId="77777777" w:rsidR="00817438" w:rsidRPr="00F02F06" w:rsidRDefault="00817438" w:rsidP="00244FB2">
      <w:pPr>
        <w:rPr>
          <w:rFonts w:asciiTheme="minorHAnsi" w:hAnsiTheme="minorHAnsi" w:cstheme="minorHAnsi"/>
          <w:b/>
          <w:bCs/>
          <w:color w:val="000000" w:themeColor="text1"/>
          <w:u w:val="single"/>
        </w:rPr>
      </w:pPr>
      <w:r w:rsidRPr="00F02F06">
        <w:rPr>
          <w:rFonts w:asciiTheme="minorHAnsi" w:hAnsiTheme="minorHAnsi" w:cstheme="minorHAnsi"/>
          <w:b/>
          <w:bCs/>
          <w:color w:val="000000" w:themeColor="text1"/>
          <w:u w:val="single"/>
        </w:rPr>
        <w:t>Part b</w:t>
      </w:r>
    </w:p>
    <w:p w14:paraId="60EA28D7" w14:textId="77777777" w:rsidR="00817438" w:rsidRPr="00F27A1B" w:rsidRDefault="00817438" w:rsidP="003B6692">
      <w:pPr>
        <w:pStyle w:val="NoSpacing"/>
        <w:rPr>
          <w:rFonts w:cstheme="minorHAnsi"/>
          <w:color w:val="000000" w:themeColor="text1"/>
        </w:rPr>
      </w:pPr>
    </w:p>
    <w:p w14:paraId="537D8C1F" w14:textId="127572B5" w:rsidR="00486694" w:rsidRDefault="003B6692" w:rsidP="003B6692">
      <w:pPr>
        <w:pStyle w:val="NoSpacing"/>
        <w:rPr>
          <w:rFonts w:cstheme="minorHAnsi"/>
          <w:color w:val="000000" w:themeColor="text1"/>
        </w:rPr>
      </w:pPr>
      <w:r w:rsidRPr="00F27A1B">
        <w:rPr>
          <w:rFonts w:cstheme="minorHAnsi"/>
          <w:color w:val="000000" w:themeColor="text1"/>
        </w:rPr>
        <w:t xml:space="preserve">The reporting and referral process for child abuse is a </w:t>
      </w:r>
      <w:r w:rsidRPr="00F27A1B">
        <w:rPr>
          <w:rFonts w:cstheme="minorHAnsi"/>
          <w:color w:val="000000" w:themeColor="text1"/>
        </w:rPr>
        <w:t>fundamental</w:t>
      </w:r>
      <w:r w:rsidRPr="00F27A1B">
        <w:rPr>
          <w:rFonts w:cstheme="minorHAnsi"/>
          <w:color w:val="000000" w:themeColor="text1"/>
        </w:rPr>
        <w:t xml:space="preserve"> component in safeguarding the well-being of children. This process involves recogni</w:t>
      </w:r>
      <w:r w:rsidRPr="00F27A1B">
        <w:rPr>
          <w:rFonts w:cstheme="minorHAnsi"/>
          <w:color w:val="000000" w:themeColor="text1"/>
        </w:rPr>
        <w:t>s</w:t>
      </w:r>
      <w:r w:rsidRPr="00F27A1B">
        <w:rPr>
          <w:rFonts w:cstheme="minorHAnsi"/>
          <w:color w:val="000000" w:themeColor="text1"/>
        </w:rPr>
        <w:t xml:space="preserve">ing signs of abuse, reporting concerns to appropriate authorities, and </w:t>
      </w:r>
      <w:r w:rsidRPr="00F27A1B">
        <w:rPr>
          <w:rFonts w:cstheme="minorHAnsi"/>
          <w:color w:val="000000" w:themeColor="text1"/>
        </w:rPr>
        <w:t>making sure</w:t>
      </w:r>
      <w:r w:rsidRPr="00F27A1B">
        <w:rPr>
          <w:rFonts w:cstheme="minorHAnsi"/>
          <w:color w:val="000000" w:themeColor="text1"/>
        </w:rPr>
        <w:t xml:space="preserve"> that the child receives the necessary support and protection.</w:t>
      </w:r>
      <w:r w:rsidRPr="00F27A1B">
        <w:rPr>
          <w:rFonts w:cstheme="minorHAnsi"/>
          <w:color w:val="000000" w:themeColor="text1"/>
        </w:rPr>
        <w:t xml:space="preserve"> </w:t>
      </w:r>
      <w:r w:rsidR="004C2828" w:rsidRPr="00F27A1B">
        <w:rPr>
          <w:rFonts w:cstheme="minorHAnsi"/>
          <w:color w:val="000000" w:themeColor="text1"/>
        </w:rPr>
        <w:t xml:space="preserve">(Child Law Advice, 2023). </w:t>
      </w:r>
    </w:p>
    <w:p w14:paraId="2FAF8E83" w14:textId="06EF99C2" w:rsidR="00443EC2" w:rsidRDefault="00E05CDF" w:rsidP="00443EC2">
      <w:pPr>
        <w:pStyle w:val="NoSpacing"/>
      </w:pPr>
      <w:r>
        <w:t>Children Welfare Information Gateway (2020) tell us that p</w:t>
      </w:r>
      <w:r w:rsidRPr="00E05CDF">
        <w:t>rofessionals who work with children are usually required by law to report any suspicions of child abuse</w:t>
      </w:r>
      <w:r w:rsidRPr="00AB4803">
        <w:t xml:space="preserve">. </w:t>
      </w:r>
      <w:r w:rsidR="00AB4803" w:rsidRPr="00AB4803">
        <w:t xml:space="preserve">Policies </w:t>
      </w:r>
      <w:r w:rsidR="00443EC2">
        <w:t xml:space="preserve">of the early years setting </w:t>
      </w:r>
      <w:r w:rsidR="00AB4803" w:rsidRPr="00AB4803">
        <w:t>should clearly define various forms of abuse, including physical, sexual, emotional, and neglect. This helps staff members recogni</w:t>
      </w:r>
      <w:r w:rsidR="00443EC2">
        <w:t>s</w:t>
      </w:r>
      <w:r w:rsidR="00AB4803" w:rsidRPr="00AB4803">
        <w:t>e and report different types of abusive situations.</w:t>
      </w:r>
      <w:r w:rsidR="00AB4803">
        <w:t xml:space="preserve"> (Children Welfare Information Gateway (20</w:t>
      </w:r>
      <w:r w:rsidR="0068697A">
        <w:t>18</w:t>
      </w:r>
      <w:r w:rsidR="00AB4803">
        <w:t xml:space="preserve">). </w:t>
      </w:r>
      <w:r w:rsidR="00443EC2" w:rsidRPr="00443EC2">
        <w:t>Establish</w:t>
      </w:r>
      <w:r w:rsidR="00443EC2">
        <w:t xml:space="preserve">ing </w:t>
      </w:r>
      <w:r w:rsidR="00443EC2" w:rsidRPr="00443EC2">
        <w:t xml:space="preserve">clear </w:t>
      </w:r>
      <w:r w:rsidR="00443EC2" w:rsidRPr="00443EC2">
        <w:lastRenderedPageBreak/>
        <w:t xml:space="preserve">reporting procedures </w:t>
      </w:r>
      <w:r w:rsidR="00443EC2">
        <w:t xml:space="preserve">that </w:t>
      </w:r>
      <w:r w:rsidR="00443EC2" w:rsidRPr="00443EC2">
        <w:t>outlin</w:t>
      </w:r>
      <w:r w:rsidR="00443EC2">
        <w:t xml:space="preserve">e </w:t>
      </w:r>
      <w:r w:rsidR="00443EC2" w:rsidRPr="00443EC2">
        <w:t>how and to whom suspected abuse should be reported</w:t>
      </w:r>
      <w:r w:rsidR="00443EC2">
        <w:t xml:space="preserve"> to is a significant action that should be taken in any children’s setting.</w:t>
      </w:r>
      <w:r w:rsidR="00443EC2" w:rsidRPr="00443EC2">
        <w:t xml:space="preserve"> This may include contact information for local child protective services o</w:t>
      </w:r>
      <w:r w:rsidR="00443EC2">
        <w:t>r intervention from the law. (American Academy of Paediatrics, 2015).</w:t>
      </w:r>
    </w:p>
    <w:p w14:paraId="275983C7" w14:textId="77777777" w:rsidR="002C7571" w:rsidRDefault="002C7571" w:rsidP="00443EC2">
      <w:pPr>
        <w:pStyle w:val="NoSpacing"/>
      </w:pPr>
    </w:p>
    <w:p w14:paraId="005F61B0" w14:textId="671BDDAA" w:rsidR="004C2828" w:rsidRPr="00F16141" w:rsidRDefault="002C7571" w:rsidP="003B6692">
      <w:pPr>
        <w:pStyle w:val="NoSpacing"/>
        <w:rPr>
          <w:rFonts w:ascii="Segoe UI" w:hAnsi="Segoe UI" w:cs="Segoe UI"/>
          <w:color w:val="374151"/>
        </w:rPr>
      </w:pPr>
      <w:r>
        <w:t>Although there are many policies, procedures and laws in place for child abuse, there are also many barriers to the reporting and referring process.</w:t>
      </w:r>
      <w:r w:rsidR="009F48D5">
        <w:t xml:space="preserve"> One of these barriers being,</w:t>
      </w:r>
      <w:r>
        <w:t xml:space="preserve"> </w:t>
      </w:r>
      <w:r w:rsidR="009F48D5">
        <w:t>i</w:t>
      </w:r>
      <w:r w:rsidRPr="002C7571">
        <w:t>dentifying and recogni</w:t>
      </w:r>
      <w:r>
        <w:t>s</w:t>
      </w:r>
      <w:r w:rsidRPr="002C7571">
        <w:t>ing child abuse can be subjective, and professionals may interpret signs and symptoms differently. This subjectivity can lead to variations in reporting rates</w:t>
      </w:r>
      <w:r w:rsidR="009F48D5">
        <w:t xml:space="preserve"> </w:t>
      </w:r>
      <w:r w:rsidR="00470FA2" w:rsidRPr="00470FA2">
        <w:t>(Berger et al., 2011)</w:t>
      </w:r>
      <w:r w:rsidR="00470FA2">
        <w:t xml:space="preserve">. </w:t>
      </w:r>
      <w:r w:rsidR="00C44245" w:rsidRPr="00C44245">
        <w:t>Professionals in various fields may not receive adequate training on recogni</w:t>
      </w:r>
      <w:r w:rsidR="00C44245">
        <w:t>s</w:t>
      </w:r>
      <w:r w:rsidR="00C44245" w:rsidRPr="00C44245">
        <w:t xml:space="preserve">ing and reporting child abuse. </w:t>
      </w:r>
      <w:r w:rsidR="00C44245">
        <w:t>A l</w:t>
      </w:r>
      <w:r w:rsidR="00C44245" w:rsidRPr="00C44245">
        <w:t>ack of awareness of the signs, legal obligations, and reporting procedures can hinder the reporting process</w:t>
      </w:r>
      <w:r w:rsidR="00C44245">
        <w:t xml:space="preserve"> </w:t>
      </w:r>
      <w:proofErr w:type="gramStart"/>
      <w:r w:rsidR="00C44245">
        <w:t>and in some cases,</w:t>
      </w:r>
      <w:proofErr w:type="gramEnd"/>
      <w:r w:rsidR="00C44245">
        <w:t xml:space="preserve"> the signs and symptoms may be missed </w:t>
      </w:r>
      <w:r w:rsidR="008E6EB0">
        <w:t>(Dolan and Frost, 2017)</w:t>
      </w:r>
      <w:r w:rsidR="00F16141">
        <w:t xml:space="preserve">. </w:t>
      </w:r>
    </w:p>
    <w:p w14:paraId="5705E22F" w14:textId="60A3A42E" w:rsidR="004C2828" w:rsidRDefault="00CE28B6" w:rsidP="00CE28B6">
      <w:pPr>
        <w:rPr>
          <w:rStyle w:val="apple-converted-space"/>
          <w:rFonts w:asciiTheme="minorHAnsi" w:hAnsiTheme="minorHAnsi" w:cstheme="minorHAnsi"/>
          <w:color w:val="000000"/>
        </w:rPr>
      </w:pPr>
      <w:r w:rsidRPr="00F27A1B">
        <w:rPr>
          <w:rFonts w:asciiTheme="minorHAnsi" w:hAnsiTheme="minorHAnsi" w:cstheme="minorHAnsi"/>
          <w:color w:val="252525"/>
        </w:rPr>
        <w:t xml:space="preserve">The reporting process may </w:t>
      </w:r>
      <w:r w:rsidRPr="00F27A1B">
        <w:rPr>
          <w:rFonts w:asciiTheme="minorHAnsi" w:hAnsiTheme="minorHAnsi" w:cstheme="minorHAnsi"/>
        </w:rPr>
        <w:t xml:space="preserve">be hampered by </w:t>
      </w:r>
      <w:proofErr w:type="gramStart"/>
      <w:r w:rsidRPr="00F27A1B">
        <w:rPr>
          <w:rFonts w:asciiTheme="minorHAnsi" w:hAnsiTheme="minorHAnsi" w:cstheme="minorHAnsi"/>
          <w:color w:val="252525"/>
        </w:rPr>
        <w:t xml:space="preserve">a </w:t>
      </w:r>
      <w:r w:rsidRPr="00F27A1B">
        <w:rPr>
          <w:rFonts w:asciiTheme="minorHAnsi" w:hAnsiTheme="minorHAnsi" w:cstheme="minorHAnsi"/>
        </w:rPr>
        <w:t xml:space="preserve">number </w:t>
      </w:r>
      <w:r w:rsidRPr="00F27A1B">
        <w:rPr>
          <w:rFonts w:asciiTheme="minorHAnsi" w:hAnsiTheme="minorHAnsi" w:cstheme="minorHAnsi"/>
          <w:color w:val="252525"/>
        </w:rPr>
        <w:t>of</w:t>
      </w:r>
      <w:proofErr w:type="gramEnd"/>
      <w:r w:rsidRPr="00F27A1B">
        <w:rPr>
          <w:rFonts w:asciiTheme="minorHAnsi" w:hAnsiTheme="minorHAnsi" w:cstheme="minorHAnsi"/>
          <w:color w:val="252525"/>
        </w:rPr>
        <w:t xml:space="preserve"> </w:t>
      </w:r>
      <w:r w:rsidRPr="00F27A1B">
        <w:rPr>
          <w:rFonts w:asciiTheme="minorHAnsi" w:hAnsiTheme="minorHAnsi" w:cstheme="minorHAnsi"/>
        </w:rPr>
        <w:t xml:space="preserve">obstacles, including unclear </w:t>
      </w:r>
      <w:r w:rsidRPr="00F27A1B">
        <w:rPr>
          <w:rFonts w:asciiTheme="minorHAnsi" w:hAnsiTheme="minorHAnsi" w:cstheme="minorHAnsi"/>
          <w:color w:val="252525"/>
        </w:rPr>
        <w:t xml:space="preserve">reporting </w:t>
      </w:r>
      <w:r w:rsidRPr="00F27A1B">
        <w:rPr>
          <w:rFonts w:asciiTheme="minorHAnsi" w:hAnsiTheme="minorHAnsi" w:cstheme="minorHAnsi"/>
        </w:rPr>
        <w:t xml:space="preserve">responsibilities, </w:t>
      </w:r>
      <w:r w:rsidRPr="00F27A1B">
        <w:rPr>
          <w:rFonts w:asciiTheme="minorHAnsi" w:hAnsiTheme="minorHAnsi" w:cstheme="minorHAnsi"/>
          <w:color w:val="252525"/>
        </w:rPr>
        <w:t xml:space="preserve">fear of </w:t>
      </w:r>
      <w:r w:rsidRPr="00F27A1B">
        <w:rPr>
          <w:rFonts w:asciiTheme="minorHAnsi" w:hAnsiTheme="minorHAnsi" w:cstheme="minorHAnsi"/>
        </w:rPr>
        <w:t xml:space="preserve">reprisals, </w:t>
      </w:r>
      <w:r w:rsidRPr="00F27A1B">
        <w:rPr>
          <w:rFonts w:asciiTheme="minorHAnsi" w:hAnsiTheme="minorHAnsi" w:cstheme="minorHAnsi"/>
          <w:color w:val="252525"/>
        </w:rPr>
        <w:t xml:space="preserve">or </w:t>
      </w:r>
      <w:r w:rsidRPr="00F27A1B">
        <w:rPr>
          <w:rFonts w:asciiTheme="minorHAnsi" w:hAnsiTheme="minorHAnsi" w:cstheme="minorHAnsi"/>
        </w:rPr>
        <w:t xml:space="preserve">worries </w:t>
      </w:r>
      <w:r w:rsidRPr="00F27A1B">
        <w:rPr>
          <w:rFonts w:asciiTheme="minorHAnsi" w:hAnsiTheme="minorHAnsi" w:cstheme="minorHAnsi"/>
          <w:color w:val="252525"/>
        </w:rPr>
        <w:t xml:space="preserve">about </w:t>
      </w:r>
      <w:r w:rsidRPr="00F27A1B">
        <w:rPr>
          <w:rFonts w:asciiTheme="minorHAnsi" w:hAnsiTheme="minorHAnsi" w:cstheme="minorHAnsi"/>
        </w:rPr>
        <w:t xml:space="preserve">potential </w:t>
      </w:r>
      <w:r w:rsidRPr="00F27A1B">
        <w:rPr>
          <w:rFonts w:asciiTheme="minorHAnsi" w:hAnsiTheme="minorHAnsi" w:cstheme="minorHAnsi"/>
          <w:color w:val="252525"/>
        </w:rPr>
        <w:t xml:space="preserve">legal </w:t>
      </w:r>
      <w:r w:rsidRPr="00F27A1B">
        <w:rPr>
          <w:rFonts w:asciiTheme="minorHAnsi" w:hAnsiTheme="minorHAnsi" w:cstheme="minorHAnsi"/>
        </w:rPr>
        <w:t>ramifications.</w:t>
      </w:r>
      <w:r w:rsidRPr="00F27A1B">
        <w:rPr>
          <w:rFonts w:asciiTheme="minorHAnsi" w:hAnsiTheme="minorHAnsi" w:cstheme="minorHAnsi"/>
        </w:rPr>
        <w:t xml:space="preserve"> </w:t>
      </w:r>
      <w:r w:rsidRPr="00F27A1B">
        <w:rPr>
          <w:rFonts w:asciiTheme="minorHAnsi" w:hAnsiTheme="minorHAnsi" w:cstheme="minorHAnsi"/>
        </w:rPr>
        <w:t>These obstacles should be critically analy</w:t>
      </w:r>
      <w:r w:rsidRPr="00F27A1B">
        <w:rPr>
          <w:rFonts w:asciiTheme="minorHAnsi" w:hAnsiTheme="minorHAnsi" w:cstheme="minorHAnsi"/>
        </w:rPr>
        <w:t>s</w:t>
      </w:r>
      <w:r w:rsidRPr="00F27A1B">
        <w:rPr>
          <w:rFonts w:asciiTheme="minorHAnsi" w:hAnsiTheme="minorHAnsi" w:cstheme="minorHAnsi"/>
        </w:rPr>
        <w:t>ed, along with solutions, to guarantee a more efficient reporting system</w:t>
      </w:r>
      <w:r w:rsidR="009F7963">
        <w:rPr>
          <w:rFonts w:asciiTheme="minorHAnsi" w:hAnsiTheme="minorHAnsi" w:cstheme="minorHAnsi"/>
        </w:rPr>
        <w:t xml:space="preserve"> </w:t>
      </w:r>
      <w:r w:rsidR="005205DF" w:rsidRPr="00F27A1B">
        <w:rPr>
          <w:rFonts w:asciiTheme="minorHAnsi" w:hAnsiTheme="minorHAnsi" w:cstheme="minorHAnsi"/>
        </w:rPr>
        <w:t>(</w:t>
      </w:r>
      <w:r w:rsidR="005205DF" w:rsidRPr="00F27A1B">
        <w:rPr>
          <w:rFonts w:asciiTheme="minorHAnsi" w:hAnsiTheme="minorHAnsi" w:cstheme="minorHAnsi"/>
        </w:rPr>
        <w:t>Office, H.</w:t>
      </w:r>
      <w:r w:rsidR="005205DF" w:rsidRPr="00F27A1B">
        <w:rPr>
          <w:rFonts w:asciiTheme="minorHAnsi" w:hAnsiTheme="minorHAnsi" w:cstheme="minorHAnsi"/>
        </w:rPr>
        <w:t xml:space="preserve">, </w:t>
      </w:r>
      <w:r w:rsidR="005205DF" w:rsidRPr="00F27A1B">
        <w:rPr>
          <w:rFonts w:asciiTheme="minorHAnsi" w:hAnsiTheme="minorHAnsi" w:cstheme="minorHAnsi"/>
        </w:rPr>
        <w:t>2016)</w:t>
      </w:r>
      <w:r w:rsidR="009F7963">
        <w:rPr>
          <w:rStyle w:val="apple-converted-space"/>
          <w:rFonts w:asciiTheme="minorHAnsi" w:hAnsiTheme="minorHAnsi" w:cstheme="minorHAnsi"/>
          <w:color w:val="000000"/>
        </w:rPr>
        <w:t xml:space="preserve">. </w:t>
      </w:r>
    </w:p>
    <w:p w14:paraId="796D6437" w14:textId="77777777" w:rsidR="00593279" w:rsidRPr="00F16141" w:rsidRDefault="00593279" w:rsidP="00F16141">
      <w:pPr>
        <w:pStyle w:val="NoSpacing"/>
        <w:rPr>
          <w:rStyle w:val="apple-converted-space"/>
          <w:rFonts w:cstheme="minorHAnsi"/>
          <w:color w:val="000000" w:themeColor="text1"/>
        </w:rPr>
      </w:pPr>
    </w:p>
    <w:p w14:paraId="4D699BE9" w14:textId="4A75E4A7" w:rsidR="006315CF" w:rsidRDefault="00F16141" w:rsidP="006315CF">
      <w:pPr>
        <w:pStyle w:val="NoSpacing"/>
      </w:pPr>
      <w:r>
        <w:t xml:space="preserve">The statutory requirements for </w:t>
      </w:r>
      <w:r w:rsidRPr="00F16141">
        <w:t xml:space="preserve">Early years practitioners are </w:t>
      </w:r>
      <w:r>
        <w:t xml:space="preserve">that they are </w:t>
      </w:r>
      <w:r w:rsidRPr="00F16141">
        <w:t>expected to undergo training on child protection, recogni</w:t>
      </w:r>
      <w:r>
        <w:t>s</w:t>
      </w:r>
      <w:r w:rsidRPr="00F16141">
        <w:t>ing signs of abuse, and understanding their role in reporting</w:t>
      </w:r>
      <w:r>
        <w:t xml:space="preserve"> the abuse</w:t>
      </w:r>
      <w:r w:rsidRPr="00F16141">
        <w:t>. Continuous professional development ensures that practitioners stay updated on the latest guidelines and practices</w:t>
      </w:r>
      <w:r>
        <w:t xml:space="preserve"> (Early Years Foundation Stage, 2017). </w:t>
      </w:r>
      <w:r w:rsidR="00D31015">
        <w:t xml:space="preserve">Welsh Government (2015) states that </w:t>
      </w:r>
      <w:r w:rsidR="00D31015" w:rsidRPr="00D31015">
        <w:t xml:space="preserve">Early year’s practitioners are expected to communicate and collaborate effectively with parents, colleagues, and </w:t>
      </w:r>
      <w:r w:rsidR="00D31015">
        <w:t>multi-</w:t>
      </w:r>
      <w:r w:rsidR="00D31015" w:rsidRPr="00D31015">
        <w:t>agencies</w:t>
      </w:r>
      <w:r w:rsidR="00D31015">
        <w:t xml:space="preserve"> involved with the child</w:t>
      </w:r>
      <w:r w:rsidR="00D31015" w:rsidRPr="00D31015">
        <w:t xml:space="preserve"> in cases of suspected abuse. Open communication channels contribute to a comprehensive and coordinated approach to child protection</w:t>
      </w:r>
      <w:r w:rsidR="00D31015">
        <w:t xml:space="preserve">. </w:t>
      </w:r>
      <w:r w:rsidR="009D3E45">
        <w:t xml:space="preserve">Ethical Frameworks are also put in place to assist in practitioners’ knowledge of reporting child abuse. </w:t>
      </w:r>
      <w:r w:rsidR="009D3E45">
        <w:t>Ethical frameworks in early years settings emphasize a child-</w:t>
      </w:r>
      <w:r w:rsidR="009D3E45">
        <w:t>centred</w:t>
      </w:r>
      <w:r w:rsidR="009D3E45">
        <w:t xml:space="preserve"> approach. The best interests and well-being of the child should be the primary focus of all decisions and </w:t>
      </w:r>
      <w:r w:rsidR="009D3E45">
        <w:t xml:space="preserve">actions (Early Childhood Australia, 2024). </w:t>
      </w:r>
      <w:r w:rsidR="006315CF">
        <w:t>Ethical guidelines stress the importance of maintaining confidentiality and respecting the privacy of children and families. Information regarding suspected abuse should be shared only with authorized individuals or agencies involved in child protection</w:t>
      </w:r>
      <w:r w:rsidR="006315CF">
        <w:t xml:space="preserve"> (NSPCC, 2021). </w:t>
      </w:r>
    </w:p>
    <w:p w14:paraId="15A74603" w14:textId="30A07961" w:rsidR="00F16141" w:rsidRDefault="00F16141" w:rsidP="00CE28B6">
      <w:pPr>
        <w:rPr>
          <w:rStyle w:val="apple-converted-space"/>
          <w:rFonts w:asciiTheme="minorHAnsi" w:hAnsiTheme="minorHAnsi" w:cstheme="minorHAnsi"/>
          <w:color w:val="000000"/>
        </w:rPr>
      </w:pPr>
    </w:p>
    <w:p w14:paraId="4E6C2A2F" w14:textId="371DF610" w:rsidR="00593279" w:rsidRPr="00F02F06" w:rsidRDefault="00593279" w:rsidP="00CE28B6">
      <w:pPr>
        <w:rPr>
          <w:rStyle w:val="apple-converted-space"/>
          <w:rFonts w:asciiTheme="minorHAnsi" w:hAnsiTheme="minorHAnsi" w:cstheme="minorHAnsi"/>
          <w:b/>
          <w:bCs/>
          <w:color w:val="000000"/>
          <w:u w:val="single"/>
        </w:rPr>
      </w:pPr>
      <w:r w:rsidRPr="00F02F06">
        <w:rPr>
          <w:rStyle w:val="apple-converted-space"/>
          <w:rFonts w:asciiTheme="minorHAnsi" w:hAnsiTheme="minorHAnsi" w:cstheme="minorHAnsi"/>
          <w:b/>
          <w:bCs/>
          <w:color w:val="000000"/>
          <w:u w:val="single"/>
        </w:rPr>
        <w:t xml:space="preserve">Part c </w:t>
      </w:r>
    </w:p>
    <w:p w14:paraId="23AC3024" w14:textId="77777777" w:rsidR="00593279" w:rsidRDefault="00593279" w:rsidP="00CE28B6">
      <w:pPr>
        <w:rPr>
          <w:rStyle w:val="apple-converted-space"/>
          <w:rFonts w:asciiTheme="minorHAnsi" w:hAnsiTheme="minorHAnsi" w:cstheme="minorHAnsi"/>
          <w:color w:val="000000"/>
          <w:u w:val="single"/>
        </w:rPr>
      </w:pPr>
    </w:p>
    <w:p w14:paraId="668A53A2" w14:textId="4EB99FC1" w:rsidR="00F02F06" w:rsidRPr="00F02F06" w:rsidRDefault="00F02F06" w:rsidP="00CE28B6">
      <w:pPr>
        <w:rPr>
          <w:rStyle w:val="apple-converted-space"/>
          <w:rFonts w:asciiTheme="minorHAnsi" w:hAnsiTheme="minorHAnsi" w:cstheme="minorHAnsi"/>
          <w:color w:val="000000"/>
        </w:rPr>
      </w:pPr>
      <w:r>
        <w:rPr>
          <w:rStyle w:val="apple-converted-space"/>
          <w:rFonts w:asciiTheme="minorHAnsi" w:hAnsiTheme="minorHAnsi" w:cstheme="minorHAnsi"/>
          <w:color w:val="000000"/>
        </w:rPr>
        <w:t>An Early Years setting should encompass a holistic approach to safeguarding to ensure the wellbeing of children is paramount. The UNCRC provides us with information on the rights of the child. Providing these rights are followed, the setting would be a safe environment for children and a positive space for their wellbeing.</w:t>
      </w:r>
    </w:p>
    <w:p w14:paraId="0B6E0A25" w14:textId="77777777" w:rsidR="00F02F06" w:rsidRDefault="00F02F06" w:rsidP="00CE28B6">
      <w:pPr>
        <w:rPr>
          <w:rStyle w:val="apple-converted-space"/>
          <w:rFonts w:asciiTheme="minorHAnsi" w:hAnsiTheme="minorHAnsi" w:cstheme="minorHAnsi"/>
          <w:color w:val="000000"/>
          <w:u w:val="single"/>
        </w:rPr>
      </w:pPr>
    </w:p>
    <w:p w14:paraId="2476C921" w14:textId="2DA4C42D" w:rsidR="00F02F06" w:rsidRPr="00F02F06" w:rsidRDefault="00F02F06" w:rsidP="00F02F06">
      <w:pPr>
        <w:pStyle w:val="NoSpacing"/>
      </w:pPr>
      <w:r w:rsidRPr="00F02F06">
        <w:rPr>
          <w:rStyle w:val="Strong"/>
          <w:b w:val="0"/>
          <w:bCs w:val="0"/>
        </w:rPr>
        <w:t>P</w:t>
      </w:r>
      <w:r w:rsidRPr="00F02F06">
        <w:rPr>
          <w:rStyle w:val="Strong"/>
          <w:b w:val="0"/>
          <w:bCs w:val="0"/>
        </w:rPr>
        <w:t>roviding a Safe and Nurturing Environment (Article 19):</w:t>
      </w:r>
    </w:p>
    <w:p w14:paraId="7C0EBF11" w14:textId="0D7439D3" w:rsidR="00F02F06" w:rsidRDefault="00F02F06" w:rsidP="00F02F06">
      <w:pPr>
        <w:pStyle w:val="NoSpacing"/>
      </w:pPr>
      <w:r w:rsidRPr="00F02F06">
        <w:t xml:space="preserve">Early years settings have a responsibility to ensure that children are protected from all forms of physical or mental violence, injury, or abuse. This aligns with Article 19 of the UNCRC, which emphasizes the right of the child to be protected from </w:t>
      </w:r>
      <w:r>
        <w:t xml:space="preserve">any </w:t>
      </w:r>
      <w:r w:rsidRPr="00F02F06">
        <w:t>maltreatment.</w:t>
      </w:r>
    </w:p>
    <w:p w14:paraId="2BD0CC61" w14:textId="77777777" w:rsidR="00F02F06" w:rsidRPr="00F02F06" w:rsidRDefault="00F02F06" w:rsidP="00F02F06">
      <w:pPr>
        <w:pStyle w:val="NoSpacing"/>
      </w:pPr>
    </w:p>
    <w:p w14:paraId="5CC4E556" w14:textId="77777777" w:rsidR="00F02F06" w:rsidRPr="00F02F06" w:rsidRDefault="00F02F06" w:rsidP="00F02F06">
      <w:pPr>
        <w:pStyle w:val="NoSpacing"/>
      </w:pPr>
      <w:r w:rsidRPr="00F02F06">
        <w:rPr>
          <w:rStyle w:val="Strong"/>
          <w:b w:val="0"/>
          <w:bCs w:val="0"/>
        </w:rPr>
        <w:t>Ensuring Access to Quality Education (Article 28):</w:t>
      </w:r>
    </w:p>
    <w:p w14:paraId="089EFF52" w14:textId="77777777" w:rsidR="00F02F06" w:rsidRDefault="00F02F06" w:rsidP="00F02F06">
      <w:pPr>
        <w:pStyle w:val="NoSpacing"/>
      </w:pPr>
      <w:r w:rsidRPr="00F02F06">
        <w:lastRenderedPageBreak/>
        <w:t>Early years settings are responsible for providing quality education that supports the child's development. Article 28 of the UNCRC recognizes the right of the child to education and highlights the importance of making primary education compulsory and free.</w:t>
      </w:r>
    </w:p>
    <w:p w14:paraId="5CED114A" w14:textId="77777777" w:rsidR="00F02F06" w:rsidRPr="00F02F06" w:rsidRDefault="00F02F06" w:rsidP="00F02F06">
      <w:pPr>
        <w:pStyle w:val="NoSpacing"/>
      </w:pPr>
    </w:p>
    <w:p w14:paraId="56B58F8E" w14:textId="77777777" w:rsidR="00F02F06" w:rsidRPr="00F02F06" w:rsidRDefault="00F02F06" w:rsidP="00F02F06">
      <w:pPr>
        <w:pStyle w:val="NoSpacing"/>
      </w:pPr>
      <w:r w:rsidRPr="00F02F06">
        <w:rPr>
          <w:rStyle w:val="Strong"/>
          <w:b w:val="0"/>
          <w:bCs w:val="0"/>
        </w:rPr>
        <w:t>Promoting Health and Well-being (Article 24):</w:t>
      </w:r>
    </w:p>
    <w:p w14:paraId="0E511F38" w14:textId="77777777" w:rsidR="00F02F06" w:rsidRDefault="00F02F06" w:rsidP="00F02F06">
      <w:pPr>
        <w:pStyle w:val="NoSpacing"/>
      </w:pPr>
      <w:r w:rsidRPr="00F02F06">
        <w:t>Early years settings must prioritize the health and well-being of children, including providing access to healthcare services. Article 24 of the UNCRC focuses on the right of the child to the highest attainable standard of health and access to healthcare services.</w:t>
      </w:r>
    </w:p>
    <w:p w14:paraId="1841017B" w14:textId="77777777" w:rsidR="00F02F06" w:rsidRPr="00F02F06" w:rsidRDefault="00F02F06" w:rsidP="00F02F06">
      <w:pPr>
        <w:pStyle w:val="NoSpacing"/>
      </w:pPr>
    </w:p>
    <w:p w14:paraId="592758A5" w14:textId="77777777" w:rsidR="00F02F06" w:rsidRPr="00F02F06" w:rsidRDefault="00F02F06" w:rsidP="00F02F06">
      <w:pPr>
        <w:pStyle w:val="NoSpacing"/>
      </w:pPr>
      <w:r w:rsidRPr="00F02F06">
        <w:rPr>
          <w:rStyle w:val="Strong"/>
          <w:b w:val="0"/>
          <w:bCs w:val="0"/>
        </w:rPr>
        <w:t>Respecting the Child's Right to Play (Article 31):</w:t>
      </w:r>
    </w:p>
    <w:p w14:paraId="55809FB6" w14:textId="77777777" w:rsidR="00F02F06" w:rsidRDefault="00F02F06" w:rsidP="00F02F06">
      <w:pPr>
        <w:pStyle w:val="NoSpacing"/>
      </w:pPr>
      <w:r w:rsidRPr="00F02F06">
        <w:t>Early years settings should recognize and support the child's right to engage in play and recreational activities. Article 31 of the UNCRC emphasizes the right of the child to rest and leisure, engage in play, and participate in cultural and artistic activities.</w:t>
      </w:r>
    </w:p>
    <w:p w14:paraId="4B8F18EF" w14:textId="77777777" w:rsidR="00F02F06" w:rsidRPr="00F02F06" w:rsidRDefault="00F02F06" w:rsidP="00F02F06">
      <w:pPr>
        <w:pStyle w:val="NoSpacing"/>
      </w:pPr>
    </w:p>
    <w:p w14:paraId="427BE6ED" w14:textId="77777777" w:rsidR="00F02F06" w:rsidRPr="00F02F06" w:rsidRDefault="00F02F06" w:rsidP="00F02F06">
      <w:pPr>
        <w:pStyle w:val="NoSpacing"/>
      </w:pPr>
      <w:r w:rsidRPr="00F02F06">
        <w:rPr>
          <w:rStyle w:val="Strong"/>
          <w:b w:val="0"/>
          <w:bCs w:val="0"/>
        </w:rPr>
        <w:t>Facilitating Family Involvement (Article 5):</w:t>
      </w:r>
    </w:p>
    <w:p w14:paraId="2656FBD3" w14:textId="77777777" w:rsidR="00F02F06" w:rsidRDefault="00F02F06" w:rsidP="00F02F06">
      <w:pPr>
        <w:pStyle w:val="NoSpacing"/>
      </w:pPr>
      <w:r w:rsidRPr="00F02F06">
        <w:t>Early years settings should encourage and facilitate the involvement of families in the care and education of their children. Article 5 of the UNCRC emphasizes the responsibilities, rights, and duties of parents to provide direction to their child in the exercise of their rights.</w:t>
      </w:r>
    </w:p>
    <w:p w14:paraId="41324C13" w14:textId="77777777" w:rsidR="00F02F06" w:rsidRPr="00F02F06" w:rsidRDefault="00F02F06" w:rsidP="00F02F06">
      <w:pPr>
        <w:pStyle w:val="NoSpacing"/>
      </w:pPr>
    </w:p>
    <w:p w14:paraId="72078C71" w14:textId="77777777" w:rsidR="00F02F06" w:rsidRPr="00F02F06" w:rsidRDefault="00F02F06" w:rsidP="00F02F06">
      <w:pPr>
        <w:pStyle w:val="NoSpacing"/>
      </w:pPr>
      <w:r w:rsidRPr="00F02F06">
        <w:rPr>
          <w:rStyle w:val="Strong"/>
          <w:b w:val="0"/>
          <w:bCs w:val="0"/>
        </w:rPr>
        <w:t>Ensuring Non-Discrimination (Article 2):</w:t>
      </w:r>
    </w:p>
    <w:p w14:paraId="26A3AD22" w14:textId="4DA4C36C" w:rsidR="00F02F06" w:rsidRPr="00F02F06" w:rsidRDefault="00F02F06" w:rsidP="00F02F06">
      <w:pPr>
        <w:pStyle w:val="NoSpacing"/>
      </w:pPr>
      <w:r w:rsidRPr="00F02F06">
        <w:t>Early years settings have a responsibility to ensure that all children are treated with respect and without discrimination. Article 2 of the UNCRC emphasizes the principle of non-discrimination, ensuring that all rights apply to every child without discrimination of any kind</w:t>
      </w:r>
      <w:r>
        <w:t xml:space="preserve"> (UNICEF, 2019).</w:t>
      </w:r>
    </w:p>
    <w:p w14:paraId="235F58DA" w14:textId="77777777" w:rsidR="00261489" w:rsidRDefault="00261489" w:rsidP="00F02F06">
      <w:pPr>
        <w:pStyle w:val="NoSpacing"/>
        <w:rPr>
          <w:rStyle w:val="apple-converted-space"/>
        </w:rPr>
      </w:pPr>
    </w:p>
    <w:p w14:paraId="64E7BD2B" w14:textId="0B34C7D5" w:rsidR="00903975" w:rsidRDefault="00903975" w:rsidP="00903975">
      <w:pPr>
        <w:pStyle w:val="NoSpacing"/>
      </w:pPr>
      <w:proofErr w:type="spellStart"/>
      <w:r>
        <w:t>Childrens</w:t>
      </w:r>
      <w:proofErr w:type="spellEnd"/>
      <w:r>
        <w:t xml:space="preserve"> wellbeing can be impacted by their early years setting. </w:t>
      </w:r>
      <w:r>
        <w:t>Foster</w:t>
      </w:r>
      <w:r>
        <w:t>ing</w:t>
      </w:r>
      <w:r>
        <w:t xml:space="preserve"> positive relationships between children and staff, as well as among children themselves</w:t>
      </w:r>
      <w:r>
        <w:t xml:space="preserve"> p</w:t>
      </w:r>
      <w:r>
        <w:t>romote</w:t>
      </w:r>
      <w:r>
        <w:t>s</w:t>
      </w:r>
      <w:r>
        <w:t xml:space="preserve"> a caring and supportive atmosphere that encourages communication and emotional well-being</w:t>
      </w:r>
      <w:r w:rsidR="00191DEF">
        <w:t xml:space="preserve"> (Foundation Years, 2019) </w:t>
      </w:r>
    </w:p>
    <w:p w14:paraId="6FA3354E" w14:textId="77777777" w:rsidR="00903975" w:rsidRPr="00F02F06" w:rsidRDefault="00903975" w:rsidP="00F02F06">
      <w:pPr>
        <w:pStyle w:val="NoSpacing"/>
        <w:rPr>
          <w:rStyle w:val="apple-converted-space"/>
        </w:rPr>
      </w:pPr>
    </w:p>
    <w:p w14:paraId="15EE72D5" w14:textId="77777777" w:rsidR="00593279" w:rsidRPr="00593279" w:rsidRDefault="00593279" w:rsidP="00F02F06">
      <w:pPr>
        <w:pStyle w:val="NoSpacing"/>
        <w:rPr>
          <w:rStyle w:val="apple-converted-space"/>
          <w:rFonts w:cstheme="minorHAnsi"/>
          <w:color w:val="000000"/>
          <w:u w:val="single"/>
        </w:rPr>
      </w:pPr>
    </w:p>
    <w:p w14:paraId="03F4F49C" w14:textId="77777777" w:rsidR="005205DF" w:rsidRPr="00F27A1B" w:rsidRDefault="005205DF" w:rsidP="00F02F06">
      <w:pPr>
        <w:pStyle w:val="NoSpacing"/>
        <w:rPr>
          <w:rStyle w:val="apple-converted-space"/>
          <w:rFonts w:cstheme="minorHAnsi"/>
          <w:color w:val="000000"/>
        </w:rPr>
      </w:pPr>
    </w:p>
    <w:p w14:paraId="53410898" w14:textId="77777777" w:rsidR="005205DF" w:rsidRPr="00F27A1B" w:rsidRDefault="005205DF" w:rsidP="00F02F06">
      <w:pPr>
        <w:pStyle w:val="NoSpacing"/>
        <w:rPr>
          <w:rFonts w:cstheme="minorHAnsi"/>
          <w:color w:val="000000" w:themeColor="text1"/>
        </w:rPr>
      </w:pPr>
    </w:p>
    <w:p w14:paraId="34A07498" w14:textId="77777777" w:rsidR="00817438" w:rsidRPr="00F27A1B" w:rsidRDefault="00817438" w:rsidP="00244FB2">
      <w:pPr>
        <w:rPr>
          <w:rFonts w:asciiTheme="minorHAnsi" w:hAnsiTheme="minorHAnsi" w:cstheme="minorHAnsi"/>
          <w:color w:val="FF0000"/>
          <w:u w:val="single"/>
        </w:rPr>
      </w:pPr>
    </w:p>
    <w:p w14:paraId="21359396" w14:textId="2247B967" w:rsidR="001F5125" w:rsidRPr="00F27A1B" w:rsidRDefault="001F5125" w:rsidP="00244FB2">
      <w:pPr>
        <w:rPr>
          <w:rFonts w:asciiTheme="minorHAnsi" w:hAnsiTheme="minorHAnsi" w:cstheme="minorHAnsi"/>
        </w:rPr>
      </w:pPr>
      <w:r w:rsidRPr="00F27A1B">
        <w:rPr>
          <w:rFonts w:asciiTheme="minorHAnsi" w:hAnsiTheme="minorHAnsi" w:cstheme="minorHAnsi"/>
        </w:rPr>
        <w:br w:type="page"/>
      </w:r>
    </w:p>
    <w:p w14:paraId="0EA53AB4" w14:textId="792C0228" w:rsidR="001F5125" w:rsidRDefault="001F5125" w:rsidP="001F5125">
      <w:pPr>
        <w:pStyle w:val="ListParagraph"/>
        <w:jc w:val="center"/>
        <w:rPr>
          <w:rFonts w:asciiTheme="minorHAnsi" w:hAnsiTheme="minorHAnsi" w:cstheme="minorHAnsi"/>
          <w:u w:val="single"/>
        </w:rPr>
      </w:pPr>
      <w:r w:rsidRPr="005B5432">
        <w:rPr>
          <w:rFonts w:asciiTheme="minorHAnsi" w:hAnsiTheme="minorHAnsi" w:cstheme="minorHAnsi"/>
          <w:u w:val="single"/>
        </w:rPr>
        <w:lastRenderedPageBreak/>
        <w:t xml:space="preserve">Reference List </w:t>
      </w:r>
    </w:p>
    <w:p w14:paraId="4D0E9AC2" w14:textId="77777777" w:rsidR="00E05CDF" w:rsidRDefault="00E05CDF" w:rsidP="001F5125">
      <w:pPr>
        <w:pStyle w:val="ListParagraph"/>
        <w:jc w:val="center"/>
        <w:rPr>
          <w:rFonts w:asciiTheme="minorHAnsi" w:hAnsiTheme="minorHAnsi" w:cstheme="minorHAnsi"/>
          <w:u w:val="single"/>
        </w:rPr>
      </w:pPr>
    </w:p>
    <w:p w14:paraId="28CCFE88" w14:textId="62970856" w:rsidR="00443EC2" w:rsidRDefault="00443EC2" w:rsidP="00E05CDF">
      <w:pPr>
        <w:pStyle w:val="NoSpacing"/>
      </w:pPr>
      <w:r>
        <w:t xml:space="preserve">American Academy of Paediatrics (2015) </w:t>
      </w:r>
      <w:r w:rsidR="002C7571" w:rsidRPr="002C7571">
        <w:rPr>
          <w:i/>
          <w:iCs/>
        </w:rPr>
        <w:t>Identifying and responding to all forms of victimization</w:t>
      </w:r>
      <w:r w:rsidR="002C7571">
        <w:rPr>
          <w:i/>
          <w:iCs/>
        </w:rPr>
        <w:t xml:space="preserve">. </w:t>
      </w:r>
      <w:r w:rsidR="002C7571">
        <w:t xml:space="preserve">Available at: </w:t>
      </w:r>
      <w:hyperlink r:id="rId5" w:history="1">
        <w:r w:rsidR="002C7571" w:rsidRPr="00F836B8">
          <w:rPr>
            <w:rStyle w:val="Hyperlink"/>
          </w:rPr>
          <w:t>https://www.aap.org</w:t>
        </w:r>
      </w:hyperlink>
      <w:r w:rsidR="002C7571">
        <w:t xml:space="preserve"> (Accessed: 27 January 2024). </w:t>
      </w:r>
    </w:p>
    <w:p w14:paraId="2A644629" w14:textId="77777777" w:rsidR="00470FA2" w:rsidRDefault="00470FA2" w:rsidP="00E05CDF">
      <w:pPr>
        <w:pStyle w:val="NoSpacing"/>
      </w:pPr>
    </w:p>
    <w:p w14:paraId="70E4D54C" w14:textId="18DC6898" w:rsidR="00470FA2" w:rsidRDefault="00470FA2" w:rsidP="00470FA2">
      <w:pPr>
        <w:pStyle w:val="NoSpacing"/>
      </w:pPr>
      <w:r>
        <w:t xml:space="preserve">Berger, R., </w:t>
      </w:r>
      <w:proofErr w:type="spellStart"/>
      <w:r>
        <w:t>Fromkin</w:t>
      </w:r>
      <w:proofErr w:type="spellEnd"/>
      <w:r>
        <w:t xml:space="preserve">, J., Stutz, H., </w:t>
      </w:r>
      <w:proofErr w:type="spellStart"/>
      <w:r>
        <w:t>Makoroff</w:t>
      </w:r>
      <w:proofErr w:type="spellEnd"/>
      <w:r>
        <w:t xml:space="preserve">, K., </w:t>
      </w:r>
      <w:proofErr w:type="spellStart"/>
      <w:r>
        <w:t>Scribano</w:t>
      </w:r>
      <w:proofErr w:type="spellEnd"/>
      <w:r>
        <w:t xml:space="preserve">, P., Feldman, K., Tu, L., and Fabio, A </w:t>
      </w:r>
      <w:r>
        <w:t xml:space="preserve">(2011) ‘Abusive head trauma during a time of increased unemployment: A </w:t>
      </w:r>
      <w:proofErr w:type="spellStart"/>
      <w:r>
        <w:t>Multicenter</w:t>
      </w:r>
      <w:proofErr w:type="spellEnd"/>
      <w:r>
        <w:t xml:space="preserve"> analysis’,</w:t>
      </w:r>
      <w:r>
        <w:rPr>
          <w:rStyle w:val="apple-converted-space"/>
          <w:color w:val="000000"/>
        </w:rPr>
        <w:t> </w:t>
      </w:r>
      <w:proofErr w:type="spellStart"/>
      <w:r>
        <w:rPr>
          <w:i/>
          <w:iCs/>
        </w:rPr>
        <w:t>Pediatrics</w:t>
      </w:r>
      <w:proofErr w:type="spellEnd"/>
      <w:r>
        <w:t>, 128(4), pp. 637–643. doi:10.1542/peds.2010-2185</w:t>
      </w:r>
      <w:r>
        <w:t xml:space="preserve"> (Accessed: 27 January 2024). </w:t>
      </w:r>
    </w:p>
    <w:p w14:paraId="445EE259" w14:textId="77777777" w:rsidR="00443EC2" w:rsidRDefault="00443EC2" w:rsidP="00E05CDF">
      <w:pPr>
        <w:pStyle w:val="NoSpacing"/>
      </w:pPr>
    </w:p>
    <w:p w14:paraId="5EEF4D55" w14:textId="5B4D6D17" w:rsidR="00E05CDF" w:rsidRDefault="00E05CDF" w:rsidP="00E05CDF">
      <w:pPr>
        <w:pStyle w:val="NoSpacing"/>
      </w:pPr>
      <w:r>
        <w:t xml:space="preserve">Child Welfare Information Gateway (2020) </w:t>
      </w:r>
      <w:r w:rsidR="0068697A" w:rsidRPr="0068697A">
        <w:rPr>
          <w:i/>
          <w:iCs/>
        </w:rPr>
        <w:t>Mandatory reporters of child abuse and neglect.</w:t>
      </w:r>
      <w:r w:rsidR="0068697A">
        <w:rPr>
          <w:i/>
          <w:iCs/>
        </w:rPr>
        <w:t xml:space="preserve"> </w:t>
      </w:r>
      <w:r>
        <w:t xml:space="preserve">Available at: </w:t>
      </w:r>
      <w:hyperlink r:id="rId6" w:history="1">
        <w:r w:rsidRPr="00F836B8">
          <w:rPr>
            <w:rStyle w:val="Hyperlink"/>
            <w:rFonts w:cstheme="minorHAnsi"/>
          </w:rPr>
          <w:t>https://www.childwelfare.gov</w:t>
        </w:r>
      </w:hyperlink>
      <w:r>
        <w:t xml:space="preserve"> (Accessed: 27 January 2024).</w:t>
      </w:r>
    </w:p>
    <w:p w14:paraId="1F4311F8" w14:textId="77777777" w:rsidR="0068697A" w:rsidRDefault="0068697A" w:rsidP="00E05CDF">
      <w:pPr>
        <w:pStyle w:val="NoSpacing"/>
      </w:pPr>
    </w:p>
    <w:p w14:paraId="213D94F9" w14:textId="334A5D8E" w:rsidR="0068697A" w:rsidRPr="0068697A" w:rsidRDefault="0068697A" w:rsidP="00E05CDF">
      <w:pPr>
        <w:pStyle w:val="NoSpacing"/>
      </w:pPr>
      <w:r>
        <w:t xml:space="preserve">Child Welfare Information Gateway (2018) </w:t>
      </w:r>
      <w:r>
        <w:rPr>
          <w:i/>
          <w:iCs/>
        </w:rPr>
        <w:t xml:space="preserve">Definitions of Child Abuse and Neglect. </w:t>
      </w:r>
      <w:r>
        <w:t xml:space="preserve">Available at: </w:t>
      </w:r>
      <w:hyperlink r:id="rId7" w:history="1">
        <w:r w:rsidRPr="00F836B8">
          <w:rPr>
            <w:rStyle w:val="Hyperlink"/>
          </w:rPr>
          <w:t>https://www.childwelfare.gov/pubPDFs/define.pdf</w:t>
        </w:r>
      </w:hyperlink>
      <w:r>
        <w:t xml:space="preserve"> (Accessed: 27 January 2024). </w:t>
      </w:r>
    </w:p>
    <w:p w14:paraId="5F5DF1FA" w14:textId="77777777" w:rsidR="001F5125" w:rsidRPr="005B5432" w:rsidRDefault="001F5125" w:rsidP="001F5125">
      <w:pPr>
        <w:pStyle w:val="ListParagraph"/>
        <w:jc w:val="center"/>
        <w:rPr>
          <w:rFonts w:asciiTheme="minorHAnsi" w:hAnsiTheme="minorHAnsi" w:cstheme="minorHAnsi"/>
          <w:u w:val="single"/>
        </w:rPr>
      </w:pPr>
    </w:p>
    <w:p w14:paraId="64F6CC7E" w14:textId="496C37FC" w:rsidR="004C2828" w:rsidRDefault="004C2828" w:rsidP="004C2828">
      <w:pPr>
        <w:rPr>
          <w:rFonts w:asciiTheme="minorHAnsi" w:hAnsiTheme="minorHAnsi" w:cstheme="minorHAnsi"/>
        </w:rPr>
      </w:pPr>
      <w:r w:rsidRPr="005B5432">
        <w:rPr>
          <w:rFonts w:asciiTheme="minorHAnsi" w:hAnsiTheme="minorHAnsi" w:cstheme="minorHAnsi"/>
        </w:rPr>
        <w:t xml:space="preserve">Child Law Advice (2023) </w:t>
      </w:r>
      <w:r w:rsidRPr="005B5432">
        <w:rPr>
          <w:rFonts w:asciiTheme="minorHAnsi" w:hAnsiTheme="minorHAnsi" w:cstheme="minorHAnsi"/>
          <w:i/>
          <w:iCs/>
        </w:rPr>
        <w:t xml:space="preserve">Children’s Services Referral and Assessments </w:t>
      </w:r>
      <w:r w:rsidRPr="005B5432">
        <w:rPr>
          <w:rFonts w:asciiTheme="minorHAnsi" w:hAnsiTheme="minorHAnsi" w:cstheme="minorHAnsi"/>
        </w:rPr>
        <w:t xml:space="preserve">Available at: </w:t>
      </w:r>
      <w:hyperlink r:id="rId8" w:history="1">
        <w:r w:rsidRPr="005B5432">
          <w:rPr>
            <w:rStyle w:val="Hyperlink"/>
            <w:rFonts w:asciiTheme="minorHAnsi" w:hAnsiTheme="minorHAnsi" w:cstheme="minorHAnsi"/>
          </w:rPr>
          <w:t>https://childlawadvice.org.uk/information-pages/child-protection-referral-assessments-and-outcomes/</w:t>
        </w:r>
      </w:hyperlink>
      <w:r w:rsidRPr="005B5432">
        <w:rPr>
          <w:rFonts w:asciiTheme="minorHAnsi" w:hAnsiTheme="minorHAnsi" w:cstheme="minorHAnsi"/>
        </w:rPr>
        <w:t xml:space="preserve"> (Accessed: 23 January 202</w:t>
      </w:r>
      <w:r w:rsidR="000220E0">
        <w:rPr>
          <w:rFonts w:asciiTheme="minorHAnsi" w:hAnsiTheme="minorHAnsi" w:cstheme="minorHAnsi"/>
        </w:rPr>
        <w:t>4</w:t>
      </w:r>
      <w:r w:rsidRPr="005B5432">
        <w:rPr>
          <w:rFonts w:asciiTheme="minorHAnsi" w:hAnsiTheme="minorHAnsi" w:cstheme="minorHAnsi"/>
        </w:rPr>
        <w:t>).</w:t>
      </w:r>
    </w:p>
    <w:p w14:paraId="60B60179" w14:textId="77777777" w:rsidR="001F6E2D" w:rsidRDefault="001F6E2D" w:rsidP="004C2828">
      <w:pPr>
        <w:rPr>
          <w:rFonts w:asciiTheme="minorHAnsi" w:hAnsiTheme="minorHAnsi" w:cstheme="minorHAnsi"/>
        </w:rPr>
      </w:pPr>
    </w:p>
    <w:p w14:paraId="1D4F24E5" w14:textId="2D616A81" w:rsidR="001F6E2D" w:rsidRDefault="001F6E2D" w:rsidP="001F6E2D">
      <w:pPr>
        <w:pStyle w:val="NoSpacing"/>
      </w:pPr>
      <w:r>
        <w:rPr>
          <w:rFonts w:cstheme="minorHAnsi"/>
        </w:rPr>
        <w:t xml:space="preserve">Department for Education (2015) </w:t>
      </w:r>
      <w:r>
        <w:rPr>
          <w:rFonts w:cstheme="minorHAnsi"/>
          <w:i/>
          <w:iCs/>
        </w:rPr>
        <w:t xml:space="preserve">Keeping Children in Education </w:t>
      </w:r>
      <w:r>
        <w:rPr>
          <w:rFonts w:cstheme="minorHAnsi"/>
        </w:rPr>
        <w:t xml:space="preserve">Available at: </w:t>
      </w:r>
      <w:hyperlink r:id="rId9" w:history="1">
        <w:r w:rsidRPr="00F836B8">
          <w:rPr>
            <w:rStyle w:val="Hyperlink"/>
          </w:rPr>
          <w:t>https://www.gov.uk/government/publications/keeping-children-safe-in-education--2</w:t>
        </w:r>
      </w:hyperlink>
      <w:r>
        <w:t xml:space="preserve"> (Accessed: 26 January 2024).</w:t>
      </w:r>
    </w:p>
    <w:p w14:paraId="15A32278" w14:textId="77777777" w:rsidR="008E6EB0" w:rsidRDefault="008E6EB0" w:rsidP="001F6E2D">
      <w:pPr>
        <w:pStyle w:val="NoSpacing"/>
      </w:pPr>
    </w:p>
    <w:p w14:paraId="3379D35E" w14:textId="244E32CD" w:rsidR="008E6EB0" w:rsidRDefault="008E6EB0" w:rsidP="008E6EB0">
      <w:pPr>
        <w:pStyle w:val="NoSpacing"/>
      </w:pPr>
      <w:r>
        <w:t xml:space="preserve">Dolan, P and Frost, N (2017) </w:t>
      </w:r>
      <w:r w:rsidRPr="008E6EB0">
        <w:rPr>
          <w:i/>
          <w:iCs/>
        </w:rPr>
        <w:t>The Routledge Handbook of Global Child Welfare</w:t>
      </w:r>
      <w:r>
        <w:rPr>
          <w:i/>
          <w:iCs/>
        </w:rPr>
        <w:t xml:space="preserve">. </w:t>
      </w:r>
      <w:r>
        <w:t xml:space="preserve">[online] New York: Routledge. Available at: </w:t>
      </w:r>
      <w:hyperlink r:id="rId10" w:history="1">
        <w:r w:rsidRPr="00F836B8">
          <w:rPr>
            <w:rStyle w:val="Hyperlink"/>
          </w:rPr>
          <w:t>https://books.google.co.uk/books?hl=en&amp;lr=&amp;id=qi0lDwAAQBAJ&amp;oi=fnd&amp;pg=PA225&amp;dq=Child+maltreatment+and+child+protection+systems:+Comparing+advances+in+policy+and+practice.&amp;ots=1a-SJng-6e&amp;sig=MqpXV1gFt5WjO74w3R9HgdYqVrg#v=onepage&amp;q=Child%20maltreatment%20and%20child%20protection%20systems%3A%20Comparing%20advances%20in%20policy%20and%20practice.&amp;f=false</w:t>
        </w:r>
      </w:hyperlink>
      <w:r>
        <w:t xml:space="preserve"> (Accessed: 27 January 2024). </w:t>
      </w:r>
    </w:p>
    <w:p w14:paraId="49418FCF" w14:textId="77777777" w:rsidR="009D3E45" w:rsidRDefault="009D3E45" w:rsidP="008E6EB0">
      <w:pPr>
        <w:pStyle w:val="NoSpacing"/>
      </w:pPr>
    </w:p>
    <w:p w14:paraId="16C61698" w14:textId="6FA5399F" w:rsidR="009D3E45" w:rsidRDefault="009D3E45" w:rsidP="008E6EB0">
      <w:pPr>
        <w:pStyle w:val="NoSpacing"/>
      </w:pPr>
      <w:r>
        <w:t xml:space="preserve">Early Childhood Australia (2024) </w:t>
      </w:r>
      <w:r>
        <w:rPr>
          <w:i/>
          <w:iCs/>
        </w:rPr>
        <w:t xml:space="preserve">Code of Ethics. </w:t>
      </w:r>
      <w:r>
        <w:t xml:space="preserve">Available at: </w:t>
      </w:r>
      <w:hyperlink r:id="rId11" w:history="1">
        <w:r w:rsidRPr="00F836B8">
          <w:rPr>
            <w:rStyle w:val="Hyperlink"/>
          </w:rPr>
          <w:t>https://www.earlychildhoodaustralia.org.au/our-publications/eca-code-ethics/</w:t>
        </w:r>
      </w:hyperlink>
      <w:r>
        <w:t xml:space="preserve"> (Accessed: 28 January 2024). </w:t>
      </w:r>
    </w:p>
    <w:p w14:paraId="678A6F28" w14:textId="77777777" w:rsidR="00F16141" w:rsidRDefault="00F16141" w:rsidP="008E6EB0">
      <w:pPr>
        <w:pStyle w:val="NoSpacing"/>
      </w:pPr>
    </w:p>
    <w:p w14:paraId="11CC5D77" w14:textId="6B6274D4" w:rsidR="00F16141" w:rsidRPr="00D31015" w:rsidRDefault="00F16141" w:rsidP="008E6EB0">
      <w:pPr>
        <w:pStyle w:val="NoSpacing"/>
      </w:pPr>
      <w:r>
        <w:t>Early Years Foundation Stage (20</w:t>
      </w:r>
      <w:r w:rsidR="00D31015">
        <w:t>24</w:t>
      </w:r>
      <w:r>
        <w:t xml:space="preserve">) </w:t>
      </w:r>
      <w:r w:rsidR="00D31015" w:rsidRPr="00D31015">
        <w:rPr>
          <w:i/>
          <w:iCs/>
        </w:rPr>
        <w:t xml:space="preserve">Statutory framework for the early </w:t>
      </w:r>
      <w:proofErr w:type="gramStart"/>
      <w:r w:rsidR="00D31015" w:rsidRPr="00D31015">
        <w:rPr>
          <w:i/>
          <w:iCs/>
        </w:rPr>
        <w:t>years</w:t>
      </w:r>
      <w:proofErr w:type="gramEnd"/>
      <w:r w:rsidR="00D31015" w:rsidRPr="00D31015">
        <w:rPr>
          <w:i/>
          <w:iCs/>
        </w:rPr>
        <w:t xml:space="preserve"> foundation stage</w:t>
      </w:r>
      <w:r w:rsidR="00D31015">
        <w:rPr>
          <w:i/>
          <w:iCs/>
        </w:rPr>
        <w:t xml:space="preserve">. </w:t>
      </w:r>
      <w:r w:rsidR="00D31015">
        <w:t xml:space="preserve">Available at: </w:t>
      </w:r>
      <w:hyperlink r:id="rId12" w:history="1">
        <w:r w:rsidR="00D31015" w:rsidRPr="00F836B8">
          <w:rPr>
            <w:rStyle w:val="Hyperlink"/>
          </w:rPr>
          <w:t>https://assets.publishing.service.gov.uk/media/65aa5e42ed27ca001327b2c7/EYFS_statutory_framework_for_group_and_school_based_providers.pdf</w:t>
        </w:r>
      </w:hyperlink>
      <w:r w:rsidR="00D31015">
        <w:t xml:space="preserve"> (Accessed: 28 January 2024). </w:t>
      </w:r>
    </w:p>
    <w:p w14:paraId="4D888C84" w14:textId="77777777" w:rsidR="00A56D76" w:rsidRDefault="00A56D76" w:rsidP="001F6E2D">
      <w:pPr>
        <w:pStyle w:val="NoSpacing"/>
      </w:pPr>
    </w:p>
    <w:p w14:paraId="74074930" w14:textId="36DCB001" w:rsidR="00A56D76" w:rsidRDefault="00A56D76" w:rsidP="001F6E2D">
      <w:pPr>
        <w:pStyle w:val="NoSpacing"/>
      </w:pPr>
      <w:r>
        <w:t>Education Scotland (2021)</w:t>
      </w:r>
      <w:r w:rsidRPr="00A56D76">
        <w:rPr>
          <w:i/>
          <w:iCs/>
        </w:rPr>
        <w:t xml:space="preserve"> </w:t>
      </w:r>
      <w:r w:rsidRPr="00A56D76">
        <w:rPr>
          <w:i/>
          <w:iCs/>
        </w:rPr>
        <w:t>Child Protection in Early Learning and Childcare Settings: Guidance.</w:t>
      </w:r>
      <w:r>
        <w:rPr>
          <w:i/>
          <w:iCs/>
        </w:rPr>
        <w:t xml:space="preserve"> </w:t>
      </w:r>
      <w:r>
        <w:t xml:space="preserve">Available at: </w:t>
      </w:r>
      <w:hyperlink r:id="rId13" w:history="1">
        <w:r w:rsidRPr="00F836B8">
          <w:rPr>
            <w:rStyle w:val="Hyperlink"/>
          </w:rPr>
          <w:t>https://education.gov.scot/impr</w:t>
        </w:r>
        <w:r w:rsidRPr="00F836B8">
          <w:rPr>
            <w:rStyle w:val="Hyperlink"/>
          </w:rPr>
          <w:t>o</w:t>
        </w:r>
        <w:r w:rsidRPr="00F836B8">
          <w:rPr>
            <w:rStyle w:val="Hyperlink"/>
          </w:rPr>
          <w:t>vement/learning-resources/child-protection-in-early-learning-and-childcare-settings/</w:t>
        </w:r>
      </w:hyperlink>
      <w:r>
        <w:t xml:space="preserve"> (Accessed: 26 January 2024). </w:t>
      </w:r>
    </w:p>
    <w:p w14:paraId="09F55F74" w14:textId="77777777" w:rsidR="000220E0" w:rsidRDefault="000220E0" w:rsidP="001F6E2D">
      <w:pPr>
        <w:pStyle w:val="NoSpacing"/>
      </w:pPr>
    </w:p>
    <w:p w14:paraId="54A2BA35" w14:textId="4FB0BAF9" w:rsidR="00191DEF" w:rsidRDefault="00191DEF" w:rsidP="001F6E2D">
      <w:pPr>
        <w:pStyle w:val="NoSpacing"/>
      </w:pPr>
      <w:r>
        <w:lastRenderedPageBreak/>
        <w:t xml:space="preserve">Foundation Years (2019) </w:t>
      </w:r>
      <w:r>
        <w:rPr>
          <w:i/>
          <w:iCs/>
        </w:rPr>
        <w:t xml:space="preserve">Early Years Foundation Stage Statutory Framework. </w:t>
      </w:r>
      <w:r>
        <w:t xml:space="preserve">Available at: </w:t>
      </w:r>
      <w:hyperlink r:id="rId14" w:history="1">
        <w:r w:rsidRPr="00F836B8">
          <w:rPr>
            <w:rStyle w:val="Hyperlink"/>
          </w:rPr>
          <w:t>https://foundationyears.org.uk/2019/08/eyfspolicy/</w:t>
        </w:r>
      </w:hyperlink>
      <w:r>
        <w:t xml:space="preserve"> (Accessed: 28 January 2024).</w:t>
      </w:r>
    </w:p>
    <w:p w14:paraId="4136CF0C" w14:textId="77777777" w:rsidR="00191DEF" w:rsidRPr="00191DEF" w:rsidRDefault="00191DEF" w:rsidP="001F6E2D">
      <w:pPr>
        <w:pStyle w:val="NoSpacing"/>
      </w:pPr>
    </w:p>
    <w:p w14:paraId="1C88B98D" w14:textId="0BF45578" w:rsidR="000220E0" w:rsidRDefault="000220E0" w:rsidP="000220E0">
      <w:pPr>
        <w:pStyle w:val="NoSpacing"/>
      </w:pPr>
      <w:proofErr w:type="spellStart"/>
      <w:r>
        <w:t>Hershkowitz</w:t>
      </w:r>
      <w:proofErr w:type="spellEnd"/>
      <w:r>
        <w:t>, I., Lamb, M.E. and Katz, C. (2014) ‘Allegation rates in forensic child abuse investigations: Comparing the revised and standard NICHD protocols.’,</w:t>
      </w:r>
      <w:r>
        <w:rPr>
          <w:rStyle w:val="apple-converted-space"/>
          <w:color w:val="000000"/>
        </w:rPr>
        <w:t> </w:t>
      </w:r>
      <w:r>
        <w:rPr>
          <w:i/>
          <w:iCs/>
        </w:rPr>
        <w:t>Psychology, Public Policy, and Law</w:t>
      </w:r>
      <w:r>
        <w:t>, 20(3), pp. 336–344. doi:10.1037/a0037391</w:t>
      </w:r>
      <w:r>
        <w:t xml:space="preserve">. (Accessed: 27 January 2024). </w:t>
      </w:r>
    </w:p>
    <w:p w14:paraId="4CAF2648" w14:textId="77777777" w:rsidR="000220E0" w:rsidRDefault="000220E0" w:rsidP="000220E0">
      <w:pPr>
        <w:pStyle w:val="NoSpacing"/>
      </w:pPr>
    </w:p>
    <w:p w14:paraId="56935285" w14:textId="57460F0D" w:rsidR="000220E0" w:rsidRPr="000220E0" w:rsidRDefault="000220E0" w:rsidP="000220E0">
      <w:pPr>
        <w:pStyle w:val="NoSpacing"/>
      </w:pPr>
      <w:r>
        <w:t xml:space="preserve">McWilliams, K., Lyon, T.D. and </w:t>
      </w:r>
      <w:proofErr w:type="spellStart"/>
      <w:r>
        <w:t>Quas</w:t>
      </w:r>
      <w:proofErr w:type="spellEnd"/>
      <w:r>
        <w:t>, J.A. (2016) ‘Maltreated children’s ability to make temporal judgments using a recurring landmark event’,</w:t>
      </w:r>
      <w:r>
        <w:rPr>
          <w:rStyle w:val="apple-converted-space"/>
          <w:color w:val="000000"/>
        </w:rPr>
        <w:t> </w:t>
      </w:r>
      <w:r>
        <w:rPr>
          <w:i/>
          <w:iCs/>
        </w:rPr>
        <w:t>Journal of Interpersonal Violence</w:t>
      </w:r>
      <w:r>
        <w:t>, 34(4), pp. 873–883. doi:10.1177/0886260516645812.</w:t>
      </w:r>
      <w:r>
        <w:rPr>
          <w:rStyle w:val="apple-converted-space"/>
          <w:color w:val="000000"/>
        </w:rPr>
        <w:t> </w:t>
      </w:r>
      <w:r>
        <w:rPr>
          <w:rStyle w:val="apple-converted-space"/>
          <w:color w:val="000000"/>
        </w:rPr>
        <w:t xml:space="preserve">Available at: </w:t>
      </w:r>
      <w:hyperlink r:id="rId15" w:history="1">
        <w:r w:rsidRPr="00F836B8">
          <w:rPr>
            <w:rStyle w:val="Hyperlink"/>
          </w:rPr>
          <w:t>https://pubmed.ncbi.nlm.nih.gov/27106254/</w:t>
        </w:r>
      </w:hyperlink>
      <w:r>
        <w:rPr>
          <w:rStyle w:val="apple-converted-space"/>
          <w:color w:val="000000"/>
        </w:rPr>
        <w:t xml:space="preserve"> (Accessed: 27 January 2024). </w:t>
      </w:r>
    </w:p>
    <w:p w14:paraId="701DDB0B" w14:textId="77777777" w:rsidR="005B5432" w:rsidRPr="005B5432" w:rsidRDefault="005B5432" w:rsidP="004C2828">
      <w:pPr>
        <w:rPr>
          <w:rFonts w:asciiTheme="minorHAnsi" w:hAnsiTheme="minorHAnsi" w:cstheme="minorHAnsi"/>
        </w:rPr>
      </w:pPr>
    </w:p>
    <w:p w14:paraId="12E89A2D" w14:textId="4C14E47B" w:rsidR="005B5432" w:rsidRDefault="005B5432" w:rsidP="004C2828">
      <w:pPr>
        <w:rPr>
          <w:rFonts w:asciiTheme="minorHAnsi" w:hAnsiTheme="minorHAnsi" w:cstheme="minorHAnsi"/>
        </w:rPr>
      </w:pPr>
      <w:r w:rsidRPr="005B5432">
        <w:rPr>
          <w:rFonts w:asciiTheme="minorHAnsi" w:hAnsiTheme="minorHAnsi" w:cstheme="minorHAnsi"/>
        </w:rPr>
        <w:t xml:space="preserve">Metropolitan Police (2024) </w:t>
      </w:r>
      <w:r w:rsidRPr="005B5432">
        <w:rPr>
          <w:rFonts w:asciiTheme="minorHAnsi" w:hAnsiTheme="minorHAnsi" w:cstheme="minorHAnsi"/>
          <w:i/>
          <w:iCs/>
        </w:rPr>
        <w:t xml:space="preserve">What is child abuse? </w:t>
      </w:r>
      <w:r w:rsidRPr="005B5432">
        <w:rPr>
          <w:rFonts w:asciiTheme="minorHAnsi" w:hAnsiTheme="minorHAnsi" w:cstheme="minorHAnsi"/>
        </w:rPr>
        <w:t xml:space="preserve">Available at: </w:t>
      </w:r>
      <w:hyperlink r:id="rId16" w:history="1">
        <w:r w:rsidRPr="005B5432">
          <w:rPr>
            <w:rStyle w:val="Hyperlink"/>
            <w:rFonts w:asciiTheme="minorHAnsi" w:hAnsiTheme="minorHAnsi" w:cstheme="minorHAnsi"/>
          </w:rPr>
          <w:t>https://www.met.police.uk/advice/advice-and-information/caa/child-abuse/what-is-child-abuse/</w:t>
        </w:r>
      </w:hyperlink>
      <w:r w:rsidRPr="005B5432">
        <w:rPr>
          <w:rFonts w:asciiTheme="minorHAnsi" w:hAnsiTheme="minorHAnsi" w:cstheme="minorHAnsi"/>
        </w:rPr>
        <w:t xml:space="preserve"> (Accessed: 24 January 2024). </w:t>
      </w:r>
    </w:p>
    <w:p w14:paraId="2DEEA14F" w14:textId="77777777" w:rsidR="00F27A1B" w:rsidRDefault="00F27A1B" w:rsidP="004C2828">
      <w:pPr>
        <w:rPr>
          <w:rFonts w:asciiTheme="minorHAnsi" w:hAnsiTheme="minorHAnsi" w:cstheme="minorHAnsi"/>
        </w:rPr>
      </w:pPr>
    </w:p>
    <w:p w14:paraId="2673A8EF" w14:textId="2736CF4E" w:rsidR="00F27A1B" w:rsidRPr="00F27A1B" w:rsidRDefault="00F27A1B" w:rsidP="00F27A1B">
      <w:pPr>
        <w:pStyle w:val="NoSpacing"/>
      </w:pPr>
      <w:r w:rsidRPr="00F27A1B">
        <w:t>Naughton, A.M.</w:t>
      </w:r>
      <w:r w:rsidRPr="00F27A1B">
        <w:rPr>
          <w:rStyle w:val="apple-converted-space"/>
        </w:rPr>
        <w:t xml:space="preserve">, Maguire, S.A., Mann, M.K., </w:t>
      </w:r>
      <w:proofErr w:type="spellStart"/>
      <w:r w:rsidRPr="00F27A1B">
        <w:rPr>
          <w:rStyle w:val="apple-converted-space"/>
        </w:rPr>
        <w:t>Lumb</w:t>
      </w:r>
      <w:proofErr w:type="spellEnd"/>
      <w:r w:rsidRPr="00F27A1B">
        <w:rPr>
          <w:rStyle w:val="apple-converted-space"/>
        </w:rPr>
        <w:t>, R.C., Tempest, V., Gracias, S., Kemp, A.M.,</w:t>
      </w:r>
      <w:r w:rsidRPr="00F27A1B">
        <w:rPr>
          <w:rStyle w:val="apple-converted-space"/>
        </w:rPr>
        <w:t> </w:t>
      </w:r>
      <w:r w:rsidRPr="00F27A1B">
        <w:t xml:space="preserve">(2013) ‘Emotional, </w:t>
      </w:r>
      <w:proofErr w:type="spellStart"/>
      <w:r w:rsidRPr="00F27A1B">
        <w:t>behavioral</w:t>
      </w:r>
      <w:proofErr w:type="spellEnd"/>
      <w:r w:rsidRPr="00F27A1B">
        <w:t>, and developmental features indicative of neglect or emotional abuse in preschool children’,</w:t>
      </w:r>
      <w:r w:rsidRPr="00F27A1B">
        <w:rPr>
          <w:rStyle w:val="apple-converted-space"/>
        </w:rPr>
        <w:t> </w:t>
      </w:r>
      <w:r w:rsidRPr="00F27A1B">
        <w:t xml:space="preserve">JAMA </w:t>
      </w:r>
      <w:proofErr w:type="spellStart"/>
      <w:r w:rsidRPr="00F27A1B">
        <w:t>Pediatrics</w:t>
      </w:r>
      <w:proofErr w:type="spellEnd"/>
      <w:r w:rsidRPr="00F27A1B">
        <w:t>, 167(8), p. 769. doi:10.1001/jamapediatrics.2013.192</w:t>
      </w:r>
      <w:r w:rsidRPr="00F27A1B">
        <w:t xml:space="preserve"> </w:t>
      </w:r>
      <w:r w:rsidR="000220E0">
        <w:t xml:space="preserve">(Accessed: 26 January 2024). </w:t>
      </w:r>
    </w:p>
    <w:p w14:paraId="38A54E76" w14:textId="77777777" w:rsidR="00CF179D" w:rsidRPr="00F27A1B" w:rsidRDefault="00CF179D" w:rsidP="00F27A1B">
      <w:pPr>
        <w:rPr>
          <w:rFonts w:asciiTheme="minorHAnsi" w:hAnsiTheme="minorHAnsi" w:cstheme="minorHAnsi"/>
          <w:u w:val="single"/>
        </w:rPr>
      </w:pPr>
    </w:p>
    <w:p w14:paraId="1A1EDF03" w14:textId="7EF405A5" w:rsidR="00CF179D" w:rsidRDefault="00CF179D" w:rsidP="004C2828">
      <w:pPr>
        <w:rPr>
          <w:rFonts w:asciiTheme="minorHAnsi" w:hAnsiTheme="minorHAnsi" w:cstheme="minorHAnsi"/>
        </w:rPr>
      </w:pPr>
      <w:r w:rsidRPr="005B5432">
        <w:rPr>
          <w:rFonts w:asciiTheme="minorHAnsi" w:hAnsiTheme="minorHAnsi" w:cstheme="minorHAnsi"/>
        </w:rPr>
        <w:t xml:space="preserve">NSPCC (2024) </w:t>
      </w:r>
      <w:r w:rsidRPr="005B5432">
        <w:rPr>
          <w:rFonts w:asciiTheme="minorHAnsi" w:hAnsiTheme="minorHAnsi" w:cstheme="minorHAnsi"/>
          <w:i/>
          <w:iCs/>
        </w:rPr>
        <w:t xml:space="preserve">Spotting the Signs of Child Abuse. </w:t>
      </w:r>
      <w:r w:rsidRPr="005B5432">
        <w:rPr>
          <w:rFonts w:asciiTheme="minorHAnsi" w:hAnsiTheme="minorHAnsi" w:cstheme="minorHAnsi"/>
        </w:rPr>
        <w:t xml:space="preserve">Available at: </w:t>
      </w:r>
      <w:hyperlink r:id="rId17" w:history="1">
        <w:r w:rsidRPr="005B5432">
          <w:rPr>
            <w:rStyle w:val="Hyperlink"/>
            <w:rFonts w:asciiTheme="minorHAnsi" w:hAnsiTheme="minorHAnsi" w:cstheme="minorHAnsi"/>
          </w:rPr>
          <w:t>https://www.nspcc.org.uk/what-is-child-abuse/spotting-signs-child-abuse/</w:t>
        </w:r>
      </w:hyperlink>
      <w:r w:rsidRPr="005B5432">
        <w:rPr>
          <w:rFonts w:asciiTheme="minorHAnsi" w:hAnsiTheme="minorHAnsi" w:cstheme="minorHAnsi"/>
        </w:rPr>
        <w:t xml:space="preserve"> (Accessed: 23 January 2024).</w:t>
      </w:r>
    </w:p>
    <w:p w14:paraId="711C972C" w14:textId="77777777" w:rsidR="008410E6" w:rsidRDefault="008410E6" w:rsidP="004C2828">
      <w:pPr>
        <w:rPr>
          <w:rFonts w:asciiTheme="minorHAnsi" w:hAnsiTheme="minorHAnsi" w:cstheme="minorHAnsi"/>
        </w:rPr>
      </w:pPr>
    </w:p>
    <w:p w14:paraId="6B3D2660" w14:textId="1B4757F9" w:rsidR="008410E6" w:rsidRDefault="008410E6" w:rsidP="004C2828">
      <w:pPr>
        <w:rPr>
          <w:rFonts w:asciiTheme="minorHAnsi" w:hAnsiTheme="minorHAnsi" w:cstheme="minorHAnsi"/>
        </w:rPr>
      </w:pPr>
      <w:r>
        <w:rPr>
          <w:rFonts w:asciiTheme="minorHAnsi" w:hAnsiTheme="minorHAnsi" w:cstheme="minorHAnsi"/>
        </w:rPr>
        <w:t xml:space="preserve">NSPCC (2024) </w:t>
      </w:r>
      <w:r>
        <w:rPr>
          <w:rFonts w:asciiTheme="minorHAnsi" w:hAnsiTheme="minorHAnsi" w:cstheme="minorHAnsi"/>
          <w:i/>
          <w:iCs/>
        </w:rPr>
        <w:t xml:space="preserve">Sexual Abuse. </w:t>
      </w:r>
      <w:r>
        <w:rPr>
          <w:rFonts w:asciiTheme="minorHAnsi" w:hAnsiTheme="minorHAnsi" w:cstheme="minorHAnsi"/>
        </w:rPr>
        <w:t xml:space="preserve">Available at: </w:t>
      </w:r>
      <w:hyperlink r:id="rId18" w:history="1">
        <w:r w:rsidRPr="00F836B8">
          <w:rPr>
            <w:rStyle w:val="Hyperlink"/>
            <w:rFonts w:asciiTheme="minorHAnsi" w:hAnsiTheme="minorHAnsi" w:cstheme="minorHAnsi"/>
          </w:rPr>
          <w:t>https://www.nspcc.org.uk/what-is-child-abuse/types-of-abuse/child-sexual-abuse/</w:t>
        </w:r>
      </w:hyperlink>
      <w:r>
        <w:rPr>
          <w:rFonts w:asciiTheme="minorHAnsi" w:hAnsiTheme="minorHAnsi" w:cstheme="minorHAnsi"/>
        </w:rPr>
        <w:t xml:space="preserve"> (Accessed: 24 January 2024). </w:t>
      </w:r>
    </w:p>
    <w:p w14:paraId="753092C4" w14:textId="77777777" w:rsidR="00986BD3" w:rsidRDefault="00986BD3" w:rsidP="004C2828">
      <w:pPr>
        <w:rPr>
          <w:rFonts w:asciiTheme="minorHAnsi" w:hAnsiTheme="minorHAnsi" w:cstheme="minorHAnsi"/>
        </w:rPr>
      </w:pPr>
    </w:p>
    <w:p w14:paraId="2E3F1940" w14:textId="0BBD95CE" w:rsidR="00986BD3" w:rsidRDefault="00986BD3" w:rsidP="00986BD3">
      <w:pPr>
        <w:pStyle w:val="NoSpacing"/>
      </w:pPr>
      <w:r>
        <w:rPr>
          <w:rFonts w:cstheme="minorHAnsi"/>
        </w:rPr>
        <w:t xml:space="preserve">NSPCC (2024) </w:t>
      </w:r>
      <w:r w:rsidRPr="00986BD3">
        <w:rPr>
          <w:i/>
          <w:iCs/>
        </w:rPr>
        <w:t>Writing safeguarding policies and procedures</w:t>
      </w:r>
      <w:r>
        <w:rPr>
          <w:i/>
          <w:iCs/>
        </w:rPr>
        <w:t xml:space="preserve">. </w:t>
      </w:r>
      <w:r>
        <w:t xml:space="preserve">Available at: </w:t>
      </w:r>
      <w:hyperlink r:id="rId19" w:history="1">
        <w:r w:rsidRPr="00F836B8">
          <w:rPr>
            <w:rStyle w:val="Hyperlink"/>
          </w:rPr>
          <w:t>https://learning.nspcc.org.uk/safeguarding-child-protection/writing-a-safeguarding-policy-statement/#:~:text=Safeguarding%20and%20child%20protection%20procedures%20are%20detailed%20guidelines%20and%20instructions,a%20child%27s%20safety%20or%20wellbeing</w:t>
        </w:r>
      </w:hyperlink>
      <w:r w:rsidRPr="00986BD3">
        <w:t>.</w:t>
      </w:r>
      <w:r>
        <w:t xml:space="preserve"> (Accessed: 26 January 2024). </w:t>
      </w:r>
    </w:p>
    <w:p w14:paraId="11767D95" w14:textId="77777777" w:rsidR="009F7963" w:rsidRDefault="009F7963" w:rsidP="00986BD3">
      <w:pPr>
        <w:pStyle w:val="NoSpacing"/>
      </w:pPr>
    </w:p>
    <w:p w14:paraId="1FA5A00C" w14:textId="35ED9F14" w:rsidR="009F7963" w:rsidRDefault="009F7963" w:rsidP="00986BD3">
      <w:pPr>
        <w:pStyle w:val="NoSpacing"/>
      </w:pPr>
      <w:r>
        <w:t xml:space="preserve">NSPCC (2024) </w:t>
      </w:r>
      <w:r>
        <w:rPr>
          <w:i/>
          <w:iCs/>
        </w:rPr>
        <w:t xml:space="preserve">Children and the Law. </w:t>
      </w:r>
      <w:r>
        <w:t xml:space="preserve">Available at: </w:t>
      </w:r>
      <w:hyperlink r:id="rId20" w:history="1">
        <w:r w:rsidRPr="00F836B8">
          <w:rPr>
            <w:rStyle w:val="Hyperlink"/>
          </w:rPr>
          <w:t>https://learning.nspcc.org.uk/child-protection-system/children-the-law</w:t>
        </w:r>
      </w:hyperlink>
      <w:r>
        <w:t xml:space="preserve"> (Accessed: 27 January 2024). </w:t>
      </w:r>
    </w:p>
    <w:p w14:paraId="323D79F4" w14:textId="77777777" w:rsidR="006315CF" w:rsidRDefault="006315CF" w:rsidP="00986BD3">
      <w:pPr>
        <w:pStyle w:val="NoSpacing"/>
      </w:pPr>
    </w:p>
    <w:p w14:paraId="6A9363F1" w14:textId="14690985" w:rsidR="006315CF" w:rsidRPr="006315CF" w:rsidRDefault="006315CF" w:rsidP="00986BD3">
      <w:pPr>
        <w:pStyle w:val="NoSpacing"/>
      </w:pPr>
      <w:r>
        <w:t xml:space="preserve">NSPCC (2021) </w:t>
      </w:r>
      <w:r>
        <w:rPr>
          <w:i/>
          <w:iCs/>
        </w:rPr>
        <w:t xml:space="preserve">Safeguarding and Child Protection Policy. </w:t>
      </w:r>
      <w:r>
        <w:t xml:space="preserve">Available at: </w:t>
      </w:r>
      <w:hyperlink r:id="rId21" w:history="1">
        <w:r w:rsidRPr="00F836B8">
          <w:rPr>
            <w:rStyle w:val="Hyperlink"/>
          </w:rPr>
          <w:t>https://www.nspcc.org.uk/globalassets/documents/volunteering/essential-resources-for-volunteers/safeguarding-and-child-protection-policy.pdf</w:t>
        </w:r>
      </w:hyperlink>
      <w:r>
        <w:t xml:space="preserve"> (Accessed: 28 January 2024). </w:t>
      </w:r>
    </w:p>
    <w:p w14:paraId="59C3C4C1" w14:textId="77777777" w:rsidR="005205DF" w:rsidRPr="005B5432" w:rsidRDefault="005205DF" w:rsidP="004C2828">
      <w:pPr>
        <w:rPr>
          <w:rFonts w:asciiTheme="minorHAnsi" w:hAnsiTheme="minorHAnsi" w:cstheme="minorHAnsi"/>
        </w:rPr>
      </w:pPr>
    </w:p>
    <w:p w14:paraId="44B3CB80" w14:textId="103E1D30" w:rsidR="005205DF" w:rsidRDefault="005205DF" w:rsidP="005205DF">
      <w:pPr>
        <w:rPr>
          <w:rStyle w:val="apple-converted-space"/>
          <w:rFonts w:asciiTheme="minorHAnsi" w:hAnsiTheme="minorHAnsi" w:cstheme="minorHAnsi"/>
          <w:color w:val="000000"/>
        </w:rPr>
      </w:pPr>
      <w:r w:rsidRPr="005B5432">
        <w:rPr>
          <w:rFonts w:asciiTheme="minorHAnsi" w:hAnsiTheme="minorHAnsi" w:cstheme="minorHAnsi"/>
        </w:rPr>
        <w:t>Office, H. (2016)</w:t>
      </w:r>
      <w:r w:rsidRPr="005B5432">
        <w:rPr>
          <w:rStyle w:val="apple-converted-space"/>
          <w:rFonts w:asciiTheme="minorHAnsi" w:hAnsiTheme="minorHAnsi" w:cstheme="minorHAnsi"/>
          <w:color w:val="000000"/>
        </w:rPr>
        <w:t> </w:t>
      </w:r>
      <w:r w:rsidRPr="005B5432">
        <w:rPr>
          <w:rFonts w:asciiTheme="minorHAnsi" w:hAnsiTheme="minorHAnsi" w:cstheme="minorHAnsi"/>
          <w:i/>
          <w:iCs/>
        </w:rPr>
        <w:t>Reporting and acting on child abuse and neglect</w:t>
      </w:r>
      <w:r w:rsidRPr="005B5432">
        <w:rPr>
          <w:rFonts w:asciiTheme="minorHAnsi" w:hAnsiTheme="minorHAnsi" w:cstheme="minorHAnsi"/>
        </w:rPr>
        <w:t>,</w:t>
      </w:r>
      <w:r w:rsidRPr="005B5432">
        <w:rPr>
          <w:rStyle w:val="apple-converted-space"/>
          <w:rFonts w:asciiTheme="minorHAnsi" w:hAnsiTheme="minorHAnsi" w:cstheme="minorHAnsi"/>
          <w:color w:val="000000"/>
        </w:rPr>
        <w:t> </w:t>
      </w:r>
      <w:r w:rsidRPr="005B5432">
        <w:rPr>
          <w:rFonts w:asciiTheme="minorHAnsi" w:hAnsiTheme="minorHAnsi" w:cstheme="minorHAnsi"/>
          <w:i/>
          <w:iCs/>
        </w:rPr>
        <w:t>GOV.UK</w:t>
      </w:r>
      <w:r w:rsidRPr="005B5432">
        <w:rPr>
          <w:rFonts w:asciiTheme="minorHAnsi" w:hAnsiTheme="minorHAnsi" w:cstheme="minorHAnsi"/>
        </w:rPr>
        <w:t xml:space="preserve">. Available at: </w:t>
      </w:r>
      <w:hyperlink r:id="rId22" w:history="1">
        <w:r w:rsidRPr="005B5432">
          <w:rPr>
            <w:rStyle w:val="Hyperlink"/>
            <w:rFonts w:asciiTheme="minorHAnsi" w:hAnsiTheme="minorHAnsi" w:cstheme="minorHAnsi"/>
          </w:rPr>
          <w:t>https://www.gov.uk/government/consultations/reporting-and-acting-on-child-abuse-and-neglect</w:t>
        </w:r>
      </w:hyperlink>
      <w:r w:rsidRPr="005B5432">
        <w:rPr>
          <w:rFonts w:asciiTheme="minorHAnsi" w:hAnsiTheme="minorHAnsi" w:cstheme="minorHAnsi"/>
        </w:rPr>
        <w:t xml:space="preserve"> </w:t>
      </w:r>
      <w:r w:rsidRPr="005B5432">
        <w:rPr>
          <w:rFonts w:asciiTheme="minorHAnsi" w:hAnsiTheme="minorHAnsi" w:cstheme="minorHAnsi"/>
        </w:rPr>
        <w:t>(Accessed: 23 January 2024).</w:t>
      </w:r>
      <w:r w:rsidRPr="005B5432">
        <w:rPr>
          <w:rStyle w:val="apple-converted-space"/>
          <w:rFonts w:asciiTheme="minorHAnsi" w:hAnsiTheme="minorHAnsi" w:cstheme="minorHAnsi"/>
          <w:color w:val="000000"/>
        </w:rPr>
        <w:t> </w:t>
      </w:r>
    </w:p>
    <w:p w14:paraId="178EC065" w14:textId="77777777" w:rsidR="001448EE" w:rsidRDefault="001448EE" w:rsidP="005205DF">
      <w:pPr>
        <w:rPr>
          <w:rStyle w:val="apple-converted-space"/>
          <w:rFonts w:asciiTheme="minorHAnsi" w:hAnsiTheme="minorHAnsi" w:cstheme="minorHAnsi"/>
          <w:color w:val="000000"/>
        </w:rPr>
      </w:pPr>
    </w:p>
    <w:p w14:paraId="3C6C1764" w14:textId="185C8413" w:rsidR="001448EE" w:rsidRDefault="001448EE" w:rsidP="005205DF">
      <w:pPr>
        <w:rPr>
          <w:rStyle w:val="apple-converted-space"/>
          <w:rFonts w:asciiTheme="minorHAnsi" w:hAnsiTheme="minorHAnsi" w:cstheme="minorHAnsi"/>
          <w:color w:val="000000"/>
        </w:rPr>
      </w:pPr>
      <w:r>
        <w:rPr>
          <w:rStyle w:val="apple-converted-space"/>
          <w:rFonts w:asciiTheme="minorHAnsi" w:hAnsiTheme="minorHAnsi" w:cstheme="minorHAnsi"/>
          <w:color w:val="000000"/>
        </w:rPr>
        <w:lastRenderedPageBreak/>
        <w:t xml:space="preserve">Stop It Now (no date) </w:t>
      </w:r>
      <w:r>
        <w:rPr>
          <w:rStyle w:val="apple-converted-space"/>
          <w:rFonts w:asciiTheme="minorHAnsi" w:hAnsiTheme="minorHAnsi" w:cstheme="minorHAnsi"/>
          <w:i/>
          <w:iCs/>
          <w:color w:val="000000"/>
        </w:rPr>
        <w:t xml:space="preserve">Definition of Child Sexual Abuse. </w:t>
      </w:r>
      <w:r>
        <w:rPr>
          <w:rStyle w:val="apple-converted-space"/>
          <w:rFonts w:asciiTheme="minorHAnsi" w:hAnsiTheme="minorHAnsi" w:cstheme="minorHAnsi"/>
          <w:color w:val="000000"/>
        </w:rPr>
        <w:t xml:space="preserve">Available at: </w:t>
      </w:r>
      <w:hyperlink r:id="rId23" w:history="1">
        <w:r w:rsidRPr="00F836B8">
          <w:rPr>
            <w:rStyle w:val="Hyperlink"/>
            <w:rFonts w:asciiTheme="minorHAnsi" w:hAnsiTheme="minorHAnsi" w:cstheme="minorHAnsi"/>
          </w:rPr>
          <w:t>https://www.stopitnow.org.uk/faq/#:~:text=“Sexual%20abuse%20involves%20forcing%20or,penetrative%20or%20non%2Dpenetrative%20acts</w:t>
        </w:r>
      </w:hyperlink>
      <w:r w:rsidRPr="001448EE">
        <w:rPr>
          <w:rStyle w:val="apple-converted-space"/>
          <w:rFonts w:asciiTheme="minorHAnsi" w:hAnsiTheme="minorHAnsi" w:cstheme="minorHAnsi"/>
          <w:color w:val="000000"/>
        </w:rPr>
        <w:t>.</w:t>
      </w:r>
      <w:r>
        <w:rPr>
          <w:rStyle w:val="apple-converted-space"/>
          <w:rFonts w:asciiTheme="minorHAnsi" w:hAnsiTheme="minorHAnsi" w:cstheme="minorHAnsi"/>
          <w:color w:val="000000"/>
        </w:rPr>
        <w:t xml:space="preserve"> (Accessed: 24 January 2024).  </w:t>
      </w:r>
    </w:p>
    <w:p w14:paraId="18E49E1D" w14:textId="77777777" w:rsidR="00903975" w:rsidRDefault="00903975" w:rsidP="005205DF">
      <w:pPr>
        <w:rPr>
          <w:rStyle w:val="apple-converted-space"/>
          <w:rFonts w:asciiTheme="minorHAnsi" w:hAnsiTheme="minorHAnsi" w:cstheme="minorHAnsi"/>
          <w:color w:val="000000"/>
        </w:rPr>
      </w:pPr>
    </w:p>
    <w:p w14:paraId="319C4730" w14:textId="0E2B09E6" w:rsidR="00903975" w:rsidRPr="00903975" w:rsidRDefault="00903975" w:rsidP="005205DF">
      <w:pPr>
        <w:rPr>
          <w:rFonts w:asciiTheme="minorHAnsi" w:hAnsiTheme="minorHAnsi" w:cstheme="minorHAnsi"/>
        </w:rPr>
      </w:pPr>
      <w:r>
        <w:rPr>
          <w:rStyle w:val="apple-converted-space"/>
          <w:rFonts w:asciiTheme="minorHAnsi" w:hAnsiTheme="minorHAnsi" w:cstheme="minorHAnsi"/>
          <w:color w:val="000000"/>
        </w:rPr>
        <w:t xml:space="preserve">UNICEF (2019) </w:t>
      </w:r>
      <w:r>
        <w:rPr>
          <w:rStyle w:val="apple-converted-space"/>
          <w:rFonts w:asciiTheme="minorHAnsi" w:hAnsiTheme="minorHAnsi" w:cstheme="minorHAnsi"/>
          <w:i/>
          <w:iCs/>
          <w:color w:val="000000"/>
        </w:rPr>
        <w:t xml:space="preserve">How We Protect </w:t>
      </w:r>
      <w:proofErr w:type="spellStart"/>
      <w:r>
        <w:rPr>
          <w:rStyle w:val="apple-converted-space"/>
          <w:rFonts w:asciiTheme="minorHAnsi" w:hAnsiTheme="minorHAnsi" w:cstheme="minorHAnsi"/>
          <w:i/>
          <w:iCs/>
          <w:color w:val="000000"/>
        </w:rPr>
        <w:t>Childrens</w:t>
      </w:r>
      <w:proofErr w:type="spellEnd"/>
      <w:r>
        <w:rPr>
          <w:rStyle w:val="apple-converted-space"/>
          <w:rFonts w:asciiTheme="minorHAnsi" w:hAnsiTheme="minorHAnsi" w:cstheme="minorHAnsi"/>
          <w:i/>
          <w:iCs/>
          <w:color w:val="000000"/>
        </w:rPr>
        <w:t xml:space="preserve"> Rights. </w:t>
      </w:r>
      <w:r>
        <w:rPr>
          <w:rStyle w:val="apple-converted-space"/>
          <w:rFonts w:asciiTheme="minorHAnsi" w:hAnsiTheme="minorHAnsi" w:cstheme="minorHAnsi"/>
          <w:color w:val="000000"/>
        </w:rPr>
        <w:t xml:space="preserve">Available at: </w:t>
      </w:r>
      <w:hyperlink r:id="rId24" w:history="1">
        <w:r w:rsidRPr="00F836B8">
          <w:rPr>
            <w:rStyle w:val="Hyperlink"/>
            <w:rFonts w:asciiTheme="minorHAnsi" w:hAnsiTheme="minorHAnsi" w:cstheme="minorHAnsi"/>
          </w:rPr>
          <w:t>https://www.unicef.org.uk/what-we-do/un-convention-child-rights/</w:t>
        </w:r>
      </w:hyperlink>
      <w:r>
        <w:rPr>
          <w:rStyle w:val="apple-converted-space"/>
          <w:rFonts w:asciiTheme="minorHAnsi" w:hAnsiTheme="minorHAnsi" w:cstheme="minorHAnsi"/>
          <w:color w:val="000000"/>
        </w:rPr>
        <w:t xml:space="preserve"> (Accessed: 28 January 2024). </w:t>
      </w:r>
    </w:p>
    <w:p w14:paraId="323A49A9" w14:textId="38B63A03" w:rsidR="00CF179D" w:rsidRPr="005B5432" w:rsidRDefault="00CF179D" w:rsidP="004C2828">
      <w:pPr>
        <w:rPr>
          <w:rFonts w:asciiTheme="minorHAnsi" w:hAnsiTheme="minorHAnsi" w:cstheme="minorHAnsi"/>
        </w:rPr>
      </w:pPr>
    </w:p>
    <w:p w14:paraId="2531E1E9" w14:textId="5C5E0F03" w:rsidR="00415810" w:rsidRPr="005B5432" w:rsidRDefault="001F5125" w:rsidP="004C2828">
      <w:pPr>
        <w:pStyle w:val="NoSpacing"/>
        <w:rPr>
          <w:rFonts w:cstheme="minorHAnsi"/>
        </w:rPr>
      </w:pPr>
      <w:r w:rsidRPr="005B5432">
        <w:rPr>
          <w:rFonts w:cstheme="minorHAnsi"/>
        </w:rPr>
        <w:t xml:space="preserve">Wales Safeguarding Procedures (2024) </w:t>
      </w:r>
      <w:r w:rsidR="00415810" w:rsidRPr="005B5432">
        <w:rPr>
          <w:rFonts w:cstheme="minorHAnsi"/>
          <w:i/>
          <w:iCs/>
        </w:rPr>
        <w:t>Early help and prevention from abuse, neglect and harm</w:t>
      </w:r>
      <w:r w:rsidR="00415810" w:rsidRPr="005B5432">
        <w:rPr>
          <w:rFonts w:cstheme="minorHAnsi"/>
          <w:i/>
          <w:iCs/>
        </w:rPr>
        <w:t xml:space="preserve">. </w:t>
      </w:r>
      <w:r w:rsidR="00415810" w:rsidRPr="005B5432">
        <w:rPr>
          <w:rFonts w:cstheme="minorHAnsi"/>
        </w:rPr>
        <w:t xml:space="preserve">Available at: </w:t>
      </w:r>
      <w:hyperlink r:id="rId25" w:history="1">
        <w:r w:rsidR="00415810" w:rsidRPr="005B5432">
          <w:rPr>
            <w:rStyle w:val="Hyperlink"/>
            <w:rFonts w:cstheme="minorHAnsi"/>
          </w:rPr>
          <w:t>https://safeguarding.wales/en/chi-i/chi-i-c1/c1-p6/</w:t>
        </w:r>
      </w:hyperlink>
      <w:r w:rsidR="00415810" w:rsidRPr="005B5432">
        <w:rPr>
          <w:rFonts w:cstheme="minorHAnsi"/>
        </w:rPr>
        <w:t xml:space="preserve"> (Accessed: 23 January 2024).</w:t>
      </w:r>
    </w:p>
    <w:p w14:paraId="1B9E41F3" w14:textId="77777777" w:rsidR="005205DF" w:rsidRDefault="005205DF" w:rsidP="004C2828">
      <w:pPr>
        <w:pStyle w:val="NoSpacing"/>
      </w:pPr>
    </w:p>
    <w:p w14:paraId="4BE08C07" w14:textId="24C6CB38" w:rsidR="005205DF" w:rsidRPr="00D31015" w:rsidRDefault="00D31015" w:rsidP="004C2828">
      <w:pPr>
        <w:pStyle w:val="NoSpacing"/>
      </w:pPr>
      <w:r>
        <w:t xml:space="preserve">Welsh Government (2015) </w:t>
      </w:r>
      <w:r w:rsidRPr="00D31015">
        <w:rPr>
          <w:i/>
          <w:iCs/>
        </w:rPr>
        <w:t>Safeguarding children in regulated childcare settings: Guidance.</w:t>
      </w:r>
      <w:r>
        <w:rPr>
          <w:i/>
          <w:iCs/>
        </w:rPr>
        <w:t xml:space="preserve"> </w:t>
      </w:r>
      <w:r>
        <w:t xml:space="preserve">Available at: </w:t>
      </w:r>
      <w:hyperlink r:id="rId26" w:history="1">
        <w:r w:rsidR="00D62871" w:rsidRPr="00F836B8">
          <w:rPr>
            <w:rStyle w:val="Hyperlink"/>
          </w:rPr>
          <w:t>https://www.gov.wales/safeguarding-children-reporting-suspected-abuse-neglect-or-harm</w:t>
        </w:r>
      </w:hyperlink>
      <w:r w:rsidR="00D62871">
        <w:t xml:space="preserve"> (Accessed: 28 January 2024).  </w:t>
      </w:r>
    </w:p>
    <w:p w14:paraId="0121755F" w14:textId="05B45EB9" w:rsidR="001F5125" w:rsidRPr="001F5125" w:rsidRDefault="001F5125" w:rsidP="001F5125">
      <w:pPr>
        <w:pStyle w:val="ListParagraph"/>
        <w:rPr>
          <w:i/>
          <w:iCs/>
        </w:rPr>
      </w:pPr>
    </w:p>
    <w:p w14:paraId="0183832F" w14:textId="77777777" w:rsidR="001F5125" w:rsidRDefault="001F5125" w:rsidP="001F5125"/>
    <w:p w14:paraId="0E7345EF" w14:textId="77777777" w:rsidR="001F5125" w:rsidRDefault="001F5125" w:rsidP="00331B0B"/>
    <w:p w14:paraId="1DBC9165" w14:textId="77777777" w:rsidR="001F5125" w:rsidRPr="00E2675A" w:rsidRDefault="001F5125" w:rsidP="00331B0B"/>
    <w:p w14:paraId="14EAF9BC" w14:textId="77777777" w:rsidR="001D3619" w:rsidRDefault="001D3619" w:rsidP="001D3619">
      <w:pPr>
        <w:jc w:val="center"/>
        <w:rPr>
          <w:u w:val="single"/>
        </w:rPr>
      </w:pPr>
    </w:p>
    <w:p w14:paraId="38DA314F" w14:textId="77777777" w:rsidR="001D3619" w:rsidRPr="001D3619" w:rsidRDefault="001D3619" w:rsidP="001D3619"/>
    <w:sectPr w:rsidR="001D3619" w:rsidRPr="001D36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116F9"/>
    <w:multiLevelType w:val="multilevel"/>
    <w:tmpl w:val="1E086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D847860"/>
    <w:multiLevelType w:val="multilevel"/>
    <w:tmpl w:val="9FAAA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1C40759"/>
    <w:multiLevelType w:val="multilevel"/>
    <w:tmpl w:val="09962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5C22FDA"/>
    <w:multiLevelType w:val="multilevel"/>
    <w:tmpl w:val="EDD00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7A76798"/>
    <w:multiLevelType w:val="hybridMultilevel"/>
    <w:tmpl w:val="2DCC53CA"/>
    <w:lvl w:ilvl="0" w:tplc="27EE5C44">
      <w:start w:val="75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3A6B73"/>
    <w:multiLevelType w:val="multilevel"/>
    <w:tmpl w:val="B016B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BE85AED"/>
    <w:multiLevelType w:val="multilevel"/>
    <w:tmpl w:val="00E81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F4021D5"/>
    <w:multiLevelType w:val="multilevel"/>
    <w:tmpl w:val="45DC8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70B1094"/>
    <w:multiLevelType w:val="multilevel"/>
    <w:tmpl w:val="3E2A2F5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3EA498C"/>
    <w:multiLevelType w:val="multilevel"/>
    <w:tmpl w:val="AD9CA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E5C16A0"/>
    <w:multiLevelType w:val="multilevel"/>
    <w:tmpl w:val="34EA7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9E92E6D"/>
    <w:multiLevelType w:val="multilevel"/>
    <w:tmpl w:val="692AF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20214325">
    <w:abstractNumId w:val="4"/>
  </w:num>
  <w:num w:numId="2" w16cid:durableId="306396812">
    <w:abstractNumId w:val="0"/>
  </w:num>
  <w:num w:numId="3" w16cid:durableId="1797405193">
    <w:abstractNumId w:val="5"/>
  </w:num>
  <w:num w:numId="4" w16cid:durableId="209996576">
    <w:abstractNumId w:val="11"/>
  </w:num>
  <w:num w:numId="5" w16cid:durableId="1109154786">
    <w:abstractNumId w:val="1"/>
  </w:num>
  <w:num w:numId="6" w16cid:durableId="1540430274">
    <w:abstractNumId w:val="6"/>
  </w:num>
  <w:num w:numId="7" w16cid:durableId="2050185540">
    <w:abstractNumId w:val="9"/>
  </w:num>
  <w:num w:numId="8" w16cid:durableId="1093862699">
    <w:abstractNumId w:val="3"/>
  </w:num>
  <w:num w:numId="9" w16cid:durableId="1008168503">
    <w:abstractNumId w:val="10"/>
  </w:num>
  <w:num w:numId="10" w16cid:durableId="603346370">
    <w:abstractNumId w:val="2"/>
  </w:num>
  <w:num w:numId="11" w16cid:durableId="1693873170">
    <w:abstractNumId w:val="8"/>
  </w:num>
  <w:num w:numId="12" w16cid:durableId="40884590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3619"/>
    <w:rsid w:val="000220E0"/>
    <w:rsid w:val="00033BF4"/>
    <w:rsid w:val="000E319B"/>
    <w:rsid w:val="001448EE"/>
    <w:rsid w:val="00191DEF"/>
    <w:rsid w:val="001D3619"/>
    <w:rsid w:val="001F5125"/>
    <w:rsid w:val="001F6E2D"/>
    <w:rsid w:val="001F7025"/>
    <w:rsid w:val="00244FB2"/>
    <w:rsid w:val="00261489"/>
    <w:rsid w:val="002B221E"/>
    <w:rsid w:val="002C7571"/>
    <w:rsid w:val="00331ACC"/>
    <w:rsid w:val="00331B0B"/>
    <w:rsid w:val="00396021"/>
    <w:rsid w:val="003B6692"/>
    <w:rsid w:val="003E7630"/>
    <w:rsid w:val="00415810"/>
    <w:rsid w:val="00443EC2"/>
    <w:rsid w:val="00470FA2"/>
    <w:rsid w:val="00486694"/>
    <w:rsid w:val="004C2828"/>
    <w:rsid w:val="005205DF"/>
    <w:rsid w:val="00593279"/>
    <w:rsid w:val="005B5432"/>
    <w:rsid w:val="006315CF"/>
    <w:rsid w:val="0068697A"/>
    <w:rsid w:val="007F0266"/>
    <w:rsid w:val="00817438"/>
    <w:rsid w:val="008410E6"/>
    <w:rsid w:val="008A292C"/>
    <w:rsid w:val="008E6EB0"/>
    <w:rsid w:val="00903975"/>
    <w:rsid w:val="00961F18"/>
    <w:rsid w:val="00986BD3"/>
    <w:rsid w:val="009D3E45"/>
    <w:rsid w:val="009F48D5"/>
    <w:rsid w:val="009F7963"/>
    <w:rsid w:val="00A56D76"/>
    <w:rsid w:val="00AB4803"/>
    <w:rsid w:val="00B378EB"/>
    <w:rsid w:val="00BB01A2"/>
    <w:rsid w:val="00BE512A"/>
    <w:rsid w:val="00C003EE"/>
    <w:rsid w:val="00C44245"/>
    <w:rsid w:val="00CA55A7"/>
    <w:rsid w:val="00CE28B6"/>
    <w:rsid w:val="00CF179D"/>
    <w:rsid w:val="00D31015"/>
    <w:rsid w:val="00D62871"/>
    <w:rsid w:val="00E05CDF"/>
    <w:rsid w:val="00E2675A"/>
    <w:rsid w:val="00F02F06"/>
    <w:rsid w:val="00F16141"/>
    <w:rsid w:val="00F27A1B"/>
    <w:rsid w:val="00F50A7E"/>
    <w:rsid w:val="00F835E6"/>
    <w:rsid w:val="00FA6BE6"/>
    <w:rsid w:val="00FB3D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FC5221"/>
  <w15:chartTrackingRefBased/>
  <w15:docId w15:val="{24B27973-C9A1-C44D-9093-7652264FC0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1F18"/>
    <w:rPr>
      <w:rFonts w:ascii="Times New Roman" w:eastAsia="Times New Roman" w:hAnsi="Times New Roman" w:cs="Times New Roman"/>
      <w:kern w:val="0"/>
      <w:lang w:eastAsia="en-GB"/>
      <w14:ligatures w14:val="none"/>
    </w:rPr>
  </w:style>
  <w:style w:type="paragraph" w:styleId="Heading1">
    <w:name w:val="heading 1"/>
    <w:basedOn w:val="Normal"/>
    <w:link w:val="Heading1Char"/>
    <w:uiPriority w:val="9"/>
    <w:qFormat/>
    <w:rsid w:val="00415810"/>
    <w:pPr>
      <w:spacing w:before="100" w:beforeAutospacing="1" w:after="100" w:afterAutospacing="1"/>
      <w:outlineLvl w:val="0"/>
    </w:pPr>
    <w:rPr>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5125"/>
    <w:pPr>
      <w:ind w:left="720"/>
      <w:contextualSpacing/>
    </w:pPr>
  </w:style>
  <w:style w:type="character" w:customStyle="1" w:styleId="Heading1Char">
    <w:name w:val="Heading 1 Char"/>
    <w:basedOn w:val="DefaultParagraphFont"/>
    <w:link w:val="Heading1"/>
    <w:uiPriority w:val="9"/>
    <w:rsid w:val="00415810"/>
    <w:rPr>
      <w:rFonts w:ascii="Times New Roman" w:eastAsia="Times New Roman" w:hAnsi="Times New Roman" w:cs="Times New Roman"/>
      <w:b/>
      <w:bCs/>
      <w:kern w:val="36"/>
      <w:sz w:val="48"/>
      <w:szCs w:val="48"/>
      <w:lang w:eastAsia="en-GB"/>
      <w14:ligatures w14:val="none"/>
    </w:rPr>
  </w:style>
  <w:style w:type="paragraph" w:styleId="NoSpacing">
    <w:name w:val="No Spacing"/>
    <w:uiPriority w:val="1"/>
    <w:qFormat/>
    <w:rsid w:val="00415810"/>
  </w:style>
  <w:style w:type="character" w:styleId="Hyperlink">
    <w:name w:val="Hyperlink"/>
    <w:basedOn w:val="DefaultParagraphFont"/>
    <w:uiPriority w:val="99"/>
    <w:unhideWhenUsed/>
    <w:rsid w:val="00415810"/>
    <w:rPr>
      <w:color w:val="0563C1" w:themeColor="hyperlink"/>
      <w:u w:val="single"/>
    </w:rPr>
  </w:style>
  <w:style w:type="character" w:styleId="UnresolvedMention">
    <w:name w:val="Unresolved Mention"/>
    <w:basedOn w:val="DefaultParagraphFont"/>
    <w:uiPriority w:val="99"/>
    <w:semiHidden/>
    <w:unhideWhenUsed/>
    <w:rsid w:val="00415810"/>
    <w:rPr>
      <w:color w:val="605E5C"/>
      <w:shd w:val="clear" w:color="auto" w:fill="E1DFDD"/>
    </w:rPr>
  </w:style>
  <w:style w:type="paragraph" w:styleId="NormalWeb">
    <w:name w:val="Normal (Web)"/>
    <w:basedOn w:val="Normal"/>
    <w:uiPriority w:val="99"/>
    <w:unhideWhenUsed/>
    <w:rsid w:val="005205DF"/>
    <w:pPr>
      <w:spacing w:before="100" w:beforeAutospacing="1" w:after="100" w:afterAutospacing="1"/>
    </w:pPr>
  </w:style>
  <w:style w:type="character" w:customStyle="1" w:styleId="apple-converted-space">
    <w:name w:val="apple-converted-space"/>
    <w:basedOn w:val="DefaultParagraphFont"/>
    <w:rsid w:val="005205DF"/>
  </w:style>
  <w:style w:type="character" w:styleId="Strong">
    <w:name w:val="Strong"/>
    <w:basedOn w:val="DefaultParagraphFont"/>
    <w:uiPriority w:val="22"/>
    <w:qFormat/>
    <w:rsid w:val="00F02F0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49153">
      <w:bodyDiv w:val="1"/>
      <w:marLeft w:val="0"/>
      <w:marRight w:val="0"/>
      <w:marTop w:val="0"/>
      <w:marBottom w:val="0"/>
      <w:divBdr>
        <w:top w:val="none" w:sz="0" w:space="0" w:color="auto"/>
        <w:left w:val="none" w:sz="0" w:space="0" w:color="auto"/>
        <w:bottom w:val="none" w:sz="0" w:space="0" w:color="auto"/>
        <w:right w:val="none" w:sz="0" w:space="0" w:color="auto"/>
      </w:divBdr>
    </w:div>
    <w:div w:id="12193056">
      <w:bodyDiv w:val="1"/>
      <w:marLeft w:val="0"/>
      <w:marRight w:val="0"/>
      <w:marTop w:val="0"/>
      <w:marBottom w:val="0"/>
      <w:divBdr>
        <w:top w:val="none" w:sz="0" w:space="0" w:color="auto"/>
        <w:left w:val="none" w:sz="0" w:space="0" w:color="auto"/>
        <w:bottom w:val="none" w:sz="0" w:space="0" w:color="auto"/>
        <w:right w:val="none" w:sz="0" w:space="0" w:color="auto"/>
      </w:divBdr>
    </w:div>
    <w:div w:id="50154054">
      <w:bodyDiv w:val="1"/>
      <w:marLeft w:val="0"/>
      <w:marRight w:val="0"/>
      <w:marTop w:val="0"/>
      <w:marBottom w:val="0"/>
      <w:divBdr>
        <w:top w:val="none" w:sz="0" w:space="0" w:color="auto"/>
        <w:left w:val="none" w:sz="0" w:space="0" w:color="auto"/>
        <w:bottom w:val="none" w:sz="0" w:space="0" w:color="auto"/>
        <w:right w:val="none" w:sz="0" w:space="0" w:color="auto"/>
      </w:divBdr>
    </w:div>
    <w:div w:id="344137059">
      <w:bodyDiv w:val="1"/>
      <w:marLeft w:val="0"/>
      <w:marRight w:val="0"/>
      <w:marTop w:val="0"/>
      <w:marBottom w:val="0"/>
      <w:divBdr>
        <w:top w:val="none" w:sz="0" w:space="0" w:color="auto"/>
        <w:left w:val="none" w:sz="0" w:space="0" w:color="auto"/>
        <w:bottom w:val="none" w:sz="0" w:space="0" w:color="auto"/>
        <w:right w:val="none" w:sz="0" w:space="0" w:color="auto"/>
      </w:divBdr>
    </w:div>
    <w:div w:id="482281774">
      <w:bodyDiv w:val="1"/>
      <w:marLeft w:val="0"/>
      <w:marRight w:val="0"/>
      <w:marTop w:val="0"/>
      <w:marBottom w:val="0"/>
      <w:divBdr>
        <w:top w:val="none" w:sz="0" w:space="0" w:color="auto"/>
        <w:left w:val="none" w:sz="0" w:space="0" w:color="auto"/>
        <w:bottom w:val="none" w:sz="0" w:space="0" w:color="auto"/>
        <w:right w:val="none" w:sz="0" w:space="0" w:color="auto"/>
      </w:divBdr>
    </w:div>
    <w:div w:id="509760243">
      <w:bodyDiv w:val="1"/>
      <w:marLeft w:val="0"/>
      <w:marRight w:val="0"/>
      <w:marTop w:val="0"/>
      <w:marBottom w:val="0"/>
      <w:divBdr>
        <w:top w:val="none" w:sz="0" w:space="0" w:color="auto"/>
        <w:left w:val="none" w:sz="0" w:space="0" w:color="auto"/>
        <w:bottom w:val="none" w:sz="0" w:space="0" w:color="auto"/>
        <w:right w:val="none" w:sz="0" w:space="0" w:color="auto"/>
      </w:divBdr>
    </w:div>
    <w:div w:id="649943967">
      <w:bodyDiv w:val="1"/>
      <w:marLeft w:val="0"/>
      <w:marRight w:val="0"/>
      <w:marTop w:val="0"/>
      <w:marBottom w:val="0"/>
      <w:divBdr>
        <w:top w:val="none" w:sz="0" w:space="0" w:color="auto"/>
        <w:left w:val="none" w:sz="0" w:space="0" w:color="auto"/>
        <w:bottom w:val="none" w:sz="0" w:space="0" w:color="auto"/>
        <w:right w:val="none" w:sz="0" w:space="0" w:color="auto"/>
      </w:divBdr>
    </w:div>
    <w:div w:id="678431186">
      <w:bodyDiv w:val="1"/>
      <w:marLeft w:val="0"/>
      <w:marRight w:val="0"/>
      <w:marTop w:val="0"/>
      <w:marBottom w:val="0"/>
      <w:divBdr>
        <w:top w:val="none" w:sz="0" w:space="0" w:color="auto"/>
        <w:left w:val="none" w:sz="0" w:space="0" w:color="auto"/>
        <w:bottom w:val="none" w:sz="0" w:space="0" w:color="auto"/>
        <w:right w:val="none" w:sz="0" w:space="0" w:color="auto"/>
      </w:divBdr>
    </w:div>
    <w:div w:id="815150506">
      <w:bodyDiv w:val="1"/>
      <w:marLeft w:val="0"/>
      <w:marRight w:val="0"/>
      <w:marTop w:val="0"/>
      <w:marBottom w:val="0"/>
      <w:divBdr>
        <w:top w:val="none" w:sz="0" w:space="0" w:color="auto"/>
        <w:left w:val="none" w:sz="0" w:space="0" w:color="auto"/>
        <w:bottom w:val="none" w:sz="0" w:space="0" w:color="auto"/>
        <w:right w:val="none" w:sz="0" w:space="0" w:color="auto"/>
      </w:divBdr>
    </w:div>
    <w:div w:id="939606967">
      <w:bodyDiv w:val="1"/>
      <w:marLeft w:val="0"/>
      <w:marRight w:val="0"/>
      <w:marTop w:val="0"/>
      <w:marBottom w:val="0"/>
      <w:divBdr>
        <w:top w:val="none" w:sz="0" w:space="0" w:color="auto"/>
        <w:left w:val="none" w:sz="0" w:space="0" w:color="auto"/>
        <w:bottom w:val="none" w:sz="0" w:space="0" w:color="auto"/>
        <w:right w:val="none" w:sz="0" w:space="0" w:color="auto"/>
      </w:divBdr>
    </w:div>
    <w:div w:id="1036203414">
      <w:bodyDiv w:val="1"/>
      <w:marLeft w:val="0"/>
      <w:marRight w:val="0"/>
      <w:marTop w:val="0"/>
      <w:marBottom w:val="0"/>
      <w:divBdr>
        <w:top w:val="none" w:sz="0" w:space="0" w:color="auto"/>
        <w:left w:val="none" w:sz="0" w:space="0" w:color="auto"/>
        <w:bottom w:val="none" w:sz="0" w:space="0" w:color="auto"/>
        <w:right w:val="none" w:sz="0" w:space="0" w:color="auto"/>
      </w:divBdr>
    </w:div>
    <w:div w:id="1246063378">
      <w:bodyDiv w:val="1"/>
      <w:marLeft w:val="0"/>
      <w:marRight w:val="0"/>
      <w:marTop w:val="0"/>
      <w:marBottom w:val="0"/>
      <w:divBdr>
        <w:top w:val="none" w:sz="0" w:space="0" w:color="auto"/>
        <w:left w:val="none" w:sz="0" w:space="0" w:color="auto"/>
        <w:bottom w:val="none" w:sz="0" w:space="0" w:color="auto"/>
        <w:right w:val="none" w:sz="0" w:space="0" w:color="auto"/>
      </w:divBdr>
    </w:div>
    <w:div w:id="1317690321">
      <w:bodyDiv w:val="1"/>
      <w:marLeft w:val="0"/>
      <w:marRight w:val="0"/>
      <w:marTop w:val="0"/>
      <w:marBottom w:val="0"/>
      <w:divBdr>
        <w:top w:val="none" w:sz="0" w:space="0" w:color="auto"/>
        <w:left w:val="none" w:sz="0" w:space="0" w:color="auto"/>
        <w:bottom w:val="none" w:sz="0" w:space="0" w:color="auto"/>
        <w:right w:val="none" w:sz="0" w:space="0" w:color="auto"/>
      </w:divBdr>
    </w:div>
    <w:div w:id="1359575603">
      <w:bodyDiv w:val="1"/>
      <w:marLeft w:val="0"/>
      <w:marRight w:val="0"/>
      <w:marTop w:val="0"/>
      <w:marBottom w:val="0"/>
      <w:divBdr>
        <w:top w:val="none" w:sz="0" w:space="0" w:color="auto"/>
        <w:left w:val="none" w:sz="0" w:space="0" w:color="auto"/>
        <w:bottom w:val="none" w:sz="0" w:space="0" w:color="auto"/>
        <w:right w:val="none" w:sz="0" w:space="0" w:color="auto"/>
      </w:divBdr>
    </w:div>
    <w:div w:id="1538465979">
      <w:bodyDiv w:val="1"/>
      <w:marLeft w:val="0"/>
      <w:marRight w:val="0"/>
      <w:marTop w:val="0"/>
      <w:marBottom w:val="0"/>
      <w:divBdr>
        <w:top w:val="none" w:sz="0" w:space="0" w:color="auto"/>
        <w:left w:val="none" w:sz="0" w:space="0" w:color="auto"/>
        <w:bottom w:val="none" w:sz="0" w:space="0" w:color="auto"/>
        <w:right w:val="none" w:sz="0" w:space="0" w:color="auto"/>
      </w:divBdr>
    </w:div>
    <w:div w:id="1584098350">
      <w:bodyDiv w:val="1"/>
      <w:marLeft w:val="0"/>
      <w:marRight w:val="0"/>
      <w:marTop w:val="0"/>
      <w:marBottom w:val="0"/>
      <w:divBdr>
        <w:top w:val="none" w:sz="0" w:space="0" w:color="auto"/>
        <w:left w:val="none" w:sz="0" w:space="0" w:color="auto"/>
        <w:bottom w:val="none" w:sz="0" w:space="0" w:color="auto"/>
        <w:right w:val="none" w:sz="0" w:space="0" w:color="auto"/>
      </w:divBdr>
    </w:div>
    <w:div w:id="1626303953">
      <w:bodyDiv w:val="1"/>
      <w:marLeft w:val="0"/>
      <w:marRight w:val="0"/>
      <w:marTop w:val="0"/>
      <w:marBottom w:val="0"/>
      <w:divBdr>
        <w:top w:val="none" w:sz="0" w:space="0" w:color="auto"/>
        <w:left w:val="none" w:sz="0" w:space="0" w:color="auto"/>
        <w:bottom w:val="none" w:sz="0" w:space="0" w:color="auto"/>
        <w:right w:val="none" w:sz="0" w:space="0" w:color="auto"/>
      </w:divBdr>
    </w:div>
    <w:div w:id="1967657274">
      <w:bodyDiv w:val="1"/>
      <w:marLeft w:val="0"/>
      <w:marRight w:val="0"/>
      <w:marTop w:val="0"/>
      <w:marBottom w:val="0"/>
      <w:divBdr>
        <w:top w:val="none" w:sz="0" w:space="0" w:color="auto"/>
        <w:left w:val="none" w:sz="0" w:space="0" w:color="auto"/>
        <w:bottom w:val="none" w:sz="0" w:space="0" w:color="auto"/>
        <w:right w:val="none" w:sz="0" w:space="0" w:color="auto"/>
      </w:divBdr>
    </w:div>
    <w:div w:id="2081173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ildlawadvice.org.uk/information-pages/child-protection-referral-assessments-and-outcomes/" TargetMode="External"/><Relationship Id="rId13" Type="http://schemas.openxmlformats.org/officeDocument/2006/relationships/hyperlink" Target="https://education.gov.scot/improvement/learning-resources/child-protection-in-early-learning-and-childcare-settings/" TargetMode="External"/><Relationship Id="rId18" Type="http://schemas.openxmlformats.org/officeDocument/2006/relationships/hyperlink" Target="https://www.nspcc.org.uk/what-is-child-abuse/types-of-abuse/child-sexual-abuse/" TargetMode="External"/><Relationship Id="rId26" Type="http://schemas.openxmlformats.org/officeDocument/2006/relationships/hyperlink" Target="https://www.gov.wales/safeguarding-children-reporting-suspected-abuse-neglect-or-harm" TargetMode="External"/><Relationship Id="rId3" Type="http://schemas.openxmlformats.org/officeDocument/2006/relationships/settings" Target="settings.xml"/><Relationship Id="rId21" Type="http://schemas.openxmlformats.org/officeDocument/2006/relationships/hyperlink" Target="https://www.nspcc.org.uk/globalassets/documents/volunteering/essential-resources-for-volunteers/safeguarding-and-child-protection-policy.pdf" TargetMode="External"/><Relationship Id="rId7" Type="http://schemas.openxmlformats.org/officeDocument/2006/relationships/hyperlink" Target="https://www.childwelfare.gov/pubPDFs/define.pdf" TargetMode="External"/><Relationship Id="rId12" Type="http://schemas.openxmlformats.org/officeDocument/2006/relationships/hyperlink" Target="https://assets.publishing.service.gov.uk/media/65aa5e42ed27ca001327b2c7/EYFS_statutory_framework_for_group_and_school_based_providers.pdf" TargetMode="External"/><Relationship Id="rId17" Type="http://schemas.openxmlformats.org/officeDocument/2006/relationships/hyperlink" Target="https://www.nspcc.org.uk/what-is-child-abuse/spotting-signs-child-abuse/" TargetMode="External"/><Relationship Id="rId25" Type="http://schemas.openxmlformats.org/officeDocument/2006/relationships/hyperlink" Target="https://safeguarding.wales/en/chi-i/chi-i-c1/c1-p6/" TargetMode="External"/><Relationship Id="rId2" Type="http://schemas.openxmlformats.org/officeDocument/2006/relationships/styles" Target="styles.xml"/><Relationship Id="rId16" Type="http://schemas.openxmlformats.org/officeDocument/2006/relationships/hyperlink" Target="https://www.met.police.uk/advice/advice-and-information/caa/child-abuse/what-is-child-abuse/" TargetMode="External"/><Relationship Id="rId20" Type="http://schemas.openxmlformats.org/officeDocument/2006/relationships/hyperlink" Target="https://learning.nspcc.org.uk/child-protection-system/children-the-law" TargetMode="External"/><Relationship Id="rId1" Type="http://schemas.openxmlformats.org/officeDocument/2006/relationships/numbering" Target="numbering.xml"/><Relationship Id="rId6" Type="http://schemas.openxmlformats.org/officeDocument/2006/relationships/hyperlink" Target="https://www.childwelfare.gov" TargetMode="External"/><Relationship Id="rId11" Type="http://schemas.openxmlformats.org/officeDocument/2006/relationships/hyperlink" Target="https://www.earlychildhoodaustralia.org.au/our-publications/eca-code-ethics/" TargetMode="External"/><Relationship Id="rId24" Type="http://schemas.openxmlformats.org/officeDocument/2006/relationships/hyperlink" Target="https://www.unicef.org.uk/what-we-do/un-convention-child-rights/" TargetMode="External"/><Relationship Id="rId5" Type="http://schemas.openxmlformats.org/officeDocument/2006/relationships/hyperlink" Target="https://www.aap.org" TargetMode="External"/><Relationship Id="rId15" Type="http://schemas.openxmlformats.org/officeDocument/2006/relationships/hyperlink" Target="https://pubmed.ncbi.nlm.nih.gov/27106254/" TargetMode="External"/><Relationship Id="rId23" Type="http://schemas.openxmlformats.org/officeDocument/2006/relationships/hyperlink" Target="https://www.stopitnow.org.uk/faq/#:~:text=&#8220;Sexual%20abuse%20involves%20forcing%20or,penetrative%20or%20non%2Dpenetrative%20acts" TargetMode="External"/><Relationship Id="rId28" Type="http://schemas.openxmlformats.org/officeDocument/2006/relationships/theme" Target="theme/theme1.xml"/><Relationship Id="rId10" Type="http://schemas.openxmlformats.org/officeDocument/2006/relationships/hyperlink" Target="https://books.google.co.uk/books?hl=en&amp;lr=&amp;id=qi0lDwAAQBAJ&amp;oi=fnd&amp;pg=PA225&amp;dq=Child+maltreatment+and+child+protection+systems:+Comparing+advances+in+policy+and+practice.&amp;ots=1a-SJng-6e&amp;sig=MqpXV1gFt5WjO74w3R9HgdYqVrg#v=onepage&amp;q=Child%20maltreatment%20and%20child%20protection%20systems%3A%20Comparing%20advances%20in%20policy%20and%20practice.&amp;f=false" TargetMode="External"/><Relationship Id="rId19" Type="http://schemas.openxmlformats.org/officeDocument/2006/relationships/hyperlink" Target="https://learning.nspcc.org.uk/safeguarding-child-protection/writing-a-safeguarding-policy-statement/#:~:text=Safeguarding%20and%20child%20protection%20procedures%20are%20detailed%20guidelines%20and%20instructions,a%20child%27s%20safety%20or%20wellbeing" TargetMode="External"/><Relationship Id="rId4" Type="http://schemas.openxmlformats.org/officeDocument/2006/relationships/webSettings" Target="webSettings.xml"/><Relationship Id="rId9" Type="http://schemas.openxmlformats.org/officeDocument/2006/relationships/hyperlink" Target="https://www.gov.uk/government/publications/keeping-children-safe-in-education--2" TargetMode="External"/><Relationship Id="rId14" Type="http://schemas.openxmlformats.org/officeDocument/2006/relationships/hyperlink" Target="https://foundationyears.org.uk/2019/08/eyfspolicy/" TargetMode="External"/><Relationship Id="rId22" Type="http://schemas.openxmlformats.org/officeDocument/2006/relationships/hyperlink" Target="https://www.gov.uk/government/consultations/reporting-and-acting-on-child-abuse-and-neglect"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606</TotalTime>
  <Pages>7</Pages>
  <Words>2916</Words>
  <Characters>16622</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Watts (2204216)</dc:creator>
  <cp:keywords/>
  <dc:description/>
  <cp:lastModifiedBy>Lauren Watts (2204216)</cp:lastModifiedBy>
  <cp:revision>5</cp:revision>
  <dcterms:created xsi:type="dcterms:W3CDTF">2024-01-23T11:57:00Z</dcterms:created>
  <dcterms:modified xsi:type="dcterms:W3CDTF">2024-01-28T17:02:00Z</dcterms:modified>
</cp:coreProperties>
</file>