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i w:val="1"/>
          <w:iCs w:val="1"/>
          <w:u w:val="single"/>
        </w:rPr>
      </w:pPr>
      <w:r w:rsidDel="00000000" w:rsidR="00000000" w:rsidRPr="00000000">
        <w:rPr>
          <w:rtl w:val="0"/>
        </w:rPr>
      </w:r>
    </w:p>
    <w:p w:rsidR="00000000" w:rsidDel="00000000" w:rsidP="00000000" w:rsidRDefault="00000000" w:rsidRPr="00000000" w14:paraId="00000002">
      <w:pPr>
        <w:rPr>
          <w:b w:val="1"/>
          <w:bCs w:val="1"/>
          <w:i w:val="1"/>
          <w:iCs w:val="1"/>
          <w:u w:val="single"/>
        </w:rPr>
      </w:pPr>
      <w:r w:rsidDel="00000000" w:rsidR="00000000" w:rsidRPr="00000000">
        <w:rPr>
          <w:b w:val="1"/>
          <w:bCs w:val="1"/>
          <w:i w:val="1"/>
          <w:iCs w:val="1"/>
          <w:u w:val="single"/>
          <w:rtl w:val="0"/>
        </w:rPr>
        <w:t xml:space="preserve">Rachel Wassermann</w:t>
      </w:r>
    </w:p>
    <w:p w:rsidR="00000000" w:rsidDel="00000000" w:rsidP="00000000" w:rsidRDefault="00000000" w:rsidRPr="00000000" w14:paraId="00000003">
      <w:pPr>
        <w:jc w:val="center"/>
        <w:rPr>
          <w:b w:val="1"/>
          <w:bCs w:val="1"/>
          <w:i w:val="1"/>
          <w:iCs w:val="1"/>
          <w:u w:val="single"/>
        </w:rPr>
      </w:pPr>
      <w:r w:rsidDel="00000000" w:rsidR="00000000" w:rsidRPr="00000000">
        <w:rPr>
          <w:b w:val="1"/>
          <w:bCs w:val="1"/>
          <w:i w:val="1"/>
          <w:iCs w:val="1"/>
          <w:u w:val="single"/>
          <w:rtl w:val="0"/>
        </w:rPr>
        <w:t xml:space="preserve">Social and emotional learning </w:t>
      </w:r>
    </w:p>
    <w:p w:rsidR="00000000" w:rsidDel="00000000" w:rsidP="00000000" w:rsidRDefault="00000000" w:rsidRPr="00000000" w14:paraId="00000004">
      <w:pPr>
        <w:rPr>
          <w:b w:val="1"/>
          <w:bCs w:val="1"/>
          <w:i w:val="1"/>
          <w:iCs w:val="1"/>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Assessment in Physical education has played a vital role in how pupils' pedagogy is delivered, measured and valued. Government guidance on assessment in physical education (PE) emphasises the importance of selecting appropriate assessment approaches to ensure all pupils can demonstrate their knowledge and understanding (Ofsted,2022). Assessment in educational context is commonly classified into various approaches such as formative and summative. Formative assessment, is widely recognised as an effective approach particularly within physical education, as it supports continuous learning through feedback and observation. Research by Slojperdian et al., (2024) suggests that formative assessment can enhance student engagement and improve the clarity  of learning outcomes. Although, it may present some complex challenges, particularly where teachers lack training or pupils have limited knowledge and understanding of feedback methods. Despite these challenges, formative assessment is still utilised and valuable in supporting broader learning outcomes. In contrast, summative assessment  focuses on evaluating pupil achievement at the end of the learning  term, commonly the pupils are compared to standardised learning objectives. Although it is a useful tool for educators to utilise, it has been highly criticised for prioritising measurable and performance based outcomes especially in  the context of physical education pedagogies (Millerton, no date). The focus of standardised and performance based assessment in education aligns with broader criticism raised by Ken Robinson (2006). Robinson states that education is killing our creativity, he argues that creativity should be valued as much as literacy. Robinson also highlights that all children have the capacity to be creative but educational systems hinder their creativity; this may be  associated  with the strong focus on assessment and standardised performance outcomes. Moreover, he also states how mistakes are often stigmatised, which can discourage pupils from taking risks and trying new ideas. As a result, standardised assessment approaches can sometimes create a narrow view of success, and not all aspects of learning and achievement  are recognised. Whilst acknowledging these limitations , assessment in Physical Education has begun to evolve toward a more holistic approach, which focuses on developing the “whole child”. Holistic education recognises that pupils' performance extends beyond academic and physical performance  and includes cognitive,social,emotional and personal growth (Bhowmik &amp; Choudhury,2017). Research supports this view and highlights that education should consider the wider needs of learners rather than focusing on measurable outcomes (Kohl et al.,2013). In the context of physical education this is particularly relevant as pupils who engage in physical education require skills such as communication, cooperation and emotional awareness as well as physical skill. This perspective aligns with the curriculum for Wales (2020) , which highlights the importance of a holistic approach placing  emphasis on physical, social and emotional well-being within the Health and Well-being Area of learning and experience (AoLE). This key area of learning recognises that pupil development is not linear and success can be understood through a range of outcomes rather than solely relying on measurable outcomes. Having said that, there still remains a need for structured assessment approaches that provide pupils and educators with clear guidance and feedback. Without such methods , it may be challenging for both educators and pupils to support all aspects of pupil development.  By focusing on the whole child , assessment in physical education can move beyond narrow performance measures and begin to recognise pupils for other characteristics,attributes and skills they posess. These limitations highlight the need to consider alternative approaches that observe broader aspects of pupil development, particularly social and emotional learning within Physical Education. Social and emotional learning (SEL) provides a framework for developing skills such as self awareness, emotional regulation and relationships (Casel,2021) which is often overlooked in assessments. Within physical education,SEL is particularly relevant as pupils engage in collaborative and socially interactive environments allowing them to develop these skills. The CASEL framework is a widely used tool that aids the development of these competencies (Min et al.,2024). The CASEL framework breaks social and emotional learning into five key concepts:self-awareness,self management,social awareness,relationship skills and decision making. These provide a clear structure of what social and emotional learning looks like in practice. However, despite its widespread use there are ongoing challenges in how effectively frameworks such as Casel are implemented and interpreted within the educational context.  Although these qualities are visible within physical education, they can be more difficult to assess compared to physical performance. This raises questions about whether educators receive sufficient training to effectively interpret and implement SEL within school based assessment. In the context of physical education, this is particularly relevant , as the occurrence of these skills happen naturally through interaction and participation. This is highlighted in Don Hellion’s Teaching Personal and Social Responsibility (TPSR) framework which emphasises respect,effort,self direction and emotional regulation. The TPSR model encourages pupils to take responsibility for their behaviour and support the transfer of these skills beyond the school gates</w:t>
      </w:r>
      <w:r w:rsidDel="00000000" w:rsidR="00000000" w:rsidRPr="00000000">
        <w:rPr>
          <w:rtl w:val="0"/>
        </w:rPr>
        <w:t xml:space="preserve"> (Hellsion,2011) Hellsions work is often linked to restorative practice, focusing on developing personal and social responsibility within supportive learning environments . Hellsion’s TPSR model can be further understood through its developmental stages. The literature on Hellsion states that integrating the TPSR model within physical education from an early age  can support the development of positive behavioural outcomes and social and emotional regulation. Instilling these values early during primary education may be seen as beneficial, as it facilitates the development of mastery in the later stages. Though , the implementation of assessing such competencies in primary physical education may present some challenges as the majority of primary educators lack specialised training in physical education and therefore may have limited confidence delivering PE (youth sport trust,2024), introducing an additional responsibility such as the assessment of SEL may place more demands on educators. Moreover,  emphasis in this approach is further supported by Lev Vygotsky’s sociocultural theory, which emphasises that learning happens through social interaction and engagement with others, particularly the Zone of proximal development (Topciu and Myftiu,2015) This illustrates the importance of peer interaction and collaborative learning where pupils can develop their social and emotional learning through communication and cooperation with educators and peers. The complexities of SEL assessment within physical education has been widely established, research from Sanford et al., (2024) highlights teachers’ perspectives on SEL assessment within physical education pedagogies, with some reporting that they have limited time to focus on the wider aspects of learning within physical education,also noting the difficulties of assessing SEL within physical education lessons. Additionally the research demonstrates that while these skills are often developed implicitly through engagement and interactions they are not always explicitly recognised or assessed  (Sanford et al.,2024). This emphasises the ongoing complexities associated with SEL and assessment particularly in regards to physical education. Although, it also raises the question that if physical educators placed the same level of importance on SEL assessment  as  physical performance could we see better behavior and emotional regulation among pupils within the school environment  and beyond.Moreover, physical education provides a particularly effective and structured environment for the development of these skills and competencies , Within a safe and supportive context, pupils are able to experience and manage real-life situations. For example, receiving an unfavourable decision from a referee in a team sport requires pupils to regulate their emotions, demonstrate resilience and respect. Additionally, research on positive youth development suggests that participation in sport and physical activity can promote personal and social skills such as responsibility, wellbeing and self-efficacy . However, these outcomes are not always achieved and are highly dependent on the quality of the educator themself and the learning environment created (Carreres-ponsoda et al.,2021). Whilst these findings highlight the importance of the educator and the learning environment, they also raise important questions regarding how teachers accurately interpret, implement and assess social and emotional learning competencies within practice. Therefore, there needs to be clearer guidance and assessment approaches that support educators in recognition and evaluation of social and emotional learning within physical education pedagogies. Frameworks such as CASEL categorise social and emotional learning into five areas; these include:self-awareness ,self management,social awareness,relationship skills and decision making (Casel,2023). Although social and emotional learning  is evolving within education, there still remains a clear gap between what is being assessed within physical education pedagogies and what is being implicitly developed . As highlighted in the literature , frameworks such as CASEL and Hellison’s (2011) TPSR model emphasises the importance of these skills and competencies yet there is still limited assessment in regards to them. Furthermore, for some pupils, school and physical education may provide one of the only structured environments in which social and emotional skills are explicitly recognised and developed. For some pupils this might be the only opportunity they are given to understand appropriate positve behaviours, develop self regulation and engage in meaningful social interactions. This highlights the importance of providing clear and constructive feedback to support pupils' awareness and understanding of their own social and emotional learning. This places emphasis on why SEL  should be viewed as equally  important as physical performance outcomes. Without explicit guidance these skills may remain implicit, hindering the child's overall development. As a result, this highlights a clear need for more structured approaches to assessing social and emotional learning within physical education while frameworks such as CASEL and TPSR provide valuable guidance on the development of these competencies, they do not always offer clear guidance in how to assess these within physical education lessons. Therefore the rubric I have developed within this study aims to provide a practical tool for assessing key social and emotional learning competencies based on research and frameworks such as CASEL and TPSR. Rubrics are widely recognised as an effective assessment tool particularly within the educational context, as they provide clear criteria and structure for both teaching and learning. Research by Taylor et al. (2024) highlights that rubrics can support students' understanding by making expectations explicit. Allowing pupils to better engage in their learning and understand how to improve. This rubric is designed for pupils aged 9-11 and the aim is to bridge the gap between implicitly instilling social and emotional learning competencies to explicitly recognise them within physical education pedagogies, with an aim of  facilitating educators to recognise and give feedback to pupils.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In order to apply the developed rubric within a practical context a primary physical education lesson was observed. The lesson focused on invasion games  which is a great learning environment for naturally enhancing the competencies of social and emotional learning. For this observation a pupil aged 10 years old was observed using the rubric assessment tool.</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b w:val="1"/>
          <w:bCs w:val="1"/>
          <w:rtl w:val="0"/>
        </w:rPr>
        <w:t xml:space="preserve"> Rubric: Social and emotional learning.</w:t>
      </w:r>
    </w:p>
    <w:tbl>
      <w:tblPr>
        <w:tblStyle w:val="Table1"/>
        <w:tblW w:w="9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20"/>
        <w:gridCol w:w="1800"/>
        <w:gridCol w:w="1860"/>
        <w:gridCol w:w="1860"/>
        <w:gridCol w:w="1860"/>
        <w:tblGridChange w:id="0">
          <w:tblGrid>
            <w:gridCol w:w="1920"/>
            <w:gridCol w:w="1800"/>
            <w:gridCol w:w="1860"/>
            <w:gridCol w:w="1860"/>
            <w:gridCol w:w="18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bCs w:val="1"/>
              </w:rPr>
            </w:pPr>
            <w:r w:rsidDel="00000000" w:rsidR="00000000" w:rsidRPr="00000000">
              <w:rPr>
                <w:b w:val="1"/>
                <w:bCs w:val="1"/>
                <w:rtl w:val="0"/>
              </w:rPr>
              <w:t xml:space="preserve">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b w:val="1"/>
                <w:bCs w:val="1"/>
              </w:rPr>
            </w:pPr>
            <w:r w:rsidDel="00000000" w:rsidR="00000000" w:rsidRPr="00000000">
              <w:rPr>
                <w:b w:val="1"/>
                <w:bCs w:val="1"/>
                <w:rtl w:val="0"/>
              </w:rPr>
              <w:t xml:space="preserve">Beginning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b w:val="1"/>
                <w:bCs w:val="1"/>
              </w:rPr>
            </w:pPr>
            <w:r w:rsidDel="00000000" w:rsidR="00000000" w:rsidRPr="00000000">
              <w:rPr>
                <w:b w:val="1"/>
                <w:bCs w:val="1"/>
                <w:rtl w:val="0"/>
              </w:rPr>
              <w:t xml:space="preserve">Developing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bCs w:val="1"/>
              </w:rPr>
            </w:pPr>
            <w:r w:rsidDel="00000000" w:rsidR="00000000" w:rsidRPr="00000000">
              <w:rPr>
                <w:b w:val="1"/>
                <w:bCs w:val="1"/>
                <w:rtl w:val="0"/>
              </w:rPr>
              <w:t xml:space="preserve">Good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b w:val="1"/>
                <w:bCs w:val="1"/>
              </w:rPr>
            </w:pPr>
            <w:r w:rsidDel="00000000" w:rsidR="00000000" w:rsidRPr="00000000">
              <w:rPr>
                <w:b w:val="1"/>
                <w:bCs w:val="1"/>
                <w:rtl w:val="0"/>
              </w:rPr>
              <w:t xml:space="preserve">Advanced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b w:val="1"/>
                <w:bCs w:val="1"/>
              </w:rPr>
            </w:pPr>
            <w:r w:rsidDel="00000000" w:rsidR="00000000" w:rsidRPr="00000000">
              <w:rPr>
                <w:b w:val="1"/>
                <w:bCs w:val="1"/>
                <w:rtl w:val="0"/>
              </w:rPr>
              <w:t xml:space="preserve">Collaboration and teamwork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pPr>
            <w:r w:rsidDel="00000000" w:rsidR="00000000" w:rsidRPr="00000000">
              <w:rPr>
                <w:rtl w:val="0"/>
              </w:rPr>
              <w:t xml:space="preserve">I am beginning to work with others with support.</w:t>
            </w:r>
          </w:p>
          <w:p w:rsidR="00000000" w:rsidDel="00000000" w:rsidP="00000000" w:rsidRDefault="00000000" w:rsidRPr="00000000" w14:paraId="00000016">
            <w:pPr>
              <w:widowControl w:val="0"/>
              <w:spacing w:line="240" w:lineRule="auto"/>
              <w:rPr/>
            </w:pPr>
            <w:r w:rsidDel="00000000" w:rsidR="00000000" w:rsidRPr="00000000">
              <w:rPr>
                <w:rtl w:val="0"/>
              </w:rPr>
            </w:r>
          </w:p>
          <w:p w:rsidR="00000000" w:rsidDel="00000000" w:rsidP="00000000" w:rsidRDefault="00000000" w:rsidRPr="00000000" w14:paraId="00000017">
            <w:pPr>
              <w:widowControl w:val="0"/>
              <w:spacing w:line="240" w:lineRule="auto"/>
              <w:rPr/>
            </w:pPr>
            <w:r w:rsidDel="00000000" w:rsidR="00000000" w:rsidRPr="00000000">
              <w:rPr>
                <w:rtl w:val="0"/>
              </w:rPr>
              <w:t xml:space="preserve">I may find it difficult to cooperate and need guidance to stay engaged and involved.</w:t>
            </w:r>
          </w:p>
          <w:p w:rsidR="00000000" w:rsidDel="00000000" w:rsidP="00000000" w:rsidRDefault="00000000" w:rsidRPr="00000000" w14:paraId="0000001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pPr>
            <w:r w:rsidDel="00000000" w:rsidR="00000000" w:rsidRPr="00000000">
              <w:rPr>
                <w:rtl w:val="0"/>
              </w:rPr>
              <w:t xml:space="preserve">I can work with others but may need prompting to cooperate </w:t>
            </w:r>
          </w:p>
          <w:p w:rsidR="00000000" w:rsidDel="00000000" w:rsidP="00000000" w:rsidRDefault="00000000" w:rsidRPr="00000000" w14:paraId="0000001A">
            <w:pPr>
              <w:widowControl w:val="0"/>
              <w:spacing w:line="240" w:lineRule="auto"/>
              <w:rPr/>
            </w:pPr>
            <w:r w:rsidDel="00000000" w:rsidR="00000000" w:rsidRPr="00000000">
              <w:rPr>
                <w:rtl w:val="0"/>
              </w:rPr>
            </w:r>
          </w:p>
          <w:p w:rsidR="00000000" w:rsidDel="00000000" w:rsidP="00000000" w:rsidRDefault="00000000" w:rsidRPr="00000000" w14:paraId="0000001B">
            <w:pPr>
              <w:widowControl w:val="0"/>
              <w:spacing w:line="240" w:lineRule="auto"/>
              <w:rPr/>
            </w:pPr>
            <w:r w:rsidDel="00000000" w:rsidR="00000000" w:rsidRPr="00000000">
              <w:rPr>
                <w:rtl w:val="0"/>
              </w:rPr>
              <w:t xml:space="preserve">I am beginning to take part more consistently in group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I can work well with others and include everyone in group activities.</w:t>
            </w:r>
          </w:p>
          <w:p w:rsidR="00000000" w:rsidDel="00000000" w:rsidP="00000000" w:rsidRDefault="00000000" w:rsidRPr="00000000" w14:paraId="0000001D">
            <w:pPr>
              <w:widowControl w:val="0"/>
              <w:spacing w:line="240" w:lineRule="auto"/>
              <w:rPr/>
            </w:pPr>
            <w:r w:rsidDel="00000000" w:rsidR="00000000" w:rsidRPr="00000000">
              <w:rPr>
                <w:rtl w:val="0"/>
              </w:rPr>
            </w:r>
          </w:p>
          <w:p w:rsidR="00000000" w:rsidDel="00000000" w:rsidP="00000000" w:rsidRDefault="00000000" w:rsidRPr="00000000" w14:paraId="0000001E">
            <w:pPr>
              <w:widowControl w:val="0"/>
              <w:spacing w:line="240" w:lineRule="auto"/>
              <w:rPr/>
            </w:pPr>
            <w:r w:rsidDel="00000000" w:rsidR="00000000" w:rsidRPr="00000000">
              <w:rPr>
                <w:rtl w:val="0"/>
              </w:rPr>
              <w:t xml:space="preserve">I can communicate my ideas and contribute positively to group tasks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I can actively support others and include everyone in group activities.</w:t>
            </w:r>
          </w:p>
          <w:p w:rsidR="00000000" w:rsidDel="00000000" w:rsidP="00000000" w:rsidRDefault="00000000" w:rsidRPr="00000000" w14:paraId="00000020">
            <w:pPr>
              <w:widowControl w:val="0"/>
              <w:spacing w:line="240" w:lineRule="auto"/>
              <w:rPr/>
            </w:pPr>
            <w:r w:rsidDel="00000000" w:rsidR="00000000" w:rsidRPr="00000000">
              <w:rPr>
                <w:rtl w:val="0"/>
              </w:rPr>
            </w:r>
          </w:p>
          <w:p w:rsidR="00000000" w:rsidDel="00000000" w:rsidP="00000000" w:rsidRDefault="00000000" w:rsidRPr="00000000" w14:paraId="00000021">
            <w:pPr>
              <w:widowControl w:val="0"/>
              <w:spacing w:line="240" w:lineRule="auto"/>
              <w:rPr/>
            </w:pPr>
            <w:r w:rsidDel="00000000" w:rsidR="00000000" w:rsidRPr="00000000">
              <w:rPr>
                <w:rtl w:val="0"/>
              </w:rPr>
              <w:t xml:space="preserve">I can help solve problems and contribute to the success of the team.</w:t>
            </w:r>
          </w:p>
          <w:p w:rsidR="00000000" w:rsidDel="00000000" w:rsidP="00000000" w:rsidRDefault="00000000" w:rsidRPr="00000000" w14:paraId="00000022">
            <w:pPr>
              <w:widowControl w:val="0"/>
              <w:spacing w:line="240" w:lineRule="auto"/>
              <w:rPr/>
            </w:pPr>
            <w:r w:rsidDel="00000000" w:rsidR="00000000" w:rsidRPr="00000000">
              <w:rPr>
                <w:rtl w:val="0"/>
              </w:rPr>
            </w:r>
          </w:p>
          <w:p w:rsidR="00000000" w:rsidDel="00000000" w:rsidP="00000000" w:rsidRDefault="00000000" w:rsidRPr="00000000" w14:paraId="00000023">
            <w:pPr>
              <w:widowControl w:val="0"/>
              <w:spacing w:line="240" w:lineRule="auto"/>
              <w:rPr/>
            </w:pPr>
            <w:r w:rsidDel="00000000" w:rsidR="00000000" w:rsidRPr="00000000">
              <w:rPr>
                <w:rtl w:val="0"/>
              </w:rPr>
            </w:r>
          </w:p>
          <w:p w:rsidR="00000000" w:rsidDel="00000000" w:rsidP="00000000" w:rsidRDefault="00000000" w:rsidRPr="00000000" w14:paraId="00000024">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b w:val="1"/>
                <w:bCs w:val="1"/>
              </w:rPr>
            </w:pPr>
            <w:r w:rsidDel="00000000" w:rsidR="00000000" w:rsidRPr="00000000">
              <w:rPr>
                <w:b w:val="1"/>
                <w:bCs w:val="1"/>
                <w:rtl w:val="0"/>
              </w:rPr>
              <w:t xml:space="preserve">Leadership and inclusion </w:t>
            </w:r>
          </w:p>
          <w:p w:rsidR="00000000" w:rsidDel="00000000" w:rsidP="00000000" w:rsidRDefault="00000000" w:rsidRPr="00000000" w14:paraId="00000026">
            <w:pPr>
              <w:widowControl w:val="0"/>
              <w:spacing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t xml:space="preserve">I am beginning to take part in group activities and  I’m developing awareness of how to include others</w:t>
            </w:r>
          </w:p>
          <w:p w:rsidR="00000000" w:rsidDel="00000000" w:rsidP="00000000" w:rsidRDefault="00000000" w:rsidRPr="00000000" w14:paraId="00000028">
            <w:pPr>
              <w:widowControl w:val="0"/>
              <w:spacing w:line="240" w:lineRule="auto"/>
              <w:rPr/>
            </w:pPr>
            <w:r w:rsidDel="00000000" w:rsidR="00000000" w:rsidRPr="00000000">
              <w:rPr>
                <w:rtl w:val="0"/>
              </w:rPr>
            </w:r>
          </w:p>
          <w:p w:rsidR="00000000" w:rsidDel="00000000" w:rsidP="00000000" w:rsidRDefault="00000000" w:rsidRPr="00000000" w14:paraId="000000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t xml:space="preserve">I can take on roles in group situations when supported and I am starting to recognise the importance of including others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I contribute positively to group work,showing leadership at times and supporting others to feel included</w:t>
            </w:r>
          </w:p>
          <w:p w:rsidR="00000000" w:rsidDel="00000000" w:rsidP="00000000" w:rsidRDefault="00000000" w:rsidRPr="00000000" w14:paraId="0000002C">
            <w:pPr>
              <w:widowControl w:val="0"/>
              <w:spacing w:line="240" w:lineRule="auto"/>
              <w:rPr/>
            </w:pPr>
            <w:r w:rsidDel="00000000" w:rsidR="00000000" w:rsidRPr="00000000">
              <w:rPr>
                <w:rtl w:val="0"/>
              </w:rPr>
            </w:r>
          </w:p>
          <w:p w:rsidR="00000000" w:rsidDel="00000000" w:rsidP="00000000" w:rsidRDefault="00000000" w:rsidRPr="00000000" w14:paraId="0000002D">
            <w:pPr>
              <w:widowControl w:val="0"/>
              <w:spacing w:line="240" w:lineRule="auto"/>
              <w:rPr/>
            </w:pPr>
            <w:r w:rsidDel="00000000" w:rsidR="00000000" w:rsidRPr="00000000">
              <w:rPr>
                <w:rtl w:val="0"/>
              </w:rPr>
            </w:r>
          </w:p>
          <w:p w:rsidR="00000000" w:rsidDel="00000000" w:rsidP="00000000" w:rsidRDefault="00000000" w:rsidRPr="00000000" w14:paraId="0000002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t xml:space="preserve">I take initiative in group situations, lead activities effectively  and ensure everyone feels valued and   included throughout. </w:t>
            </w:r>
          </w:p>
          <w:p w:rsidR="00000000" w:rsidDel="00000000" w:rsidP="00000000" w:rsidRDefault="00000000" w:rsidRPr="00000000" w14:paraId="00000030">
            <w:pPr>
              <w:widowControl w:val="0"/>
              <w:spacing w:line="240" w:lineRule="auto"/>
              <w:rPr/>
            </w:pPr>
            <w:r w:rsidDel="00000000" w:rsidR="00000000" w:rsidRPr="00000000">
              <w:rPr>
                <w:rtl w:val="0"/>
              </w:rPr>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bCs w:val="1"/>
              </w:rPr>
            </w:pPr>
            <w:r w:rsidDel="00000000" w:rsidR="00000000" w:rsidRPr="00000000">
              <w:rPr>
                <w:b w:val="1"/>
                <w:bCs w:val="1"/>
                <w:rtl w:val="0"/>
              </w:rPr>
              <w:t xml:space="preserve">Respect and conduct</w:t>
            </w:r>
          </w:p>
          <w:p w:rsidR="00000000" w:rsidDel="00000000" w:rsidP="00000000" w:rsidRDefault="00000000" w:rsidRPr="00000000" w14:paraId="00000034">
            <w:pPr>
              <w:widowControl w:val="0"/>
              <w:spacing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I am developing my understanding of rules and expectations and I am beginning to follow them with support.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I  can follow rules in most situations and I am learning to manage my behaviour and responses with reminders.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I show respect for others, follow agreed rules and accept decisions.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I  consistently  demonstrate respect for others, follow rules independently, promote fairness and positive behavior </w:t>
            </w:r>
          </w:p>
          <w:p w:rsidR="00000000" w:rsidDel="00000000" w:rsidP="00000000" w:rsidRDefault="00000000" w:rsidRPr="00000000" w14:paraId="00000039">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b w:val="1"/>
                <w:bCs w:val="1"/>
              </w:rPr>
            </w:pPr>
            <w:r w:rsidDel="00000000" w:rsidR="00000000" w:rsidRPr="00000000">
              <w:rPr>
                <w:b w:val="1"/>
                <w:bCs w:val="1"/>
                <w:rtl w:val="0"/>
              </w:rPr>
              <w:t xml:space="preserve">Engagement and effort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t xml:space="preserve">I am beginning to engage in tasks with support and encouragement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I can participate in activities and am developing my ability to sustain effort in tasks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I participate actively in tasks and show effort in my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I am fully engaged in my learning, showing determination, resilience whilst also encouraging others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bCs w:val="1"/>
              </w:rPr>
            </w:pPr>
            <w:r w:rsidDel="00000000" w:rsidR="00000000" w:rsidRPr="00000000">
              <w:rPr>
                <w:b w:val="1"/>
                <w:bCs w:val="1"/>
                <w:rtl w:val="0"/>
              </w:rPr>
              <w:t xml:space="preserve">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I am beginning to share my ideas and am developing my listening skills in different situations.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I can communicate appropriately and i am learning to actively listen and respond to others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I communicate clearly and positively, listening carefully and supporting others through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I communicate confidently and effectively in a range of situations, adapting my approach and encouraging others to contribute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bCs w:val="1"/>
              </w:rPr>
            </w:pPr>
            <w:r w:rsidDel="00000000" w:rsidR="00000000" w:rsidRPr="00000000">
              <w:rPr>
                <w:b w:val="1"/>
                <w:bCs w:val="1"/>
                <w:rtl w:val="0"/>
              </w:rPr>
              <w:t xml:space="preserve">Self Regulation and emotional control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t xml:space="preserve">I am developing my awareness of my emotions and beginning to manage them with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I can manage my emotions in familiar situations and I am learning to respond appropriately to different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I manage my emotions well in most situations, responding appropriately and accepting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I consistently regulate my emotions, remain calm under pressure , and support others in managing their emotions. </w:t>
            </w:r>
          </w:p>
        </w:tc>
      </w:tr>
    </w:tbl>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b w:val="1"/>
          <w:bCs w:val="1"/>
        </w:rPr>
      </w:pPr>
      <w:r w:rsidDel="00000000" w:rsidR="00000000" w:rsidRPr="00000000">
        <w:rPr>
          <w:b w:val="1"/>
          <w:bCs w:val="1"/>
          <w:rtl w:val="0"/>
        </w:rPr>
        <w:t xml:space="preserve">Male aged 10:</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Skill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Level awarded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Collaboration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Leadership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Respect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Good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Engagement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Good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Self - Regulation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Developing </w:t>
            </w:r>
          </w:p>
        </w:tc>
      </w:tr>
    </w:tbl>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marking criteria has been intentionally simplified to ensure the rubric is practical and accessible for primary educators. Given the time constraints often experienced by teachers the use of a clear and concise rubric allows for quick identification of pupils' performance levels. This allows educators to efficiently categorise  social and emotional development without adding an excessive workload, supporting its use within real classroom practice. The literature highlights observation as a valuable approach within physical education, as it enables educators to gain  insight into pupils' behaviours, interactions and learning within a practical environment. As highlighted in the literature, observation facilitates a deeper understanding of pupils' needs and learning dynamics. In physical education, observation allows physical educators to monitor engagement, assess skill development and identify areas for support (Sullivan,2026). During the observed invasion games lesson, it became evident that this assessment approach allowed for identifying key areas of social and emotional learning that usually would have been implicitly recognised. For example, when observing the selected pupil, I found that their engagement and effort were consistently high; however their communication and collaboration with peers were less developed , as they required occasional prompting  to contribute effectively particularly in group tasks. This highlights how observation can provide transparency and understanding of pupils strengths and areas for improvement. However, despite the benefits of the rubric  there were several limitations with educators in mind. Furthermore, while observation enables a better understanding of pupils' behaviours, relying solely on observation limits the ability to explore pupils' thoughts and feelings and motivations which are essential when assessing social and emotional learning. In addition, focusing on one single lesson may not reflect pupils' typical behavior across different contexts. However, this also reflects the practical realities for educators. Where teachers are often expected to assess a large number of pupils with limited time constraints. As a result,educators may rely on observation assessments as it is more time efficient  despite its limitations. This indicates the need for compromise between practical observation and more interactive approaches to assessment in order to gain a fuller understanding of the whole child.This is further supported within existing literature , as observational approaches often limit what the observer can see or hear at any given moment potentially overlooking key moments and pupils thoughts and feelings (Mcenzie,1991;Smith 2009). Peer feedback also highlighted that although the rubric was easy to use it may not fully capture all aspects of the pupils development  therefore, the rubric developed could have been further strengthened through the inclusion of individualised feedback sections , allowing educators to provide more meaningful and targeted guidance for pupils to enhance their social and emotional learning competencies. Moreover, when applying this rubric, there should have been consideration for pupils with additional learning needs . Adjustments to the rubric would ensure fair and inclusive practice. For example, pupils with communication difficulties may require prompts or alternative ways to express their social and emotional learning competencies. Therefore when creating a rubric, it is important that it remains flexible to allow for adjustments in response to the child's individual needs.</w:t>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In conclusion, this assignment has highlighted the value of assessing social and emotional learning particularly within physical education pedagogies. Placing significance on how these competencies can be effectively observed and categorised through the use of a rubric assessment tool. The use of the rubric  in the invasion game lesson demonstrated how social and emotional competencies such as engagement, communication and collaboration can be identified explicitly. However, the experience of using the rubric also highlighted key limitations associated with observational assessment methods, including their reliance on pupils' perceived behavior and the time constraints associated within physical education lessons and teacher and pupil demands  preventing a full understanding of the whole child. Despite these limitations observation remains a practical approach for educators due to the practical realities of their role. Overall, whilst the rubric is a key assessment approach we must comprehend if this rubric was applied by multiple educators to the same class, it may produce inconsistent outcomes due to differences in how educators interpret and implement  the rubric and pupils behaviours. This emphasises the need for clear guidance , mutual understanding, consistency and transparency among all educators to improve reliability of observational assessment practices .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jc w:val="center"/>
        <w:rPr>
          <w:sz w:val="27"/>
          <w:szCs w:val="27"/>
        </w:rPr>
      </w:pPr>
      <w:r w:rsidDel="00000000" w:rsidR="00000000" w:rsidRPr="00000000">
        <w:rPr>
          <w:sz w:val="27"/>
          <w:szCs w:val="27"/>
          <w:rtl w:val="0"/>
        </w:rPr>
        <w:t xml:space="preserve">References</w:t>
      </w:r>
    </w:p>
    <w:p w:rsidR="00000000" w:rsidDel="00000000" w:rsidP="00000000" w:rsidRDefault="00000000" w:rsidRPr="00000000" w14:paraId="00000063">
      <w:pPr>
        <w:jc w:val="center"/>
        <w:rPr>
          <w:sz w:val="27"/>
          <w:szCs w:val="27"/>
        </w:rPr>
      </w:pPr>
      <w:r w:rsidDel="00000000" w:rsidR="00000000" w:rsidRPr="00000000">
        <w:rPr>
          <w:rtl w:val="0"/>
        </w:rPr>
      </w:r>
    </w:p>
    <w:p w:rsidR="00000000" w:rsidDel="00000000" w:rsidP="00000000" w:rsidRDefault="00000000" w:rsidRPr="00000000" w14:paraId="00000064">
      <w:pPr>
        <w:rPr>
          <w:sz w:val="27"/>
          <w:szCs w:val="27"/>
        </w:rPr>
      </w:pPr>
      <w:r w:rsidDel="00000000" w:rsidR="00000000" w:rsidRPr="00000000">
        <w:rPr>
          <w:color w:val="37393c"/>
          <w:sz w:val="24"/>
          <w:szCs w:val="24"/>
          <w:highlight w:val="white"/>
          <w:rtl w:val="0"/>
        </w:rPr>
        <w:t xml:space="preserve">Bhowmik, C., &amp; Choudhury, R. D. (2017a). The role of physical education in promoting holistic student development. </w:t>
      </w:r>
      <w:r w:rsidDel="00000000" w:rsidR="00000000" w:rsidRPr="00000000">
        <w:rPr>
          <w:i w:val="1"/>
          <w:iCs w:val="1"/>
          <w:color w:val="37393c"/>
          <w:sz w:val="24"/>
          <w:szCs w:val="24"/>
          <w:highlight w:val="white"/>
          <w:rtl w:val="0"/>
        </w:rPr>
        <w:t xml:space="preserve">International Journal of Yogic, Human Movement and Sports Sciences</w:t>
      </w:r>
      <w:r w:rsidDel="00000000" w:rsidR="00000000" w:rsidRPr="00000000">
        <w:rPr>
          <w:color w:val="37393c"/>
          <w:sz w:val="24"/>
          <w:szCs w:val="24"/>
          <w:highlight w:val="white"/>
          <w:rtl w:val="0"/>
        </w:rPr>
        <w:t xml:space="preserve">, </w:t>
      </w:r>
      <w:r w:rsidDel="00000000" w:rsidR="00000000" w:rsidRPr="00000000">
        <w:rPr>
          <w:i w:val="1"/>
          <w:iCs w:val="1"/>
          <w:color w:val="37393c"/>
          <w:sz w:val="24"/>
          <w:szCs w:val="24"/>
          <w:highlight w:val="white"/>
          <w:rtl w:val="0"/>
        </w:rPr>
        <w:t xml:space="preserve">2</w:t>
      </w:r>
      <w:r w:rsidDel="00000000" w:rsidR="00000000" w:rsidRPr="00000000">
        <w:rPr>
          <w:color w:val="37393c"/>
          <w:sz w:val="24"/>
          <w:szCs w:val="24"/>
          <w:highlight w:val="white"/>
          <w:rtl w:val="0"/>
        </w:rPr>
        <w:t xml:space="preserve">(2), 468–473. </w:t>
      </w:r>
      <w:hyperlink r:id="rId6">
        <w:r w:rsidDel="00000000" w:rsidR="00000000" w:rsidRPr="00000000">
          <w:rPr>
            <w:color w:val="1155cc"/>
            <w:sz w:val="24"/>
            <w:szCs w:val="24"/>
            <w:highlight w:val="white"/>
            <w:u w:val="single"/>
            <w:rtl w:val="0"/>
          </w:rPr>
          <w:t xml:space="preserve">https://doi.org/10.22271/yogic.2017.v2.i2h.1688</w:t>
        </w:r>
      </w:hyperlink>
      <w:r w:rsidDel="00000000" w:rsidR="00000000" w:rsidRPr="00000000">
        <w:rPr>
          <w:color w:val="37393c"/>
          <w:sz w:val="24"/>
          <w:szCs w:val="24"/>
          <w:highlight w:val="white"/>
          <w:rtl w:val="0"/>
        </w:rPr>
        <w:t xml:space="preserve"> </w:t>
      </w:r>
      <w:r w:rsidDel="00000000" w:rsidR="00000000" w:rsidRPr="00000000">
        <w:rPr>
          <w:rtl w:val="0"/>
        </w:rPr>
      </w:r>
    </w:p>
    <w:p w:rsidR="00000000" w:rsidDel="00000000" w:rsidP="00000000" w:rsidRDefault="00000000" w:rsidRPr="00000000" w14:paraId="00000065">
      <w:pPr>
        <w:spacing w:before="240" w:line="480" w:lineRule="auto"/>
        <w:ind w:left="1440" w:hanging="720"/>
        <w:rPr>
          <w:sz w:val="24"/>
          <w:szCs w:val="24"/>
        </w:rPr>
      </w:pPr>
      <w:r w:rsidDel="00000000" w:rsidR="00000000" w:rsidRPr="00000000">
        <w:rPr>
          <w:sz w:val="24"/>
          <w:szCs w:val="24"/>
          <w:rtl w:val="0"/>
        </w:rPr>
        <w:t xml:space="preserve">Carreres-Ponsoda, F., Escartí, A., Jimenez-Olmedo, J. M., &amp; Cortell-Tormo, J. M. (2021). Effects of a teaching personal and social responsibility model intervention in competitive youth sport. </w:t>
      </w:r>
      <w:r w:rsidDel="00000000" w:rsidR="00000000" w:rsidRPr="00000000">
        <w:rPr>
          <w:i w:val="1"/>
          <w:iCs w:val="1"/>
          <w:sz w:val="24"/>
          <w:szCs w:val="24"/>
          <w:rtl w:val="0"/>
        </w:rPr>
        <w:t xml:space="preserve">Frontiers in Psychology</w:t>
      </w:r>
      <w:r w:rsidDel="00000000" w:rsidR="00000000" w:rsidRPr="00000000">
        <w:rPr>
          <w:sz w:val="24"/>
          <w:szCs w:val="24"/>
          <w:rtl w:val="0"/>
        </w:rPr>
        <w:t xml:space="preserve">, </w:t>
      </w:r>
      <w:r w:rsidDel="00000000" w:rsidR="00000000" w:rsidRPr="00000000">
        <w:rPr>
          <w:i w:val="1"/>
          <w:iCs w:val="1"/>
          <w:sz w:val="24"/>
          <w:szCs w:val="24"/>
          <w:rtl w:val="0"/>
        </w:rPr>
        <w:t xml:space="preserve">12</w:t>
      </w:r>
      <w:r w:rsidDel="00000000" w:rsidR="00000000" w:rsidRPr="00000000">
        <w:rPr>
          <w:sz w:val="24"/>
          <w:szCs w:val="24"/>
          <w:rtl w:val="0"/>
        </w:rPr>
        <w:t xml:space="preserve">, 624018. https://doi.org/10.3389/fpsyg.2021.624018</w:t>
      </w:r>
    </w:p>
    <w:p w:rsidR="00000000" w:rsidDel="00000000" w:rsidP="00000000" w:rsidRDefault="00000000" w:rsidRPr="00000000" w14:paraId="00000066">
      <w:pPr>
        <w:spacing w:before="240" w:line="480" w:lineRule="auto"/>
        <w:ind w:left="1440" w:hanging="720"/>
        <w:rPr>
          <w:sz w:val="24"/>
          <w:szCs w:val="24"/>
        </w:rPr>
      </w:pPr>
      <w:r w:rsidDel="00000000" w:rsidR="00000000" w:rsidRPr="00000000">
        <w:rPr>
          <w:sz w:val="24"/>
          <w:szCs w:val="24"/>
          <w:rtl w:val="0"/>
        </w:rPr>
        <w:t xml:space="preserve">Chowkase, A. A. (2023). Social and emotional learning for the greater good: Expanding the circle of human concern. </w:t>
      </w:r>
      <w:r w:rsidDel="00000000" w:rsidR="00000000" w:rsidRPr="00000000">
        <w:rPr>
          <w:i w:val="1"/>
          <w:iCs w:val="1"/>
          <w:sz w:val="24"/>
          <w:szCs w:val="24"/>
          <w:rtl w:val="0"/>
        </w:rPr>
        <w:t xml:space="preserve">Social and Emotional Learning: Research, Practice, and Policy</w:t>
      </w:r>
      <w:r w:rsidDel="00000000" w:rsidR="00000000" w:rsidRPr="00000000">
        <w:rPr>
          <w:sz w:val="24"/>
          <w:szCs w:val="24"/>
          <w:rtl w:val="0"/>
        </w:rPr>
        <w:t xml:space="preserve">, </w:t>
      </w:r>
      <w:r w:rsidDel="00000000" w:rsidR="00000000" w:rsidRPr="00000000">
        <w:rPr>
          <w:i w:val="1"/>
          <w:iCs w:val="1"/>
          <w:sz w:val="24"/>
          <w:szCs w:val="24"/>
          <w:rtl w:val="0"/>
        </w:rPr>
        <w:t xml:space="preserve">1</w:t>
      </w:r>
      <w:r w:rsidDel="00000000" w:rsidR="00000000" w:rsidRPr="00000000">
        <w:rPr>
          <w:sz w:val="24"/>
          <w:szCs w:val="24"/>
          <w:rtl w:val="0"/>
        </w:rPr>
        <w:t xml:space="preserve">(100003), 100003. https://doi.org/10.1016/j.sel.2023.100003</w:t>
      </w:r>
    </w:p>
    <w:p w:rsidR="00000000" w:rsidDel="00000000" w:rsidP="00000000" w:rsidRDefault="00000000" w:rsidRPr="00000000" w14:paraId="00000067">
      <w:pPr>
        <w:spacing w:before="240" w:line="480" w:lineRule="auto"/>
        <w:ind w:left="1440" w:hanging="720"/>
        <w:rPr>
          <w:sz w:val="24"/>
          <w:szCs w:val="24"/>
        </w:rPr>
      </w:pPr>
      <w:r w:rsidDel="00000000" w:rsidR="00000000" w:rsidRPr="00000000">
        <w:rPr>
          <w:i w:val="1"/>
          <w:iCs w:val="1"/>
          <w:sz w:val="24"/>
          <w:szCs w:val="24"/>
          <w:rtl w:val="0"/>
        </w:rPr>
        <w:t xml:space="preserve">Health and well-being: Introduction - hwb</w:t>
      </w:r>
      <w:r w:rsidDel="00000000" w:rsidR="00000000" w:rsidRPr="00000000">
        <w:rPr>
          <w:sz w:val="24"/>
          <w:szCs w:val="24"/>
          <w:rtl w:val="0"/>
        </w:rPr>
        <w:t xml:space="preserve">. (2020). Gov.Wales. https://hwb.gov.wales/curriculum-for-wales/health-and-well-being</w:t>
      </w:r>
    </w:p>
    <w:p w:rsidR="00000000" w:rsidDel="00000000" w:rsidP="00000000" w:rsidRDefault="00000000" w:rsidRPr="00000000" w14:paraId="00000068">
      <w:pPr>
        <w:spacing w:before="240" w:line="480" w:lineRule="auto"/>
        <w:ind w:left="1440" w:hanging="720"/>
        <w:rPr>
          <w:sz w:val="24"/>
          <w:szCs w:val="24"/>
        </w:rPr>
      </w:pPr>
      <w:r w:rsidDel="00000000" w:rsidR="00000000" w:rsidRPr="00000000">
        <w:rPr>
          <w:sz w:val="24"/>
          <w:szCs w:val="24"/>
          <w:rtl w:val="0"/>
        </w:rPr>
        <w:t xml:space="preserve">Hellison, D. (2011). </w:t>
      </w:r>
      <w:r w:rsidDel="00000000" w:rsidR="00000000" w:rsidRPr="00000000">
        <w:rPr>
          <w:i w:val="1"/>
          <w:iCs w:val="1"/>
          <w:sz w:val="24"/>
          <w:szCs w:val="24"/>
          <w:rtl w:val="0"/>
        </w:rPr>
        <w:t xml:space="preserve">Teaching personal and Social Responsibility Through Physical Activity</w:t>
      </w:r>
      <w:r w:rsidDel="00000000" w:rsidR="00000000" w:rsidRPr="00000000">
        <w:rPr>
          <w:sz w:val="24"/>
          <w:szCs w:val="24"/>
          <w:rtl w:val="0"/>
        </w:rPr>
        <w:t xml:space="preserve">. Human Kinetics.</w:t>
      </w:r>
    </w:p>
    <w:p w:rsidR="00000000" w:rsidDel="00000000" w:rsidP="00000000" w:rsidRDefault="00000000" w:rsidRPr="00000000" w14:paraId="00000069">
      <w:pPr>
        <w:spacing w:before="240" w:line="480" w:lineRule="auto"/>
        <w:ind w:left="1440" w:hanging="720"/>
        <w:rPr>
          <w:sz w:val="24"/>
          <w:szCs w:val="24"/>
        </w:rPr>
      </w:pPr>
      <w:r w:rsidDel="00000000" w:rsidR="00000000" w:rsidRPr="00000000">
        <w:rPr>
          <w:sz w:val="24"/>
          <w:szCs w:val="24"/>
          <w:rtl w:val="0"/>
        </w:rPr>
        <w:t xml:space="preserve">Kohl, H. W., III, Cook, H. D., Committee on Physical Activity and Physical Education, Food and Nutrition Board, &amp; Institute of Medicine. (2013). </w:t>
      </w:r>
      <w:r w:rsidDel="00000000" w:rsidR="00000000" w:rsidRPr="00000000">
        <w:rPr>
          <w:i w:val="1"/>
          <w:iCs w:val="1"/>
          <w:sz w:val="24"/>
          <w:szCs w:val="24"/>
          <w:rtl w:val="0"/>
        </w:rPr>
        <w:t xml:space="preserve">Physical activity and physical education: Relationship to growth, development, and health</w:t>
      </w:r>
      <w:r w:rsidDel="00000000" w:rsidR="00000000" w:rsidRPr="00000000">
        <w:rPr>
          <w:sz w:val="24"/>
          <w:szCs w:val="24"/>
          <w:rtl w:val="0"/>
        </w:rPr>
        <w:t xml:space="preserve">. National Academies Press.</w:t>
      </w:r>
    </w:p>
    <w:p w:rsidR="00000000" w:rsidDel="00000000" w:rsidP="00000000" w:rsidRDefault="00000000" w:rsidRPr="00000000" w14:paraId="0000006A">
      <w:pPr>
        <w:spacing w:before="240" w:line="480" w:lineRule="auto"/>
        <w:ind w:left="1440" w:hanging="720"/>
        <w:rPr>
          <w:sz w:val="24"/>
          <w:szCs w:val="24"/>
        </w:rPr>
      </w:pPr>
      <w:r w:rsidDel="00000000" w:rsidR="00000000" w:rsidRPr="00000000">
        <w:rPr>
          <w:sz w:val="24"/>
          <w:szCs w:val="24"/>
          <w:rtl w:val="0"/>
        </w:rPr>
        <w:t xml:space="preserve">Millerton (N.d.) Assessment methodology in physical education. Org.uk. Retrieved April 17, 2026, from </w:t>
      </w:r>
      <w:hyperlink r:id="rId7">
        <w:r w:rsidDel="00000000" w:rsidR="00000000" w:rsidRPr="00000000">
          <w:rPr>
            <w:color w:val="1155cc"/>
            <w:sz w:val="24"/>
            <w:szCs w:val="24"/>
            <w:u w:val="single"/>
            <w:rtl w:val="0"/>
          </w:rPr>
          <w:t xml:space="preserve">https://www.miltonroadschool.org.uk/_site/data/files/migrated/curriculum-by-subject---programmes-of-study--assessment/assessment-methodology-for-pe.pdf</w:t>
        </w:r>
      </w:hyperlink>
      <w:r w:rsidDel="00000000" w:rsidR="00000000" w:rsidRPr="00000000">
        <w:rPr>
          <w:rtl w:val="0"/>
        </w:rPr>
      </w:r>
    </w:p>
    <w:p w:rsidR="00000000" w:rsidDel="00000000" w:rsidP="00000000" w:rsidRDefault="00000000" w:rsidRPr="00000000" w14:paraId="0000006B">
      <w:pPr>
        <w:spacing w:before="240" w:line="480" w:lineRule="auto"/>
        <w:ind w:left="1440" w:hanging="720"/>
        <w:rPr>
          <w:sz w:val="24"/>
          <w:szCs w:val="24"/>
        </w:rPr>
      </w:pPr>
      <w:r w:rsidDel="00000000" w:rsidR="00000000" w:rsidRPr="00000000">
        <w:rPr>
          <w:color w:val="37393c"/>
          <w:sz w:val="24"/>
          <w:szCs w:val="24"/>
          <w:highlight w:val="white"/>
          <w:rtl w:val="0"/>
        </w:rPr>
        <w:t xml:space="preserve">Min, H. J., Park, S.-H., Lee, S.-H., Lee, B.-H., Kang, M., Kwon, M. J., Chang, M. J., Negi, L. T., Samphel, T., &amp; Won, S. (2024). Building resilience and social-emotional competencies in elementary school students through a short-term intervention program based on the SEE Learning curriculum. </w:t>
      </w:r>
      <w:r w:rsidDel="00000000" w:rsidR="00000000" w:rsidRPr="00000000">
        <w:rPr>
          <w:i w:val="1"/>
          <w:iCs w:val="1"/>
          <w:color w:val="37393c"/>
          <w:sz w:val="24"/>
          <w:szCs w:val="24"/>
          <w:highlight w:val="white"/>
          <w:rtl w:val="0"/>
        </w:rPr>
        <w:t xml:space="preserve">Behavioral Sciences</w:t>
      </w:r>
      <w:r w:rsidDel="00000000" w:rsidR="00000000" w:rsidRPr="00000000">
        <w:rPr>
          <w:color w:val="37393c"/>
          <w:sz w:val="24"/>
          <w:szCs w:val="24"/>
          <w:highlight w:val="white"/>
          <w:rtl w:val="0"/>
        </w:rPr>
        <w:t xml:space="preserve">, </w:t>
      </w:r>
      <w:r w:rsidDel="00000000" w:rsidR="00000000" w:rsidRPr="00000000">
        <w:rPr>
          <w:i w:val="1"/>
          <w:iCs w:val="1"/>
          <w:color w:val="37393c"/>
          <w:sz w:val="24"/>
          <w:szCs w:val="24"/>
          <w:highlight w:val="white"/>
          <w:rtl w:val="0"/>
        </w:rPr>
        <w:t xml:space="preserve">14</w:t>
      </w:r>
      <w:r w:rsidDel="00000000" w:rsidR="00000000" w:rsidRPr="00000000">
        <w:rPr>
          <w:color w:val="37393c"/>
          <w:sz w:val="24"/>
          <w:szCs w:val="24"/>
          <w:highlight w:val="white"/>
          <w:rtl w:val="0"/>
        </w:rPr>
        <w:t xml:space="preserve">(6), 458. </w:t>
      </w:r>
      <w:hyperlink r:id="rId8">
        <w:r w:rsidDel="00000000" w:rsidR="00000000" w:rsidRPr="00000000">
          <w:rPr>
            <w:color w:val="1155cc"/>
            <w:sz w:val="24"/>
            <w:szCs w:val="24"/>
            <w:highlight w:val="white"/>
            <w:u w:val="single"/>
            <w:rtl w:val="0"/>
          </w:rPr>
          <w:t xml:space="preserve">https://doi.org/10.3390/bs14060458</w:t>
        </w:r>
      </w:hyperlink>
      <w:r w:rsidDel="00000000" w:rsidR="00000000" w:rsidRPr="00000000">
        <w:rPr>
          <w:color w:val="37393c"/>
          <w:sz w:val="24"/>
          <w:szCs w:val="24"/>
          <w:highlight w:val="white"/>
          <w:rtl w:val="0"/>
        </w:rPr>
        <w:t xml:space="preserve"> </w:t>
      </w:r>
      <w:r w:rsidDel="00000000" w:rsidR="00000000" w:rsidRPr="00000000">
        <w:rPr>
          <w:rtl w:val="0"/>
        </w:rPr>
      </w:r>
    </w:p>
    <w:p w:rsidR="00000000" w:rsidDel="00000000" w:rsidP="00000000" w:rsidRDefault="00000000" w:rsidRPr="00000000" w14:paraId="0000006C">
      <w:pPr>
        <w:spacing w:before="240" w:line="480" w:lineRule="auto"/>
        <w:ind w:left="1440" w:hanging="720"/>
        <w:rPr>
          <w:sz w:val="24"/>
          <w:szCs w:val="24"/>
        </w:rPr>
      </w:pPr>
      <w:r w:rsidDel="00000000" w:rsidR="00000000" w:rsidRPr="00000000">
        <w:rPr>
          <w:sz w:val="24"/>
          <w:szCs w:val="24"/>
          <w:rtl w:val="0"/>
        </w:rPr>
        <w:t xml:space="preserve">Ofsted. (2022). </w:t>
      </w:r>
      <w:r w:rsidDel="00000000" w:rsidR="00000000" w:rsidRPr="00000000">
        <w:rPr>
          <w:i w:val="1"/>
          <w:iCs w:val="1"/>
          <w:sz w:val="24"/>
          <w:szCs w:val="24"/>
          <w:rtl w:val="0"/>
        </w:rPr>
        <w:t xml:space="preserve">Research review series: PE</w:t>
      </w:r>
      <w:r w:rsidDel="00000000" w:rsidR="00000000" w:rsidRPr="00000000">
        <w:rPr>
          <w:sz w:val="24"/>
          <w:szCs w:val="24"/>
          <w:rtl w:val="0"/>
        </w:rPr>
        <w:t xml:space="preserve">. Gov.uk. https://www.gov.uk/government/publications/research-review-series-pe/research-review-series-pe</w:t>
      </w:r>
    </w:p>
    <w:p w:rsidR="00000000" w:rsidDel="00000000" w:rsidP="00000000" w:rsidRDefault="00000000" w:rsidRPr="00000000" w14:paraId="0000006D">
      <w:pPr>
        <w:spacing w:before="240" w:line="480" w:lineRule="auto"/>
        <w:ind w:left="1440" w:hanging="720"/>
        <w:rPr>
          <w:sz w:val="24"/>
          <w:szCs w:val="24"/>
        </w:rPr>
      </w:pPr>
      <w:r w:rsidDel="00000000" w:rsidR="00000000" w:rsidRPr="00000000">
        <w:rPr>
          <w:sz w:val="24"/>
          <w:szCs w:val="24"/>
          <w:rtl w:val="0"/>
        </w:rPr>
        <w:t xml:space="preserve">Robinson, K. (2006). </w:t>
      </w:r>
      <w:r w:rsidDel="00000000" w:rsidR="00000000" w:rsidRPr="00000000">
        <w:rPr>
          <w:i w:val="1"/>
          <w:iCs w:val="1"/>
          <w:sz w:val="24"/>
          <w:szCs w:val="24"/>
          <w:rtl w:val="0"/>
        </w:rPr>
        <w:t xml:space="preserve">Do schools kill creativity?</w:t>
      </w:r>
      <w:r w:rsidDel="00000000" w:rsidR="00000000" w:rsidRPr="00000000">
        <w:rPr>
          <w:sz w:val="24"/>
          <w:szCs w:val="24"/>
          <w:rtl w:val="0"/>
        </w:rPr>
        <w:t xml:space="preserve"> [Video]. https://www.ted.com/talks/sir_ken_robinson_do_schools_kill_creativity  </w:t>
      </w:r>
      <w:hyperlink r:id="rId9">
        <w:r w:rsidDel="00000000" w:rsidR="00000000" w:rsidRPr="00000000">
          <w:rPr>
            <w:color w:val="1155cc"/>
            <w:sz w:val="24"/>
            <w:szCs w:val="24"/>
            <w:u w:val="single"/>
            <w:rtl w:val="0"/>
          </w:rPr>
          <w:t xml:space="preserve">https://oasis.library.unlv.edu/cgi/viewcontent.cgi?article=1036&amp;context=thesesdissertations</w:t>
        </w:r>
      </w:hyperlink>
      <w:r w:rsidDel="00000000" w:rsidR="00000000" w:rsidRPr="00000000">
        <w:rPr>
          <w:rtl w:val="0"/>
        </w:rPr>
      </w:r>
    </w:p>
    <w:p w:rsidR="00000000" w:rsidDel="00000000" w:rsidP="00000000" w:rsidRDefault="00000000" w:rsidRPr="00000000" w14:paraId="0000006E">
      <w:pPr>
        <w:spacing w:before="240" w:line="480" w:lineRule="auto"/>
        <w:ind w:left="1440" w:hanging="720"/>
        <w:rPr>
          <w:sz w:val="24"/>
          <w:szCs w:val="24"/>
        </w:rPr>
      </w:pPr>
      <w:r w:rsidDel="00000000" w:rsidR="00000000" w:rsidRPr="00000000">
        <w:rPr>
          <w:color w:val="37393c"/>
          <w:sz w:val="24"/>
          <w:szCs w:val="24"/>
          <w:highlight w:val="white"/>
          <w:rtl w:val="0"/>
        </w:rPr>
        <w:t xml:space="preserve">Sanford. (2024). </w:t>
      </w:r>
      <w:r w:rsidDel="00000000" w:rsidR="00000000" w:rsidRPr="00000000">
        <w:rPr>
          <w:i w:val="1"/>
          <w:iCs w:val="1"/>
          <w:color w:val="37393c"/>
          <w:sz w:val="24"/>
          <w:szCs w:val="24"/>
          <w:highlight w:val="white"/>
          <w:rtl w:val="0"/>
        </w:rPr>
        <w:t xml:space="preserve">Developing the Social and Emotional Domains in Physical Education Rachel</w:t>
      </w:r>
      <w:r w:rsidDel="00000000" w:rsidR="00000000" w:rsidRPr="00000000">
        <w:rPr>
          <w:color w:val="37393c"/>
          <w:sz w:val="24"/>
          <w:szCs w:val="24"/>
          <w:highlight w:val="white"/>
          <w:rtl w:val="0"/>
        </w:rPr>
        <w:t xml:space="preserve"> (S. Gray, A. Bryant, O. Hooper, J. Stirrup, S. Hardley, N. Carse, &amp; D. Aldous, Eds.).</w:t>
      </w:r>
      <w:r w:rsidDel="00000000" w:rsidR="00000000" w:rsidRPr="00000000">
        <w:rPr>
          <w:rtl w:val="0"/>
        </w:rPr>
      </w:r>
    </w:p>
    <w:p w:rsidR="00000000" w:rsidDel="00000000" w:rsidP="00000000" w:rsidRDefault="00000000" w:rsidRPr="00000000" w14:paraId="0000006F">
      <w:pPr>
        <w:spacing w:before="240" w:line="480" w:lineRule="auto"/>
        <w:ind w:left="1440" w:hanging="720"/>
        <w:rPr>
          <w:sz w:val="24"/>
          <w:szCs w:val="24"/>
        </w:rPr>
      </w:pPr>
      <w:r w:rsidDel="00000000" w:rsidR="00000000" w:rsidRPr="00000000">
        <w:rPr>
          <w:sz w:val="24"/>
          <w:szCs w:val="24"/>
          <w:rtl w:val="0"/>
        </w:rPr>
        <w:t xml:space="preserve">Slingerland, M., Weeldenburg, G., &amp; Borghouts, L. (2024). Formative assessment in physical education: teachers’ experiences when designing and implementing formative assessment activities. </w:t>
      </w:r>
      <w:r w:rsidDel="00000000" w:rsidR="00000000" w:rsidRPr="00000000">
        <w:rPr>
          <w:i w:val="1"/>
          <w:iCs w:val="1"/>
          <w:sz w:val="24"/>
          <w:szCs w:val="24"/>
          <w:rtl w:val="0"/>
        </w:rPr>
        <w:t xml:space="preserve">European Physical Education Review</w:t>
      </w:r>
      <w:r w:rsidDel="00000000" w:rsidR="00000000" w:rsidRPr="00000000">
        <w:rPr>
          <w:sz w:val="24"/>
          <w:szCs w:val="24"/>
          <w:rtl w:val="0"/>
        </w:rPr>
        <w:t xml:space="preserve">, </w:t>
      </w:r>
      <w:r w:rsidDel="00000000" w:rsidR="00000000" w:rsidRPr="00000000">
        <w:rPr>
          <w:i w:val="1"/>
          <w:iCs w:val="1"/>
          <w:sz w:val="24"/>
          <w:szCs w:val="24"/>
          <w:rtl w:val="0"/>
        </w:rPr>
        <w:t xml:space="preserve">30</w:t>
      </w:r>
      <w:r w:rsidDel="00000000" w:rsidR="00000000" w:rsidRPr="00000000">
        <w:rPr>
          <w:sz w:val="24"/>
          <w:szCs w:val="24"/>
          <w:rtl w:val="0"/>
        </w:rPr>
        <w:t xml:space="preserve">(4), 620–637. </w:t>
      </w:r>
      <w:hyperlink r:id="rId10">
        <w:r w:rsidDel="00000000" w:rsidR="00000000" w:rsidRPr="00000000">
          <w:rPr>
            <w:color w:val="1155cc"/>
            <w:sz w:val="24"/>
            <w:szCs w:val="24"/>
            <w:u w:val="single"/>
            <w:rtl w:val="0"/>
          </w:rPr>
          <w:t xml:space="preserve">https://doi.org/10.1177/1356336x241237398</w:t>
        </w:r>
      </w:hyperlink>
      <w:r w:rsidDel="00000000" w:rsidR="00000000" w:rsidRPr="00000000">
        <w:rPr>
          <w:rtl w:val="0"/>
        </w:rPr>
      </w:r>
    </w:p>
    <w:p w:rsidR="00000000" w:rsidDel="00000000" w:rsidP="00000000" w:rsidRDefault="00000000" w:rsidRPr="00000000" w14:paraId="00000070">
      <w:pPr>
        <w:spacing w:before="240" w:line="480" w:lineRule="auto"/>
        <w:ind w:left="1440" w:hanging="720"/>
        <w:rPr>
          <w:sz w:val="24"/>
          <w:szCs w:val="24"/>
        </w:rPr>
      </w:pPr>
      <w:r w:rsidDel="00000000" w:rsidR="00000000" w:rsidRPr="00000000">
        <w:rPr>
          <w:color w:val="37393c"/>
          <w:sz w:val="24"/>
          <w:szCs w:val="24"/>
          <w:highlight w:val="white"/>
          <w:rtl w:val="0"/>
        </w:rPr>
        <w:t xml:space="preserve">Smith. (2009). </w:t>
      </w:r>
      <w:r w:rsidDel="00000000" w:rsidR="00000000" w:rsidRPr="00000000">
        <w:rPr>
          <w:i w:val="1"/>
          <w:iCs w:val="1"/>
          <w:color w:val="37393c"/>
          <w:sz w:val="24"/>
          <w:szCs w:val="24"/>
          <w:highlight w:val="white"/>
          <w:rtl w:val="0"/>
        </w:rPr>
        <w:t xml:space="preserve">Direct observation in high school physical education</w:t>
      </w:r>
      <w:r w:rsidDel="00000000" w:rsidR="00000000" w:rsidRPr="00000000">
        <w:rPr>
          <w:color w:val="37393c"/>
          <w:sz w:val="24"/>
          <w:szCs w:val="24"/>
          <w:highlight w:val="white"/>
          <w:rtl w:val="0"/>
        </w:rPr>
        <w:t xml:space="preserve">. Unlv.edu. https://oasis.library.unlv.edu/cgi/viewcontent.cgi?article=1036&amp;context=thesesdissertations</w:t>
      </w:r>
      <w:r w:rsidDel="00000000" w:rsidR="00000000" w:rsidRPr="00000000">
        <w:rPr>
          <w:rtl w:val="0"/>
        </w:rPr>
      </w:r>
    </w:p>
    <w:p w:rsidR="00000000" w:rsidDel="00000000" w:rsidP="00000000" w:rsidRDefault="00000000" w:rsidRPr="00000000" w14:paraId="00000071">
      <w:pPr>
        <w:spacing w:before="240" w:line="480" w:lineRule="auto"/>
        <w:ind w:left="1440" w:hanging="720"/>
        <w:rPr>
          <w:sz w:val="24"/>
          <w:szCs w:val="24"/>
        </w:rPr>
      </w:pPr>
      <w:r w:rsidDel="00000000" w:rsidR="00000000" w:rsidRPr="00000000">
        <w:rPr>
          <w:sz w:val="24"/>
          <w:szCs w:val="24"/>
          <w:rtl w:val="0"/>
        </w:rPr>
        <w:t xml:space="preserve">Sullivan, L. (2026). </w:t>
      </w:r>
      <w:r w:rsidDel="00000000" w:rsidR="00000000" w:rsidRPr="00000000">
        <w:rPr>
          <w:i w:val="1"/>
          <w:iCs w:val="1"/>
          <w:sz w:val="24"/>
          <w:szCs w:val="24"/>
          <w:rtl w:val="0"/>
        </w:rPr>
        <w:t xml:space="preserve">The Role of Observation in Enhancing Pedagogical Practices in Physical Education</w:t>
      </w:r>
      <w:r w:rsidDel="00000000" w:rsidR="00000000" w:rsidRPr="00000000">
        <w:rPr>
          <w:sz w:val="24"/>
          <w:szCs w:val="24"/>
          <w:rtl w:val="0"/>
        </w:rPr>
        <w:t xml:space="preserve">. Pescholar.com. https://www.pescholar.com/insight/the-role-of-observation-in-enhancing-pedagogical-practices-in-physical-education/</w:t>
      </w:r>
    </w:p>
    <w:p w:rsidR="00000000" w:rsidDel="00000000" w:rsidP="00000000" w:rsidRDefault="00000000" w:rsidRPr="00000000" w14:paraId="00000072">
      <w:pPr>
        <w:spacing w:before="240" w:line="480" w:lineRule="auto"/>
        <w:ind w:left="1440" w:hanging="720"/>
        <w:rPr>
          <w:sz w:val="24"/>
          <w:szCs w:val="24"/>
        </w:rPr>
      </w:pPr>
      <w:r w:rsidDel="00000000" w:rsidR="00000000" w:rsidRPr="00000000">
        <w:rPr>
          <w:sz w:val="24"/>
          <w:szCs w:val="24"/>
          <w:rtl w:val="0"/>
        </w:rPr>
        <w:t xml:space="preserve">Taylor, B., Kisby, F., &amp; Reedy, A. (2024). Rubrics in higher education: an exploration of undergraduate students’ understanding and perspectives. </w:t>
      </w:r>
      <w:r w:rsidDel="00000000" w:rsidR="00000000" w:rsidRPr="00000000">
        <w:rPr>
          <w:i w:val="1"/>
          <w:iCs w:val="1"/>
          <w:sz w:val="24"/>
          <w:szCs w:val="24"/>
          <w:rtl w:val="0"/>
        </w:rPr>
        <w:t xml:space="preserve">Assessment and Evaluation in Higher Education</w:t>
      </w:r>
      <w:r w:rsidDel="00000000" w:rsidR="00000000" w:rsidRPr="00000000">
        <w:rPr>
          <w:sz w:val="24"/>
          <w:szCs w:val="24"/>
          <w:rtl w:val="0"/>
        </w:rPr>
        <w:t xml:space="preserve">, </w:t>
      </w:r>
      <w:r w:rsidDel="00000000" w:rsidR="00000000" w:rsidRPr="00000000">
        <w:rPr>
          <w:i w:val="1"/>
          <w:iCs w:val="1"/>
          <w:sz w:val="24"/>
          <w:szCs w:val="24"/>
          <w:rtl w:val="0"/>
        </w:rPr>
        <w:t xml:space="preserve">49</w:t>
      </w:r>
      <w:r w:rsidDel="00000000" w:rsidR="00000000" w:rsidRPr="00000000">
        <w:rPr>
          <w:sz w:val="24"/>
          <w:szCs w:val="24"/>
          <w:rtl w:val="0"/>
        </w:rPr>
        <w:t xml:space="preserve">(6), 799–809. </w:t>
      </w:r>
      <w:hyperlink r:id="rId11">
        <w:r w:rsidDel="00000000" w:rsidR="00000000" w:rsidRPr="00000000">
          <w:rPr>
            <w:color w:val="1155cc"/>
            <w:sz w:val="24"/>
            <w:szCs w:val="24"/>
            <w:u w:val="single"/>
            <w:rtl w:val="0"/>
          </w:rPr>
          <w:t xml:space="preserve">https://doi.org/10.1080/02602938.2023.2299330</w:t>
        </w:r>
      </w:hyperlink>
      <w:r w:rsidDel="00000000" w:rsidR="00000000" w:rsidRPr="00000000">
        <w:rPr>
          <w:rtl w:val="0"/>
        </w:rPr>
      </w:r>
    </w:p>
    <w:p w:rsidR="00000000" w:rsidDel="00000000" w:rsidP="00000000" w:rsidRDefault="00000000" w:rsidRPr="00000000" w14:paraId="00000073">
      <w:pPr>
        <w:spacing w:before="240" w:line="480" w:lineRule="auto"/>
        <w:ind w:left="1440" w:hanging="720"/>
        <w:rPr>
          <w:sz w:val="24"/>
          <w:szCs w:val="24"/>
        </w:rPr>
      </w:pPr>
      <w:r w:rsidDel="00000000" w:rsidR="00000000" w:rsidRPr="00000000">
        <w:rPr>
          <w:color w:val="37393c"/>
          <w:sz w:val="24"/>
          <w:szCs w:val="24"/>
          <w:highlight w:val="white"/>
          <w:rtl w:val="0"/>
        </w:rPr>
        <w:t xml:space="preserve">Topçiu, M., &amp; Myftiu, J. (2015). Vygotsky theory on social interaction and its influence on the development of pre-school children. </w:t>
      </w:r>
      <w:r w:rsidDel="00000000" w:rsidR="00000000" w:rsidRPr="00000000">
        <w:rPr>
          <w:i w:val="1"/>
          <w:iCs w:val="1"/>
          <w:color w:val="37393c"/>
          <w:sz w:val="24"/>
          <w:szCs w:val="24"/>
          <w:highlight w:val="white"/>
          <w:rtl w:val="0"/>
        </w:rPr>
        <w:t xml:space="preserve">European Journal of Social Sciences Education and Research</w:t>
      </w:r>
      <w:r w:rsidDel="00000000" w:rsidR="00000000" w:rsidRPr="00000000">
        <w:rPr>
          <w:color w:val="37393c"/>
          <w:sz w:val="24"/>
          <w:szCs w:val="24"/>
          <w:highlight w:val="white"/>
          <w:rtl w:val="0"/>
        </w:rPr>
        <w:t xml:space="preserve">, </w:t>
      </w:r>
      <w:r w:rsidDel="00000000" w:rsidR="00000000" w:rsidRPr="00000000">
        <w:rPr>
          <w:i w:val="1"/>
          <w:iCs w:val="1"/>
          <w:color w:val="37393c"/>
          <w:sz w:val="24"/>
          <w:szCs w:val="24"/>
          <w:highlight w:val="white"/>
          <w:rtl w:val="0"/>
        </w:rPr>
        <w:t xml:space="preserve">4</w:t>
      </w:r>
      <w:r w:rsidDel="00000000" w:rsidR="00000000" w:rsidRPr="00000000">
        <w:rPr>
          <w:color w:val="37393c"/>
          <w:sz w:val="24"/>
          <w:szCs w:val="24"/>
          <w:highlight w:val="white"/>
          <w:rtl w:val="0"/>
        </w:rPr>
        <w:t xml:space="preserve">(1), 172. </w:t>
      </w:r>
      <w:hyperlink r:id="rId12">
        <w:r w:rsidDel="00000000" w:rsidR="00000000" w:rsidRPr="00000000">
          <w:rPr>
            <w:color w:val="1155cc"/>
            <w:sz w:val="24"/>
            <w:szCs w:val="24"/>
            <w:highlight w:val="white"/>
            <w:u w:val="single"/>
            <w:rtl w:val="0"/>
          </w:rPr>
          <w:t xml:space="preserve">https://doi.org/10.26417/ejser.v4i1.p172-179</w:t>
        </w:r>
      </w:hyperlink>
      <w:r w:rsidDel="00000000" w:rsidR="00000000" w:rsidRPr="00000000">
        <w:rPr>
          <w:color w:val="37393c"/>
          <w:sz w:val="24"/>
          <w:szCs w:val="24"/>
          <w:highlight w:val="white"/>
          <w:rtl w:val="0"/>
        </w:rPr>
        <w:t xml:space="preserve"> </w:t>
      </w:r>
      <w:r w:rsidDel="00000000" w:rsidR="00000000" w:rsidRPr="00000000">
        <w:rPr>
          <w:rtl w:val="0"/>
        </w:rPr>
      </w:r>
    </w:p>
    <w:p w:rsidR="00000000" w:rsidDel="00000000" w:rsidP="00000000" w:rsidRDefault="00000000" w:rsidRPr="00000000" w14:paraId="00000074">
      <w:pPr>
        <w:spacing w:before="240" w:line="480" w:lineRule="auto"/>
        <w:ind w:left="1440" w:hanging="720"/>
        <w:rPr>
          <w:sz w:val="24"/>
          <w:szCs w:val="24"/>
        </w:rPr>
      </w:pPr>
      <w:r w:rsidDel="00000000" w:rsidR="00000000" w:rsidRPr="00000000">
        <w:rPr>
          <w:i w:val="1"/>
          <w:iCs w:val="1"/>
          <w:color w:val="37393c"/>
          <w:sz w:val="24"/>
          <w:szCs w:val="24"/>
          <w:highlight w:val="white"/>
          <w:rtl w:val="0"/>
        </w:rPr>
        <w:t xml:space="preserve">What is the CASEL framework?</w:t>
      </w:r>
      <w:r w:rsidDel="00000000" w:rsidR="00000000" w:rsidRPr="00000000">
        <w:rPr>
          <w:color w:val="37393c"/>
          <w:sz w:val="24"/>
          <w:szCs w:val="24"/>
          <w:highlight w:val="white"/>
          <w:rtl w:val="0"/>
        </w:rPr>
        <w:t xml:space="preserve"> (2021, July 1). CASEL. https://casel.org/fundamentals-of-sel/what-is-the-casel-framework/</w:t>
      </w:r>
      <w:r w:rsidDel="00000000" w:rsidR="00000000" w:rsidRPr="00000000">
        <w:rPr>
          <w:rtl w:val="0"/>
        </w:rPr>
      </w:r>
    </w:p>
    <w:p w:rsidR="00000000" w:rsidDel="00000000" w:rsidP="00000000" w:rsidRDefault="00000000" w:rsidRPr="00000000" w14:paraId="00000075">
      <w:pPr>
        <w:spacing w:before="240" w:line="480" w:lineRule="auto"/>
        <w:ind w:left="1440" w:hanging="720"/>
        <w:rPr>
          <w:sz w:val="24"/>
          <w:szCs w:val="24"/>
        </w:rPr>
      </w:pPr>
      <w:r w:rsidDel="00000000" w:rsidR="00000000" w:rsidRPr="00000000">
        <w:rPr>
          <w:rtl w:val="0"/>
        </w:rPr>
      </w:r>
    </w:p>
    <w:p w:rsidR="00000000" w:rsidDel="00000000" w:rsidP="00000000" w:rsidRDefault="00000000" w:rsidRPr="00000000" w14:paraId="00000076">
      <w:pPr>
        <w:spacing w:before="240" w:line="480" w:lineRule="auto"/>
        <w:ind w:left="1440" w:hanging="720"/>
        <w:rPr>
          <w:sz w:val="24"/>
          <w:szCs w:val="24"/>
        </w:rPr>
      </w:pPr>
      <w:r w:rsidDel="00000000" w:rsidR="00000000" w:rsidRPr="00000000">
        <w:rPr>
          <w:sz w:val="24"/>
          <w:szCs w:val="24"/>
          <w:rtl w:val="0"/>
        </w:rPr>
        <w:t xml:space="preserve">Youth Sport Trust ,PE and School Sport (2024). Youthsporttrust.org. Retrieved April 17, 2026, from https://www.youthsporttrust.org/media/tjgf20tp/yst_pe_school_sport_report_2024_final.pdf</w:t>
      </w:r>
    </w:p>
    <w:p w:rsidR="00000000" w:rsidDel="00000000" w:rsidP="00000000" w:rsidRDefault="00000000" w:rsidRPr="00000000" w14:paraId="00000077">
      <w:pPr>
        <w:spacing w:before="240" w:line="480" w:lineRule="auto"/>
        <w:ind w:left="1440" w:hanging="720"/>
        <w:rPr>
          <w:sz w:val="24"/>
          <w:szCs w:val="24"/>
        </w:rPr>
      </w:pPr>
      <w:r w:rsidDel="00000000" w:rsidR="00000000" w:rsidRPr="00000000">
        <w:rPr>
          <w:sz w:val="24"/>
          <w:szCs w:val="24"/>
          <w:rtl w:val="0"/>
        </w:rPr>
        <w:t xml:space="preserve">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i.org/10.1080/02602938.2023.2299330" TargetMode="External"/><Relationship Id="rId10" Type="http://schemas.openxmlformats.org/officeDocument/2006/relationships/hyperlink" Target="https://doi.org/10.1177/1356336x241237398" TargetMode="External"/><Relationship Id="rId12" Type="http://schemas.openxmlformats.org/officeDocument/2006/relationships/hyperlink" Target="https://doi.org/10.26417/ejser.v4i1.p172-179" TargetMode="External"/><Relationship Id="rId9" Type="http://schemas.openxmlformats.org/officeDocument/2006/relationships/hyperlink" Target="https://oasis.library.unlv.edu/cgi/viewcontent.cgi?article=1036&amp;context=thesesdissertations" TargetMode="External"/><Relationship Id="rId5" Type="http://schemas.openxmlformats.org/officeDocument/2006/relationships/styles" Target="styles.xml"/><Relationship Id="rId6" Type="http://schemas.openxmlformats.org/officeDocument/2006/relationships/hyperlink" Target="https://doi.org/10.22271/yogic.2017.v2.i2h.1688" TargetMode="External"/><Relationship Id="rId7" Type="http://schemas.openxmlformats.org/officeDocument/2006/relationships/hyperlink" Target="https://www.miltonroadschool.org.uk/_site/data/files/migrated/curriculum-by-subject---programmes-of-study--assessment/assessment-methodology-for-pe.pdf" TargetMode="External"/><Relationship Id="rId8" Type="http://schemas.openxmlformats.org/officeDocument/2006/relationships/hyperlink" Target="https://doi.org/10.3390/bs140604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