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71347" w14:textId="77777777" w:rsidR="00954431" w:rsidRDefault="00954431" w:rsidP="00954431">
      <w:pPr>
        <w:jc w:val="center"/>
        <w:rPr>
          <w:rFonts w:ascii="Times New Roman" w:hAnsi="Times New Roman" w:cs="Times New Roman"/>
          <w:b/>
          <w:bCs/>
          <w:sz w:val="48"/>
          <w:szCs w:val="48"/>
        </w:rPr>
      </w:pPr>
      <w:r>
        <w:rPr>
          <w:rFonts w:ascii="Times New Roman" w:hAnsi="Times New Roman" w:cs="Times New Roman"/>
          <w:b/>
          <w:bCs/>
          <w:sz w:val="48"/>
          <w:szCs w:val="48"/>
        </w:rPr>
        <w:t>University of Wales</w:t>
      </w:r>
    </w:p>
    <w:p w14:paraId="335B6E39" w14:textId="77777777" w:rsidR="00954431" w:rsidRDefault="00954431" w:rsidP="00954431">
      <w:pPr>
        <w:jc w:val="center"/>
        <w:rPr>
          <w:rFonts w:ascii="Times New Roman" w:hAnsi="Times New Roman" w:cs="Times New Roman"/>
          <w:b/>
          <w:bCs/>
          <w:sz w:val="48"/>
          <w:szCs w:val="48"/>
        </w:rPr>
      </w:pPr>
      <w:r>
        <w:rPr>
          <w:rFonts w:ascii="Times New Roman" w:hAnsi="Times New Roman" w:cs="Times New Roman"/>
          <w:b/>
          <w:bCs/>
          <w:sz w:val="48"/>
          <w:szCs w:val="48"/>
        </w:rPr>
        <w:t>Trinity Saint David London</w:t>
      </w:r>
    </w:p>
    <w:p w14:paraId="55A05BF8" w14:textId="77777777" w:rsidR="00954431" w:rsidRDefault="00954431" w:rsidP="00954431">
      <w:pPr>
        <w:jc w:val="center"/>
        <w:rPr>
          <w:rFonts w:ascii="Times New Roman" w:hAnsi="Times New Roman" w:cs="Times New Roman"/>
          <w:b/>
          <w:bCs/>
          <w:sz w:val="48"/>
          <w:szCs w:val="48"/>
        </w:rPr>
      </w:pPr>
    </w:p>
    <w:p w14:paraId="03F51C14" w14:textId="77777777" w:rsidR="00954431" w:rsidRDefault="00954431" w:rsidP="00954431">
      <w:pPr>
        <w:jc w:val="center"/>
        <w:rPr>
          <w:rFonts w:ascii="Times New Roman" w:hAnsi="Times New Roman" w:cs="Times New Roman"/>
          <w:b/>
          <w:bCs/>
          <w:sz w:val="48"/>
          <w:szCs w:val="48"/>
        </w:rPr>
      </w:pPr>
    </w:p>
    <w:p w14:paraId="6D42DCB7" w14:textId="77777777" w:rsidR="00954431" w:rsidRDefault="00954431" w:rsidP="00954431">
      <w:pPr>
        <w:jc w:val="center"/>
        <w:rPr>
          <w:rFonts w:ascii="Times New Roman" w:hAnsi="Times New Roman" w:cs="Times New Roman"/>
          <w:b/>
          <w:bCs/>
          <w:sz w:val="48"/>
          <w:szCs w:val="48"/>
        </w:rPr>
      </w:pPr>
    </w:p>
    <w:p w14:paraId="391A5430" w14:textId="77777777" w:rsidR="00954431" w:rsidRDefault="00954431" w:rsidP="00954431">
      <w:pPr>
        <w:jc w:val="center"/>
        <w:rPr>
          <w:rFonts w:ascii="Times New Roman" w:hAnsi="Times New Roman" w:cs="Times New Roman"/>
          <w:b/>
          <w:bCs/>
          <w:sz w:val="48"/>
          <w:szCs w:val="48"/>
        </w:rPr>
      </w:pPr>
    </w:p>
    <w:p w14:paraId="421C8B15" w14:textId="77777777" w:rsidR="00954431" w:rsidRDefault="00954431" w:rsidP="00954431">
      <w:pPr>
        <w:jc w:val="center"/>
        <w:rPr>
          <w:rFonts w:ascii="Times New Roman" w:hAnsi="Times New Roman" w:cs="Times New Roman"/>
          <w:b/>
          <w:bCs/>
          <w:sz w:val="48"/>
          <w:szCs w:val="48"/>
        </w:rPr>
      </w:pPr>
      <w:r>
        <w:rPr>
          <w:rFonts w:ascii="Times New Roman" w:hAnsi="Times New Roman" w:cs="Times New Roman"/>
          <w:b/>
          <w:bCs/>
          <w:sz w:val="48"/>
          <w:szCs w:val="48"/>
        </w:rPr>
        <w:t>ACCOUNTING FUNDAMENTALS</w:t>
      </w:r>
    </w:p>
    <w:p w14:paraId="5C106FB5" w14:textId="19517C65" w:rsidR="00954431" w:rsidRDefault="00954431" w:rsidP="00954431">
      <w:pPr>
        <w:jc w:val="center"/>
        <w:rPr>
          <w:rFonts w:ascii="Times New Roman" w:hAnsi="Times New Roman" w:cs="Times New Roman"/>
          <w:b/>
          <w:bCs/>
          <w:sz w:val="48"/>
          <w:szCs w:val="48"/>
        </w:rPr>
      </w:pPr>
      <w:r>
        <w:rPr>
          <w:rFonts w:ascii="Times New Roman" w:hAnsi="Times New Roman" w:cs="Times New Roman"/>
          <w:b/>
          <w:bCs/>
          <w:sz w:val="48"/>
          <w:szCs w:val="48"/>
        </w:rPr>
        <w:t>Assessment 2</w:t>
      </w:r>
    </w:p>
    <w:p w14:paraId="7D9A4CBD" w14:textId="77777777" w:rsidR="00954431" w:rsidRDefault="00954431" w:rsidP="00954431">
      <w:pPr>
        <w:jc w:val="center"/>
        <w:rPr>
          <w:rFonts w:ascii="Times New Roman" w:hAnsi="Times New Roman" w:cs="Times New Roman"/>
          <w:b/>
          <w:bCs/>
          <w:sz w:val="48"/>
          <w:szCs w:val="48"/>
        </w:rPr>
      </w:pPr>
      <w:r>
        <w:rPr>
          <w:rFonts w:ascii="Times New Roman" w:hAnsi="Times New Roman" w:cs="Times New Roman"/>
          <w:b/>
          <w:bCs/>
          <w:sz w:val="48"/>
          <w:szCs w:val="48"/>
        </w:rPr>
        <w:t>(LCBB4001)</w:t>
      </w:r>
    </w:p>
    <w:p w14:paraId="237EF4A2" w14:textId="77777777" w:rsidR="00954431" w:rsidRDefault="00954431" w:rsidP="00954431">
      <w:pPr>
        <w:jc w:val="center"/>
        <w:rPr>
          <w:rFonts w:ascii="Times New Roman" w:hAnsi="Times New Roman" w:cs="Times New Roman"/>
          <w:b/>
          <w:bCs/>
          <w:sz w:val="48"/>
          <w:szCs w:val="48"/>
        </w:rPr>
      </w:pPr>
    </w:p>
    <w:p w14:paraId="587BBBFF" w14:textId="77777777" w:rsidR="00954431" w:rsidRDefault="00954431" w:rsidP="00954431">
      <w:pPr>
        <w:jc w:val="center"/>
        <w:rPr>
          <w:rFonts w:ascii="Times New Roman" w:hAnsi="Times New Roman" w:cs="Times New Roman"/>
          <w:b/>
          <w:bCs/>
          <w:sz w:val="48"/>
          <w:szCs w:val="48"/>
        </w:rPr>
      </w:pPr>
    </w:p>
    <w:p w14:paraId="1DE81AFA" w14:textId="77777777" w:rsidR="00954431" w:rsidRDefault="00954431" w:rsidP="00954431">
      <w:pPr>
        <w:rPr>
          <w:rFonts w:ascii="Times New Roman" w:hAnsi="Times New Roman" w:cs="Times New Roman"/>
          <w:sz w:val="40"/>
          <w:szCs w:val="40"/>
        </w:rPr>
      </w:pPr>
    </w:p>
    <w:p w14:paraId="6C5FAD87" w14:textId="77777777" w:rsidR="00954431" w:rsidRDefault="00954431" w:rsidP="00954431">
      <w:pPr>
        <w:rPr>
          <w:rFonts w:ascii="Times New Roman" w:hAnsi="Times New Roman" w:cs="Times New Roman"/>
          <w:sz w:val="40"/>
          <w:szCs w:val="40"/>
        </w:rPr>
      </w:pPr>
      <w:r>
        <w:rPr>
          <w:rFonts w:ascii="Times New Roman" w:hAnsi="Times New Roman" w:cs="Times New Roman"/>
          <w:sz w:val="40"/>
          <w:szCs w:val="40"/>
        </w:rPr>
        <w:t>Submitted to:                                              Submitted by:</w:t>
      </w:r>
    </w:p>
    <w:p w14:paraId="2D91038A" w14:textId="77777777" w:rsidR="00954431" w:rsidRDefault="00954431" w:rsidP="00954431">
      <w:pPr>
        <w:rPr>
          <w:rFonts w:ascii="Times New Roman" w:hAnsi="Times New Roman" w:cs="Times New Roman"/>
          <w:sz w:val="40"/>
          <w:szCs w:val="40"/>
        </w:rPr>
      </w:pPr>
      <w:r>
        <w:rPr>
          <w:rFonts w:ascii="Times New Roman" w:hAnsi="Times New Roman" w:cs="Times New Roman"/>
          <w:sz w:val="40"/>
          <w:szCs w:val="40"/>
        </w:rPr>
        <w:t>Emad Elkhashen                                  Nadya Zarankova</w:t>
      </w:r>
    </w:p>
    <w:p w14:paraId="75625839" w14:textId="044CBD94" w:rsidR="003B5A30" w:rsidRDefault="00954431" w:rsidP="00954431">
      <w:pPr>
        <w:jc w:val="right"/>
        <w:rPr>
          <w:rFonts w:ascii="Times New Roman" w:hAnsi="Times New Roman" w:cs="Times New Roman"/>
          <w:sz w:val="40"/>
          <w:szCs w:val="40"/>
        </w:rPr>
      </w:pPr>
      <w:r>
        <w:rPr>
          <w:rFonts w:ascii="Times New Roman" w:hAnsi="Times New Roman" w:cs="Times New Roman"/>
          <w:sz w:val="40"/>
          <w:szCs w:val="40"/>
        </w:rPr>
        <w:t>1914056</w:t>
      </w:r>
    </w:p>
    <w:p w14:paraId="0F1195A2" w14:textId="5FA48F44" w:rsidR="005E7CF8" w:rsidRPr="005E7CF8" w:rsidRDefault="00E573F5" w:rsidP="005E7CF8">
      <w:pPr>
        <w:pStyle w:val="Default"/>
        <w:rPr>
          <w:rFonts w:ascii="Times New Roman" w:hAnsi="Times New Roman" w:cs="Times New Roman"/>
          <w:sz w:val="28"/>
          <w:szCs w:val="28"/>
        </w:rPr>
      </w:pPr>
      <w:r>
        <w:rPr>
          <w:rFonts w:ascii="Times New Roman" w:hAnsi="Times New Roman" w:cs="Times New Roman"/>
          <w:sz w:val="40"/>
          <w:szCs w:val="40"/>
        </w:rPr>
        <w:br w:type="page"/>
      </w:r>
      <w:r w:rsidR="005E7CF8">
        <w:lastRenderedPageBreak/>
        <w:t xml:space="preserve"> </w:t>
      </w:r>
      <w:r w:rsidR="005E7CF8" w:rsidRPr="005E7CF8">
        <w:rPr>
          <w:rFonts w:ascii="Times New Roman" w:hAnsi="Times New Roman" w:cs="Times New Roman"/>
          <w:sz w:val="28"/>
          <w:szCs w:val="28"/>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7522C176" w14:textId="4A3FD42C" w:rsidR="005E7CF8" w:rsidRDefault="005E7CF8">
      <w:pPr>
        <w:rPr>
          <w:rFonts w:ascii="Times New Roman" w:hAnsi="Times New Roman" w:cs="Times New Roman"/>
          <w:sz w:val="40"/>
          <w:szCs w:val="40"/>
        </w:rPr>
      </w:pPr>
      <w:r>
        <w:rPr>
          <w:rFonts w:ascii="Times New Roman" w:hAnsi="Times New Roman" w:cs="Times New Roman"/>
          <w:sz w:val="40"/>
          <w:szCs w:val="40"/>
        </w:rPr>
        <w:br w:type="page"/>
      </w:r>
    </w:p>
    <w:p w14:paraId="0DBB71A1" w14:textId="7399D707" w:rsidR="00E573F5" w:rsidRDefault="005E7CF8" w:rsidP="005E7CF8">
      <w:pPr>
        <w:jc w:val="both"/>
        <w:rPr>
          <w:rFonts w:ascii="Times New Roman" w:hAnsi="Times New Roman" w:cs="Times New Roman"/>
          <w:i/>
          <w:iCs/>
          <w:sz w:val="32"/>
          <w:szCs w:val="32"/>
        </w:rPr>
      </w:pPr>
      <w:r w:rsidRPr="001662D7">
        <w:rPr>
          <w:rFonts w:ascii="Times New Roman" w:hAnsi="Times New Roman" w:cs="Times New Roman"/>
          <w:i/>
          <w:iCs/>
          <w:sz w:val="32"/>
          <w:szCs w:val="32"/>
        </w:rPr>
        <w:lastRenderedPageBreak/>
        <w:t>Question 1:</w:t>
      </w:r>
    </w:p>
    <w:tbl>
      <w:tblPr>
        <w:tblStyle w:val="TableGrid"/>
        <w:tblW w:w="9390" w:type="dxa"/>
        <w:tblLook w:val="04A0" w:firstRow="1" w:lastRow="0" w:firstColumn="1" w:lastColumn="0" w:noHBand="0" w:noVBand="1"/>
      </w:tblPr>
      <w:tblGrid>
        <w:gridCol w:w="4695"/>
        <w:gridCol w:w="4695"/>
      </w:tblGrid>
      <w:tr w:rsidR="005E7CF8" w14:paraId="4A492037" w14:textId="77777777" w:rsidTr="005E7CF8">
        <w:trPr>
          <w:trHeight w:val="546"/>
        </w:trPr>
        <w:tc>
          <w:tcPr>
            <w:tcW w:w="4695" w:type="dxa"/>
          </w:tcPr>
          <w:p w14:paraId="2EC333E2" w14:textId="47EA1A71"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Sales price</w:t>
            </w:r>
          </w:p>
        </w:tc>
        <w:tc>
          <w:tcPr>
            <w:tcW w:w="4695" w:type="dxa"/>
          </w:tcPr>
          <w:p w14:paraId="11AA3893" w14:textId="5321A5FF"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5.75</w:t>
            </w:r>
          </w:p>
        </w:tc>
      </w:tr>
      <w:tr w:rsidR="005E7CF8" w14:paraId="46DD2629" w14:textId="77777777" w:rsidTr="005E7CF8">
        <w:trPr>
          <w:trHeight w:val="546"/>
        </w:trPr>
        <w:tc>
          <w:tcPr>
            <w:tcW w:w="4695" w:type="dxa"/>
          </w:tcPr>
          <w:p w14:paraId="7265BC63" w14:textId="64D4F99F"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Variable costs</w:t>
            </w:r>
          </w:p>
        </w:tc>
        <w:tc>
          <w:tcPr>
            <w:tcW w:w="4695" w:type="dxa"/>
          </w:tcPr>
          <w:p w14:paraId="43F91D12" w14:textId="5C61444C" w:rsidR="005E7CF8" w:rsidRPr="005E7CF8" w:rsidRDefault="005E7CF8" w:rsidP="005E7CF8">
            <w:pPr>
              <w:jc w:val="center"/>
              <w:rPr>
                <w:rFonts w:ascii="Times New Roman" w:hAnsi="Times New Roman" w:cs="Times New Roman"/>
                <w:sz w:val="24"/>
                <w:szCs w:val="24"/>
                <w:u w:val="single"/>
              </w:rPr>
            </w:pPr>
            <w:r>
              <w:rPr>
                <w:rFonts w:ascii="Times New Roman" w:hAnsi="Times New Roman" w:cs="Times New Roman"/>
                <w:sz w:val="24"/>
                <w:szCs w:val="24"/>
              </w:rPr>
              <w:t>(</w:t>
            </w:r>
            <w:r>
              <w:rPr>
                <w:rFonts w:ascii="Times New Roman" w:hAnsi="Times New Roman" w:cs="Times New Roman"/>
                <w:sz w:val="24"/>
                <w:szCs w:val="24"/>
                <w:u w:val="single"/>
              </w:rPr>
              <w:t>3.5)</w:t>
            </w:r>
          </w:p>
        </w:tc>
      </w:tr>
      <w:tr w:rsidR="005E7CF8" w14:paraId="7EEB9BE9" w14:textId="77777777" w:rsidTr="005E7CF8">
        <w:trPr>
          <w:trHeight w:val="546"/>
        </w:trPr>
        <w:tc>
          <w:tcPr>
            <w:tcW w:w="4695" w:type="dxa"/>
          </w:tcPr>
          <w:p w14:paraId="2D0DDEF1" w14:textId="4A9521BF"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Contribution</w:t>
            </w:r>
          </w:p>
        </w:tc>
        <w:tc>
          <w:tcPr>
            <w:tcW w:w="4695" w:type="dxa"/>
          </w:tcPr>
          <w:p w14:paraId="082E9A8C" w14:textId="4113982A" w:rsidR="005E7CF8" w:rsidRPr="005E7CF8" w:rsidRDefault="005E7CF8" w:rsidP="005E7CF8">
            <w:pPr>
              <w:jc w:val="center"/>
              <w:rPr>
                <w:rFonts w:ascii="Times New Roman" w:hAnsi="Times New Roman" w:cs="Times New Roman"/>
                <w:sz w:val="24"/>
                <w:szCs w:val="24"/>
                <w:u w:val="double"/>
              </w:rPr>
            </w:pPr>
            <w:r>
              <w:rPr>
                <w:rFonts w:ascii="Times New Roman" w:hAnsi="Times New Roman" w:cs="Times New Roman"/>
                <w:sz w:val="24"/>
                <w:szCs w:val="24"/>
                <w:u w:val="double"/>
              </w:rPr>
              <w:t>2.25</w:t>
            </w:r>
          </w:p>
        </w:tc>
      </w:tr>
    </w:tbl>
    <w:p w14:paraId="6FDB2C50" w14:textId="27C149D8" w:rsidR="005E7CF8" w:rsidRDefault="005E7CF8" w:rsidP="005E7CF8">
      <w:pPr>
        <w:jc w:val="both"/>
        <w:rPr>
          <w:rFonts w:ascii="Times New Roman" w:hAnsi="Times New Roman" w:cs="Times New Roman"/>
          <w:sz w:val="24"/>
          <w:szCs w:val="24"/>
        </w:rPr>
      </w:pPr>
    </w:p>
    <w:p w14:paraId="3D3A9AFE" w14:textId="56048435"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Workings:</w:t>
      </w:r>
    </w:p>
    <w:p w14:paraId="0650C1DF" w14:textId="710D7706"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Variable cost: 1.35+1.75+0.40 = 3.5</w:t>
      </w:r>
    </w:p>
    <w:p w14:paraId="2C9C1E89" w14:textId="3C06F4B3"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a)</w:t>
      </w:r>
    </w:p>
    <w:p w14:paraId="71E655E2" w14:textId="4FF25007"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Break-even point in units:</w:t>
      </w:r>
    </w:p>
    <w:p w14:paraId="1DF50DC3" w14:textId="7A2CEACF"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180,000/2.25 = 80,000</w:t>
      </w:r>
    </w:p>
    <w:p w14:paraId="2839018F" w14:textId="4DA9846B" w:rsidR="005E7CF8" w:rsidRDefault="005E7CF8" w:rsidP="005E7CF8">
      <w:pPr>
        <w:jc w:val="both"/>
        <w:rPr>
          <w:rFonts w:ascii="Times New Roman" w:hAnsi="Times New Roman" w:cs="Times New Roman"/>
          <w:sz w:val="24"/>
          <w:szCs w:val="24"/>
        </w:rPr>
      </w:pPr>
    </w:p>
    <w:p w14:paraId="2F887C49" w14:textId="4140DCE9"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Break-even point in revenue</w:t>
      </w:r>
    </w:p>
    <w:p w14:paraId="7067A072" w14:textId="12EC3824"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180,000/0.0025 = 72,000,000</w:t>
      </w:r>
    </w:p>
    <w:p w14:paraId="0B327C9F" w14:textId="16404798"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Workings:</w:t>
      </w:r>
    </w:p>
    <w:p w14:paraId="3B075F3F" w14:textId="750A4689"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2.25/90,000 x 100 = 0.0025</w:t>
      </w:r>
    </w:p>
    <w:p w14:paraId="2640FDFE" w14:textId="1655823F"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b)</w:t>
      </w:r>
    </w:p>
    <w:tbl>
      <w:tblPr>
        <w:tblStyle w:val="TableGrid"/>
        <w:tblW w:w="9210" w:type="dxa"/>
        <w:tblLook w:val="04A0" w:firstRow="1" w:lastRow="0" w:firstColumn="1" w:lastColumn="0" w:noHBand="0" w:noVBand="1"/>
      </w:tblPr>
      <w:tblGrid>
        <w:gridCol w:w="4605"/>
        <w:gridCol w:w="4605"/>
      </w:tblGrid>
      <w:tr w:rsidR="005E7CF8" w14:paraId="526889E8" w14:textId="77777777" w:rsidTr="005E7CF8">
        <w:trPr>
          <w:trHeight w:val="403"/>
        </w:trPr>
        <w:tc>
          <w:tcPr>
            <w:tcW w:w="4605" w:type="dxa"/>
          </w:tcPr>
          <w:p w14:paraId="4E8524A4" w14:textId="32D00C4A"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Revenue (90,000x5.75)</w:t>
            </w:r>
          </w:p>
        </w:tc>
        <w:tc>
          <w:tcPr>
            <w:tcW w:w="4605" w:type="dxa"/>
          </w:tcPr>
          <w:p w14:paraId="64DB76C7" w14:textId="21BF7A58"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517,500</w:t>
            </w:r>
          </w:p>
        </w:tc>
      </w:tr>
      <w:tr w:rsidR="005E7CF8" w14:paraId="06438DA9" w14:textId="77777777" w:rsidTr="005E7CF8">
        <w:trPr>
          <w:trHeight w:val="403"/>
        </w:trPr>
        <w:tc>
          <w:tcPr>
            <w:tcW w:w="4605" w:type="dxa"/>
          </w:tcPr>
          <w:p w14:paraId="0F7F6C6A" w14:textId="6D945043"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Variable costs (90,000 x 3.5)</w:t>
            </w:r>
          </w:p>
        </w:tc>
        <w:tc>
          <w:tcPr>
            <w:tcW w:w="4605" w:type="dxa"/>
          </w:tcPr>
          <w:p w14:paraId="266EDDE6" w14:textId="47E35540" w:rsidR="005E7CF8" w:rsidRPr="005E7CF8" w:rsidRDefault="005E7CF8" w:rsidP="005E7CF8">
            <w:pPr>
              <w:jc w:val="center"/>
              <w:rPr>
                <w:rFonts w:ascii="Times New Roman" w:hAnsi="Times New Roman" w:cs="Times New Roman"/>
                <w:sz w:val="24"/>
                <w:szCs w:val="24"/>
                <w:u w:val="single"/>
              </w:rPr>
            </w:pPr>
            <w:r w:rsidRPr="005E7CF8">
              <w:rPr>
                <w:rFonts w:ascii="Times New Roman" w:hAnsi="Times New Roman" w:cs="Times New Roman"/>
                <w:sz w:val="24"/>
                <w:szCs w:val="24"/>
                <w:u w:val="single"/>
              </w:rPr>
              <w:t>315,000</w:t>
            </w:r>
          </w:p>
        </w:tc>
      </w:tr>
      <w:tr w:rsidR="005E7CF8" w14:paraId="12AFE51B" w14:textId="77777777" w:rsidTr="005E7CF8">
        <w:trPr>
          <w:trHeight w:val="403"/>
        </w:trPr>
        <w:tc>
          <w:tcPr>
            <w:tcW w:w="4605" w:type="dxa"/>
          </w:tcPr>
          <w:p w14:paraId="689E3C59" w14:textId="703701AF"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Contribution</w:t>
            </w:r>
          </w:p>
        </w:tc>
        <w:tc>
          <w:tcPr>
            <w:tcW w:w="4605" w:type="dxa"/>
          </w:tcPr>
          <w:p w14:paraId="197E05C4" w14:textId="3642B0E1"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202,500</w:t>
            </w:r>
          </w:p>
        </w:tc>
      </w:tr>
      <w:tr w:rsidR="005E7CF8" w14:paraId="2C9091DB" w14:textId="77777777" w:rsidTr="005E7CF8">
        <w:trPr>
          <w:trHeight w:val="403"/>
        </w:trPr>
        <w:tc>
          <w:tcPr>
            <w:tcW w:w="4605" w:type="dxa"/>
          </w:tcPr>
          <w:p w14:paraId="00F4F96E" w14:textId="12737067"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Fixed costs</w:t>
            </w:r>
          </w:p>
        </w:tc>
        <w:tc>
          <w:tcPr>
            <w:tcW w:w="4605" w:type="dxa"/>
          </w:tcPr>
          <w:p w14:paraId="5111A26A" w14:textId="48F14155" w:rsidR="005E7CF8" w:rsidRPr="005E7CF8" w:rsidRDefault="005E7CF8" w:rsidP="005E7CF8">
            <w:pPr>
              <w:jc w:val="center"/>
              <w:rPr>
                <w:rFonts w:ascii="Times New Roman" w:hAnsi="Times New Roman" w:cs="Times New Roman"/>
                <w:sz w:val="24"/>
                <w:szCs w:val="24"/>
                <w:u w:val="single"/>
              </w:rPr>
            </w:pPr>
            <w:r w:rsidRPr="005E7CF8">
              <w:rPr>
                <w:rFonts w:ascii="Times New Roman" w:hAnsi="Times New Roman" w:cs="Times New Roman"/>
                <w:sz w:val="24"/>
                <w:szCs w:val="24"/>
                <w:u w:val="single"/>
              </w:rPr>
              <w:t>180,000</w:t>
            </w:r>
          </w:p>
        </w:tc>
      </w:tr>
      <w:tr w:rsidR="005E7CF8" w14:paraId="64033071" w14:textId="77777777" w:rsidTr="005E7CF8">
        <w:trPr>
          <w:trHeight w:val="403"/>
        </w:trPr>
        <w:tc>
          <w:tcPr>
            <w:tcW w:w="4605" w:type="dxa"/>
          </w:tcPr>
          <w:p w14:paraId="4138393A" w14:textId="05266C09"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Operating profit/(loss)</w:t>
            </w:r>
          </w:p>
        </w:tc>
        <w:tc>
          <w:tcPr>
            <w:tcW w:w="4605" w:type="dxa"/>
          </w:tcPr>
          <w:p w14:paraId="24F84887" w14:textId="6EBE0E66" w:rsidR="005E7CF8" w:rsidRDefault="005E7CF8" w:rsidP="005E7CF8">
            <w:pPr>
              <w:jc w:val="center"/>
              <w:rPr>
                <w:rFonts w:ascii="Times New Roman" w:hAnsi="Times New Roman" w:cs="Times New Roman"/>
                <w:sz w:val="24"/>
                <w:szCs w:val="24"/>
              </w:rPr>
            </w:pPr>
            <w:r>
              <w:rPr>
                <w:rFonts w:ascii="Times New Roman" w:hAnsi="Times New Roman" w:cs="Times New Roman"/>
                <w:sz w:val="24"/>
                <w:szCs w:val="24"/>
              </w:rPr>
              <w:t>22,500</w:t>
            </w:r>
          </w:p>
        </w:tc>
      </w:tr>
    </w:tbl>
    <w:p w14:paraId="69727A9C" w14:textId="674E47B7" w:rsidR="005E7CF8" w:rsidRDefault="005E7CF8" w:rsidP="005E7CF8">
      <w:pPr>
        <w:jc w:val="both"/>
        <w:rPr>
          <w:rFonts w:ascii="Times New Roman" w:hAnsi="Times New Roman" w:cs="Times New Roman"/>
          <w:sz w:val="24"/>
          <w:szCs w:val="24"/>
        </w:rPr>
      </w:pPr>
    </w:p>
    <w:p w14:paraId="4122172A" w14:textId="59361204" w:rsidR="005E7CF8" w:rsidRDefault="005E7CF8" w:rsidP="005E7CF8">
      <w:pPr>
        <w:jc w:val="both"/>
        <w:rPr>
          <w:rFonts w:ascii="Times New Roman" w:hAnsi="Times New Roman" w:cs="Times New Roman"/>
          <w:sz w:val="24"/>
          <w:szCs w:val="24"/>
        </w:rPr>
      </w:pPr>
      <w:r>
        <w:rPr>
          <w:rFonts w:ascii="Times New Roman" w:hAnsi="Times New Roman" w:cs="Times New Roman"/>
          <w:sz w:val="24"/>
          <w:szCs w:val="24"/>
        </w:rPr>
        <w:t>c)</w:t>
      </w:r>
    </w:p>
    <w:tbl>
      <w:tblPr>
        <w:tblStyle w:val="TableGrid"/>
        <w:tblW w:w="9256" w:type="dxa"/>
        <w:tblLook w:val="04A0" w:firstRow="1" w:lastRow="0" w:firstColumn="1" w:lastColumn="0" w:noHBand="0" w:noVBand="1"/>
      </w:tblPr>
      <w:tblGrid>
        <w:gridCol w:w="4628"/>
        <w:gridCol w:w="4628"/>
      </w:tblGrid>
      <w:tr w:rsidR="00526AF1" w14:paraId="1D8C7B7C" w14:textId="77777777" w:rsidTr="00526AF1">
        <w:trPr>
          <w:trHeight w:val="516"/>
        </w:trPr>
        <w:tc>
          <w:tcPr>
            <w:tcW w:w="4628" w:type="dxa"/>
          </w:tcPr>
          <w:p w14:paraId="44237751" w14:textId="7AB0E10B" w:rsidR="00526AF1" w:rsidRDefault="00526AF1" w:rsidP="005E7CF8">
            <w:pPr>
              <w:jc w:val="center"/>
              <w:rPr>
                <w:rFonts w:ascii="Times New Roman" w:hAnsi="Times New Roman" w:cs="Times New Roman"/>
                <w:sz w:val="24"/>
                <w:szCs w:val="24"/>
              </w:rPr>
            </w:pPr>
            <w:r>
              <w:rPr>
                <w:rFonts w:ascii="Times New Roman" w:hAnsi="Times New Roman" w:cs="Times New Roman"/>
                <w:sz w:val="24"/>
                <w:szCs w:val="24"/>
              </w:rPr>
              <w:t>Direct Labour</w:t>
            </w:r>
          </w:p>
        </w:tc>
        <w:tc>
          <w:tcPr>
            <w:tcW w:w="4628" w:type="dxa"/>
          </w:tcPr>
          <w:p w14:paraId="1FA52516" w14:textId="18C813EA" w:rsidR="00526AF1" w:rsidRDefault="00526AF1" w:rsidP="005E7CF8">
            <w:pPr>
              <w:jc w:val="center"/>
              <w:rPr>
                <w:rFonts w:ascii="Times New Roman" w:hAnsi="Times New Roman" w:cs="Times New Roman"/>
                <w:sz w:val="24"/>
                <w:szCs w:val="24"/>
              </w:rPr>
            </w:pPr>
            <w:r>
              <w:rPr>
                <w:rFonts w:ascii="Times New Roman" w:hAnsi="Times New Roman" w:cs="Times New Roman"/>
                <w:sz w:val="24"/>
                <w:szCs w:val="24"/>
              </w:rPr>
              <w:t>1.35+0.05 = 1.40</w:t>
            </w:r>
          </w:p>
        </w:tc>
      </w:tr>
      <w:tr w:rsidR="00526AF1" w14:paraId="59833BC0" w14:textId="77777777" w:rsidTr="00526AF1">
        <w:trPr>
          <w:trHeight w:val="516"/>
        </w:trPr>
        <w:tc>
          <w:tcPr>
            <w:tcW w:w="4628" w:type="dxa"/>
          </w:tcPr>
          <w:p w14:paraId="316A0A42" w14:textId="65556E9F" w:rsidR="00526AF1" w:rsidRDefault="00526AF1" w:rsidP="005E7CF8">
            <w:pPr>
              <w:jc w:val="center"/>
              <w:rPr>
                <w:rFonts w:ascii="Times New Roman" w:hAnsi="Times New Roman" w:cs="Times New Roman"/>
                <w:sz w:val="24"/>
                <w:szCs w:val="24"/>
              </w:rPr>
            </w:pPr>
            <w:r>
              <w:rPr>
                <w:rFonts w:ascii="Times New Roman" w:hAnsi="Times New Roman" w:cs="Times New Roman"/>
                <w:sz w:val="24"/>
                <w:szCs w:val="24"/>
              </w:rPr>
              <w:t>Direct Materials</w:t>
            </w:r>
          </w:p>
        </w:tc>
        <w:tc>
          <w:tcPr>
            <w:tcW w:w="4628" w:type="dxa"/>
          </w:tcPr>
          <w:p w14:paraId="4C184105" w14:textId="67E3838D" w:rsidR="00526AF1" w:rsidRDefault="00526AF1" w:rsidP="005E7CF8">
            <w:pPr>
              <w:jc w:val="center"/>
              <w:rPr>
                <w:rFonts w:ascii="Times New Roman" w:hAnsi="Times New Roman" w:cs="Times New Roman"/>
                <w:sz w:val="24"/>
                <w:szCs w:val="24"/>
              </w:rPr>
            </w:pPr>
            <w:r>
              <w:rPr>
                <w:rFonts w:ascii="Times New Roman" w:hAnsi="Times New Roman" w:cs="Times New Roman"/>
                <w:sz w:val="24"/>
                <w:szCs w:val="24"/>
              </w:rPr>
              <w:t>1.75+0.15 = 1.90</w:t>
            </w:r>
          </w:p>
        </w:tc>
      </w:tr>
      <w:tr w:rsidR="00526AF1" w14:paraId="652DDAAB" w14:textId="77777777" w:rsidTr="00526AF1">
        <w:trPr>
          <w:trHeight w:val="516"/>
        </w:trPr>
        <w:tc>
          <w:tcPr>
            <w:tcW w:w="4628" w:type="dxa"/>
          </w:tcPr>
          <w:p w14:paraId="1A9813E9" w14:textId="2671FBA8" w:rsidR="00526AF1" w:rsidRDefault="00526AF1" w:rsidP="005E7CF8">
            <w:pPr>
              <w:jc w:val="center"/>
              <w:rPr>
                <w:rFonts w:ascii="Times New Roman" w:hAnsi="Times New Roman" w:cs="Times New Roman"/>
                <w:sz w:val="24"/>
                <w:szCs w:val="24"/>
              </w:rPr>
            </w:pPr>
            <w:r>
              <w:rPr>
                <w:rFonts w:ascii="Times New Roman" w:hAnsi="Times New Roman" w:cs="Times New Roman"/>
                <w:sz w:val="24"/>
                <w:szCs w:val="24"/>
              </w:rPr>
              <w:t>Other Direct costs</w:t>
            </w:r>
          </w:p>
        </w:tc>
        <w:tc>
          <w:tcPr>
            <w:tcW w:w="4628" w:type="dxa"/>
          </w:tcPr>
          <w:p w14:paraId="57409F58" w14:textId="026B6450" w:rsidR="00526AF1" w:rsidRDefault="00526AF1" w:rsidP="005E7CF8">
            <w:pPr>
              <w:jc w:val="center"/>
              <w:rPr>
                <w:rFonts w:ascii="Times New Roman" w:hAnsi="Times New Roman" w:cs="Times New Roman"/>
                <w:sz w:val="24"/>
                <w:szCs w:val="24"/>
              </w:rPr>
            </w:pPr>
            <w:r>
              <w:rPr>
                <w:rFonts w:ascii="Times New Roman" w:hAnsi="Times New Roman" w:cs="Times New Roman"/>
                <w:sz w:val="24"/>
                <w:szCs w:val="24"/>
              </w:rPr>
              <w:t>0.40</w:t>
            </w:r>
          </w:p>
        </w:tc>
      </w:tr>
    </w:tbl>
    <w:p w14:paraId="0A5E0F6E" w14:textId="0E1AE06E" w:rsidR="005E7CF8" w:rsidRDefault="005E7CF8" w:rsidP="005E7CF8">
      <w:pPr>
        <w:jc w:val="center"/>
        <w:rPr>
          <w:rFonts w:ascii="Times New Roman" w:hAnsi="Times New Roman" w:cs="Times New Roman"/>
          <w:sz w:val="24"/>
          <w:szCs w:val="24"/>
        </w:rPr>
      </w:pPr>
    </w:p>
    <w:p w14:paraId="38208F70" w14:textId="37DBC330" w:rsidR="00526AF1" w:rsidRDefault="00526AF1" w:rsidP="00526AF1">
      <w:pPr>
        <w:jc w:val="both"/>
        <w:rPr>
          <w:rFonts w:ascii="Times New Roman" w:hAnsi="Times New Roman" w:cs="Times New Roman"/>
          <w:sz w:val="24"/>
          <w:szCs w:val="24"/>
        </w:rPr>
      </w:pPr>
      <w:r>
        <w:rPr>
          <w:rFonts w:ascii="Times New Roman" w:hAnsi="Times New Roman" w:cs="Times New Roman"/>
          <w:sz w:val="24"/>
          <w:szCs w:val="24"/>
        </w:rPr>
        <w:t>90,000 x 5% = 4,500</w:t>
      </w:r>
    </w:p>
    <w:p w14:paraId="58E30A83" w14:textId="06D19D21" w:rsidR="00526AF1" w:rsidRDefault="00526AF1" w:rsidP="00526AF1">
      <w:pPr>
        <w:jc w:val="both"/>
        <w:rPr>
          <w:rFonts w:ascii="Times New Roman" w:hAnsi="Times New Roman" w:cs="Times New Roman"/>
          <w:sz w:val="24"/>
          <w:szCs w:val="24"/>
        </w:rPr>
      </w:pPr>
      <w:r>
        <w:rPr>
          <w:rFonts w:ascii="Times New Roman" w:hAnsi="Times New Roman" w:cs="Times New Roman"/>
          <w:sz w:val="24"/>
          <w:szCs w:val="24"/>
        </w:rPr>
        <w:t>90,000 + 4,500 = 94,500 units (Sales)</w:t>
      </w:r>
    </w:p>
    <w:p w14:paraId="3285AB9E" w14:textId="5DD3D9CF" w:rsidR="00526AF1" w:rsidRDefault="00526AF1" w:rsidP="00526AF1">
      <w:pPr>
        <w:jc w:val="both"/>
        <w:rPr>
          <w:rFonts w:ascii="Times New Roman" w:hAnsi="Times New Roman" w:cs="Times New Roman"/>
          <w:sz w:val="24"/>
          <w:szCs w:val="24"/>
        </w:rPr>
      </w:pPr>
      <w:r>
        <w:rPr>
          <w:rFonts w:ascii="Times New Roman" w:hAnsi="Times New Roman" w:cs="Times New Roman"/>
          <w:sz w:val="24"/>
          <w:szCs w:val="24"/>
        </w:rPr>
        <w:t>Selling price: 5.75+0.25 = £6</w:t>
      </w:r>
    </w:p>
    <w:p w14:paraId="2357BEFB" w14:textId="614D1379" w:rsidR="00526AF1" w:rsidRDefault="00526AF1" w:rsidP="00526AF1">
      <w:pPr>
        <w:jc w:val="both"/>
        <w:rPr>
          <w:rFonts w:ascii="Times New Roman" w:hAnsi="Times New Roman" w:cs="Times New Roman"/>
          <w:sz w:val="24"/>
          <w:szCs w:val="24"/>
        </w:rPr>
      </w:pPr>
      <w:r>
        <w:rPr>
          <w:rFonts w:ascii="Times New Roman" w:hAnsi="Times New Roman" w:cs="Times New Roman"/>
          <w:sz w:val="24"/>
          <w:szCs w:val="24"/>
        </w:rPr>
        <w:lastRenderedPageBreak/>
        <w:t>Variable cost: 1.40+1.90+0.40 = 3.70</w:t>
      </w:r>
    </w:p>
    <w:tbl>
      <w:tblPr>
        <w:tblStyle w:val="TableGrid"/>
        <w:tblW w:w="9346" w:type="dxa"/>
        <w:tblLook w:val="04A0" w:firstRow="1" w:lastRow="0" w:firstColumn="1" w:lastColumn="0" w:noHBand="0" w:noVBand="1"/>
      </w:tblPr>
      <w:tblGrid>
        <w:gridCol w:w="4673"/>
        <w:gridCol w:w="4673"/>
      </w:tblGrid>
      <w:tr w:rsidR="00526AF1" w14:paraId="45DDE5C1" w14:textId="77777777" w:rsidTr="00526AF1">
        <w:trPr>
          <w:trHeight w:val="474"/>
        </w:trPr>
        <w:tc>
          <w:tcPr>
            <w:tcW w:w="4673" w:type="dxa"/>
          </w:tcPr>
          <w:p w14:paraId="43D0AA24" w14:textId="18FCBF94" w:rsidR="00526AF1" w:rsidRDefault="00526AF1" w:rsidP="00526AF1">
            <w:pPr>
              <w:jc w:val="center"/>
              <w:rPr>
                <w:rFonts w:ascii="Times New Roman" w:hAnsi="Times New Roman" w:cs="Times New Roman"/>
                <w:sz w:val="24"/>
                <w:szCs w:val="24"/>
              </w:rPr>
            </w:pPr>
            <w:r>
              <w:rPr>
                <w:rFonts w:ascii="Times New Roman" w:hAnsi="Times New Roman" w:cs="Times New Roman"/>
                <w:sz w:val="24"/>
                <w:szCs w:val="24"/>
              </w:rPr>
              <w:t>Revenue (94,500x6)</w:t>
            </w:r>
          </w:p>
        </w:tc>
        <w:tc>
          <w:tcPr>
            <w:tcW w:w="4673" w:type="dxa"/>
          </w:tcPr>
          <w:p w14:paraId="371BF049" w14:textId="6264DC57" w:rsidR="00526AF1" w:rsidRDefault="00526AF1" w:rsidP="00526AF1">
            <w:pPr>
              <w:jc w:val="center"/>
              <w:rPr>
                <w:rFonts w:ascii="Times New Roman" w:hAnsi="Times New Roman" w:cs="Times New Roman"/>
                <w:sz w:val="24"/>
                <w:szCs w:val="24"/>
              </w:rPr>
            </w:pPr>
            <w:r>
              <w:rPr>
                <w:rFonts w:ascii="Times New Roman" w:hAnsi="Times New Roman" w:cs="Times New Roman"/>
                <w:sz w:val="24"/>
                <w:szCs w:val="24"/>
              </w:rPr>
              <w:t>567,000</w:t>
            </w:r>
          </w:p>
        </w:tc>
      </w:tr>
      <w:tr w:rsidR="00526AF1" w14:paraId="3DF4D7C9" w14:textId="77777777" w:rsidTr="00526AF1">
        <w:trPr>
          <w:trHeight w:val="474"/>
        </w:trPr>
        <w:tc>
          <w:tcPr>
            <w:tcW w:w="4673" w:type="dxa"/>
          </w:tcPr>
          <w:p w14:paraId="6CC3F0A8" w14:textId="0A42E82B" w:rsidR="00526AF1" w:rsidRDefault="00526AF1" w:rsidP="00526AF1">
            <w:pPr>
              <w:jc w:val="center"/>
              <w:rPr>
                <w:rFonts w:ascii="Times New Roman" w:hAnsi="Times New Roman" w:cs="Times New Roman"/>
                <w:sz w:val="24"/>
                <w:szCs w:val="24"/>
              </w:rPr>
            </w:pPr>
            <w:r>
              <w:rPr>
                <w:rFonts w:ascii="Times New Roman" w:hAnsi="Times New Roman" w:cs="Times New Roman"/>
                <w:sz w:val="24"/>
                <w:szCs w:val="24"/>
              </w:rPr>
              <w:t>Variable costs (94,500x3.70)</w:t>
            </w:r>
          </w:p>
        </w:tc>
        <w:tc>
          <w:tcPr>
            <w:tcW w:w="4673" w:type="dxa"/>
          </w:tcPr>
          <w:p w14:paraId="33F44B2D" w14:textId="3B406675" w:rsidR="00526AF1" w:rsidRPr="00526AF1" w:rsidRDefault="00526AF1" w:rsidP="00526AF1">
            <w:pPr>
              <w:jc w:val="center"/>
              <w:rPr>
                <w:rFonts w:ascii="Times New Roman" w:hAnsi="Times New Roman" w:cs="Times New Roman"/>
                <w:sz w:val="24"/>
                <w:szCs w:val="24"/>
                <w:u w:val="single"/>
              </w:rPr>
            </w:pPr>
            <w:r w:rsidRPr="00526AF1">
              <w:rPr>
                <w:rFonts w:ascii="Times New Roman" w:hAnsi="Times New Roman" w:cs="Times New Roman"/>
                <w:sz w:val="24"/>
                <w:szCs w:val="24"/>
                <w:u w:val="single"/>
              </w:rPr>
              <w:t>349,650</w:t>
            </w:r>
          </w:p>
        </w:tc>
      </w:tr>
      <w:tr w:rsidR="00526AF1" w14:paraId="0B05713D" w14:textId="77777777" w:rsidTr="00526AF1">
        <w:trPr>
          <w:trHeight w:val="474"/>
        </w:trPr>
        <w:tc>
          <w:tcPr>
            <w:tcW w:w="4673" w:type="dxa"/>
          </w:tcPr>
          <w:p w14:paraId="75071D12" w14:textId="123AC22E" w:rsidR="00526AF1" w:rsidRDefault="00526AF1" w:rsidP="00526AF1">
            <w:pPr>
              <w:jc w:val="center"/>
              <w:rPr>
                <w:rFonts w:ascii="Times New Roman" w:hAnsi="Times New Roman" w:cs="Times New Roman"/>
                <w:sz w:val="24"/>
                <w:szCs w:val="24"/>
              </w:rPr>
            </w:pPr>
            <w:r>
              <w:rPr>
                <w:rFonts w:ascii="Times New Roman" w:hAnsi="Times New Roman" w:cs="Times New Roman"/>
                <w:sz w:val="24"/>
                <w:szCs w:val="24"/>
              </w:rPr>
              <w:t>Contribution</w:t>
            </w:r>
          </w:p>
        </w:tc>
        <w:tc>
          <w:tcPr>
            <w:tcW w:w="4673" w:type="dxa"/>
          </w:tcPr>
          <w:p w14:paraId="2CF340B0" w14:textId="7DB25079" w:rsidR="00526AF1" w:rsidRDefault="00526AF1" w:rsidP="00526AF1">
            <w:pPr>
              <w:jc w:val="center"/>
              <w:rPr>
                <w:rFonts w:ascii="Times New Roman" w:hAnsi="Times New Roman" w:cs="Times New Roman"/>
                <w:sz w:val="24"/>
                <w:szCs w:val="24"/>
              </w:rPr>
            </w:pPr>
            <w:r>
              <w:rPr>
                <w:rFonts w:ascii="Times New Roman" w:hAnsi="Times New Roman" w:cs="Times New Roman"/>
                <w:sz w:val="24"/>
                <w:szCs w:val="24"/>
              </w:rPr>
              <w:t>217,350</w:t>
            </w:r>
          </w:p>
        </w:tc>
      </w:tr>
      <w:tr w:rsidR="00526AF1" w14:paraId="0F755D73" w14:textId="77777777" w:rsidTr="00526AF1">
        <w:trPr>
          <w:trHeight w:val="474"/>
        </w:trPr>
        <w:tc>
          <w:tcPr>
            <w:tcW w:w="4673" w:type="dxa"/>
          </w:tcPr>
          <w:p w14:paraId="6AD5E7B5" w14:textId="4374582C" w:rsidR="00526AF1" w:rsidRDefault="00526AF1" w:rsidP="00526AF1">
            <w:pPr>
              <w:jc w:val="center"/>
              <w:rPr>
                <w:rFonts w:ascii="Times New Roman" w:hAnsi="Times New Roman" w:cs="Times New Roman"/>
                <w:sz w:val="24"/>
                <w:szCs w:val="24"/>
              </w:rPr>
            </w:pPr>
            <w:r>
              <w:rPr>
                <w:rFonts w:ascii="Times New Roman" w:hAnsi="Times New Roman" w:cs="Times New Roman"/>
                <w:sz w:val="24"/>
                <w:szCs w:val="24"/>
              </w:rPr>
              <w:t>Fixed costs</w:t>
            </w:r>
          </w:p>
        </w:tc>
        <w:tc>
          <w:tcPr>
            <w:tcW w:w="4673" w:type="dxa"/>
          </w:tcPr>
          <w:p w14:paraId="2B26ED96" w14:textId="3E61C4E9" w:rsidR="00526AF1" w:rsidRPr="00526AF1" w:rsidRDefault="00526AF1" w:rsidP="00526AF1">
            <w:pPr>
              <w:jc w:val="center"/>
              <w:rPr>
                <w:rFonts w:ascii="Times New Roman" w:hAnsi="Times New Roman" w:cs="Times New Roman"/>
                <w:sz w:val="24"/>
                <w:szCs w:val="24"/>
                <w:u w:val="single"/>
              </w:rPr>
            </w:pPr>
            <w:r w:rsidRPr="00526AF1">
              <w:rPr>
                <w:rFonts w:ascii="Times New Roman" w:hAnsi="Times New Roman" w:cs="Times New Roman"/>
                <w:sz w:val="24"/>
                <w:szCs w:val="24"/>
                <w:u w:val="single"/>
              </w:rPr>
              <w:t>192,500</w:t>
            </w:r>
          </w:p>
        </w:tc>
      </w:tr>
      <w:tr w:rsidR="00526AF1" w14:paraId="3EBF5B46" w14:textId="77777777" w:rsidTr="00526AF1">
        <w:trPr>
          <w:trHeight w:val="474"/>
        </w:trPr>
        <w:tc>
          <w:tcPr>
            <w:tcW w:w="4673" w:type="dxa"/>
          </w:tcPr>
          <w:p w14:paraId="248EC2F8" w14:textId="790BD978" w:rsidR="00526AF1" w:rsidRDefault="00526AF1" w:rsidP="00526AF1">
            <w:pPr>
              <w:jc w:val="center"/>
              <w:rPr>
                <w:rFonts w:ascii="Times New Roman" w:hAnsi="Times New Roman" w:cs="Times New Roman"/>
                <w:sz w:val="24"/>
                <w:szCs w:val="24"/>
              </w:rPr>
            </w:pPr>
            <w:r>
              <w:rPr>
                <w:rFonts w:ascii="Times New Roman" w:hAnsi="Times New Roman" w:cs="Times New Roman"/>
                <w:sz w:val="24"/>
                <w:szCs w:val="24"/>
              </w:rPr>
              <w:t>Operating profit/(loss)</w:t>
            </w:r>
          </w:p>
        </w:tc>
        <w:tc>
          <w:tcPr>
            <w:tcW w:w="4673" w:type="dxa"/>
          </w:tcPr>
          <w:p w14:paraId="13DA74CB" w14:textId="713FCD82" w:rsidR="00526AF1" w:rsidRDefault="00526AF1" w:rsidP="00526AF1">
            <w:pPr>
              <w:jc w:val="center"/>
              <w:rPr>
                <w:rFonts w:ascii="Times New Roman" w:hAnsi="Times New Roman" w:cs="Times New Roman"/>
                <w:sz w:val="24"/>
                <w:szCs w:val="24"/>
              </w:rPr>
            </w:pPr>
            <w:r>
              <w:rPr>
                <w:rFonts w:ascii="Times New Roman" w:hAnsi="Times New Roman" w:cs="Times New Roman"/>
                <w:sz w:val="24"/>
                <w:szCs w:val="24"/>
              </w:rPr>
              <w:t>24,850</w:t>
            </w:r>
          </w:p>
        </w:tc>
      </w:tr>
    </w:tbl>
    <w:p w14:paraId="64F0F693" w14:textId="4A3A1BFF" w:rsidR="00526AF1" w:rsidRDefault="00526AF1" w:rsidP="00526AF1">
      <w:pPr>
        <w:jc w:val="center"/>
        <w:rPr>
          <w:rFonts w:ascii="Times New Roman" w:hAnsi="Times New Roman" w:cs="Times New Roman"/>
          <w:sz w:val="24"/>
          <w:szCs w:val="24"/>
        </w:rPr>
      </w:pPr>
    </w:p>
    <w:p w14:paraId="3250EF70" w14:textId="34C04A6F" w:rsidR="00526AF1" w:rsidRDefault="00526AF1" w:rsidP="00526AF1">
      <w:pPr>
        <w:jc w:val="both"/>
        <w:rPr>
          <w:rFonts w:ascii="Times New Roman" w:hAnsi="Times New Roman" w:cs="Times New Roman"/>
          <w:sz w:val="24"/>
          <w:szCs w:val="24"/>
        </w:rPr>
      </w:pPr>
      <w:r>
        <w:rPr>
          <w:rFonts w:ascii="Times New Roman" w:hAnsi="Times New Roman" w:cs="Times New Roman"/>
          <w:sz w:val="24"/>
          <w:szCs w:val="24"/>
        </w:rPr>
        <w:t>Workings:</w:t>
      </w:r>
    </w:p>
    <w:p w14:paraId="4FF44B0E" w14:textId="6797B10C" w:rsidR="00526AF1" w:rsidRDefault="00526AF1" w:rsidP="00526AF1">
      <w:pPr>
        <w:jc w:val="both"/>
        <w:rPr>
          <w:rFonts w:ascii="Times New Roman" w:hAnsi="Times New Roman" w:cs="Times New Roman"/>
          <w:sz w:val="24"/>
          <w:szCs w:val="24"/>
        </w:rPr>
      </w:pPr>
      <w:r>
        <w:rPr>
          <w:rFonts w:ascii="Times New Roman" w:hAnsi="Times New Roman" w:cs="Times New Roman"/>
          <w:sz w:val="24"/>
          <w:szCs w:val="24"/>
        </w:rPr>
        <w:t>Fixed costs: 180,000+12,500 = 192,500</w:t>
      </w:r>
    </w:p>
    <w:p w14:paraId="5D685C84" w14:textId="1BBE4B58" w:rsidR="005147EC" w:rsidRDefault="005147EC" w:rsidP="00526AF1">
      <w:pPr>
        <w:jc w:val="both"/>
        <w:rPr>
          <w:rFonts w:ascii="Times New Roman" w:hAnsi="Times New Roman" w:cs="Times New Roman"/>
          <w:sz w:val="24"/>
          <w:szCs w:val="24"/>
        </w:rPr>
      </w:pPr>
      <w:r>
        <w:rPr>
          <w:rFonts w:ascii="Times New Roman" w:hAnsi="Times New Roman" w:cs="Times New Roman"/>
          <w:sz w:val="24"/>
          <w:szCs w:val="24"/>
        </w:rPr>
        <w:t>Contribution: 6 – (1.90+1.40+0.40) = 6 – 3.7 = 2.3</w:t>
      </w:r>
    </w:p>
    <w:p w14:paraId="6E5D3A32" w14:textId="126027FA" w:rsidR="005147EC" w:rsidRDefault="005147EC" w:rsidP="00526AF1">
      <w:pPr>
        <w:jc w:val="both"/>
        <w:rPr>
          <w:rFonts w:ascii="Times New Roman" w:hAnsi="Times New Roman" w:cs="Times New Roman"/>
          <w:sz w:val="24"/>
          <w:szCs w:val="24"/>
        </w:rPr>
      </w:pPr>
      <w:r>
        <w:rPr>
          <w:rFonts w:ascii="Times New Roman" w:hAnsi="Times New Roman" w:cs="Times New Roman"/>
          <w:sz w:val="24"/>
          <w:szCs w:val="24"/>
        </w:rPr>
        <w:t>d)</w:t>
      </w:r>
    </w:p>
    <w:p w14:paraId="77894689" w14:textId="77777777" w:rsidR="001F7DF3" w:rsidRDefault="001F7DF3" w:rsidP="001F7DF3">
      <w:pPr>
        <w:spacing w:after="240" w:line="360" w:lineRule="auto"/>
        <w:jc w:val="both"/>
        <w:rPr>
          <w:noProof/>
          <w:lang w:val="en-US"/>
        </w:rPr>
      </w:pPr>
      <w:r>
        <w:rPr>
          <w:rFonts w:asciiTheme="majorBidi" w:hAnsiTheme="majorBidi" w:cstheme="majorBidi"/>
          <w:szCs w:val="24"/>
          <w:lang w:val="en-US"/>
        </w:rPr>
        <w:t>The breakeven analysis in an effective tool to outline the point at which the business, service, or any new product or existing product will start to make profit. It is the financial costing of how much products or services must be sold in order to start making the profit (Scott, 2019). Although an effective tool, breakeven analysis has few limitations</w:t>
      </w:r>
      <w:r w:rsidRPr="00E55AEC">
        <w:rPr>
          <w:rFonts w:asciiTheme="majorBidi" w:hAnsiTheme="majorBidi" w:cstheme="majorBidi"/>
          <w:szCs w:val="24"/>
          <w:lang w:val="en-US"/>
        </w:rPr>
        <w:t>:</w:t>
      </w:r>
      <w:r w:rsidRPr="00654016">
        <w:rPr>
          <w:noProof/>
          <w:lang w:val="en-US"/>
        </w:rPr>
        <w:t xml:space="preserve"> </w:t>
      </w:r>
    </w:p>
    <w:p w14:paraId="6863E842" w14:textId="77777777" w:rsidR="001F7DF3" w:rsidRPr="00E55AEC" w:rsidRDefault="001F7DF3" w:rsidP="001F7DF3">
      <w:pPr>
        <w:spacing w:after="240" w:line="360" w:lineRule="auto"/>
        <w:jc w:val="center"/>
        <w:rPr>
          <w:rFonts w:asciiTheme="majorBidi" w:hAnsiTheme="majorBidi" w:cstheme="majorBidi"/>
          <w:szCs w:val="24"/>
          <w:lang w:val="en-US"/>
        </w:rPr>
      </w:pPr>
      <w:r>
        <w:rPr>
          <w:noProof/>
          <w:lang w:val="en-US"/>
        </w:rPr>
        <w:drawing>
          <wp:inline distT="0" distB="0" distL="0" distR="0" wp14:anchorId="688D5974" wp14:editId="11ADB4A6">
            <wp:extent cx="3856161" cy="1613449"/>
            <wp:effectExtent l="0" t="0" r="0" b="6350"/>
            <wp:docPr id="10" name="Picture 10" descr="5.4 Limitations of Break-Eve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4 Limitations of Break-Even - YouTube"/>
                    <pic:cNvPicPr>
                      <a:picLocks noChangeAspect="1" noChangeArrowheads="1"/>
                    </pic:cNvPicPr>
                  </pic:nvPicPr>
                  <pic:blipFill rotWithShape="1">
                    <a:blip r:embed="rId6">
                      <a:duotone>
                        <a:prstClr val="black"/>
                        <a:schemeClr val="accent2">
                          <a:tint val="45000"/>
                          <a:satMod val="400000"/>
                        </a:schemeClr>
                      </a:duotone>
                      <a:extLst>
                        <a:ext uri="{28A0092B-C50C-407E-A947-70E740481C1C}">
                          <a14:useLocalDpi xmlns:a14="http://schemas.microsoft.com/office/drawing/2010/main" val="0"/>
                        </a:ext>
                      </a:extLst>
                    </a:blip>
                    <a:srcRect l="6438" t="35962" r="9182" b="16937"/>
                    <a:stretch/>
                  </pic:blipFill>
                  <pic:spPr bwMode="auto">
                    <a:xfrm>
                      <a:off x="0" y="0"/>
                      <a:ext cx="3857898" cy="1614176"/>
                    </a:xfrm>
                    <a:prstGeom prst="rect">
                      <a:avLst/>
                    </a:prstGeom>
                    <a:noFill/>
                    <a:ln>
                      <a:noFill/>
                    </a:ln>
                    <a:extLst>
                      <a:ext uri="{53640926-AAD7-44D8-BBD7-CCE9431645EC}">
                        <a14:shadowObscured xmlns:a14="http://schemas.microsoft.com/office/drawing/2010/main"/>
                      </a:ext>
                    </a:extLst>
                  </pic:spPr>
                </pic:pic>
              </a:graphicData>
            </a:graphic>
          </wp:inline>
        </w:drawing>
      </w:r>
    </w:p>
    <w:p w14:paraId="5BD21ACB" w14:textId="77777777" w:rsidR="001F7DF3" w:rsidRDefault="001F7DF3"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One major limitation is that of assumptions it makes regarding the products being sold. It assumes that entire stock has been sold. To cope up with this limitation, businesses adds a margin of safety to enhance their accuracy of breakeven point.</w:t>
      </w:r>
    </w:p>
    <w:p w14:paraId="265AD063" w14:textId="1541E8D8" w:rsidR="001F7DF3" w:rsidRDefault="001F7DF3"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 xml:space="preserve">Another important limitation is the ignorance of semi variable cost, even though majority of costs are semi variable. Further limitation is that in </w:t>
      </w:r>
      <w:r>
        <w:rPr>
          <w:rFonts w:asciiTheme="majorBidi" w:hAnsiTheme="majorBidi" w:cstheme="majorBidi"/>
          <w:szCs w:val="24"/>
          <w:lang w:val="en-US"/>
        </w:rPr>
        <w:t>break-even</w:t>
      </w:r>
      <w:r>
        <w:rPr>
          <w:rFonts w:asciiTheme="majorBidi" w:hAnsiTheme="majorBidi" w:cstheme="majorBidi"/>
          <w:szCs w:val="24"/>
          <w:lang w:val="en-US"/>
        </w:rPr>
        <w:t xml:space="preserve"> analysis the fixed cost can also change depending on the output level (Curry, 2019)</w:t>
      </w:r>
    </w:p>
    <w:p w14:paraId="0DEA65A2" w14:textId="1C8E6A48" w:rsidR="005147EC" w:rsidRDefault="001F7DF3"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The selling price must be changed in order to cope up with the breakeven point and to sell extra products or services.</w:t>
      </w:r>
    </w:p>
    <w:p w14:paraId="1E900E65" w14:textId="1785020D" w:rsidR="001F7DF3" w:rsidRDefault="001F7DF3" w:rsidP="001F7DF3">
      <w:pPr>
        <w:spacing w:after="240" w:line="360" w:lineRule="auto"/>
        <w:jc w:val="both"/>
        <w:rPr>
          <w:rFonts w:asciiTheme="majorBidi" w:hAnsiTheme="majorBidi" w:cstheme="majorBidi"/>
          <w:szCs w:val="24"/>
          <w:lang w:val="en-US"/>
        </w:rPr>
      </w:pPr>
    </w:p>
    <w:p w14:paraId="64AC5987" w14:textId="1FF871BE" w:rsidR="001F7DF3" w:rsidRDefault="001F7DF3" w:rsidP="001F7DF3">
      <w:pPr>
        <w:jc w:val="both"/>
        <w:rPr>
          <w:rFonts w:ascii="Times New Roman" w:hAnsi="Times New Roman" w:cs="Times New Roman"/>
          <w:i/>
          <w:iCs/>
          <w:sz w:val="32"/>
          <w:szCs w:val="32"/>
        </w:rPr>
      </w:pPr>
      <w:r w:rsidRPr="001662D7">
        <w:rPr>
          <w:rFonts w:ascii="Times New Roman" w:hAnsi="Times New Roman" w:cs="Times New Roman"/>
          <w:i/>
          <w:iCs/>
          <w:sz w:val="32"/>
          <w:szCs w:val="32"/>
        </w:rPr>
        <w:lastRenderedPageBreak/>
        <w:t xml:space="preserve">Question </w:t>
      </w:r>
      <w:r>
        <w:rPr>
          <w:rFonts w:ascii="Times New Roman" w:hAnsi="Times New Roman" w:cs="Times New Roman"/>
          <w:i/>
          <w:iCs/>
          <w:sz w:val="32"/>
          <w:szCs w:val="32"/>
        </w:rPr>
        <w:t>2</w:t>
      </w:r>
      <w:r w:rsidRPr="001662D7">
        <w:rPr>
          <w:rFonts w:ascii="Times New Roman" w:hAnsi="Times New Roman" w:cs="Times New Roman"/>
          <w:i/>
          <w:iCs/>
          <w:sz w:val="32"/>
          <w:szCs w:val="32"/>
        </w:rPr>
        <w:t>:</w:t>
      </w:r>
    </w:p>
    <w:p w14:paraId="19305214" w14:textId="70AD941F" w:rsidR="001F7DF3" w:rsidRDefault="001F7DF3" w:rsidP="001F7DF3">
      <w:pPr>
        <w:jc w:val="both"/>
        <w:rPr>
          <w:rFonts w:ascii="Times New Roman" w:hAnsi="Times New Roman" w:cs="Times New Roman"/>
          <w:sz w:val="24"/>
          <w:szCs w:val="24"/>
        </w:rPr>
      </w:pPr>
      <w:r>
        <w:rPr>
          <w:rFonts w:ascii="Times New Roman" w:hAnsi="Times New Roman" w:cs="Times New Roman"/>
          <w:sz w:val="24"/>
          <w:szCs w:val="24"/>
        </w:rPr>
        <w:t>a)</w:t>
      </w:r>
    </w:p>
    <w:p w14:paraId="7EDD739C" w14:textId="77777777" w:rsidR="001F7DF3" w:rsidRDefault="001F7DF3" w:rsidP="001F7DF3">
      <w:pPr>
        <w:spacing w:line="360" w:lineRule="auto"/>
        <w:jc w:val="both"/>
        <w:rPr>
          <w:rFonts w:asciiTheme="majorBidi" w:hAnsiTheme="majorBidi" w:cstheme="majorBidi"/>
          <w:szCs w:val="24"/>
          <w:lang w:val="en-US"/>
        </w:rPr>
      </w:pPr>
      <w:r>
        <w:rPr>
          <w:rFonts w:asciiTheme="majorBidi" w:hAnsiTheme="majorBidi" w:cstheme="majorBidi"/>
          <w:szCs w:val="24"/>
          <w:lang w:val="en-US"/>
        </w:rPr>
        <w:t>Management accounting takes in view the important strategic business decisions while considering the financials outlined using the financial statements. Both management and financial accounting are required to ensure that business decisions are effectively taken. This is why both the accounting tools are being practiced by the organization both internally and externally (Curry, 2019)</w:t>
      </w:r>
    </w:p>
    <w:p w14:paraId="10A91718" w14:textId="77777777" w:rsidR="001F7DF3" w:rsidRDefault="001F7DF3" w:rsidP="001F7DF3">
      <w:pPr>
        <w:bidi/>
        <w:spacing w:line="360" w:lineRule="auto"/>
        <w:jc w:val="right"/>
        <w:rPr>
          <w:rFonts w:asciiTheme="majorBidi" w:hAnsiTheme="majorBidi" w:cstheme="majorBidi"/>
          <w:szCs w:val="24"/>
          <w:lang w:val="en-US"/>
        </w:rPr>
      </w:pPr>
      <w:r>
        <w:rPr>
          <w:rFonts w:asciiTheme="majorBidi" w:hAnsiTheme="majorBidi" w:cstheme="majorBidi"/>
          <w:szCs w:val="24"/>
          <w:lang w:val="en-US"/>
        </w:rPr>
        <w:t>The financial accounting helps the business to determine its important financials and outline financial stamens of the business, while management accounting makes decisions and forecast the future of business by keeping in view these factors (Zakirova et al., 2020). Financial accounting takes in view previous data, while management accounting takes in view future data and forecast financials based on it. Financial accounting resolves around management of profit and maximization of profit while management accounting revolves around management of business risks and outlining the solutions to certain risks that emerges.</w:t>
      </w:r>
    </w:p>
    <w:p w14:paraId="4E185A1A" w14:textId="6C08DA31" w:rsidR="001F7DF3" w:rsidRPr="001F7DF3" w:rsidRDefault="001F7DF3" w:rsidP="001F7DF3">
      <w:pPr>
        <w:spacing w:line="360" w:lineRule="auto"/>
        <w:jc w:val="both"/>
        <w:rPr>
          <w:rFonts w:asciiTheme="majorBidi" w:hAnsiTheme="majorBidi" w:cstheme="majorBidi"/>
          <w:szCs w:val="24"/>
          <w:lang w:val="en-US"/>
        </w:rPr>
      </w:pPr>
      <w:r>
        <w:rPr>
          <w:rFonts w:asciiTheme="majorBidi" w:hAnsiTheme="majorBidi" w:cstheme="majorBidi"/>
          <w:szCs w:val="24"/>
          <w:lang w:val="en-US"/>
        </w:rPr>
        <w:t>The problem solving aspect coupled with profit maximization aspect of both management accounting and financial accounting, respectively, makes the two tools vitally important for the success and smooth operations of the business.</w:t>
      </w:r>
    </w:p>
    <w:p w14:paraId="41F52C52" w14:textId="1E0BDDBE" w:rsidR="001F7DF3" w:rsidRDefault="001F7DF3" w:rsidP="001F7DF3">
      <w:pPr>
        <w:spacing w:line="360" w:lineRule="auto"/>
        <w:jc w:val="both"/>
        <w:rPr>
          <w:rFonts w:asciiTheme="majorBidi" w:hAnsiTheme="majorBidi" w:cstheme="majorBidi"/>
          <w:szCs w:val="24"/>
          <w:lang w:val="en-US"/>
        </w:rPr>
      </w:pPr>
      <w:r>
        <w:rPr>
          <w:rFonts w:asciiTheme="majorBidi" w:hAnsiTheme="majorBidi" w:cstheme="majorBidi"/>
          <w:szCs w:val="24"/>
          <w:lang w:val="en-US"/>
        </w:rPr>
        <w:t>b)</w:t>
      </w:r>
    </w:p>
    <w:p w14:paraId="61D6A8D0" w14:textId="7FA76A35" w:rsidR="001F7DF3" w:rsidRPr="00E55AEC" w:rsidRDefault="001F7DF3"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 xml:space="preserve">The business is able to undertake key decisions with the help of implementing a number of different tools and techniques. These tools are </w:t>
      </w:r>
      <w:r>
        <w:rPr>
          <w:rFonts w:asciiTheme="majorBidi" w:hAnsiTheme="majorBidi" w:cstheme="majorBidi"/>
          <w:szCs w:val="24"/>
          <w:lang w:val="en-US"/>
        </w:rPr>
        <w:t>implemented</w:t>
      </w:r>
      <w:r>
        <w:rPr>
          <w:rFonts w:asciiTheme="majorBidi" w:hAnsiTheme="majorBidi" w:cstheme="majorBidi"/>
          <w:szCs w:val="24"/>
          <w:lang w:val="en-US"/>
        </w:rPr>
        <w:t xml:space="preserve"> by the business to ensure that it is able to effectively meet its objectives and defined goals. These are a combination of financial tools and techniques (Zakirova et al., 2020). These include:</w:t>
      </w:r>
    </w:p>
    <w:p w14:paraId="0317278E" w14:textId="77777777" w:rsidR="001F7DF3" w:rsidRPr="00E55AEC" w:rsidRDefault="001F7DF3"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 xml:space="preserve">Variance analysis is the comparison of actual versus budgeted sales and other key variables. This helps the business to make key decisions regarding budgeting and other strategic level decisions. </w:t>
      </w:r>
    </w:p>
    <w:p w14:paraId="2A552CF5" w14:textId="77777777" w:rsidR="001F7DF3" w:rsidRPr="00E55AEC" w:rsidRDefault="001F7DF3"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With the help of inventory valuation, the business is able to determine how much inventory is required and how much inventory is currently present within the business. It also takes in view the lead time of the inventory and helps in allocation of resources such tat o resource gets wasted or exhausted (Zakirova et al., 2020)</w:t>
      </w:r>
    </w:p>
    <w:p w14:paraId="4846781F" w14:textId="552ED73B" w:rsidR="001F7DF3" w:rsidRDefault="001F7DF3"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Capital budget takes in view the overall picture of capital that the business has in hand and the required capital that needs to effectively run the business operations</w:t>
      </w:r>
      <w:r w:rsidR="009373CC">
        <w:rPr>
          <w:rFonts w:asciiTheme="majorBidi" w:hAnsiTheme="majorBidi" w:cstheme="majorBidi"/>
          <w:szCs w:val="24"/>
          <w:lang w:val="en-US"/>
        </w:rPr>
        <w:t>.</w:t>
      </w:r>
    </w:p>
    <w:p w14:paraId="0103D066" w14:textId="0A5E83FE" w:rsidR="009373CC" w:rsidRDefault="009373CC" w:rsidP="001F7DF3">
      <w:pPr>
        <w:spacing w:after="240" w:line="360" w:lineRule="auto"/>
        <w:jc w:val="both"/>
        <w:rPr>
          <w:rFonts w:asciiTheme="majorBidi" w:hAnsiTheme="majorBidi" w:cstheme="majorBidi"/>
          <w:szCs w:val="24"/>
          <w:lang w:val="en-US"/>
        </w:rPr>
      </w:pPr>
    </w:p>
    <w:p w14:paraId="66FA5DD2" w14:textId="2DEE2F9F" w:rsidR="009373CC" w:rsidRDefault="009373CC" w:rsidP="001F7DF3">
      <w:pPr>
        <w:spacing w:after="240" w:line="360" w:lineRule="auto"/>
        <w:jc w:val="both"/>
        <w:rPr>
          <w:rFonts w:asciiTheme="majorBidi" w:hAnsiTheme="majorBidi" w:cstheme="majorBidi"/>
          <w:szCs w:val="24"/>
          <w:lang w:val="en-US"/>
        </w:rPr>
      </w:pPr>
    </w:p>
    <w:p w14:paraId="375E14ED" w14:textId="095F236A" w:rsidR="009373CC" w:rsidRDefault="009373CC"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lastRenderedPageBreak/>
        <w:t>References:</w:t>
      </w:r>
    </w:p>
    <w:p w14:paraId="3C483265" w14:textId="5F4BDEE2" w:rsidR="009373CC" w:rsidRDefault="009373CC"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 xml:space="preserve">Curry, A., 2019. Across the great divide: a literature review of management accounting and operates management at the shop floor. </w:t>
      </w:r>
      <w:r>
        <w:rPr>
          <w:rFonts w:asciiTheme="majorBidi" w:hAnsiTheme="majorBidi" w:cstheme="majorBidi"/>
          <w:i/>
          <w:iCs/>
          <w:szCs w:val="24"/>
          <w:lang w:val="en-US"/>
        </w:rPr>
        <w:t>Management Review Quarterly</w:t>
      </w:r>
      <w:r>
        <w:rPr>
          <w:rFonts w:asciiTheme="majorBidi" w:hAnsiTheme="majorBidi" w:cstheme="majorBidi"/>
          <w:szCs w:val="24"/>
          <w:lang w:val="en-US"/>
        </w:rPr>
        <w:t>, 69(1), pp.75-119.</w:t>
      </w:r>
    </w:p>
    <w:p w14:paraId="0FA429A0" w14:textId="3DC235E2" w:rsidR="009373CC" w:rsidRDefault="009373CC"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 xml:space="preserve">Scott, P. (2019) </w:t>
      </w:r>
      <w:r>
        <w:rPr>
          <w:rFonts w:asciiTheme="majorBidi" w:hAnsiTheme="majorBidi" w:cstheme="majorBidi"/>
          <w:i/>
          <w:iCs/>
          <w:szCs w:val="24"/>
          <w:lang w:val="en-US"/>
        </w:rPr>
        <w:t xml:space="preserve">Introduction to Management Accounting, </w:t>
      </w:r>
      <w:r>
        <w:rPr>
          <w:rFonts w:asciiTheme="majorBidi" w:hAnsiTheme="majorBidi" w:cstheme="majorBidi"/>
          <w:szCs w:val="24"/>
          <w:lang w:val="en-US"/>
        </w:rPr>
        <w:t>Oxford University Press, USA.</w:t>
      </w:r>
    </w:p>
    <w:p w14:paraId="5E99E921" w14:textId="1C231812" w:rsidR="009373CC" w:rsidRPr="009373CC" w:rsidRDefault="009373CC" w:rsidP="001F7DF3">
      <w:pPr>
        <w:spacing w:after="240" w:line="360" w:lineRule="auto"/>
        <w:jc w:val="both"/>
        <w:rPr>
          <w:rFonts w:asciiTheme="majorBidi" w:hAnsiTheme="majorBidi" w:cstheme="majorBidi"/>
          <w:szCs w:val="24"/>
          <w:lang w:val="en-US"/>
        </w:rPr>
      </w:pPr>
      <w:r>
        <w:rPr>
          <w:rFonts w:asciiTheme="majorBidi" w:hAnsiTheme="majorBidi" w:cstheme="majorBidi"/>
          <w:szCs w:val="24"/>
          <w:lang w:val="en-US"/>
        </w:rPr>
        <w:t xml:space="preserve">Zakirova, A., Klychova, G., Ostaev, G., Zalilova, Z., and Klychova, A. (2020) “Analytical support of management accounting in managing sustainable development of agricultural organizations” </w:t>
      </w:r>
      <w:r>
        <w:rPr>
          <w:rFonts w:asciiTheme="majorBidi" w:hAnsiTheme="majorBidi" w:cstheme="majorBidi"/>
          <w:i/>
          <w:iCs/>
          <w:szCs w:val="24"/>
          <w:lang w:val="en-US"/>
        </w:rPr>
        <w:t>E3SWC,</w:t>
      </w:r>
      <w:r>
        <w:rPr>
          <w:rFonts w:asciiTheme="majorBidi" w:hAnsiTheme="majorBidi" w:cstheme="majorBidi"/>
          <w:szCs w:val="24"/>
          <w:lang w:val="en-US"/>
        </w:rPr>
        <w:t xml:space="preserve"> 164, p.10008.</w:t>
      </w:r>
    </w:p>
    <w:p w14:paraId="36E1560A" w14:textId="77777777" w:rsidR="00312024" w:rsidRPr="00312024" w:rsidRDefault="00312024" w:rsidP="00E573F5">
      <w:pPr>
        <w:jc w:val="both"/>
        <w:rPr>
          <w:rFonts w:ascii="Times New Roman" w:hAnsi="Times New Roman" w:cs="Times New Roman"/>
          <w:sz w:val="24"/>
          <w:szCs w:val="24"/>
        </w:rPr>
      </w:pPr>
    </w:p>
    <w:p w14:paraId="17E7AEDB" w14:textId="77777777" w:rsidR="003F6E2B" w:rsidRPr="003F6E2B" w:rsidRDefault="003F6E2B" w:rsidP="00E573F5">
      <w:pPr>
        <w:jc w:val="both"/>
        <w:rPr>
          <w:rFonts w:ascii="Times New Roman" w:hAnsi="Times New Roman" w:cs="Times New Roman"/>
          <w:i/>
          <w:iCs/>
          <w:sz w:val="24"/>
          <w:szCs w:val="24"/>
        </w:rPr>
      </w:pPr>
    </w:p>
    <w:sectPr w:rsidR="003F6E2B" w:rsidRPr="003F6E2B" w:rsidSect="00E573F5">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D6CC33" w14:textId="77777777" w:rsidR="00836766" w:rsidRDefault="00836766" w:rsidP="00E573F5">
      <w:pPr>
        <w:spacing w:after="0" w:line="240" w:lineRule="auto"/>
      </w:pPr>
      <w:r>
        <w:separator/>
      </w:r>
    </w:p>
  </w:endnote>
  <w:endnote w:type="continuationSeparator" w:id="0">
    <w:p w14:paraId="3CA78A19" w14:textId="77777777" w:rsidR="00836766" w:rsidRDefault="00836766" w:rsidP="00E57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3342248"/>
      <w:docPartObj>
        <w:docPartGallery w:val="Page Numbers (Bottom of Page)"/>
        <w:docPartUnique/>
      </w:docPartObj>
    </w:sdtPr>
    <w:sdtEndPr>
      <w:rPr>
        <w:noProof/>
      </w:rPr>
    </w:sdtEndPr>
    <w:sdtContent>
      <w:p w14:paraId="64D91D95" w14:textId="5036C3D6" w:rsidR="00E573F5" w:rsidRDefault="00E573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095EFF" w14:textId="77777777" w:rsidR="00E573F5" w:rsidRDefault="00E57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59FB78" w14:textId="77777777" w:rsidR="00836766" w:rsidRDefault="00836766" w:rsidP="00E573F5">
      <w:pPr>
        <w:spacing w:after="0" w:line="240" w:lineRule="auto"/>
      </w:pPr>
      <w:r>
        <w:separator/>
      </w:r>
    </w:p>
  </w:footnote>
  <w:footnote w:type="continuationSeparator" w:id="0">
    <w:p w14:paraId="7D7A0F4F" w14:textId="77777777" w:rsidR="00836766" w:rsidRDefault="00836766" w:rsidP="00E573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177"/>
    <w:rsid w:val="001662D7"/>
    <w:rsid w:val="00174D79"/>
    <w:rsid w:val="001F7DF3"/>
    <w:rsid w:val="0030112C"/>
    <w:rsid w:val="00312024"/>
    <w:rsid w:val="003B5A30"/>
    <w:rsid w:val="003D7622"/>
    <w:rsid w:val="003F6E2B"/>
    <w:rsid w:val="005147EC"/>
    <w:rsid w:val="00526AF1"/>
    <w:rsid w:val="005E7CF8"/>
    <w:rsid w:val="00836766"/>
    <w:rsid w:val="009373CC"/>
    <w:rsid w:val="00954431"/>
    <w:rsid w:val="00DE1177"/>
    <w:rsid w:val="00E57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042D4"/>
  <w15:chartTrackingRefBased/>
  <w15:docId w15:val="{9B141DAF-C2C1-4502-BB63-03462230D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4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7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3F5"/>
  </w:style>
  <w:style w:type="paragraph" w:styleId="Footer">
    <w:name w:val="footer"/>
    <w:basedOn w:val="Normal"/>
    <w:link w:val="FooterChar"/>
    <w:uiPriority w:val="99"/>
    <w:unhideWhenUsed/>
    <w:rsid w:val="00E57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3F5"/>
  </w:style>
  <w:style w:type="paragraph" w:customStyle="1" w:styleId="Default">
    <w:name w:val="Default"/>
    <w:rsid w:val="005E7CF8"/>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5E7C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6</Pages>
  <Words>798</Words>
  <Characters>4550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10</cp:revision>
  <dcterms:created xsi:type="dcterms:W3CDTF">2020-09-06T12:34:00Z</dcterms:created>
  <dcterms:modified xsi:type="dcterms:W3CDTF">2020-09-06T14:27:00Z</dcterms:modified>
</cp:coreProperties>
</file>