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778DA" w14:textId="4FE7CC64" w:rsidR="1266105E" w:rsidRDefault="1266105E" w:rsidP="65B59CB4">
      <w:pPr>
        <w:rPr>
          <w:rFonts w:ascii="Arial" w:eastAsia="Arial" w:hAnsi="Arial" w:cs="Arial"/>
          <w:b/>
          <w:bCs/>
          <w:sz w:val="36"/>
          <w:szCs w:val="36"/>
        </w:rPr>
      </w:pPr>
      <w:r w:rsidRPr="65B59CB4">
        <w:rPr>
          <w:rFonts w:ascii="Arial" w:eastAsia="Arial" w:hAnsi="Arial" w:cs="Arial"/>
          <w:b/>
          <w:bCs/>
          <w:sz w:val="36"/>
          <w:szCs w:val="36"/>
        </w:rPr>
        <w:t>Person-Centered Care and Partnership Working in Health and Social Care: Policy, Practice, Ethics and Future Development</w:t>
      </w:r>
    </w:p>
    <w:p w14:paraId="5224A663" w14:textId="36D5C4F9" w:rsidR="65B59CB4" w:rsidRDefault="65B59CB4" w:rsidP="65B59CB4">
      <w:pPr>
        <w:rPr>
          <w:rFonts w:ascii="Arial" w:eastAsia="Arial" w:hAnsi="Arial" w:cs="Arial"/>
          <w:b/>
          <w:bCs/>
          <w:sz w:val="36"/>
          <w:szCs w:val="36"/>
        </w:rPr>
      </w:pPr>
    </w:p>
    <w:p w14:paraId="698B8574" w14:textId="3752F6AF" w:rsidR="1266105E" w:rsidRDefault="1266105E" w:rsidP="65B59CB4">
      <w:pPr>
        <w:rPr>
          <w:rFonts w:ascii="Arial" w:eastAsia="Arial" w:hAnsi="Arial" w:cs="Arial"/>
          <w:b/>
          <w:bCs/>
          <w:sz w:val="28"/>
          <w:szCs w:val="28"/>
        </w:rPr>
      </w:pPr>
      <w:r w:rsidRPr="65B59CB4">
        <w:rPr>
          <w:rFonts w:ascii="Arial" w:eastAsia="Arial" w:hAnsi="Arial" w:cs="Arial"/>
          <w:b/>
          <w:bCs/>
          <w:sz w:val="28"/>
          <w:szCs w:val="28"/>
        </w:rPr>
        <w:t>Name:</w:t>
      </w:r>
      <w:r w:rsidR="15EE2D8C" w:rsidRPr="65B59CB4">
        <w:rPr>
          <w:rFonts w:ascii="Arial" w:eastAsia="Arial" w:hAnsi="Arial" w:cs="Arial"/>
          <w:b/>
          <w:bCs/>
          <w:sz w:val="28"/>
          <w:szCs w:val="28"/>
        </w:rPr>
        <w:t xml:space="preserve"> </w:t>
      </w:r>
      <w:r w:rsidR="15EE2D8C" w:rsidRPr="65B59CB4">
        <w:rPr>
          <w:rFonts w:ascii="Arial" w:eastAsia="Arial" w:hAnsi="Arial" w:cs="Arial"/>
          <w:sz w:val="28"/>
          <w:szCs w:val="28"/>
        </w:rPr>
        <w:t>Diana Mihaela Briceag</w:t>
      </w:r>
    </w:p>
    <w:p w14:paraId="569346CC" w14:textId="70A88265" w:rsidR="1266105E" w:rsidRPr="0010330C" w:rsidRDefault="1266105E" w:rsidP="65B59CB4">
      <w:pPr>
        <w:rPr>
          <w:rFonts w:ascii="Arial" w:eastAsia="Arial" w:hAnsi="Arial" w:cs="Arial"/>
          <w:sz w:val="28"/>
          <w:szCs w:val="28"/>
        </w:rPr>
      </w:pPr>
      <w:r w:rsidRPr="65B59CB4">
        <w:rPr>
          <w:rFonts w:ascii="Arial" w:eastAsia="Arial" w:hAnsi="Arial" w:cs="Arial"/>
          <w:b/>
          <w:bCs/>
          <w:sz w:val="28"/>
          <w:szCs w:val="28"/>
        </w:rPr>
        <w:t>Student Number:</w:t>
      </w:r>
      <w:r w:rsidR="0010330C">
        <w:rPr>
          <w:rFonts w:ascii="Arial" w:eastAsia="Arial" w:hAnsi="Arial" w:cs="Arial"/>
          <w:b/>
          <w:bCs/>
          <w:sz w:val="28"/>
          <w:szCs w:val="28"/>
        </w:rPr>
        <w:t xml:space="preserve"> </w:t>
      </w:r>
      <w:r w:rsidR="0010330C" w:rsidRPr="0010330C">
        <w:rPr>
          <w:rFonts w:ascii="Arial" w:eastAsia="Arial" w:hAnsi="Arial" w:cs="Arial"/>
          <w:sz w:val="28"/>
          <w:szCs w:val="28"/>
        </w:rPr>
        <w:t>2408209</w:t>
      </w:r>
    </w:p>
    <w:p w14:paraId="0474CAC0" w14:textId="1E8694A7" w:rsidR="1266105E" w:rsidRDefault="1266105E" w:rsidP="65B59CB4">
      <w:pPr>
        <w:rPr>
          <w:rFonts w:ascii="Arial" w:eastAsia="Arial" w:hAnsi="Arial" w:cs="Arial"/>
          <w:b/>
          <w:bCs/>
          <w:sz w:val="28"/>
          <w:szCs w:val="28"/>
        </w:rPr>
      </w:pPr>
      <w:r w:rsidRPr="65B59CB4">
        <w:rPr>
          <w:rFonts w:ascii="Arial" w:eastAsia="Arial" w:hAnsi="Arial" w:cs="Arial"/>
          <w:b/>
          <w:bCs/>
          <w:sz w:val="28"/>
          <w:szCs w:val="28"/>
        </w:rPr>
        <w:t>Lecturer</w:t>
      </w:r>
      <w:r w:rsidR="0010330C">
        <w:rPr>
          <w:rFonts w:ascii="Arial" w:eastAsia="Arial" w:hAnsi="Arial" w:cs="Arial"/>
          <w:b/>
          <w:bCs/>
          <w:sz w:val="28"/>
          <w:szCs w:val="28"/>
        </w:rPr>
        <w:t xml:space="preserve">: </w:t>
      </w:r>
      <w:r w:rsidR="0010330C" w:rsidRPr="0010330C">
        <w:rPr>
          <w:rFonts w:ascii="Arial" w:eastAsia="Arial" w:hAnsi="Arial" w:cs="Arial"/>
          <w:sz w:val="28"/>
          <w:szCs w:val="28"/>
        </w:rPr>
        <w:t>Junaid Shaikh</w:t>
      </w:r>
      <w:r w:rsidR="0010330C" w:rsidRPr="0010330C">
        <w:rPr>
          <w:rFonts w:ascii="Arial" w:eastAsia="Arial" w:hAnsi="Arial" w:cs="Arial"/>
          <w:b/>
          <w:bCs/>
          <w:sz w:val="28"/>
          <w:szCs w:val="28"/>
        </w:rPr>
        <w:tab/>
      </w:r>
    </w:p>
    <w:p w14:paraId="6DD01144" w14:textId="601FC4FD" w:rsidR="1266105E" w:rsidRDefault="1266105E" w:rsidP="65B59CB4">
      <w:pPr>
        <w:rPr>
          <w:rFonts w:ascii="Arial" w:eastAsia="Arial" w:hAnsi="Arial" w:cs="Arial"/>
          <w:sz w:val="28"/>
          <w:szCs w:val="28"/>
        </w:rPr>
      </w:pPr>
      <w:r w:rsidRPr="65B59CB4">
        <w:rPr>
          <w:rFonts w:ascii="Arial" w:eastAsia="Arial" w:hAnsi="Arial" w:cs="Arial"/>
          <w:b/>
          <w:bCs/>
          <w:sz w:val="28"/>
          <w:szCs w:val="28"/>
        </w:rPr>
        <w:t>Module Code</w:t>
      </w:r>
      <w:r w:rsidR="4B23CEE9" w:rsidRPr="65B59CB4">
        <w:rPr>
          <w:rFonts w:ascii="Arial" w:eastAsia="Arial" w:hAnsi="Arial" w:cs="Arial"/>
          <w:b/>
          <w:bCs/>
          <w:sz w:val="28"/>
          <w:szCs w:val="28"/>
        </w:rPr>
        <w:t>:</w:t>
      </w:r>
      <w:r w:rsidR="4ACD2997" w:rsidRPr="65B59CB4">
        <w:rPr>
          <w:rFonts w:ascii="Arial" w:eastAsia="Arial" w:hAnsi="Arial" w:cs="Arial"/>
          <w:b/>
          <w:bCs/>
          <w:sz w:val="28"/>
          <w:szCs w:val="28"/>
        </w:rPr>
        <w:t xml:space="preserve"> </w:t>
      </w:r>
      <w:r w:rsidR="4ACD2997" w:rsidRPr="65B59CB4">
        <w:rPr>
          <w:rFonts w:ascii="Arial" w:eastAsia="Arial" w:hAnsi="Arial" w:cs="Arial"/>
          <w:sz w:val="28"/>
          <w:szCs w:val="28"/>
        </w:rPr>
        <w:t>BMHP5016</w:t>
      </w:r>
    </w:p>
    <w:p w14:paraId="7C102114" w14:textId="77777777" w:rsidR="0010330C" w:rsidRPr="0010330C" w:rsidRDefault="0010330C" w:rsidP="0010330C">
      <w:pPr>
        <w:rPr>
          <w:rFonts w:ascii="Arial" w:eastAsia="Arial" w:hAnsi="Arial" w:cs="Arial"/>
          <w:b/>
          <w:bCs/>
          <w:sz w:val="28"/>
          <w:szCs w:val="28"/>
        </w:rPr>
      </w:pPr>
      <w:r>
        <w:rPr>
          <w:rFonts w:ascii="Arial" w:eastAsia="Arial" w:hAnsi="Arial" w:cs="Arial"/>
          <w:b/>
          <w:bCs/>
          <w:sz w:val="28"/>
          <w:szCs w:val="28"/>
        </w:rPr>
        <w:t xml:space="preserve">Module: </w:t>
      </w:r>
      <w:r w:rsidRPr="0010330C">
        <w:rPr>
          <w:rFonts w:ascii="Arial" w:eastAsia="Arial" w:hAnsi="Arial" w:cs="Arial"/>
          <w:sz w:val="28"/>
          <w:szCs w:val="28"/>
        </w:rPr>
        <w:t>Principles of Health and Social Care Practice</w:t>
      </w:r>
    </w:p>
    <w:p w14:paraId="15757BD6" w14:textId="11D1E757" w:rsidR="65B59CB4" w:rsidRDefault="65B59CB4" w:rsidP="65B59CB4">
      <w:pPr>
        <w:rPr>
          <w:rFonts w:ascii="Arial" w:eastAsia="Arial" w:hAnsi="Arial" w:cs="Arial"/>
          <w:b/>
          <w:bCs/>
          <w:sz w:val="28"/>
          <w:szCs w:val="28"/>
        </w:rPr>
      </w:pPr>
    </w:p>
    <w:p w14:paraId="2A58F95A" w14:textId="51FABCCF" w:rsidR="65B59CB4" w:rsidRDefault="65B59CB4" w:rsidP="65B59CB4">
      <w:pPr>
        <w:rPr>
          <w:rFonts w:ascii="Arial" w:eastAsia="Arial" w:hAnsi="Arial" w:cs="Arial"/>
          <w:b/>
          <w:bCs/>
          <w:sz w:val="28"/>
          <w:szCs w:val="28"/>
        </w:rPr>
      </w:pPr>
    </w:p>
    <w:p w14:paraId="4CD9CF27" w14:textId="5C6FF0E5" w:rsidR="65B59CB4" w:rsidRDefault="65B59CB4" w:rsidP="65B59CB4">
      <w:pPr>
        <w:rPr>
          <w:rFonts w:ascii="Arial" w:eastAsia="Arial" w:hAnsi="Arial" w:cs="Arial"/>
          <w:b/>
          <w:bCs/>
          <w:sz w:val="28"/>
          <w:szCs w:val="28"/>
        </w:rPr>
      </w:pPr>
    </w:p>
    <w:p w14:paraId="10090AD9" w14:textId="0EA6CD4E" w:rsidR="65B59CB4" w:rsidRDefault="65B59CB4" w:rsidP="65B59CB4">
      <w:pPr>
        <w:rPr>
          <w:rFonts w:ascii="Arial" w:eastAsia="Arial" w:hAnsi="Arial" w:cs="Arial"/>
          <w:b/>
          <w:bCs/>
          <w:sz w:val="28"/>
          <w:szCs w:val="28"/>
        </w:rPr>
      </w:pPr>
    </w:p>
    <w:p w14:paraId="4C612A47" w14:textId="6D8310F1" w:rsidR="65B59CB4" w:rsidRDefault="65B59CB4" w:rsidP="65B59CB4">
      <w:pPr>
        <w:rPr>
          <w:rFonts w:ascii="Arial" w:eastAsia="Arial" w:hAnsi="Arial" w:cs="Arial"/>
          <w:b/>
          <w:bCs/>
          <w:sz w:val="28"/>
          <w:szCs w:val="28"/>
        </w:rPr>
      </w:pPr>
    </w:p>
    <w:p w14:paraId="4B323B6F" w14:textId="5E3762CB" w:rsidR="65B59CB4" w:rsidRDefault="65B59CB4" w:rsidP="65B59CB4">
      <w:pPr>
        <w:rPr>
          <w:rFonts w:ascii="Arial" w:eastAsia="Arial" w:hAnsi="Arial" w:cs="Arial"/>
          <w:b/>
          <w:bCs/>
          <w:sz w:val="28"/>
          <w:szCs w:val="28"/>
        </w:rPr>
      </w:pPr>
    </w:p>
    <w:p w14:paraId="03D6D9EB" w14:textId="16EBF839" w:rsidR="65B59CB4" w:rsidRDefault="65B59CB4" w:rsidP="65B59CB4">
      <w:pPr>
        <w:rPr>
          <w:rFonts w:ascii="Arial" w:eastAsia="Arial" w:hAnsi="Arial" w:cs="Arial"/>
          <w:b/>
          <w:bCs/>
          <w:sz w:val="28"/>
          <w:szCs w:val="28"/>
        </w:rPr>
      </w:pPr>
    </w:p>
    <w:p w14:paraId="6311A93D" w14:textId="791998CA" w:rsidR="65B59CB4" w:rsidRDefault="65B59CB4" w:rsidP="65B59CB4">
      <w:pPr>
        <w:rPr>
          <w:rFonts w:ascii="Arial" w:eastAsia="Arial" w:hAnsi="Arial" w:cs="Arial"/>
          <w:b/>
          <w:bCs/>
          <w:sz w:val="28"/>
          <w:szCs w:val="28"/>
        </w:rPr>
      </w:pPr>
    </w:p>
    <w:p w14:paraId="5A0D950A" w14:textId="15D53727" w:rsidR="65B59CB4" w:rsidRDefault="65B59CB4" w:rsidP="65B59CB4">
      <w:pPr>
        <w:rPr>
          <w:rFonts w:ascii="Arial" w:eastAsia="Arial" w:hAnsi="Arial" w:cs="Arial"/>
          <w:b/>
          <w:bCs/>
          <w:sz w:val="28"/>
          <w:szCs w:val="28"/>
        </w:rPr>
      </w:pPr>
    </w:p>
    <w:p w14:paraId="7E0D5D17" w14:textId="7F14B5F7" w:rsidR="65B59CB4" w:rsidRDefault="65B59CB4" w:rsidP="65B59CB4">
      <w:pPr>
        <w:rPr>
          <w:rFonts w:ascii="Arial" w:eastAsia="Arial" w:hAnsi="Arial" w:cs="Arial"/>
          <w:b/>
          <w:bCs/>
          <w:sz w:val="28"/>
          <w:szCs w:val="28"/>
        </w:rPr>
      </w:pPr>
    </w:p>
    <w:p w14:paraId="4A002AFF" w14:textId="5C0265A7" w:rsidR="65B59CB4" w:rsidRDefault="65B59CB4" w:rsidP="65B59CB4">
      <w:pPr>
        <w:rPr>
          <w:rFonts w:ascii="Arial" w:eastAsia="Arial" w:hAnsi="Arial" w:cs="Arial"/>
          <w:b/>
          <w:bCs/>
          <w:sz w:val="28"/>
          <w:szCs w:val="28"/>
        </w:rPr>
      </w:pPr>
    </w:p>
    <w:p w14:paraId="5431DB3D" w14:textId="74B81731" w:rsidR="65B59CB4" w:rsidRDefault="65B59CB4" w:rsidP="65B59CB4">
      <w:pPr>
        <w:rPr>
          <w:rFonts w:ascii="Arial" w:eastAsia="Arial" w:hAnsi="Arial" w:cs="Arial"/>
          <w:b/>
          <w:bCs/>
          <w:sz w:val="28"/>
          <w:szCs w:val="28"/>
        </w:rPr>
      </w:pPr>
    </w:p>
    <w:p w14:paraId="5255599C" w14:textId="1D2C4C0D" w:rsidR="65B59CB4" w:rsidRDefault="65B59CB4" w:rsidP="65B59CB4">
      <w:pPr>
        <w:rPr>
          <w:rFonts w:ascii="Arial" w:eastAsia="Arial" w:hAnsi="Arial" w:cs="Arial"/>
          <w:b/>
          <w:bCs/>
          <w:sz w:val="28"/>
          <w:szCs w:val="28"/>
        </w:rPr>
      </w:pPr>
    </w:p>
    <w:p w14:paraId="5C73E4AC" w14:textId="717B0093" w:rsidR="65B59CB4" w:rsidRDefault="65B59CB4" w:rsidP="65B59CB4">
      <w:pPr>
        <w:rPr>
          <w:rFonts w:ascii="Arial" w:eastAsia="Arial" w:hAnsi="Arial" w:cs="Arial"/>
          <w:b/>
          <w:bCs/>
          <w:sz w:val="28"/>
          <w:szCs w:val="28"/>
        </w:rPr>
      </w:pPr>
    </w:p>
    <w:p w14:paraId="2D370041" w14:textId="75020DBE" w:rsidR="65B59CB4" w:rsidRDefault="65B59CB4" w:rsidP="65B59CB4">
      <w:pPr>
        <w:rPr>
          <w:rFonts w:ascii="Arial" w:eastAsia="Arial" w:hAnsi="Arial" w:cs="Arial"/>
          <w:b/>
          <w:bCs/>
          <w:sz w:val="28"/>
          <w:szCs w:val="28"/>
        </w:rPr>
      </w:pPr>
    </w:p>
    <w:p w14:paraId="65FC3290" w14:textId="7921B263" w:rsidR="65B59CB4" w:rsidRDefault="65B59CB4" w:rsidP="65B59CB4">
      <w:pPr>
        <w:rPr>
          <w:rFonts w:ascii="Arial" w:eastAsia="Arial" w:hAnsi="Arial" w:cs="Arial"/>
          <w:b/>
          <w:bCs/>
          <w:sz w:val="28"/>
          <w:szCs w:val="28"/>
        </w:rPr>
      </w:pPr>
    </w:p>
    <w:p w14:paraId="000D7199" w14:textId="5E045634" w:rsidR="65B59CB4" w:rsidRDefault="65B59CB4" w:rsidP="65B59CB4">
      <w:pPr>
        <w:rPr>
          <w:rFonts w:ascii="Arial" w:eastAsia="Arial" w:hAnsi="Arial" w:cs="Arial"/>
          <w:b/>
          <w:bCs/>
          <w:sz w:val="28"/>
          <w:szCs w:val="28"/>
        </w:rPr>
      </w:pPr>
    </w:p>
    <w:p w14:paraId="02A18137" w14:textId="1EE12C2C"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lastRenderedPageBreak/>
        <w:t>Introduction</w:t>
      </w:r>
    </w:p>
    <w:p w14:paraId="062A7AB4" w14:textId="4312F1F7"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 xml:space="preserve">Contemporary health and social care in the United Kingdom </w:t>
      </w:r>
      <w:proofErr w:type="gramStart"/>
      <w:r w:rsidR="50FB6DDE" w:rsidRPr="65B59CB4">
        <w:rPr>
          <w:rFonts w:ascii="Arial Nova" w:eastAsia="Arial Nova" w:hAnsi="Arial Nova" w:cs="Arial Nova"/>
          <w:sz w:val="22"/>
          <w:szCs w:val="22"/>
        </w:rPr>
        <w:t>is</w:t>
      </w:r>
      <w:proofErr w:type="gramEnd"/>
      <w:r w:rsidR="50FB6DDE"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being transformed by renewed focus on person-centered care and partnership working as foundational pillars contributing to improved practice, efficiency</w:t>
      </w:r>
      <w:r w:rsidR="3EBEEFD9"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patient experience</w:t>
      </w:r>
      <w:r w:rsidR="182E78EE" w:rsidRPr="65B59CB4">
        <w:rPr>
          <w:rFonts w:ascii="Arial Nova" w:eastAsia="Arial Nova" w:hAnsi="Arial Nova" w:cs="Arial Nova"/>
          <w:sz w:val="22"/>
          <w:szCs w:val="22"/>
        </w:rPr>
        <w:t>.</w:t>
      </w:r>
      <w:r w:rsidRPr="65B59CB4">
        <w:rPr>
          <w:rFonts w:ascii="Arial Nova" w:eastAsia="Arial Nova" w:hAnsi="Arial Nova" w:cs="Arial Nova"/>
          <w:sz w:val="22"/>
          <w:szCs w:val="22"/>
        </w:rPr>
        <w:t xml:space="preserve"> The person-centered approach moves beyond simply treating medical symptoms</w:t>
      </w:r>
      <w:r w:rsidR="613E1A37"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placing emphasis on recogni</w:t>
      </w:r>
      <w:r w:rsidR="3085C44B" w:rsidRPr="65B59CB4">
        <w:rPr>
          <w:rFonts w:ascii="Arial Nova" w:eastAsia="Arial Nova" w:hAnsi="Arial Nova" w:cs="Arial Nova"/>
          <w:sz w:val="22"/>
          <w:szCs w:val="22"/>
        </w:rPr>
        <w:t>s</w:t>
      </w:r>
      <w:r w:rsidRPr="65B59CB4">
        <w:rPr>
          <w:rFonts w:ascii="Arial Nova" w:eastAsia="Arial Nova" w:hAnsi="Arial Nova" w:cs="Arial Nova"/>
          <w:sz w:val="22"/>
          <w:szCs w:val="22"/>
        </w:rPr>
        <w:t>ing and affirming a patient’s personal history, aspirations, needs</w:t>
      </w:r>
      <w:r w:rsidR="36BE39B5"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voice in decision-making. This challenges traditional clinician-led models and encourages services to adapt flexibly, supporting better alignment between what services deliver and what individuals value.</w:t>
      </w:r>
      <w:r w:rsidR="4253F28C" w:rsidRPr="65B59CB4">
        <w:rPr>
          <w:rFonts w:ascii="Arial Nova" w:eastAsia="Arial Nova" w:hAnsi="Arial Nova" w:cs="Arial Nova"/>
          <w:sz w:val="22"/>
          <w:szCs w:val="22"/>
        </w:rPr>
        <w:t xml:space="preserve"> (Coulter, 2016; Glasby, 2011)</w:t>
      </w:r>
    </w:p>
    <w:p w14:paraId="47ADE5BD" w14:textId="36B0D5F7"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Partnership working complements this shift and is steadily gaining prominence as a strategic response to growing complexity in population health needs. By uniting the efforts of multidisciplinary teams, statutory organi</w:t>
      </w:r>
      <w:r w:rsidR="1666B512" w:rsidRPr="65B59CB4">
        <w:rPr>
          <w:rFonts w:ascii="Arial Nova" w:eastAsia="Arial Nova" w:hAnsi="Arial Nova" w:cs="Arial Nova"/>
          <w:sz w:val="22"/>
          <w:szCs w:val="22"/>
        </w:rPr>
        <w:t>s</w:t>
      </w:r>
      <w:r w:rsidRPr="65B59CB4">
        <w:rPr>
          <w:rFonts w:ascii="Arial Nova" w:eastAsia="Arial Nova" w:hAnsi="Arial Nova" w:cs="Arial Nova"/>
          <w:sz w:val="22"/>
          <w:szCs w:val="22"/>
        </w:rPr>
        <w:t>ations, voluntary groups</w:t>
      </w:r>
      <w:r w:rsidR="785DCF7B"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service users and communities themselves, partnership working breaks down previous boundaries. As a result, services can now offer more holistic, coordinated responses to health and social challenges (Glasby, 2011; Williams &amp; Boyle, 2019).</w:t>
      </w:r>
    </w:p>
    <w:p w14:paraId="0DA50142" w14:textId="4B7D7E9A"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Despite broad consensus on these approaches at the policy level, implementing them in everyday care remains challenging. Many organi</w:t>
      </w:r>
      <w:r w:rsidR="4CB97372" w:rsidRPr="65B59CB4">
        <w:rPr>
          <w:rFonts w:ascii="Arial Nova" w:eastAsia="Arial Nova" w:hAnsi="Arial Nova" w:cs="Arial Nova"/>
          <w:sz w:val="22"/>
          <w:szCs w:val="22"/>
        </w:rPr>
        <w:t>s</w:t>
      </w:r>
      <w:r w:rsidRPr="65B59CB4">
        <w:rPr>
          <w:rFonts w:ascii="Arial Nova" w:eastAsia="Arial Nova" w:hAnsi="Arial Nova" w:cs="Arial Nova"/>
          <w:sz w:val="22"/>
          <w:szCs w:val="22"/>
        </w:rPr>
        <w:t>ations face significant workforce shortages, financial constraints, information silos</w:t>
      </w:r>
      <w:r w:rsidR="579179BE"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inconsistent leadership</w:t>
      </w:r>
      <w:r w:rsidR="18374C8F"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all of which complicate the move from policy rhetoric to practical reality (Coulter, 2016; Håkansson Eklund et al., 2022). Against this backdrop, this report critically examines person-centered care</w:t>
      </w:r>
      <w:r w:rsidR="1BF22EB8"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including its proven benefits, key barriers</w:t>
      </w:r>
      <w:r w:rsidR="3AF6785F"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 xml:space="preserve">and areas requiring cultural change. It also explores Alderfer’s ERG theory as a lens for understanding staff motivation, reviews the ethical underpinnings of modern health and social care, provides a practical case study of Primary Care Networks (PCNs), assesses the policy </w:t>
      </w:r>
      <w:r w:rsidR="1E0F4371" w:rsidRPr="65B59CB4">
        <w:rPr>
          <w:rFonts w:ascii="Arial Nova" w:eastAsia="Arial Nova" w:hAnsi="Arial Nova" w:cs="Arial Nova"/>
          <w:sz w:val="22"/>
          <w:szCs w:val="22"/>
        </w:rPr>
        <w:t>landscape and</w:t>
      </w:r>
      <w:r w:rsidRPr="65B59CB4">
        <w:rPr>
          <w:rFonts w:ascii="Arial Nova" w:eastAsia="Arial Nova" w:hAnsi="Arial Nova" w:cs="Arial Nova"/>
          <w:sz w:val="22"/>
          <w:szCs w:val="22"/>
        </w:rPr>
        <w:t xml:space="preserve"> presents forward-thinking recommendations for enduring improvement.</w:t>
      </w:r>
    </w:p>
    <w:p w14:paraId="7162A098" w14:textId="6EE038A6" w:rsidR="65B59CB4" w:rsidRDefault="65B59CB4" w:rsidP="65B59CB4">
      <w:pPr>
        <w:pStyle w:val="Heading2"/>
        <w:spacing w:before="240" w:after="120" w:line="360" w:lineRule="auto"/>
        <w:jc w:val="both"/>
        <w:rPr>
          <w:rFonts w:ascii="Arial Nova" w:eastAsia="Arial Nova" w:hAnsi="Arial Nova" w:cs="Arial Nova"/>
          <w:b/>
          <w:bCs/>
          <w:color w:val="auto"/>
          <w:sz w:val="28"/>
          <w:szCs w:val="28"/>
        </w:rPr>
      </w:pPr>
    </w:p>
    <w:p w14:paraId="3D145511" w14:textId="6FE0EAAD"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Person-Centered Care: Definition, Benefits and Limitations</w:t>
      </w:r>
    </w:p>
    <w:p w14:paraId="1B555B5A" w14:textId="4E6DCF91"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Person-centered care is a paradigm shift in care philosophy</w:t>
      </w:r>
      <w:r w:rsidR="04FAF360"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inviting individuals to participate as partners in their treatment and daily support (Grover, 2022; Skills for Health, 2025). It means truly integrating a person’s identity, values</w:t>
      </w:r>
      <w:r w:rsidR="1B936093"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preferences into decision-making, resulting in service responses that are flexible, responsive</w:t>
      </w:r>
      <w:r w:rsidR="1FFCF8B1"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 xml:space="preserve">and meaningful (Coulter, 2016). Rather than </w:t>
      </w:r>
      <w:r w:rsidRPr="65B59CB4">
        <w:rPr>
          <w:rFonts w:ascii="Arial Nova" w:eastAsia="Arial Nova" w:hAnsi="Arial Nova" w:cs="Arial Nova"/>
          <w:sz w:val="22"/>
          <w:szCs w:val="22"/>
        </w:rPr>
        <w:lastRenderedPageBreak/>
        <w:t>seeing care as something “done to” an individual, person-centered care is a collaborative process “done with” and “for” the person, creating shared responsibility for outcomes.</w:t>
      </w:r>
    </w:p>
    <w:p w14:paraId="7730FCD2" w14:textId="6187A333"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The impact is compelling. Reviews and real-world evidence show improvements in patient health and wellbeing, increased confidence and self-efficacy</w:t>
      </w:r>
      <w:r w:rsidR="4A8E6114"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demonstrable reductions in unnecessary hospital admissions or duplicative activity (BMJ Open, 2021; Health Innovation Network, 2022). Staff working within person-centered frameworks also report more rewarding professional experiences and stronger relationships with both colleagues and service users (</w:t>
      </w:r>
      <w:proofErr w:type="gramStart"/>
      <w:r w:rsidRPr="65B59CB4">
        <w:rPr>
          <w:rFonts w:ascii="Arial Nova" w:eastAsia="Arial Nova" w:hAnsi="Arial Nova" w:cs="Arial Nova"/>
          <w:sz w:val="22"/>
          <w:szCs w:val="22"/>
        </w:rPr>
        <w:t>Bezgin</w:t>
      </w:r>
      <w:r w:rsidR="3C093440"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 xml:space="preserve"> 2023</w:t>
      </w:r>
      <w:proofErr w:type="gramEnd"/>
      <w:r w:rsidRPr="65B59CB4">
        <w:rPr>
          <w:rFonts w:ascii="Arial Nova" w:eastAsia="Arial Nova" w:hAnsi="Arial Nova" w:cs="Arial Nova"/>
          <w:sz w:val="22"/>
          <w:szCs w:val="22"/>
        </w:rPr>
        <w:t>).</w:t>
      </w:r>
    </w:p>
    <w:p w14:paraId="4EBC4825" w14:textId="47720FE9"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However, embedding person-centered care is not without obstacles. Chronic understaffing and workload pressures severely limit time available for meaningful dialogue and co-production. Staff may struggle to support complex decision-making without appropriate training or protected time (Lloyd</w:t>
      </w:r>
      <w:r w:rsidR="17321980" w:rsidRPr="65B59CB4">
        <w:rPr>
          <w:rFonts w:ascii="Arial Nova" w:eastAsia="Arial Nova" w:hAnsi="Arial Nova" w:cs="Arial Nova"/>
          <w:sz w:val="22"/>
          <w:szCs w:val="22"/>
        </w:rPr>
        <w:t>,</w:t>
      </w:r>
      <w:r w:rsidRPr="65B59CB4">
        <w:rPr>
          <w:rFonts w:ascii="Arial Nova" w:eastAsia="Arial Nova" w:hAnsi="Arial Nova" w:cs="Arial Nova"/>
          <w:sz w:val="22"/>
          <w:szCs w:val="22"/>
        </w:rPr>
        <w:t xml:space="preserve"> 2018). Environmental factors</w:t>
      </w:r>
      <w:r w:rsidR="3E9A6775"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such as outdated physical spaces or inaccessible services</w:t>
      </w:r>
      <w:r w:rsidR="726F200C"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exacerbate these issues. In addition, disagreements between clinicians and individuals over “what matters most” can generate tension, particularly when statutory or risk management concerns dominate. These issues are compounded by systemic constraints</w:t>
      </w:r>
      <w:r w:rsidR="7BD37BCE"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such as organizational targets, rigid care pathways, or digital exclusion</w:t>
      </w:r>
      <w:r w:rsidR="1F16C876"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collectively limiting the vision of person-centered care in daily practice (Satellite Healthcare, 2025).</w:t>
      </w:r>
    </w:p>
    <w:p w14:paraId="629DC034" w14:textId="50C3C5F1"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A critical takeaway is that the mere acknowledgment of person-centered care’s value is not enough. Lasting progress depends on organi</w:t>
      </w:r>
      <w:r w:rsidR="748A278F" w:rsidRPr="65B59CB4">
        <w:rPr>
          <w:rFonts w:ascii="Arial Nova" w:eastAsia="Arial Nova" w:hAnsi="Arial Nova" w:cs="Arial Nova"/>
          <w:sz w:val="22"/>
          <w:szCs w:val="22"/>
        </w:rPr>
        <w:t>s</w:t>
      </w:r>
      <w:r w:rsidRPr="65B59CB4">
        <w:rPr>
          <w:rFonts w:ascii="Arial Nova" w:eastAsia="Arial Nova" w:hAnsi="Arial Nova" w:cs="Arial Nova"/>
          <w:sz w:val="22"/>
          <w:szCs w:val="22"/>
        </w:rPr>
        <w:t>ations prioriti</w:t>
      </w:r>
      <w:r w:rsidR="49E47286" w:rsidRPr="65B59CB4">
        <w:rPr>
          <w:rFonts w:ascii="Arial Nova" w:eastAsia="Arial Nova" w:hAnsi="Arial Nova" w:cs="Arial Nova"/>
          <w:sz w:val="22"/>
          <w:szCs w:val="22"/>
        </w:rPr>
        <w:t>s</w:t>
      </w:r>
      <w:r w:rsidRPr="65B59CB4">
        <w:rPr>
          <w:rFonts w:ascii="Arial Nova" w:eastAsia="Arial Nova" w:hAnsi="Arial Nova" w:cs="Arial Nova"/>
          <w:sz w:val="22"/>
          <w:szCs w:val="22"/>
        </w:rPr>
        <w:t>ing time, training</w:t>
      </w:r>
      <w:r w:rsidR="03A861B0"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 xml:space="preserve">and resources evolving cultures to regard individuals as genuine </w:t>
      </w:r>
      <w:r w:rsidR="25A70562" w:rsidRPr="65B59CB4">
        <w:rPr>
          <w:rFonts w:ascii="Arial Nova" w:eastAsia="Arial Nova" w:hAnsi="Arial Nova" w:cs="Arial Nova"/>
          <w:sz w:val="22"/>
          <w:szCs w:val="22"/>
        </w:rPr>
        <w:t>partners and</w:t>
      </w:r>
      <w:r w:rsidRPr="65B59CB4">
        <w:rPr>
          <w:rFonts w:ascii="Arial Nova" w:eastAsia="Arial Nova" w:hAnsi="Arial Nova" w:cs="Arial Nova"/>
          <w:sz w:val="22"/>
          <w:szCs w:val="22"/>
        </w:rPr>
        <w:t xml:space="preserve"> leveraging data for improvement while protecting dignity and rights.</w:t>
      </w:r>
    </w:p>
    <w:p w14:paraId="4CCD89B5" w14:textId="20D1F20F" w:rsidR="65B59CB4" w:rsidRDefault="65B59CB4" w:rsidP="65B59CB4">
      <w:pPr>
        <w:pStyle w:val="Heading2"/>
        <w:spacing w:before="240" w:after="120" w:line="360" w:lineRule="auto"/>
        <w:jc w:val="both"/>
        <w:rPr>
          <w:rFonts w:ascii="Arial Nova" w:eastAsia="Arial Nova" w:hAnsi="Arial Nova" w:cs="Arial Nova"/>
          <w:b/>
          <w:bCs/>
          <w:color w:val="auto"/>
          <w:sz w:val="28"/>
          <w:szCs w:val="28"/>
        </w:rPr>
      </w:pPr>
    </w:p>
    <w:p w14:paraId="3EF4971D" w14:textId="65F56CC9"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Alderfer’s ERG Theory of Motivation</w:t>
      </w:r>
    </w:p>
    <w:p w14:paraId="64969CF6" w14:textId="7DDD6EE6"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Staff motivation is a key driver of quality and safety in any health or social care environment. Alderfer’s ERG theory enhances understanding by articulating three intertwined categories of need</w:t>
      </w:r>
      <w:r w:rsidR="340F9F6D"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existence, relatedness</w:t>
      </w:r>
      <w:r w:rsidR="0E1B3CF2"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growth (EBSCO, 2019). Existence needs focus on tangible basics such as fair pay, working conditions</w:t>
      </w:r>
      <w:r w:rsidR="4BB4CCCE"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physical safety. Relatedness needs center on collaboration, respect</w:t>
      </w:r>
      <w:r w:rsidR="00AAA130"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 xml:space="preserve">and recognition. Growth needs reflect personal ambition, learning and the desire for professional </w:t>
      </w:r>
      <w:r w:rsidR="2C2B2B55" w:rsidRPr="65B59CB4">
        <w:rPr>
          <w:rFonts w:ascii="Arial Nova" w:eastAsia="Arial Nova" w:hAnsi="Arial Nova" w:cs="Arial Nova"/>
          <w:sz w:val="22"/>
          <w:szCs w:val="22"/>
        </w:rPr>
        <w:t>fulfilment.</w:t>
      </w:r>
      <w:r w:rsidRPr="65B59CB4">
        <w:rPr>
          <w:rFonts w:ascii="Arial Nova" w:eastAsia="Arial Nova" w:hAnsi="Arial Nova" w:cs="Arial Nova"/>
          <w:sz w:val="22"/>
          <w:szCs w:val="22"/>
        </w:rPr>
        <w:t xml:space="preserve"> (Koutalas</w:t>
      </w:r>
      <w:r w:rsidR="4FA7A3AB"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2024).</w:t>
      </w:r>
    </w:p>
    <w:p w14:paraId="1B86C6D7" w14:textId="53576BB7"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lastRenderedPageBreak/>
        <w:t>A distinctive strength of ERG theory is its recognition that staff may simultaneously pursue different needs in an environment as dynamic as healthcare (Barikani</w:t>
      </w:r>
      <w:r w:rsidR="738083B9"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2012). For example, a nurse who values strong team cohesion (relatedness) may, in the same context, be focused on leadership development (growth) and fair remuneration (existence). When staff are unable to fulfill high-level aspirations due to organi</w:t>
      </w:r>
      <w:r w:rsidR="13ACA74E" w:rsidRPr="65B59CB4">
        <w:rPr>
          <w:rFonts w:ascii="Arial Nova" w:eastAsia="Arial Nova" w:hAnsi="Arial Nova" w:cs="Arial Nova"/>
          <w:sz w:val="22"/>
          <w:szCs w:val="22"/>
        </w:rPr>
        <w:t>s</w:t>
      </w:r>
      <w:r w:rsidRPr="65B59CB4">
        <w:rPr>
          <w:rFonts w:ascii="Arial Nova" w:eastAsia="Arial Nova" w:hAnsi="Arial Nova" w:cs="Arial Nova"/>
          <w:sz w:val="22"/>
          <w:szCs w:val="22"/>
        </w:rPr>
        <w:t>ational barriers, ERG theory explains the tendency to regress to more basic concerns</w:t>
      </w:r>
      <w:r w:rsidR="5404DC3F"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potentially leading to dissatisfaction or attrition.</w:t>
      </w:r>
    </w:p>
    <w:p w14:paraId="595DB319" w14:textId="3F662E00"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While insightful, ERG’s categories can be difficult to separate in practical settings. Recognition from peers (relatedness) often accompanies achievement (growth), blurring boundaries and complicating measurement (Caulton, 2012). Another limitation is the relatively limited empirical validation when compared to more established frameworks, meaning ERG theory should be used as a guide for leadership, not a rigid formula.</w:t>
      </w:r>
    </w:p>
    <w:p w14:paraId="5350D79D" w14:textId="0A7FD30E"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Ultimately, organi</w:t>
      </w:r>
      <w:r w:rsidR="0CEE9640" w:rsidRPr="65B59CB4">
        <w:rPr>
          <w:rFonts w:ascii="Arial Nova" w:eastAsia="Arial Nova" w:hAnsi="Arial Nova" w:cs="Arial Nova"/>
          <w:sz w:val="22"/>
          <w:szCs w:val="22"/>
        </w:rPr>
        <w:t>s</w:t>
      </w:r>
      <w:r w:rsidRPr="65B59CB4">
        <w:rPr>
          <w:rFonts w:ascii="Arial Nova" w:eastAsia="Arial Nova" w:hAnsi="Arial Nova" w:cs="Arial Nova"/>
          <w:sz w:val="22"/>
          <w:szCs w:val="22"/>
        </w:rPr>
        <w:t>ations intent on driving quality should ensure that reward and recognition, supportive relationships and opportunities for skill development are all viewed as core priorities. Neglecting any one of these can disrupt the balance required for sustainable staff engagement and high-quality, adaptive care.</w:t>
      </w:r>
    </w:p>
    <w:p w14:paraId="69DD0509" w14:textId="543F9D46" w:rsidR="65B59CB4" w:rsidRDefault="65B59CB4" w:rsidP="65B59CB4">
      <w:pPr>
        <w:pStyle w:val="Heading2"/>
        <w:spacing w:before="240" w:after="120" w:line="360" w:lineRule="auto"/>
        <w:jc w:val="both"/>
        <w:rPr>
          <w:rFonts w:ascii="Arial Nova" w:eastAsia="Arial Nova" w:hAnsi="Arial Nova" w:cs="Arial Nova"/>
          <w:b/>
          <w:bCs/>
          <w:color w:val="auto"/>
          <w:sz w:val="28"/>
          <w:szCs w:val="28"/>
        </w:rPr>
      </w:pPr>
    </w:p>
    <w:p w14:paraId="537E4E60" w14:textId="5FDB5B98"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Ethical Fundamentals and Partnership Working</w:t>
      </w:r>
    </w:p>
    <w:p w14:paraId="5105E293" w14:textId="315C59A8"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Ethical practice is inseparable from quality in health and social care. The four key principles</w:t>
      </w:r>
      <w:r w:rsidR="07B5C65E"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autonomy, beneficence, non-maleficence and justice</w:t>
      </w:r>
      <w:r w:rsidR="4C597650"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are tangible, actionable</w:t>
      </w:r>
      <w:r w:rsidR="598CCC2B"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frequently tested in real settings (Varkey, 2020; CDC, 2025). Autonomy means supporting individuals’ rights to make choices about their life and care, even where these run counter to professional or familial advice. Beneficence and non-maleficence together reinforce a proactive responsibility to do good and avoid harm</w:t>
      </w:r>
      <w:r w:rsidR="438B99DD"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requiring intervention only when it genuinely benefits the individual and always with the least possible risk. Justice underpins equity and the fair allocation of resources, central in an environment of persistent scarcity.</w:t>
      </w:r>
    </w:p>
    <w:p w14:paraId="17454D87" w14:textId="49C75147"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These ethical principles animate the promise of person-centered care by framing patients as experts in their own needs and recogni</w:t>
      </w:r>
      <w:r w:rsidR="6C432AC3" w:rsidRPr="65B59CB4">
        <w:rPr>
          <w:rFonts w:ascii="Arial Nova" w:eastAsia="Arial Nova" w:hAnsi="Arial Nova" w:cs="Arial Nova"/>
          <w:sz w:val="22"/>
          <w:szCs w:val="22"/>
        </w:rPr>
        <w:t>s</w:t>
      </w:r>
      <w:r w:rsidRPr="65B59CB4">
        <w:rPr>
          <w:rFonts w:ascii="Arial Nova" w:eastAsia="Arial Nova" w:hAnsi="Arial Nova" w:cs="Arial Nova"/>
          <w:sz w:val="22"/>
          <w:szCs w:val="22"/>
        </w:rPr>
        <w:t>ing the inherently relational nature of care delivery (Ekman, 2022; Tomaselli, 2020). Embedding these values within organi</w:t>
      </w:r>
      <w:r w:rsidR="7689A5B9" w:rsidRPr="65B59CB4">
        <w:rPr>
          <w:rFonts w:ascii="Arial Nova" w:eastAsia="Arial Nova" w:hAnsi="Arial Nova" w:cs="Arial Nova"/>
          <w:sz w:val="22"/>
          <w:szCs w:val="22"/>
        </w:rPr>
        <w:t>s</w:t>
      </w:r>
      <w:r w:rsidRPr="65B59CB4">
        <w:rPr>
          <w:rFonts w:ascii="Arial Nova" w:eastAsia="Arial Nova" w:hAnsi="Arial Nova" w:cs="Arial Nova"/>
          <w:sz w:val="22"/>
          <w:szCs w:val="22"/>
        </w:rPr>
        <w:t>ations requires continuous investment in ethics education, open dialogue around dilemmas and supportive supervision</w:t>
      </w:r>
      <w:r w:rsidR="0B4A9FD6"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ensuring that ethical considerations are prioriti</w:t>
      </w:r>
      <w:r w:rsidR="2F6358E4" w:rsidRPr="65B59CB4">
        <w:rPr>
          <w:rFonts w:ascii="Arial Nova" w:eastAsia="Arial Nova" w:hAnsi="Arial Nova" w:cs="Arial Nova"/>
          <w:sz w:val="22"/>
          <w:szCs w:val="22"/>
        </w:rPr>
        <w:t>s</w:t>
      </w:r>
      <w:r w:rsidRPr="65B59CB4">
        <w:rPr>
          <w:rFonts w:ascii="Arial Nova" w:eastAsia="Arial Nova" w:hAnsi="Arial Nova" w:cs="Arial Nova"/>
          <w:sz w:val="22"/>
          <w:szCs w:val="22"/>
        </w:rPr>
        <w:t>ed alongside clinical or organi</w:t>
      </w:r>
      <w:r w:rsidR="2F27FAC9" w:rsidRPr="65B59CB4">
        <w:rPr>
          <w:rFonts w:ascii="Arial Nova" w:eastAsia="Arial Nova" w:hAnsi="Arial Nova" w:cs="Arial Nova"/>
          <w:sz w:val="22"/>
          <w:szCs w:val="22"/>
        </w:rPr>
        <w:t>s</w:t>
      </w:r>
      <w:r w:rsidRPr="65B59CB4">
        <w:rPr>
          <w:rFonts w:ascii="Arial Nova" w:eastAsia="Arial Nova" w:hAnsi="Arial Nova" w:cs="Arial Nova"/>
          <w:sz w:val="22"/>
          <w:szCs w:val="22"/>
        </w:rPr>
        <w:t>ational goals.</w:t>
      </w:r>
    </w:p>
    <w:p w14:paraId="28492167" w14:textId="3E6FE254"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lastRenderedPageBreak/>
        <w:t>Partnership working is the practical outworking of these values. Effective partnerships depend on explicit communication, mutual respect and a consistent focus on collective goals (NHS England, 2024; Glasby &amp; Peck, 2018). Pooling expertise enables more comprehensive assessments and targeted support</w:t>
      </w:r>
      <w:r w:rsidR="6E43FFF4"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whether aiming to reduce hospital admissions, improve mental health</w:t>
      </w:r>
      <w:r w:rsidR="6478EFD9"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or address social deprivation. Examples include shared care planning for complex cases, integrated teams managing hospital discharge and community support and alliances with voluntary groups providing social prescribing or peer support.</w:t>
      </w:r>
    </w:p>
    <w:p w14:paraId="1BBFA41F" w14:textId="7453341C"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However, real-world integration is complex. Professional identities, data protection laws, organi</w:t>
      </w:r>
      <w:r w:rsidR="53C2B042" w:rsidRPr="65B59CB4">
        <w:rPr>
          <w:rFonts w:ascii="Arial Nova" w:eastAsia="Arial Nova" w:hAnsi="Arial Nova" w:cs="Arial Nova"/>
          <w:sz w:val="22"/>
          <w:szCs w:val="22"/>
        </w:rPr>
        <w:t>s</w:t>
      </w:r>
      <w:r w:rsidRPr="65B59CB4">
        <w:rPr>
          <w:rFonts w:ascii="Arial Nova" w:eastAsia="Arial Nova" w:hAnsi="Arial Nova" w:cs="Arial Nova"/>
          <w:sz w:val="22"/>
          <w:szCs w:val="22"/>
        </w:rPr>
        <w:t>ational targets</w:t>
      </w:r>
      <w:r w:rsidR="7DE03E3F"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resource disparities all conspire to limit seamless working. Transformational leadership, delegate authority</w:t>
      </w:r>
      <w:r w:rsidR="06FA3DE9"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persistent patient and community involvement are required for meaningful partnership rather than surface collaboration.</w:t>
      </w:r>
    </w:p>
    <w:p w14:paraId="47CA6AAF" w14:textId="3015B5CC" w:rsidR="65B59CB4" w:rsidRDefault="65B59CB4" w:rsidP="65B59CB4">
      <w:pPr>
        <w:pStyle w:val="Heading2"/>
        <w:spacing w:before="240" w:after="120" w:line="360" w:lineRule="auto"/>
        <w:jc w:val="both"/>
        <w:rPr>
          <w:rFonts w:ascii="Arial Nova" w:eastAsia="Arial Nova" w:hAnsi="Arial Nova" w:cs="Arial Nova"/>
          <w:b/>
          <w:bCs/>
          <w:color w:val="auto"/>
          <w:sz w:val="28"/>
          <w:szCs w:val="28"/>
        </w:rPr>
      </w:pPr>
    </w:p>
    <w:p w14:paraId="3677F66A" w14:textId="6AD3EA69"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Practical Application: Primary Care Networks</w:t>
      </w:r>
    </w:p>
    <w:p w14:paraId="3B811CC0" w14:textId="1E83483A"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Primary Care Networks (PCNs) illustrate modern partnership and person-centered care in action. By linking GP practices, community health teams, pharmacies, mental health services, social care and local voluntary organi</w:t>
      </w:r>
      <w:r w:rsidR="5E608A58" w:rsidRPr="65B59CB4">
        <w:rPr>
          <w:rFonts w:ascii="Arial Nova" w:eastAsia="Arial Nova" w:hAnsi="Arial Nova" w:cs="Arial Nova"/>
          <w:sz w:val="22"/>
          <w:szCs w:val="22"/>
        </w:rPr>
        <w:t>s</w:t>
      </w:r>
      <w:r w:rsidRPr="65B59CB4">
        <w:rPr>
          <w:rFonts w:ascii="Arial Nova" w:eastAsia="Arial Nova" w:hAnsi="Arial Nova" w:cs="Arial Nova"/>
          <w:sz w:val="22"/>
          <w:szCs w:val="22"/>
        </w:rPr>
        <w:t>ations, PCNs address the full spectrum of local need for tens of thousands of people (NHS England, 2024).</w:t>
      </w:r>
    </w:p>
    <w:p w14:paraId="6069E219" w14:textId="69943832"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PCNs function through multidisciplinary teamwork and shared leadership, investing in systems such as digital health record sharing and routine multi-agency planning meetings. This infrastructure enables continuous care for those with long-term conditions, proactive support for at-risk groups and rapid response in crises. By orienting around holistic health and social priorities, rather than just clinical measures, PCNs better reflect what matters to their communities (NHSEI, 2021).</w:t>
      </w:r>
    </w:p>
    <w:p w14:paraId="4164712C" w14:textId="55B90453"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PCNs have already contributed to shorter hospital stays, fewer emergency admissions and more effective transitions between acute and community care settings (Royal College of General Practitioners, 2023). Staff benefit from reduced professional isolation, collective insight</w:t>
      </w:r>
      <w:r w:rsidR="3B91A22D"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new career pathways. Yet, achieving deep collaboration takes time</w:t>
      </w:r>
      <w:r w:rsidR="48E61A2F"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requiring the building of trust, mutual respect and a willingness to adapt. Gaps in digital infrastructure, inconsistent engagement</w:t>
      </w:r>
      <w:r w:rsidR="23B87443"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ongoing recruitment challenges remain obstacles, compounded by funding models that may not always match local health challenges (Nuffield Trust, 2022).</w:t>
      </w:r>
    </w:p>
    <w:p w14:paraId="1A79DC36" w14:textId="16B7D186"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lastRenderedPageBreak/>
        <w:t>Looking forward, PCNs may provide a template for further integration with more emphasis on using digital innovations, real-time data sharing and co-production with citizens at every level.</w:t>
      </w:r>
    </w:p>
    <w:p w14:paraId="7953EC6F" w14:textId="4DDDF9A2" w:rsidR="65B59CB4" w:rsidRDefault="65B59CB4" w:rsidP="65B59CB4">
      <w:pPr>
        <w:spacing w:before="240" w:after="120" w:line="360" w:lineRule="auto"/>
        <w:jc w:val="both"/>
        <w:rPr>
          <w:rFonts w:ascii="Arial Nova" w:eastAsia="Arial Nova" w:hAnsi="Arial Nova" w:cs="Arial Nova"/>
          <w:sz w:val="22"/>
          <w:szCs w:val="22"/>
        </w:rPr>
      </w:pPr>
    </w:p>
    <w:p w14:paraId="402FEF18" w14:textId="720EB6D6"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Policy, Legislation</w:t>
      </w:r>
      <w:r w:rsidR="64B64EA6" w:rsidRPr="65B59CB4">
        <w:rPr>
          <w:rFonts w:ascii="Arial Nova" w:eastAsia="Arial Nova" w:hAnsi="Arial Nova" w:cs="Arial Nova"/>
          <w:b/>
          <w:bCs/>
          <w:color w:val="auto"/>
          <w:sz w:val="28"/>
          <w:szCs w:val="28"/>
        </w:rPr>
        <w:t xml:space="preserve"> </w:t>
      </w:r>
      <w:r w:rsidRPr="65B59CB4">
        <w:rPr>
          <w:rFonts w:ascii="Arial Nova" w:eastAsia="Arial Nova" w:hAnsi="Arial Nova" w:cs="Arial Nova"/>
          <w:b/>
          <w:bCs/>
          <w:color w:val="auto"/>
          <w:sz w:val="28"/>
          <w:szCs w:val="28"/>
        </w:rPr>
        <w:t>and Recommendations</w:t>
      </w:r>
    </w:p>
    <w:p w14:paraId="0A093801" w14:textId="46971469"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Changes in law and national policy have fundamentally reshaped the health and social care landscape in recent years. The Care Act 2014, for example, prioritises individual wellbeing, participatory assessment</w:t>
      </w:r>
      <w:r w:rsidR="02659791"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statutory partnerships between services</w:t>
      </w:r>
      <w:r w:rsidR="1B05DF6A"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mandating not just consultation, but the active involvement of service users and carers every step of the way (Department of Health &amp; Social Care, 2014). The NHS Constitution and CQC regulatory standards further raise expectations for dignity, fairness and quality, holding organisations accountable for personalisation and continuous improvement (NHS, 2021; Care Quality Commission, 2022).</w:t>
      </w:r>
    </w:p>
    <w:p w14:paraId="3BED6748" w14:textId="40BB977E" w:rsidR="08B47A85" w:rsidRDefault="08B47A8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P</w:t>
      </w:r>
      <w:r w:rsidR="2BDD9955" w:rsidRPr="65B59CB4">
        <w:rPr>
          <w:rFonts w:ascii="Arial Nova" w:eastAsia="Arial Nova" w:hAnsi="Arial Nova" w:cs="Arial Nova"/>
          <w:sz w:val="22"/>
          <w:szCs w:val="22"/>
        </w:rPr>
        <w:t>olicy itself is not a solution. Systemic challenges in resource allocation, disparate local leadership, entrenched silos</w:t>
      </w:r>
      <w:r w:rsidR="0A9B11FE" w:rsidRPr="65B59CB4">
        <w:rPr>
          <w:rFonts w:ascii="Arial Nova" w:eastAsia="Arial Nova" w:hAnsi="Arial Nova" w:cs="Arial Nova"/>
          <w:sz w:val="22"/>
          <w:szCs w:val="22"/>
        </w:rPr>
        <w:t xml:space="preserve"> </w:t>
      </w:r>
      <w:r w:rsidR="2BDD9955" w:rsidRPr="65B59CB4">
        <w:rPr>
          <w:rFonts w:ascii="Arial Nova" w:eastAsia="Arial Nova" w:hAnsi="Arial Nova" w:cs="Arial Nova"/>
          <w:sz w:val="22"/>
          <w:szCs w:val="22"/>
        </w:rPr>
        <w:t>and cultural resistance can slow transformation (Nuffield Trust, 2022). Policymakers must balance the benefits of national consistency with the innovation possible when services are trusted to lead change in line with community priorities.</w:t>
      </w:r>
    </w:p>
    <w:p w14:paraId="3CEA4F8E" w14:textId="2A7FA76E"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Moving towards effective, equitable person-centered and partnership-based care requires concerted action on several fronts. Building shared values among a diverse workforce is crucial</w:t>
      </w:r>
      <w:r w:rsidR="49F21FA4" w:rsidRPr="65B59CB4">
        <w:rPr>
          <w:rFonts w:ascii="Arial Nova" w:eastAsia="Arial Nova" w:hAnsi="Arial Nova" w:cs="Arial Nova"/>
          <w:sz w:val="22"/>
          <w:szCs w:val="22"/>
        </w:rPr>
        <w:t xml:space="preserve"> and</w:t>
      </w:r>
      <w:r w:rsidRPr="65B59CB4">
        <w:rPr>
          <w:rFonts w:ascii="Arial Nova" w:eastAsia="Arial Nova" w:hAnsi="Arial Nova" w:cs="Arial Nova"/>
          <w:sz w:val="22"/>
          <w:szCs w:val="22"/>
        </w:rPr>
        <w:t xml:space="preserve"> this may include team-based and interprofessional learning programmes, mentoring and recruitment targeted at underrepresented communities. Secure, predictable funding will empower organisations to plan and invest in preventative approaches that reduce long-term pressures across the system. Leaders</w:t>
      </w:r>
      <w:r w:rsidR="2601CEB2" w:rsidRPr="65B59CB4">
        <w:rPr>
          <w:rFonts w:ascii="Arial Nova" w:eastAsia="Arial Nova" w:hAnsi="Arial Nova" w:cs="Arial Nova"/>
          <w:sz w:val="22"/>
          <w:szCs w:val="22"/>
        </w:rPr>
        <w:t xml:space="preserve"> such as </w:t>
      </w:r>
      <w:r w:rsidRPr="65B59CB4">
        <w:rPr>
          <w:rFonts w:ascii="Arial Nova" w:eastAsia="Arial Nova" w:hAnsi="Arial Nova" w:cs="Arial Nova"/>
          <w:sz w:val="22"/>
          <w:szCs w:val="22"/>
        </w:rPr>
        <w:t>clinicians, managers or service users themselves</w:t>
      </w:r>
      <w:r w:rsidR="77DE0154"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should model responsibility, transparency</w:t>
      </w:r>
      <w:r w:rsidR="136B1129"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and inclusion, championing the voice of those historically excluded from decision-making. The use of meaningful measurement tools will help to track progress, not just in activity but in impact and user satisfaction</w:t>
      </w:r>
      <w:r w:rsidR="52CA8C9F"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with local flexibility underpinned by common national standards.</w:t>
      </w:r>
    </w:p>
    <w:p w14:paraId="3BFC1283" w14:textId="45837ADB" w:rsidR="65B59CB4" w:rsidRDefault="65B59CB4" w:rsidP="65B59CB4">
      <w:pPr>
        <w:pStyle w:val="Heading2"/>
        <w:spacing w:before="240" w:after="120" w:line="360" w:lineRule="auto"/>
        <w:jc w:val="both"/>
        <w:rPr>
          <w:rFonts w:ascii="Arial Nova" w:eastAsia="Arial Nova" w:hAnsi="Arial Nova" w:cs="Arial Nova"/>
          <w:b/>
          <w:bCs/>
          <w:color w:val="auto"/>
          <w:sz w:val="28"/>
          <w:szCs w:val="28"/>
        </w:rPr>
      </w:pPr>
    </w:p>
    <w:p w14:paraId="595F957F" w14:textId="310F1B7B"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Extending Person-Centered Care and Partnership Working: Future Implications</w:t>
      </w:r>
    </w:p>
    <w:p w14:paraId="4BF810B3" w14:textId="6E672A32" w:rsidR="2BDD9955" w:rsidRDefault="2BDD9955"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As the UK embarks on further reform, understanding the intersection of health with broader social determinants is becoming ever more important (Glasby &amp; Peck, 2018). Holistic care, supported by Integrated Care Systems (ICSs) and place-based partnerships, enables collaboration that goes beyond medical treatment</w:t>
      </w:r>
      <w:r w:rsidR="0B837A7C"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addressing housing, education, employment and community participation as key levers of wellbeing. The active involvement of citizens and communities in co-producing services is critical to delivering lasting improvement.</w:t>
      </w:r>
    </w:p>
    <w:p w14:paraId="37AF0941" w14:textId="094E923D"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Digital innovation is also changing the landscape. Investment in accessible digital tools, care planning platforms and remote consultations is supporting more responsive, coordinated care, but efforts must remain focused on inclusivity</w:t>
      </w:r>
      <w:r w:rsidR="11FB3CE0"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avoiding the risks of digital exclusion and ensuring that all have access to these advantages.</w:t>
      </w:r>
    </w:p>
    <w:p w14:paraId="7F8EB43D" w14:textId="3D8C6F9A" w:rsidR="2BDD9955" w:rsidRDefault="2BDD9955" w:rsidP="65B59CB4">
      <w:pPr>
        <w:spacing w:before="240" w:after="120" w:line="360" w:lineRule="auto"/>
        <w:jc w:val="both"/>
        <w:rPr>
          <w:rFonts w:ascii="Arial Nova" w:eastAsia="Arial Nova" w:hAnsi="Arial Nova" w:cs="Arial Nova"/>
          <w:sz w:val="22"/>
          <w:szCs w:val="22"/>
        </w:rPr>
      </w:pPr>
      <w:r w:rsidRPr="65B59CB4">
        <w:rPr>
          <w:rFonts w:ascii="Arial Nova" w:eastAsia="Arial Nova" w:hAnsi="Arial Nova" w:cs="Arial Nova"/>
          <w:sz w:val="22"/>
          <w:szCs w:val="22"/>
        </w:rPr>
        <w:t>Finally, efforts to improve person-centered and partnership working must remain sharply focused on addressing health inequalities</w:t>
      </w:r>
      <w:r w:rsidR="0F590FC5" w:rsidRPr="65B59CB4">
        <w:rPr>
          <w:rFonts w:ascii="Arial Nova" w:eastAsia="Arial Nova" w:hAnsi="Arial Nova" w:cs="Arial Nova"/>
          <w:sz w:val="22"/>
          <w:szCs w:val="22"/>
        </w:rPr>
        <w:t xml:space="preserve"> </w:t>
      </w:r>
      <w:r w:rsidRPr="65B59CB4">
        <w:rPr>
          <w:rFonts w:ascii="Arial Nova" w:eastAsia="Arial Nova" w:hAnsi="Arial Nova" w:cs="Arial Nova"/>
          <w:sz w:val="22"/>
          <w:szCs w:val="22"/>
        </w:rPr>
        <w:t>with policies and measurement frameworks designed to shine a light on outcomes for the most vulnerable.</w:t>
      </w:r>
    </w:p>
    <w:p w14:paraId="351BC159" w14:textId="35378968" w:rsidR="65B59CB4" w:rsidRDefault="65B59CB4" w:rsidP="65B59CB4">
      <w:pPr>
        <w:pStyle w:val="Heading2"/>
        <w:spacing w:before="240" w:after="120" w:line="360" w:lineRule="auto"/>
        <w:jc w:val="both"/>
        <w:rPr>
          <w:rFonts w:ascii="Arial Nova" w:eastAsia="Arial Nova" w:hAnsi="Arial Nova" w:cs="Arial Nova"/>
          <w:b/>
          <w:bCs/>
          <w:color w:val="auto"/>
          <w:sz w:val="28"/>
          <w:szCs w:val="28"/>
        </w:rPr>
      </w:pPr>
    </w:p>
    <w:p w14:paraId="65E8EB99" w14:textId="19769C8F" w:rsidR="2BDD9955" w:rsidRDefault="2BDD9955" w:rsidP="65B59CB4">
      <w:pPr>
        <w:pStyle w:val="Heading2"/>
        <w:spacing w:before="240" w:after="120" w:line="360" w:lineRule="auto"/>
        <w:jc w:val="both"/>
        <w:rPr>
          <w:rFonts w:ascii="Arial Nova" w:eastAsia="Arial Nova" w:hAnsi="Arial Nova" w:cs="Arial Nova"/>
          <w:b/>
          <w:bCs/>
          <w:color w:val="auto"/>
          <w:sz w:val="28"/>
          <w:szCs w:val="28"/>
        </w:rPr>
      </w:pPr>
      <w:r w:rsidRPr="65B59CB4">
        <w:rPr>
          <w:rFonts w:ascii="Arial Nova" w:eastAsia="Arial Nova" w:hAnsi="Arial Nova" w:cs="Arial Nova"/>
          <w:b/>
          <w:bCs/>
          <w:color w:val="auto"/>
          <w:sz w:val="28"/>
          <w:szCs w:val="28"/>
        </w:rPr>
        <w:t>Conclusion</w:t>
      </w:r>
    </w:p>
    <w:p w14:paraId="627FC536" w14:textId="2810B468" w:rsidR="501AD4B9" w:rsidRDefault="501AD4B9" w:rsidP="65B59CB4">
      <w:pPr>
        <w:spacing w:before="120" w:after="120" w:line="360" w:lineRule="auto"/>
        <w:jc w:val="both"/>
        <w:rPr>
          <w:rFonts w:ascii="Arial Nova" w:eastAsia="Arial Nova" w:hAnsi="Arial Nova" w:cs="Arial Nova"/>
          <w:sz w:val="22"/>
          <w:szCs w:val="22"/>
        </w:rPr>
      </w:pPr>
      <w:r w:rsidRPr="65B59CB4">
        <w:rPr>
          <w:rFonts w:ascii="Arial Nova" w:eastAsia="Arial Nova" w:hAnsi="Arial Nova" w:cs="Arial Nova"/>
          <w:color w:val="000000" w:themeColor="text1"/>
          <w:sz w:val="22"/>
          <w:szCs w:val="22"/>
        </w:rPr>
        <w:t>The ambition to embed person-centered care and partnership working in UK health and social care systems is clearly established in law, policy and evolving practice. Achieving this vision requires moving from rhetoric to reality through sustained investment, empowered staff and communities, strong leadership at every level and a steadfast commitment to ongoing evaluation and continuous improvement. The most effective systems will be those that remain flexible and open, unafraid to learn and adapt from both failures and successes, and capable of evolving to meet changing needs and challenges. Ultimately, a persistent and genuine focus on what matters most to people, including autonomy, dignity, meaningful connection and real opportunity, will form the foundation of a truly responsive, equitable and sustainable future for health and care, bringing lasting benefits to individuals, families and wider society.</w:t>
      </w:r>
    </w:p>
    <w:p w14:paraId="63BAE112" w14:textId="7CD0C3E2" w:rsidR="65B59CB4" w:rsidRDefault="65B59CB4" w:rsidP="65B59CB4">
      <w:pPr>
        <w:spacing w:before="120" w:after="120" w:line="360" w:lineRule="auto"/>
        <w:jc w:val="both"/>
        <w:rPr>
          <w:rFonts w:ascii="Arial Nova" w:eastAsia="Arial Nova" w:hAnsi="Arial Nova" w:cs="Arial Nova"/>
          <w:sz w:val="22"/>
          <w:szCs w:val="22"/>
        </w:rPr>
      </w:pPr>
    </w:p>
    <w:p w14:paraId="31234FFC" w14:textId="588D0DC2" w:rsidR="65B59CB4" w:rsidRDefault="65B59CB4" w:rsidP="65B59CB4">
      <w:pPr>
        <w:spacing w:before="120" w:after="120" w:line="360" w:lineRule="auto"/>
        <w:jc w:val="both"/>
        <w:rPr>
          <w:rFonts w:ascii="Arial Nova" w:eastAsia="Arial Nova" w:hAnsi="Arial Nova" w:cs="Arial Nova"/>
          <w:sz w:val="22"/>
          <w:szCs w:val="22"/>
        </w:rPr>
      </w:pPr>
    </w:p>
    <w:p w14:paraId="4E7826F0" w14:textId="5ACB989A" w:rsidR="65B59CB4" w:rsidRDefault="65B59CB4" w:rsidP="65B59CB4">
      <w:pPr>
        <w:spacing w:before="120" w:after="120" w:line="360" w:lineRule="auto"/>
        <w:jc w:val="both"/>
        <w:rPr>
          <w:rFonts w:ascii="Arial Nova" w:eastAsia="Arial Nova" w:hAnsi="Arial Nova" w:cs="Arial Nova"/>
          <w:sz w:val="22"/>
          <w:szCs w:val="22"/>
        </w:rPr>
      </w:pPr>
    </w:p>
    <w:p w14:paraId="448B7CD9" w14:textId="3E9B28B3" w:rsidR="65B59CB4" w:rsidRDefault="65B59CB4" w:rsidP="65B59CB4">
      <w:pPr>
        <w:spacing w:before="120" w:after="120"/>
        <w:jc w:val="both"/>
        <w:rPr>
          <w:rFonts w:ascii="Arial Nova" w:eastAsia="Arial Nova" w:hAnsi="Arial Nova" w:cs="Arial Nova"/>
          <w:b/>
          <w:bCs/>
          <w:sz w:val="28"/>
          <w:szCs w:val="28"/>
        </w:rPr>
      </w:pPr>
    </w:p>
    <w:p w14:paraId="17E113F6" w14:textId="72166A63" w:rsidR="65B59CB4" w:rsidRDefault="65B59CB4" w:rsidP="65B59CB4">
      <w:pPr>
        <w:spacing w:before="120" w:after="120"/>
        <w:jc w:val="both"/>
        <w:rPr>
          <w:rFonts w:ascii="Arial Nova" w:eastAsia="Arial Nova" w:hAnsi="Arial Nova" w:cs="Arial Nova"/>
          <w:b/>
          <w:bCs/>
          <w:sz w:val="28"/>
          <w:szCs w:val="28"/>
        </w:rPr>
      </w:pPr>
    </w:p>
    <w:p w14:paraId="07D8745C" w14:textId="1E1D088B" w:rsidR="65B59CB4" w:rsidRDefault="65B59CB4" w:rsidP="65B59CB4">
      <w:pPr>
        <w:spacing w:before="120" w:after="120"/>
        <w:jc w:val="both"/>
        <w:rPr>
          <w:rFonts w:ascii="Arial Nova" w:eastAsia="Arial Nova" w:hAnsi="Arial Nova" w:cs="Arial Nova"/>
          <w:b/>
          <w:bCs/>
          <w:sz w:val="28"/>
          <w:szCs w:val="28"/>
        </w:rPr>
      </w:pPr>
    </w:p>
    <w:p w14:paraId="4DD7E2AD" w14:textId="59F7DD2C" w:rsidR="65B59CB4" w:rsidRDefault="65B59CB4" w:rsidP="65B59CB4">
      <w:pPr>
        <w:spacing w:before="120" w:after="120"/>
        <w:jc w:val="both"/>
        <w:rPr>
          <w:rFonts w:ascii="Arial Nova" w:eastAsia="Arial Nova" w:hAnsi="Arial Nova" w:cs="Arial Nova"/>
          <w:b/>
          <w:bCs/>
          <w:sz w:val="28"/>
          <w:szCs w:val="28"/>
        </w:rPr>
      </w:pPr>
    </w:p>
    <w:p w14:paraId="1FA066DE" w14:textId="54561E1B" w:rsidR="65B59CB4" w:rsidRDefault="65B59CB4" w:rsidP="65B59CB4">
      <w:pPr>
        <w:spacing w:before="120" w:after="120"/>
        <w:jc w:val="both"/>
        <w:rPr>
          <w:rFonts w:ascii="Arial Nova" w:eastAsia="Arial Nova" w:hAnsi="Arial Nova" w:cs="Arial Nova"/>
          <w:b/>
          <w:bCs/>
          <w:sz w:val="28"/>
          <w:szCs w:val="28"/>
        </w:rPr>
      </w:pPr>
    </w:p>
    <w:p w14:paraId="0FAE49E3" w14:textId="240EF3F9" w:rsidR="65B59CB4" w:rsidRDefault="65B59CB4" w:rsidP="65B59CB4">
      <w:pPr>
        <w:spacing w:before="120" w:after="120"/>
        <w:jc w:val="both"/>
        <w:rPr>
          <w:rFonts w:ascii="Arial Nova" w:eastAsia="Arial Nova" w:hAnsi="Arial Nova" w:cs="Arial Nova"/>
          <w:b/>
          <w:bCs/>
          <w:sz w:val="28"/>
          <w:szCs w:val="28"/>
        </w:rPr>
      </w:pPr>
    </w:p>
    <w:p w14:paraId="5D0CFEB7" w14:textId="6DF7922F" w:rsidR="65B59CB4" w:rsidRDefault="65B59CB4" w:rsidP="65B59CB4">
      <w:pPr>
        <w:spacing w:before="120" w:after="120"/>
        <w:jc w:val="both"/>
        <w:rPr>
          <w:rFonts w:ascii="Arial Nova" w:eastAsia="Arial Nova" w:hAnsi="Arial Nova" w:cs="Arial Nova"/>
          <w:b/>
          <w:bCs/>
          <w:sz w:val="28"/>
          <w:szCs w:val="28"/>
        </w:rPr>
      </w:pPr>
    </w:p>
    <w:p w14:paraId="6C30C29F" w14:textId="502710DF" w:rsidR="65B59CB4" w:rsidRDefault="65B59CB4" w:rsidP="65B59CB4">
      <w:pPr>
        <w:spacing w:before="120" w:after="120"/>
        <w:jc w:val="both"/>
        <w:rPr>
          <w:rFonts w:ascii="Arial Nova" w:eastAsia="Arial Nova" w:hAnsi="Arial Nova" w:cs="Arial Nova"/>
          <w:b/>
          <w:bCs/>
          <w:sz w:val="28"/>
          <w:szCs w:val="28"/>
        </w:rPr>
      </w:pPr>
    </w:p>
    <w:p w14:paraId="4FAA33B8" w14:textId="210ABC4C" w:rsidR="07A9AEBC" w:rsidRDefault="07A9AEBC" w:rsidP="65B59CB4">
      <w:pPr>
        <w:spacing w:before="120" w:after="120"/>
        <w:jc w:val="both"/>
        <w:rPr>
          <w:rFonts w:ascii="Arial Nova" w:eastAsia="Arial Nova" w:hAnsi="Arial Nova" w:cs="Arial Nova"/>
          <w:b/>
          <w:bCs/>
          <w:sz w:val="28"/>
          <w:szCs w:val="28"/>
        </w:rPr>
      </w:pPr>
      <w:r w:rsidRPr="65B59CB4">
        <w:rPr>
          <w:rFonts w:ascii="Arial Nova" w:eastAsia="Arial Nova" w:hAnsi="Arial Nova" w:cs="Arial Nova"/>
          <w:b/>
          <w:bCs/>
          <w:sz w:val="28"/>
          <w:szCs w:val="28"/>
        </w:rPr>
        <w:t>References</w:t>
      </w:r>
    </w:p>
    <w:p w14:paraId="429011FF" w14:textId="6C1C5FAF" w:rsidR="60F8B975" w:rsidRDefault="60F8B975"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Barikani, A. et al. (2012) ‘Satisfaction and Motivation of General Physicians toward Their Career’, International Journal of Preventive Medicine, 3(11), pp. 733–738.</w:t>
      </w:r>
    </w:p>
    <w:p w14:paraId="2D46B635" w14:textId="6E1E6116" w:rsidR="60F8B975" w:rsidRDefault="60F8B975"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Bezgin, M. K. et al. (2023) ‘Person-centred care and its outcomes in primary care’, PLoS ONE, 18(8), p. e0289321.</w:t>
      </w:r>
    </w:p>
    <w:p w14:paraId="269F2249" w14:textId="289DAA59" w:rsidR="60F8B975" w:rsidRDefault="60F8B975"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BMJ Open (2021) ‘Systematic review of patient-engagement interventions’, 11(11), p. e047272.</w:t>
      </w:r>
    </w:p>
    <w:p w14:paraId="743F4096" w14:textId="5F3903CF" w:rsidR="60F8B975" w:rsidRDefault="60F8B975"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Care Quality Commission (2022) ‘Person-centred care </w:t>
      </w:r>
      <w:proofErr w:type="gramStart"/>
      <w:r w:rsidRPr="65B59CB4">
        <w:rPr>
          <w:rFonts w:ascii="Arial Nova" w:eastAsia="Arial Nova" w:hAnsi="Arial Nova" w:cs="Arial Nova"/>
          <w:sz w:val="20"/>
          <w:szCs w:val="20"/>
        </w:rPr>
        <w:t>standards’</w:t>
      </w:r>
      <w:proofErr w:type="gramEnd"/>
      <w:r w:rsidRPr="65B59CB4">
        <w:rPr>
          <w:rFonts w:ascii="Arial Nova" w:eastAsia="Arial Nova" w:hAnsi="Arial Nova" w:cs="Arial Nova"/>
          <w:sz w:val="20"/>
          <w:szCs w:val="20"/>
        </w:rPr>
        <w:t xml:space="preserve">. Available at: </w:t>
      </w:r>
      <w:hyperlink r:id="rId5">
        <w:r w:rsidRPr="65B59CB4">
          <w:rPr>
            <w:rStyle w:val="Hyperlink"/>
            <w:rFonts w:ascii="Arial Nova" w:eastAsia="Arial Nova" w:hAnsi="Arial Nova" w:cs="Arial Nova"/>
            <w:b/>
            <w:bCs/>
            <w:sz w:val="20"/>
            <w:szCs w:val="20"/>
            <w:u w:val="none"/>
          </w:rPr>
          <w:t>https://www.cqc.org.uk/guidance-providers/all-healthcare-providers/person-centred-care</w:t>
        </w:r>
      </w:hyperlink>
      <w:r w:rsidRPr="65B59CB4">
        <w:rPr>
          <w:rFonts w:ascii="Arial Nova" w:eastAsia="Arial Nova" w:hAnsi="Arial Nova" w:cs="Arial Nova"/>
          <w:sz w:val="20"/>
          <w:szCs w:val="20"/>
        </w:rPr>
        <w:t xml:space="preserve"> (Accessed: 4</w:t>
      </w:r>
      <w:r w:rsidRPr="65B59CB4">
        <w:rPr>
          <w:rFonts w:ascii="Arial Nova" w:eastAsia="Arial Nova" w:hAnsi="Arial Nova" w:cs="Arial Nova"/>
          <w:sz w:val="20"/>
          <w:szCs w:val="20"/>
          <w:vertAlign w:val="superscript"/>
        </w:rPr>
        <w:t>th</w:t>
      </w:r>
      <w:r w:rsidRPr="65B59CB4">
        <w:rPr>
          <w:rFonts w:ascii="Arial Nova" w:eastAsia="Arial Nova" w:hAnsi="Arial Nova" w:cs="Arial Nova"/>
          <w:sz w:val="20"/>
          <w:szCs w:val="20"/>
        </w:rPr>
        <w:t xml:space="preserve"> November).</w:t>
      </w:r>
    </w:p>
    <w:p w14:paraId="596D9D90" w14:textId="2B41002D" w:rsidR="60F8B975" w:rsidRDefault="60F8B975"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Caulton, J. R. (2012) ‘The Development and Use of the Theory of ERG: A Literature Review’, Career Development International, 17(5), pp. 438–455.</w:t>
      </w:r>
    </w:p>
    <w:p w14:paraId="25D21C29" w14:textId="1F0A107F" w:rsidR="07A9AEBC" w:rsidRDefault="07A9AEBC"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Coulter, A. (2016) ‘Person-centred care: what is it and how do we get there?’, Future Hospital Journal, 3(1), pp. 1–4. </w:t>
      </w:r>
    </w:p>
    <w:p w14:paraId="41FF11C5" w14:textId="3EA76ED1" w:rsidR="45F96E1A" w:rsidRDefault="45F96E1A"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Department of Health &amp; Social Care (2014) ‘Care and Support Statutory Guidance’. Available at: </w:t>
      </w:r>
      <w:hyperlink r:id="rId6">
        <w:r w:rsidRPr="65B59CB4">
          <w:rPr>
            <w:rStyle w:val="Hyperlink"/>
            <w:rFonts w:ascii="Arial Nova" w:eastAsia="Arial Nova" w:hAnsi="Arial Nova" w:cs="Arial Nova"/>
            <w:b/>
            <w:bCs/>
            <w:sz w:val="20"/>
            <w:szCs w:val="20"/>
            <w:u w:val="none"/>
          </w:rPr>
          <w:t>https://www.gov.uk/guidance/care-and-support-statutory-guidance</w:t>
        </w:r>
      </w:hyperlink>
      <w:r w:rsidRPr="65B59CB4">
        <w:rPr>
          <w:rFonts w:ascii="Arial Nova" w:eastAsia="Arial Nova" w:hAnsi="Arial Nova" w:cs="Arial Nova"/>
          <w:sz w:val="20"/>
          <w:szCs w:val="20"/>
        </w:rPr>
        <w:t xml:space="preserve"> (Accessed: 5</w:t>
      </w:r>
      <w:r w:rsidRPr="65B59CB4">
        <w:rPr>
          <w:rFonts w:ascii="Arial Nova" w:eastAsia="Arial Nova" w:hAnsi="Arial Nova" w:cs="Arial Nova"/>
          <w:sz w:val="20"/>
          <w:szCs w:val="20"/>
          <w:vertAlign w:val="superscript"/>
        </w:rPr>
        <w:t>th</w:t>
      </w:r>
      <w:r w:rsidRPr="65B59CB4">
        <w:rPr>
          <w:rFonts w:ascii="Arial Nova" w:eastAsia="Arial Nova" w:hAnsi="Arial Nova" w:cs="Arial Nova"/>
          <w:sz w:val="20"/>
          <w:szCs w:val="20"/>
        </w:rPr>
        <w:t xml:space="preserve"> November).</w:t>
      </w:r>
    </w:p>
    <w:p w14:paraId="571D77C1" w14:textId="474EF0BD" w:rsidR="07A9AEBC" w:rsidRDefault="07A9AEBC"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Glasby, J. (2011) ‘Partnership working in England—where we are now and where we've come from’, International Journal of Integrated Care, 11(5), p. e003.</w:t>
      </w:r>
    </w:p>
    <w:p w14:paraId="1E316F5F" w14:textId="1E702EF8" w:rsidR="54817A4C" w:rsidRDefault="54817A4C"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Grover, S. (2022) ‘Defining and implementing patient-centered care: An umbrella review’, Healthcare, 10(12), p. 2468.</w:t>
      </w:r>
    </w:p>
    <w:p w14:paraId="32445E03" w14:textId="4FCFF940" w:rsidR="07A9AEBC" w:rsidRDefault="07A9AEBC"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Håkansson Eklund, K. et al. (2022) ‘Person‐centred care in primary care: What works for whom, how and why? A realist review’, Journal of Advanced Nursing, 78(7), pp. 2061–2090. </w:t>
      </w:r>
    </w:p>
    <w:p w14:paraId="4DD15B0F" w14:textId="0601A5D1" w:rsidR="17CBA09D" w:rsidRDefault="17CBA09D"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lastRenderedPageBreak/>
        <w:t>Lloyd, B. et al. (2018) ‘Barriers and enablers of patient and family centred care’, Patient Experience Journal, 5(3), pp. 66–78.</w:t>
      </w:r>
    </w:p>
    <w:p w14:paraId="6C362ABA" w14:textId="096C455E" w:rsidR="17CBA09D" w:rsidRDefault="17CBA09D"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NHS (2021) ‘The NHS Constitution for England’. Available at: </w:t>
      </w:r>
      <w:hyperlink r:id="rId7">
        <w:r w:rsidRPr="65B59CB4">
          <w:rPr>
            <w:rStyle w:val="Hyperlink"/>
            <w:rFonts w:ascii="Arial Nova" w:eastAsia="Arial Nova" w:hAnsi="Arial Nova" w:cs="Arial Nova"/>
            <w:b/>
            <w:bCs/>
            <w:sz w:val="20"/>
            <w:szCs w:val="20"/>
            <w:u w:val="none"/>
          </w:rPr>
          <w:t>https://www.gov.uk/government/publications/the-nhs-constitution-for-england</w:t>
        </w:r>
      </w:hyperlink>
      <w:r w:rsidRPr="65B59CB4">
        <w:rPr>
          <w:rFonts w:ascii="Arial Nova" w:eastAsia="Arial Nova" w:hAnsi="Arial Nova" w:cs="Arial Nova"/>
          <w:sz w:val="20"/>
          <w:szCs w:val="20"/>
        </w:rPr>
        <w:t xml:space="preserve"> (Accessed: [5</w:t>
      </w:r>
      <w:r w:rsidRPr="65B59CB4">
        <w:rPr>
          <w:rFonts w:ascii="Arial Nova" w:eastAsia="Arial Nova" w:hAnsi="Arial Nova" w:cs="Arial Nova"/>
          <w:sz w:val="20"/>
          <w:szCs w:val="20"/>
          <w:vertAlign w:val="superscript"/>
        </w:rPr>
        <w:t>th</w:t>
      </w:r>
      <w:r w:rsidRPr="65B59CB4">
        <w:rPr>
          <w:rFonts w:ascii="Arial Nova" w:eastAsia="Arial Nova" w:hAnsi="Arial Nova" w:cs="Arial Nova"/>
          <w:sz w:val="20"/>
          <w:szCs w:val="20"/>
        </w:rPr>
        <w:t xml:space="preserve"> November).</w:t>
      </w:r>
    </w:p>
    <w:p w14:paraId="7BC867CC" w14:textId="6FE73C99" w:rsidR="17CBA09D" w:rsidRDefault="17CBA09D"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Nuffield Trust (2022) ‘Joining up health and social care: Progress and </w:t>
      </w:r>
      <w:proofErr w:type="gramStart"/>
      <w:r w:rsidRPr="65B59CB4">
        <w:rPr>
          <w:rFonts w:ascii="Arial Nova" w:eastAsia="Arial Nova" w:hAnsi="Arial Nova" w:cs="Arial Nova"/>
          <w:sz w:val="20"/>
          <w:szCs w:val="20"/>
        </w:rPr>
        <w:t>challenges’</w:t>
      </w:r>
      <w:proofErr w:type="gramEnd"/>
      <w:r w:rsidRPr="65B59CB4">
        <w:rPr>
          <w:rFonts w:ascii="Arial Nova" w:eastAsia="Arial Nova" w:hAnsi="Arial Nova" w:cs="Arial Nova"/>
          <w:sz w:val="20"/>
          <w:szCs w:val="20"/>
        </w:rPr>
        <w:t xml:space="preserve">. Available at: </w:t>
      </w:r>
      <w:hyperlink r:id="rId8">
        <w:r w:rsidRPr="65B59CB4">
          <w:rPr>
            <w:rStyle w:val="Hyperlink"/>
            <w:rFonts w:ascii="Arial Nova" w:eastAsia="Arial Nova" w:hAnsi="Arial Nova" w:cs="Arial Nova"/>
            <w:b/>
            <w:bCs/>
            <w:sz w:val="20"/>
            <w:szCs w:val="20"/>
            <w:u w:val="none"/>
          </w:rPr>
          <w:t>https://www.nuffieldtrust.org.uk/research/joining-up-health-and-social-care-progress-and-challenges</w:t>
        </w:r>
      </w:hyperlink>
      <w:r w:rsidRPr="65B59CB4">
        <w:rPr>
          <w:rFonts w:ascii="Arial Nova" w:eastAsia="Arial Nova" w:hAnsi="Arial Nova" w:cs="Arial Nova"/>
          <w:sz w:val="20"/>
          <w:szCs w:val="20"/>
        </w:rPr>
        <w:t xml:space="preserve"> (Accessed: 5</w:t>
      </w:r>
      <w:r w:rsidRPr="65B59CB4">
        <w:rPr>
          <w:rFonts w:ascii="Arial Nova" w:eastAsia="Arial Nova" w:hAnsi="Arial Nova" w:cs="Arial Nova"/>
          <w:sz w:val="20"/>
          <w:szCs w:val="20"/>
          <w:vertAlign w:val="superscript"/>
        </w:rPr>
        <w:t>th</w:t>
      </w:r>
      <w:r w:rsidRPr="65B59CB4">
        <w:rPr>
          <w:rFonts w:ascii="Arial Nova" w:eastAsia="Arial Nova" w:hAnsi="Arial Nova" w:cs="Arial Nova"/>
          <w:sz w:val="20"/>
          <w:szCs w:val="20"/>
        </w:rPr>
        <w:t xml:space="preserve"> November)</w:t>
      </w:r>
    </w:p>
    <w:p w14:paraId="73FE758F" w14:textId="5852809E" w:rsidR="07A9AEBC" w:rsidRDefault="07A9AEBC"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Varkey, B. (2020) 'Principles of Clinical Ethics and Their Application to Practice', Journal of Clinical Ethics, 31(3), pp. 189–195.</w:t>
      </w:r>
    </w:p>
    <w:p w14:paraId="6A8622B9" w14:textId="158CAB55" w:rsidR="6A5135E3" w:rsidRDefault="6A5135E3" w:rsidP="65B59CB4">
      <w:pPr>
        <w:spacing w:before="240" w:after="120"/>
        <w:jc w:val="both"/>
        <w:rPr>
          <w:rFonts w:ascii="Arial Nova" w:eastAsia="Arial Nova" w:hAnsi="Arial Nova" w:cs="Arial Nova"/>
          <w:sz w:val="20"/>
          <w:szCs w:val="20"/>
        </w:rPr>
      </w:pPr>
      <w:r w:rsidRPr="65B59CB4">
        <w:rPr>
          <w:rFonts w:ascii="Arial Nova" w:eastAsia="Arial Nova" w:hAnsi="Arial Nova" w:cs="Arial Nova"/>
          <w:sz w:val="20"/>
          <w:szCs w:val="20"/>
        </w:rPr>
        <w:t xml:space="preserve">Williams, M. R. and Boyle, M. (2019) ‘Transitioning to Person-Centered Care: </w:t>
      </w:r>
      <w:proofErr w:type="gramStart"/>
      <w:r w:rsidRPr="65B59CB4">
        <w:rPr>
          <w:rFonts w:ascii="Arial Nova" w:eastAsia="Arial Nova" w:hAnsi="Arial Nova" w:cs="Arial Nova"/>
          <w:sz w:val="20"/>
          <w:szCs w:val="20"/>
        </w:rPr>
        <w:t>a</w:t>
      </w:r>
      <w:proofErr w:type="gramEnd"/>
      <w:r w:rsidRPr="65B59CB4">
        <w:rPr>
          <w:rFonts w:ascii="Arial Nova" w:eastAsia="Arial Nova" w:hAnsi="Arial Nova" w:cs="Arial Nova"/>
          <w:sz w:val="20"/>
          <w:szCs w:val="20"/>
        </w:rPr>
        <w:t xml:space="preserve"> Qualitative Study of Community Mental Health Providers’, Administration and Policy in Mental Health and Mental Health Services Research, 46(6), pp. 688–700.</w:t>
      </w:r>
    </w:p>
    <w:p w14:paraId="3A3B8D2D" w14:textId="582610D8" w:rsidR="65B59CB4" w:rsidRDefault="65B59CB4" w:rsidP="65B59CB4">
      <w:pPr>
        <w:spacing w:before="240" w:after="120"/>
        <w:jc w:val="both"/>
        <w:rPr>
          <w:rFonts w:ascii="Arial Nova" w:eastAsia="Arial Nova" w:hAnsi="Arial Nova" w:cs="Arial Nova"/>
          <w:sz w:val="20"/>
          <w:szCs w:val="20"/>
        </w:rPr>
      </w:pPr>
    </w:p>
    <w:p w14:paraId="79D2B88B" w14:textId="27E51C34" w:rsidR="65B59CB4" w:rsidRDefault="65B59CB4" w:rsidP="65B59CB4">
      <w:pPr>
        <w:spacing w:before="120" w:after="120" w:line="360" w:lineRule="auto"/>
        <w:jc w:val="both"/>
        <w:rPr>
          <w:rFonts w:ascii="Arial Nova" w:eastAsia="Arial Nova" w:hAnsi="Arial Nova" w:cs="Arial Nova"/>
          <w:sz w:val="20"/>
          <w:szCs w:val="20"/>
        </w:rPr>
      </w:pPr>
    </w:p>
    <w:p w14:paraId="4484D633" w14:textId="7BD60A3D" w:rsidR="65B59CB4" w:rsidRDefault="65B59CB4" w:rsidP="65B59CB4">
      <w:pPr>
        <w:spacing w:before="240" w:after="120" w:line="360" w:lineRule="auto"/>
        <w:jc w:val="both"/>
        <w:rPr>
          <w:rFonts w:ascii="Arial Nova" w:eastAsia="Arial Nova" w:hAnsi="Arial Nova" w:cs="Arial Nova"/>
          <w:sz w:val="22"/>
          <w:szCs w:val="22"/>
        </w:rPr>
      </w:pPr>
    </w:p>
    <w:p w14:paraId="5C956445" w14:textId="12E7DEDD" w:rsidR="65B59CB4" w:rsidRDefault="65B59CB4" w:rsidP="65B59CB4">
      <w:pPr>
        <w:spacing w:before="240" w:after="120" w:line="360" w:lineRule="auto"/>
        <w:jc w:val="both"/>
        <w:rPr>
          <w:rFonts w:ascii="Arial" w:eastAsia="Arial" w:hAnsi="Arial" w:cs="Arial"/>
          <w:sz w:val="22"/>
          <w:szCs w:val="22"/>
        </w:rPr>
      </w:pPr>
    </w:p>
    <w:p w14:paraId="641730CB" w14:textId="37790F36" w:rsidR="65B59CB4" w:rsidRDefault="65B59CB4" w:rsidP="65B59CB4">
      <w:pPr>
        <w:spacing w:line="360" w:lineRule="auto"/>
        <w:rPr>
          <w:rFonts w:ascii="Arial" w:eastAsia="Arial" w:hAnsi="Arial" w:cs="Arial"/>
          <w:b/>
          <w:bCs/>
          <w:sz w:val="28"/>
          <w:szCs w:val="28"/>
        </w:rPr>
      </w:pPr>
    </w:p>
    <w:sectPr w:rsidR="65B59CB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f53+qmgAlV5pi" int2:id="ShFvaT7E">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CB96A"/>
    <w:multiLevelType w:val="hybridMultilevel"/>
    <w:tmpl w:val="8DBAAC24"/>
    <w:lvl w:ilvl="0" w:tplc="600655BE">
      <w:start w:val="1"/>
      <w:numFmt w:val="decimal"/>
      <w:lvlText w:val="%1."/>
      <w:lvlJc w:val="left"/>
      <w:pPr>
        <w:ind w:left="720" w:hanging="360"/>
      </w:pPr>
    </w:lvl>
    <w:lvl w:ilvl="1" w:tplc="E04A080E">
      <w:start w:val="1"/>
      <w:numFmt w:val="lowerLetter"/>
      <w:lvlText w:val="%2."/>
      <w:lvlJc w:val="left"/>
      <w:pPr>
        <w:ind w:left="1440" w:hanging="360"/>
      </w:pPr>
    </w:lvl>
    <w:lvl w:ilvl="2" w:tplc="5DA2AB48">
      <w:start w:val="1"/>
      <w:numFmt w:val="lowerRoman"/>
      <w:lvlText w:val="%3."/>
      <w:lvlJc w:val="right"/>
      <w:pPr>
        <w:ind w:left="2160" w:hanging="180"/>
      </w:pPr>
    </w:lvl>
    <w:lvl w:ilvl="3" w:tplc="55C26AFA">
      <w:start w:val="1"/>
      <w:numFmt w:val="decimal"/>
      <w:lvlText w:val="%4."/>
      <w:lvlJc w:val="left"/>
      <w:pPr>
        <w:ind w:left="2880" w:hanging="360"/>
      </w:pPr>
    </w:lvl>
    <w:lvl w:ilvl="4" w:tplc="965A98B0">
      <w:start w:val="1"/>
      <w:numFmt w:val="lowerLetter"/>
      <w:lvlText w:val="%5."/>
      <w:lvlJc w:val="left"/>
      <w:pPr>
        <w:ind w:left="3600" w:hanging="360"/>
      </w:pPr>
    </w:lvl>
    <w:lvl w:ilvl="5" w:tplc="3396912C">
      <w:start w:val="1"/>
      <w:numFmt w:val="lowerRoman"/>
      <w:lvlText w:val="%6."/>
      <w:lvlJc w:val="right"/>
      <w:pPr>
        <w:ind w:left="4320" w:hanging="180"/>
      </w:pPr>
    </w:lvl>
    <w:lvl w:ilvl="6" w:tplc="E3749F4A">
      <w:start w:val="1"/>
      <w:numFmt w:val="decimal"/>
      <w:lvlText w:val="%7."/>
      <w:lvlJc w:val="left"/>
      <w:pPr>
        <w:ind w:left="5040" w:hanging="360"/>
      </w:pPr>
    </w:lvl>
    <w:lvl w:ilvl="7" w:tplc="4D6EF448">
      <w:start w:val="1"/>
      <w:numFmt w:val="lowerLetter"/>
      <w:lvlText w:val="%8."/>
      <w:lvlJc w:val="left"/>
      <w:pPr>
        <w:ind w:left="5760" w:hanging="360"/>
      </w:pPr>
    </w:lvl>
    <w:lvl w:ilvl="8" w:tplc="184C5956">
      <w:start w:val="1"/>
      <w:numFmt w:val="lowerRoman"/>
      <w:lvlText w:val="%9."/>
      <w:lvlJc w:val="right"/>
      <w:pPr>
        <w:ind w:left="6480" w:hanging="180"/>
      </w:pPr>
    </w:lvl>
  </w:abstractNum>
  <w:num w:numId="1" w16cid:durableId="1737780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7556AE"/>
    <w:rsid w:val="0010330C"/>
    <w:rsid w:val="00AAA130"/>
    <w:rsid w:val="00BA2F19"/>
    <w:rsid w:val="025F660C"/>
    <w:rsid w:val="02659791"/>
    <w:rsid w:val="02D39685"/>
    <w:rsid w:val="03A861B0"/>
    <w:rsid w:val="040B57FF"/>
    <w:rsid w:val="04C50FB2"/>
    <w:rsid w:val="04FAF360"/>
    <w:rsid w:val="05176F02"/>
    <w:rsid w:val="051F859A"/>
    <w:rsid w:val="061C1EAE"/>
    <w:rsid w:val="06AC7109"/>
    <w:rsid w:val="06FA3DE9"/>
    <w:rsid w:val="07A9AEBC"/>
    <w:rsid w:val="07B5C65E"/>
    <w:rsid w:val="07E65008"/>
    <w:rsid w:val="07F45BC8"/>
    <w:rsid w:val="08B47A85"/>
    <w:rsid w:val="09B280DC"/>
    <w:rsid w:val="0A9B11FE"/>
    <w:rsid w:val="0B4A9FD6"/>
    <w:rsid w:val="0B837A7C"/>
    <w:rsid w:val="0C74808D"/>
    <w:rsid w:val="0CEE9640"/>
    <w:rsid w:val="0E1B3CF2"/>
    <w:rsid w:val="0E3D99BA"/>
    <w:rsid w:val="0F1A8ADB"/>
    <w:rsid w:val="0F590FC5"/>
    <w:rsid w:val="100811A3"/>
    <w:rsid w:val="113169A2"/>
    <w:rsid w:val="116C9D7D"/>
    <w:rsid w:val="11FB3CE0"/>
    <w:rsid w:val="1266105E"/>
    <w:rsid w:val="128A3372"/>
    <w:rsid w:val="136B1129"/>
    <w:rsid w:val="13ACA74E"/>
    <w:rsid w:val="146444C7"/>
    <w:rsid w:val="158A31F3"/>
    <w:rsid w:val="15EE2D8C"/>
    <w:rsid w:val="1666B512"/>
    <w:rsid w:val="17321980"/>
    <w:rsid w:val="17CBA09D"/>
    <w:rsid w:val="182E78EE"/>
    <w:rsid w:val="18374C8F"/>
    <w:rsid w:val="19F77161"/>
    <w:rsid w:val="1A8CAB2F"/>
    <w:rsid w:val="1B05DF6A"/>
    <w:rsid w:val="1B283D8D"/>
    <w:rsid w:val="1B936093"/>
    <w:rsid w:val="1BF22EB8"/>
    <w:rsid w:val="1CA199E3"/>
    <w:rsid w:val="1D2B44B9"/>
    <w:rsid w:val="1E0F4371"/>
    <w:rsid w:val="1E4C3896"/>
    <w:rsid w:val="1ED43C44"/>
    <w:rsid w:val="1F0283D5"/>
    <w:rsid w:val="1F16C876"/>
    <w:rsid w:val="1FFCF8B1"/>
    <w:rsid w:val="22499C89"/>
    <w:rsid w:val="234D6968"/>
    <w:rsid w:val="23B87443"/>
    <w:rsid w:val="257AC70F"/>
    <w:rsid w:val="25A70562"/>
    <w:rsid w:val="25D44CF0"/>
    <w:rsid w:val="2601CEB2"/>
    <w:rsid w:val="270F86A6"/>
    <w:rsid w:val="280A413A"/>
    <w:rsid w:val="29EFD9AB"/>
    <w:rsid w:val="2B2F481A"/>
    <w:rsid w:val="2BDD9955"/>
    <w:rsid w:val="2C2B2B55"/>
    <w:rsid w:val="2C7556AE"/>
    <w:rsid w:val="2D17E1CC"/>
    <w:rsid w:val="2D848F74"/>
    <w:rsid w:val="2DE51BF4"/>
    <w:rsid w:val="2E58A788"/>
    <w:rsid w:val="2F27FAC9"/>
    <w:rsid w:val="2F6358E4"/>
    <w:rsid w:val="2FDD59C1"/>
    <w:rsid w:val="3056DA63"/>
    <w:rsid w:val="3085C44B"/>
    <w:rsid w:val="308F724B"/>
    <w:rsid w:val="30BF4630"/>
    <w:rsid w:val="317F977B"/>
    <w:rsid w:val="32666A00"/>
    <w:rsid w:val="331BB794"/>
    <w:rsid w:val="332D0CD7"/>
    <w:rsid w:val="33897419"/>
    <w:rsid w:val="340F9F6D"/>
    <w:rsid w:val="343FCA51"/>
    <w:rsid w:val="367C588C"/>
    <w:rsid w:val="36BE39B5"/>
    <w:rsid w:val="395D7CAB"/>
    <w:rsid w:val="3A687C96"/>
    <w:rsid w:val="3ABFC33A"/>
    <w:rsid w:val="3AF6785F"/>
    <w:rsid w:val="3B4427EF"/>
    <w:rsid w:val="3B91A22D"/>
    <w:rsid w:val="3C093440"/>
    <w:rsid w:val="3C6BCFAA"/>
    <w:rsid w:val="3CDC80D0"/>
    <w:rsid w:val="3E177B21"/>
    <w:rsid w:val="3E9A6775"/>
    <w:rsid w:val="3EBEEFD9"/>
    <w:rsid w:val="405278C8"/>
    <w:rsid w:val="4253F28C"/>
    <w:rsid w:val="4311262D"/>
    <w:rsid w:val="438B99DD"/>
    <w:rsid w:val="43CE3BA2"/>
    <w:rsid w:val="44347163"/>
    <w:rsid w:val="4472DD41"/>
    <w:rsid w:val="45F96E1A"/>
    <w:rsid w:val="466EA637"/>
    <w:rsid w:val="46FCD162"/>
    <w:rsid w:val="474185DF"/>
    <w:rsid w:val="48814802"/>
    <w:rsid w:val="48A577A7"/>
    <w:rsid w:val="48E61A2F"/>
    <w:rsid w:val="49D8B4C4"/>
    <w:rsid w:val="49E47286"/>
    <w:rsid w:val="49F21FA4"/>
    <w:rsid w:val="4A8E6114"/>
    <w:rsid w:val="4ACD2997"/>
    <w:rsid w:val="4B23CEE9"/>
    <w:rsid w:val="4BB4CCCE"/>
    <w:rsid w:val="4C597650"/>
    <w:rsid w:val="4CB97372"/>
    <w:rsid w:val="4CD81CFF"/>
    <w:rsid w:val="4D99A7AD"/>
    <w:rsid w:val="4E23DFE5"/>
    <w:rsid w:val="4F49DB0F"/>
    <w:rsid w:val="4FA7A3AB"/>
    <w:rsid w:val="501AD4B9"/>
    <w:rsid w:val="50BEB43B"/>
    <w:rsid w:val="50FB6DDE"/>
    <w:rsid w:val="52CA8C9F"/>
    <w:rsid w:val="535B73D9"/>
    <w:rsid w:val="53C2B042"/>
    <w:rsid w:val="5404DC3F"/>
    <w:rsid w:val="54817A4C"/>
    <w:rsid w:val="55A5D215"/>
    <w:rsid w:val="565B4BA7"/>
    <w:rsid w:val="579179BE"/>
    <w:rsid w:val="58FE7CEA"/>
    <w:rsid w:val="58FFEE25"/>
    <w:rsid w:val="598CCC2B"/>
    <w:rsid w:val="5A93DB18"/>
    <w:rsid w:val="5E608A58"/>
    <w:rsid w:val="5EC444B6"/>
    <w:rsid w:val="5F3D2346"/>
    <w:rsid w:val="60F8B975"/>
    <w:rsid w:val="613E1A37"/>
    <w:rsid w:val="6294EFE9"/>
    <w:rsid w:val="63B5B5EA"/>
    <w:rsid w:val="645EB719"/>
    <w:rsid w:val="64668404"/>
    <w:rsid w:val="6478EFD9"/>
    <w:rsid w:val="64AB1884"/>
    <w:rsid w:val="64B64EA6"/>
    <w:rsid w:val="659093F3"/>
    <w:rsid w:val="65B59CB4"/>
    <w:rsid w:val="65EA116A"/>
    <w:rsid w:val="65EF5249"/>
    <w:rsid w:val="66BCC805"/>
    <w:rsid w:val="67071F06"/>
    <w:rsid w:val="6A5135E3"/>
    <w:rsid w:val="6B4E8521"/>
    <w:rsid w:val="6BDEFAE9"/>
    <w:rsid w:val="6C432AC3"/>
    <w:rsid w:val="6D3799A6"/>
    <w:rsid w:val="6E2B01BA"/>
    <w:rsid w:val="6E43FFF4"/>
    <w:rsid w:val="6F22D941"/>
    <w:rsid w:val="6F9A5171"/>
    <w:rsid w:val="706ADC3B"/>
    <w:rsid w:val="71F09F0B"/>
    <w:rsid w:val="726F200C"/>
    <w:rsid w:val="738083B9"/>
    <w:rsid w:val="748A278F"/>
    <w:rsid w:val="7689A5B9"/>
    <w:rsid w:val="77B63219"/>
    <w:rsid w:val="77DE0154"/>
    <w:rsid w:val="785DCF7B"/>
    <w:rsid w:val="7884DF9F"/>
    <w:rsid w:val="7AAC23DF"/>
    <w:rsid w:val="7BB8F3E5"/>
    <w:rsid w:val="7BD37BCE"/>
    <w:rsid w:val="7BEE93E0"/>
    <w:rsid w:val="7D8E02C6"/>
    <w:rsid w:val="7DE03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556AE"/>
  <w15:chartTrackingRefBased/>
  <w15:docId w15:val="{E9D2D95E-70A1-4748-ADEB-AFD1DC0DD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5B59C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5B59C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5B59CB4"/>
    <w:pPr>
      <w:ind w:left="720"/>
      <w:contextualSpacing/>
    </w:pPr>
  </w:style>
  <w:style w:type="character" w:styleId="Hyperlink">
    <w:name w:val="Hyperlink"/>
    <w:basedOn w:val="DefaultParagraphFont"/>
    <w:uiPriority w:val="99"/>
    <w:unhideWhenUsed/>
    <w:rsid w:val="65B59CB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research/joining-up-health-and-social-care-progress-and-challenges" TargetMode="External"/><Relationship Id="rId3" Type="http://schemas.openxmlformats.org/officeDocument/2006/relationships/settings" Target="settings.xml"/><Relationship Id="rId7" Type="http://schemas.openxmlformats.org/officeDocument/2006/relationships/hyperlink" Target="https://www.gov.uk/government/publications/the-nhs-constitution-for-englan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uidance/care-and-support-statutory-guidance" TargetMode="External"/><Relationship Id="rId11" Type="http://schemas.microsoft.com/office/2020/10/relationships/intelligence" Target="intelligence2.xml"/><Relationship Id="rId5" Type="http://schemas.openxmlformats.org/officeDocument/2006/relationships/hyperlink" Target="https://www.cqc.org.uk/guidance-providers/all-healthcare-providers/person-centred-car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2541</Words>
  <Characters>14485</Characters>
  <Application>Microsoft Office Word</Application>
  <DocSecurity>0</DocSecurity>
  <Lines>120</Lines>
  <Paragraphs>33</Paragraphs>
  <ScaleCrop>false</ScaleCrop>
  <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Dinu 2023 (N1262799)</dc:creator>
  <cp:keywords/>
  <dc:description/>
  <cp:lastModifiedBy>Marian Razvan Etegan</cp:lastModifiedBy>
  <cp:revision>3</cp:revision>
  <dcterms:created xsi:type="dcterms:W3CDTF">2025-11-16T14:34:00Z</dcterms:created>
  <dcterms:modified xsi:type="dcterms:W3CDTF">2025-11-17T07:07:00Z</dcterms:modified>
</cp:coreProperties>
</file>