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78D261"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Basic Acknowledgement format of AI tool use</w:t>
      </w:r>
    </w:p>
    <w:p w14:paraId="7D2BD430"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I acknowledge the use of Chat GPT, (</w:t>
      </w:r>
      <w:hyperlink r:id="rId5" w:history="1">
        <w:r w:rsidRPr="006B000B">
          <w:rPr>
            <w:rStyle w:val="Hyperlink"/>
            <w:rFonts w:ascii="Times New Roman" w:hAnsi="Times New Roman" w:cs="Times New Roman"/>
            <w:sz w:val="24"/>
            <w:szCs w:val="24"/>
          </w:rPr>
          <w:t>https://chatgpt.com/</w:t>
        </w:r>
      </w:hyperlink>
      <w:r w:rsidRPr="006B000B">
        <w:rPr>
          <w:rFonts w:ascii="Times New Roman" w:hAnsi="Times New Roman" w:cs="Times New Roman"/>
          <w:sz w:val="24"/>
          <w:szCs w:val="24"/>
        </w:rPr>
        <w:t xml:space="preserve">) on 09/11/2021 and 14/11/2024 to </w:t>
      </w:r>
    </w:p>
    <w:p w14:paraId="15782682"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1. Tell me the word I </w:t>
      </w:r>
      <w:proofErr w:type="gramStart"/>
      <w:r w:rsidRPr="006B000B">
        <w:rPr>
          <w:rFonts w:ascii="Times New Roman" w:hAnsi="Times New Roman" w:cs="Times New Roman"/>
          <w:sz w:val="24"/>
          <w:szCs w:val="24"/>
        </w:rPr>
        <w:t>couldn’t</w:t>
      </w:r>
      <w:proofErr w:type="gramEnd"/>
      <w:r w:rsidRPr="006B000B">
        <w:rPr>
          <w:rFonts w:ascii="Times New Roman" w:hAnsi="Times New Roman" w:cs="Times New Roman"/>
          <w:sz w:val="24"/>
          <w:szCs w:val="24"/>
        </w:rPr>
        <w:t xml:space="preserve"> quite remember</w:t>
      </w:r>
    </w:p>
    <w:p w14:paraId="3D6A0073"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2. Proofread my essay after completion]. </w:t>
      </w:r>
    </w:p>
    <w:p w14:paraId="26A01099" w14:textId="77777777" w:rsidR="00BC2EFD" w:rsidRPr="006B000B" w:rsidRDefault="00BC2EFD" w:rsidP="00F6082B">
      <w:pPr>
        <w:spacing w:line="240" w:lineRule="auto"/>
        <w:rPr>
          <w:rFonts w:ascii="Times New Roman" w:hAnsi="Times New Roman" w:cs="Times New Roman"/>
          <w:sz w:val="24"/>
          <w:szCs w:val="24"/>
        </w:rPr>
      </w:pPr>
    </w:p>
    <w:p w14:paraId="65A988BC"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I used the prompt(s): </w:t>
      </w:r>
    </w:p>
    <w:p w14:paraId="33EF7541"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1. What is the word that is </w:t>
      </w:r>
      <w:proofErr w:type="gramStart"/>
      <w:r w:rsidRPr="006B000B">
        <w:rPr>
          <w:rFonts w:ascii="Times New Roman" w:hAnsi="Times New Roman" w:cs="Times New Roman"/>
          <w:sz w:val="24"/>
          <w:szCs w:val="24"/>
        </w:rPr>
        <w:t>similar to</w:t>
      </w:r>
      <w:proofErr w:type="gramEnd"/>
      <w:r w:rsidRPr="006B000B">
        <w:rPr>
          <w:rFonts w:ascii="Times New Roman" w:hAnsi="Times New Roman" w:cs="Times New Roman"/>
          <w:sz w:val="24"/>
          <w:szCs w:val="24"/>
        </w:rPr>
        <w:t xml:space="preserve"> a research studies findings, can you give 5 options, please? </w:t>
      </w:r>
    </w:p>
    <w:p w14:paraId="04721A1B"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2. Can you check my essay on the contributions of psychological theories and evidence in aiding the judicial system, specifically the jury decision-making process </w:t>
      </w:r>
    </w:p>
    <w:p w14:paraId="286028F8" w14:textId="77777777" w:rsidR="00BC2EFD" w:rsidRPr="006B000B" w:rsidRDefault="00BC2EFD" w:rsidP="00F6082B">
      <w:pPr>
        <w:spacing w:line="240" w:lineRule="auto"/>
        <w:rPr>
          <w:rFonts w:ascii="Times New Roman" w:hAnsi="Times New Roman" w:cs="Times New Roman"/>
          <w:sz w:val="24"/>
          <w:szCs w:val="24"/>
        </w:rPr>
      </w:pPr>
    </w:p>
    <w:p w14:paraId="0C107D8D"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I acknowledge the use of Google Scholar, (</w:t>
      </w:r>
      <w:hyperlink r:id="rId6" w:history="1">
        <w:r w:rsidRPr="006B000B">
          <w:rPr>
            <w:rStyle w:val="Hyperlink"/>
            <w:rFonts w:ascii="Times New Roman" w:hAnsi="Times New Roman" w:cs="Times New Roman"/>
            <w:sz w:val="24"/>
            <w:szCs w:val="24"/>
          </w:rPr>
          <w:t>https://scholar.google.com/</w:t>
        </w:r>
      </w:hyperlink>
      <w:r w:rsidRPr="006B000B">
        <w:rPr>
          <w:rFonts w:ascii="Times New Roman" w:hAnsi="Times New Roman" w:cs="Times New Roman"/>
          <w:sz w:val="24"/>
          <w:szCs w:val="24"/>
        </w:rPr>
        <w:t xml:space="preserve">) throughout </w:t>
      </w:r>
      <w:proofErr w:type="gramStart"/>
      <w:r w:rsidRPr="006B000B">
        <w:rPr>
          <w:rFonts w:ascii="Times New Roman" w:hAnsi="Times New Roman" w:cs="Times New Roman"/>
          <w:sz w:val="24"/>
          <w:szCs w:val="24"/>
        </w:rPr>
        <w:t>October,</w:t>
      </w:r>
      <w:proofErr w:type="gramEnd"/>
      <w:r w:rsidRPr="006B000B">
        <w:rPr>
          <w:rFonts w:ascii="Times New Roman" w:hAnsi="Times New Roman" w:cs="Times New Roman"/>
          <w:sz w:val="24"/>
          <w:szCs w:val="24"/>
        </w:rPr>
        <w:t xml:space="preserve"> 2024-November, 2024 to</w:t>
      </w:r>
    </w:p>
    <w:p w14:paraId="6FAD3A53" w14:textId="77777777" w:rsidR="00BC2EFD" w:rsidRPr="006B000B" w:rsidRDefault="00BC2EFD" w:rsidP="00F6082B">
      <w:pPr>
        <w:pStyle w:val="ListParagraph"/>
        <w:numPr>
          <w:ilvl w:val="0"/>
          <w:numId w:val="4"/>
        </w:num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Find relevant research </w:t>
      </w:r>
      <w:proofErr w:type="gramStart"/>
      <w:r w:rsidRPr="006B000B">
        <w:rPr>
          <w:rFonts w:ascii="Times New Roman" w:hAnsi="Times New Roman" w:cs="Times New Roman"/>
          <w:sz w:val="24"/>
          <w:szCs w:val="24"/>
        </w:rPr>
        <w:t>articles</w:t>
      </w:r>
      <w:proofErr w:type="gramEnd"/>
    </w:p>
    <w:p w14:paraId="63A37384" w14:textId="77777777" w:rsidR="00BC2EFD" w:rsidRPr="006B000B" w:rsidRDefault="00BC2EFD" w:rsidP="00F6082B">
      <w:pPr>
        <w:pStyle w:val="ListParagraph"/>
        <w:spacing w:line="240" w:lineRule="auto"/>
        <w:rPr>
          <w:rFonts w:ascii="Times New Roman" w:hAnsi="Times New Roman" w:cs="Times New Roman"/>
          <w:sz w:val="24"/>
          <w:szCs w:val="24"/>
        </w:rPr>
      </w:pPr>
    </w:p>
    <w:p w14:paraId="1093886A" w14:textId="77777777" w:rsidR="00BC2EFD" w:rsidRPr="006B000B" w:rsidRDefault="00BC2EFD" w:rsidP="00F6082B">
      <w:pPr>
        <w:pStyle w:val="ListParagraph"/>
        <w:numPr>
          <w:ilvl w:val="0"/>
          <w:numId w:val="4"/>
        </w:num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Find relevant research </w:t>
      </w:r>
      <w:proofErr w:type="gramStart"/>
      <w:r w:rsidRPr="006B000B">
        <w:rPr>
          <w:rFonts w:ascii="Times New Roman" w:hAnsi="Times New Roman" w:cs="Times New Roman"/>
          <w:sz w:val="24"/>
          <w:szCs w:val="24"/>
        </w:rPr>
        <w:t>journals</w:t>
      </w:r>
      <w:proofErr w:type="gramEnd"/>
    </w:p>
    <w:p w14:paraId="06E50ED9" w14:textId="77777777" w:rsidR="00BC2EFD" w:rsidRPr="006B000B" w:rsidRDefault="00BC2EFD" w:rsidP="00F6082B">
      <w:pPr>
        <w:pStyle w:val="ListParagraph"/>
        <w:spacing w:line="240" w:lineRule="auto"/>
        <w:rPr>
          <w:rFonts w:ascii="Times New Roman" w:hAnsi="Times New Roman" w:cs="Times New Roman"/>
          <w:sz w:val="24"/>
          <w:szCs w:val="24"/>
        </w:rPr>
      </w:pPr>
    </w:p>
    <w:p w14:paraId="1C77411F"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I used various prompts:</w:t>
      </w:r>
    </w:p>
    <w:p w14:paraId="260A1522" w14:textId="77777777" w:rsidR="00BC2EFD" w:rsidRPr="006B000B" w:rsidRDefault="00BC2EFD" w:rsidP="00F6082B">
      <w:pPr>
        <w:pStyle w:val="ListParagraph"/>
        <w:numPr>
          <w:ilvl w:val="0"/>
          <w:numId w:val="5"/>
        </w:numPr>
        <w:spacing w:line="240" w:lineRule="auto"/>
        <w:rPr>
          <w:rFonts w:ascii="Times New Roman" w:hAnsi="Times New Roman" w:cs="Times New Roman"/>
          <w:sz w:val="24"/>
          <w:szCs w:val="24"/>
        </w:rPr>
      </w:pPr>
      <w:r w:rsidRPr="006B000B">
        <w:rPr>
          <w:rFonts w:ascii="Times New Roman" w:hAnsi="Times New Roman" w:cs="Times New Roman"/>
          <w:sz w:val="24"/>
          <w:szCs w:val="24"/>
        </w:rPr>
        <w:t>Psychology of the judicial system</w:t>
      </w:r>
    </w:p>
    <w:p w14:paraId="6BD98F24" w14:textId="77777777" w:rsidR="00BC2EFD" w:rsidRPr="006B000B" w:rsidRDefault="00BC2EFD" w:rsidP="00F6082B">
      <w:pPr>
        <w:pStyle w:val="ListParagraph"/>
        <w:numPr>
          <w:ilvl w:val="0"/>
          <w:numId w:val="5"/>
        </w:numPr>
        <w:spacing w:line="240" w:lineRule="auto"/>
        <w:rPr>
          <w:rFonts w:ascii="Times New Roman" w:hAnsi="Times New Roman" w:cs="Times New Roman"/>
          <w:sz w:val="24"/>
          <w:szCs w:val="24"/>
        </w:rPr>
      </w:pPr>
      <w:r w:rsidRPr="006B000B">
        <w:rPr>
          <w:rFonts w:ascii="Times New Roman" w:hAnsi="Times New Roman" w:cs="Times New Roman"/>
          <w:sz w:val="24"/>
          <w:szCs w:val="24"/>
        </w:rPr>
        <w:t>Jury decision-making and psychology</w:t>
      </w:r>
    </w:p>
    <w:p w14:paraId="14555776" w14:textId="77777777" w:rsidR="00BC2EFD" w:rsidRPr="006B000B" w:rsidRDefault="00BC2EFD" w:rsidP="00F6082B">
      <w:pPr>
        <w:pStyle w:val="ListParagraph"/>
        <w:numPr>
          <w:ilvl w:val="0"/>
          <w:numId w:val="5"/>
        </w:numPr>
        <w:spacing w:line="240" w:lineRule="auto"/>
        <w:rPr>
          <w:rFonts w:ascii="Times New Roman" w:hAnsi="Times New Roman" w:cs="Times New Roman"/>
          <w:sz w:val="24"/>
          <w:szCs w:val="24"/>
        </w:rPr>
      </w:pPr>
      <w:r w:rsidRPr="006B000B">
        <w:rPr>
          <w:rFonts w:ascii="Times New Roman" w:hAnsi="Times New Roman" w:cs="Times New Roman"/>
          <w:sz w:val="24"/>
          <w:szCs w:val="24"/>
        </w:rPr>
        <w:t>Pioneer for psychology within the judicial system</w:t>
      </w:r>
    </w:p>
    <w:p w14:paraId="2908F541" w14:textId="77777777" w:rsidR="00BC2EFD" w:rsidRPr="006B000B" w:rsidRDefault="00BC2EFD" w:rsidP="00F6082B">
      <w:pPr>
        <w:pStyle w:val="ListParagraph"/>
        <w:numPr>
          <w:ilvl w:val="0"/>
          <w:numId w:val="5"/>
        </w:num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Has psychology evolved within the judicial </w:t>
      </w:r>
      <w:proofErr w:type="gramStart"/>
      <w:r w:rsidRPr="006B000B">
        <w:rPr>
          <w:rFonts w:ascii="Times New Roman" w:hAnsi="Times New Roman" w:cs="Times New Roman"/>
          <w:sz w:val="24"/>
          <w:szCs w:val="24"/>
        </w:rPr>
        <w:t>system</w:t>
      </w:r>
      <w:proofErr w:type="gramEnd"/>
    </w:p>
    <w:p w14:paraId="57B5789B" w14:textId="77777777" w:rsidR="00BC2EFD" w:rsidRPr="006B000B" w:rsidRDefault="00BC2EFD" w:rsidP="00F6082B">
      <w:pPr>
        <w:pStyle w:val="ListParagraph"/>
        <w:numPr>
          <w:ilvl w:val="0"/>
          <w:numId w:val="5"/>
        </w:num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What are the key psychological factors within the jury decision-making </w:t>
      </w:r>
      <w:proofErr w:type="gramStart"/>
      <w:r w:rsidRPr="006B000B">
        <w:rPr>
          <w:rFonts w:ascii="Times New Roman" w:hAnsi="Times New Roman" w:cs="Times New Roman"/>
          <w:sz w:val="24"/>
          <w:szCs w:val="24"/>
        </w:rPr>
        <w:t>process</w:t>
      </w:r>
      <w:proofErr w:type="gramEnd"/>
    </w:p>
    <w:p w14:paraId="67E0C2C6" w14:textId="77777777" w:rsidR="00BC2EFD" w:rsidRPr="006B000B" w:rsidRDefault="00BC2EFD" w:rsidP="00F6082B">
      <w:pPr>
        <w:spacing w:line="240" w:lineRule="auto"/>
        <w:rPr>
          <w:rFonts w:ascii="Times New Roman" w:hAnsi="Times New Roman" w:cs="Times New Roman"/>
          <w:sz w:val="24"/>
          <w:szCs w:val="24"/>
        </w:rPr>
      </w:pPr>
    </w:p>
    <w:p w14:paraId="349D186C"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I confirm that I have not presented any AI generated text as my own work.</w:t>
      </w:r>
    </w:p>
    <w:p w14:paraId="09BEAFB2" w14:textId="77777777" w:rsidR="00BC2EFD" w:rsidRPr="006B000B" w:rsidRDefault="00BC2EFD" w:rsidP="00F6082B">
      <w:pPr>
        <w:spacing w:line="240" w:lineRule="auto"/>
        <w:rPr>
          <w:rFonts w:ascii="Times New Roman" w:hAnsi="Times New Roman" w:cs="Times New Roman"/>
          <w:sz w:val="24"/>
          <w:szCs w:val="24"/>
        </w:rPr>
      </w:pPr>
      <w:r w:rsidRPr="006B000B">
        <w:rPr>
          <w:rFonts w:ascii="Times New Roman" w:hAnsi="Times New Roman" w:cs="Times New Roman"/>
          <w:sz w:val="24"/>
          <w:szCs w:val="24"/>
        </w:rPr>
        <w:t xml:space="preserve">I confirm I have copies of my drafts, notes, and other resources I used before, and after the use of AI tools which I may </w:t>
      </w:r>
      <w:proofErr w:type="gramStart"/>
      <w:r w:rsidRPr="006B000B">
        <w:rPr>
          <w:rFonts w:ascii="Times New Roman" w:hAnsi="Times New Roman" w:cs="Times New Roman"/>
          <w:sz w:val="24"/>
          <w:szCs w:val="24"/>
        </w:rPr>
        <w:t>be asked</w:t>
      </w:r>
      <w:proofErr w:type="gramEnd"/>
      <w:r w:rsidRPr="006B000B">
        <w:rPr>
          <w:rFonts w:ascii="Times New Roman" w:hAnsi="Times New Roman" w:cs="Times New Roman"/>
          <w:sz w:val="24"/>
          <w:szCs w:val="24"/>
        </w:rPr>
        <w:t xml:space="preserve"> to provide in evidence.</w:t>
      </w:r>
    </w:p>
    <w:p w14:paraId="7366E593" w14:textId="77777777" w:rsidR="00BC2EFD" w:rsidRPr="006B000B" w:rsidRDefault="00BC2EFD" w:rsidP="00F6082B">
      <w:pPr>
        <w:spacing w:line="480" w:lineRule="auto"/>
        <w:rPr>
          <w:rFonts w:ascii="Times New Roman" w:hAnsi="Times New Roman" w:cs="Times New Roman"/>
          <w:sz w:val="24"/>
          <w:szCs w:val="24"/>
        </w:rPr>
      </w:pPr>
    </w:p>
    <w:p w14:paraId="4D823528" w14:textId="77777777" w:rsidR="00BC2EFD" w:rsidRPr="006B000B" w:rsidRDefault="00BC2EFD" w:rsidP="00F6082B">
      <w:pPr>
        <w:spacing w:line="480" w:lineRule="auto"/>
        <w:rPr>
          <w:rFonts w:ascii="Times New Roman" w:hAnsi="Times New Roman" w:cs="Times New Roman"/>
          <w:sz w:val="24"/>
          <w:szCs w:val="24"/>
        </w:rPr>
      </w:pPr>
    </w:p>
    <w:p w14:paraId="173E2A02" w14:textId="77777777" w:rsidR="00BC2EFD" w:rsidRPr="006B000B" w:rsidRDefault="00BC2EFD" w:rsidP="00F6082B">
      <w:pPr>
        <w:spacing w:line="480" w:lineRule="auto"/>
        <w:jc w:val="center"/>
        <w:rPr>
          <w:rFonts w:ascii="Times New Roman" w:hAnsi="Times New Roman" w:cs="Times New Roman"/>
          <w:sz w:val="24"/>
          <w:szCs w:val="24"/>
        </w:rPr>
      </w:pPr>
    </w:p>
    <w:p w14:paraId="1E9A31B0" w14:textId="77777777" w:rsidR="00750289" w:rsidRDefault="00750289" w:rsidP="00F6082B">
      <w:pPr>
        <w:spacing w:line="480" w:lineRule="auto"/>
        <w:jc w:val="center"/>
        <w:rPr>
          <w:rFonts w:ascii="Times New Roman" w:hAnsi="Times New Roman" w:cs="Times New Roman"/>
          <w:sz w:val="24"/>
          <w:szCs w:val="24"/>
        </w:rPr>
      </w:pPr>
    </w:p>
    <w:p w14:paraId="0ED675C5" w14:textId="77777777" w:rsidR="000D11B2" w:rsidRPr="006B000B" w:rsidRDefault="000D11B2" w:rsidP="00F6082B">
      <w:pPr>
        <w:spacing w:line="480" w:lineRule="auto"/>
        <w:jc w:val="center"/>
        <w:rPr>
          <w:rFonts w:ascii="Times New Roman" w:hAnsi="Times New Roman" w:cs="Times New Roman"/>
          <w:sz w:val="24"/>
          <w:szCs w:val="24"/>
        </w:rPr>
      </w:pPr>
    </w:p>
    <w:p w14:paraId="23302A73" w14:textId="20595838" w:rsidR="001401A9" w:rsidRPr="000D11B2" w:rsidRDefault="001401A9" w:rsidP="00F6082B">
      <w:pPr>
        <w:spacing w:line="480" w:lineRule="auto"/>
        <w:jc w:val="center"/>
        <w:rPr>
          <w:rFonts w:ascii="Times New Roman" w:hAnsi="Times New Roman" w:cs="Times New Roman"/>
          <w:sz w:val="28"/>
          <w:szCs w:val="28"/>
        </w:rPr>
      </w:pPr>
      <w:r w:rsidRPr="000D11B2">
        <w:rPr>
          <w:rFonts w:ascii="Times New Roman" w:hAnsi="Times New Roman" w:cs="Times New Roman"/>
          <w:sz w:val="28"/>
          <w:szCs w:val="28"/>
        </w:rPr>
        <w:lastRenderedPageBreak/>
        <w:t>Critically discuss the contribution of psychological theory and evidence in aiding our understanding of judicial processes</w:t>
      </w:r>
    </w:p>
    <w:p w14:paraId="6207A738"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Within the judicial system, juries </w:t>
      </w:r>
      <w:proofErr w:type="gramStart"/>
      <w:r w:rsidRPr="00AB4D00">
        <w:rPr>
          <w:rFonts w:ascii="Times New Roman" w:hAnsi="Times New Roman" w:cs="Times New Roman"/>
          <w:sz w:val="24"/>
          <w:szCs w:val="24"/>
        </w:rPr>
        <w:t>are tasked</w:t>
      </w:r>
      <w:proofErr w:type="gramEnd"/>
      <w:r w:rsidRPr="00AB4D00">
        <w:rPr>
          <w:rFonts w:ascii="Times New Roman" w:hAnsi="Times New Roman" w:cs="Times New Roman"/>
          <w:sz w:val="24"/>
          <w:szCs w:val="24"/>
        </w:rPr>
        <w:t xml:space="preserve"> with the core responsibility of morally rendering verdicts based on evidence and testimonies presented during legal proceedings (Ross, 2023). However, the efficacy of decision-making within a jury </w:t>
      </w:r>
      <w:proofErr w:type="gramStart"/>
      <w:r w:rsidRPr="00AB4D00">
        <w:rPr>
          <w:rFonts w:ascii="Times New Roman" w:hAnsi="Times New Roman" w:cs="Times New Roman"/>
          <w:sz w:val="24"/>
          <w:szCs w:val="24"/>
        </w:rPr>
        <w:t>is influenced</w:t>
      </w:r>
      <w:proofErr w:type="gramEnd"/>
      <w:r w:rsidRPr="00AB4D00">
        <w:rPr>
          <w:rFonts w:ascii="Times New Roman" w:hAnsi="Times New Roman" w:cs="Times New Roman"/>
          <w:sz w:val="24"/>
          <w:szCs w:val="24"/>
        </w:rPr>
        <w:t xml:space="preserve"> not only by the factual evidence presented in a case but also by the psychological processes that underpin human judgement (Curley et al., 2022). This essay aims to critically examine how psychological theories and empirical research highlight the complexities of jury behaviour, revealing the impact of cognitive biases, emotional influences, and social dynamics on decision-making processes, therefore enhancing our understanding of the judicial system's integrity and efficacy. The contribution of psychological theory and evidence within juries significantly enhances the understanding of judicial processes, particularly regarding the functions and importance of juries (Spruill &amp; Hans, 2024). This discussion can be organised into </w:t>
      </w:r>
      <w:proofErr w:type="gramStart"/>
      <w:r w:rsidRPr="00AB4D00">
        <w:rPr>
          <w:rFonts w:ascii="Times New Roman" w:hAnsi="Times New Roman" w:cs="Times New Roman"/>
          <w:sz w:val="24"/>
          <w:szCs w:val="24"/>
        </w:rPr>
        <w:t>several</w:t>
      </w:r>
      <w:proofErr w:type="gramEnd"/>
      <w:r w:rsidRPr="00AB4D00">
        <w:rPr>
          <w:rFonts w:ascii="Times New Roman" w:hAnsi="Times New Roman" w:cs="Times New Roman"/>
          <w:sz w:val="24"/>
          <w:szCs w:val="24"/>
        </w:rPr>
        <w:t xml:space="preserve"> key areas: the role of juries, psychological influences on jury decision-making, and the strengths and implications for the justice system. Juries also interest psychologists who examine how individuals perceive, interpret, and remember evidence and the ways they reach consensus with others (Cheng, 2022). The involvement of juries lends legitimacy to legal process, fostering public confidence that justice is </w:t>
      </w:r>
      <w:proofErr w:type="gramStart"/>
      <w:r w:rsidRPr="00AB4D00">
        <w:rPr>
          <w:rFonts w:ascii="Times New Roman" w:hAnsi="Times New Roman" w:cs="Times New Roman"/>
          <w:sz w:val="24"/>
          <w:szCs w:val="24"/>
        </w:rPr>
        <w:t>being served</w:t>
      </w:r>
      <w:proofErr w:type="gramEnd"/>
      <w:r w:rsidRPr="00AB4D00">
        <w:rPr>
          <w:rFonts w:ascii="Times New Roman" w:hAnsi="Times New Roman" w:cs="Times New Roman"/>
          <w:sz w:val="24"/>
          <w:szCs w:val="24"/>
        </w:rPr>
        <w:t>. This is particularly important in high-stakes cases that may evoke public interest or scrutiny. Juries also hold the legal system accountable to societal values, reinforcing the idea that the law should serve the public rather than an elite group of legal professionals (An &amp; Fan, 2024).</w:t>
      </w:r>
    </w:p>
    <w:p w14:paraId="5AA6F445"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The first application of psychological theory used in the courtroom can </w:t>
      </w:r>
      <w:proofErr w:type="gramStart"/>
      <w:r w:rsidRPr="00AB4D00">
        <w:rPr>
          <w:rFonts w:ascii="Times New Roman" w:hAnsi="Times New Roman" w:cs="Times New Roman"/>
          <w:sz w:val="24"/>
          <w:szCs w:val="24"/>
        </w:rPr>
        <w:t>be traced</w:t>
      </w:r>
      <w:proofErr w:type="gramEnd"/>
      <w:r w:rsidRPr="00AB4D00">
        <w:rPr>
          <w:rFonts w:ascii="Times New Roman" w:hAnsi="Times New Roman" w:cs="Times New Roman"/>
          <w:sz w:val="24"/>
          <w:szCs w:val="24"/>
        </w:rPr>
        <w:t xml:space="preserve"> back to Hugo Munsterberg in 1908 (Munsterberg, 1908). This pioneering work laid the foundation for the intersection of psychology and law, prompting a critical examination of how </w:t>
      </w:r>
      <w:r w:rsidRPr="00AB4D00">
        <w:rPr>
          <w:rFonts w:ascii="Times New Roman" w:hAnsi="Times New Roman" w:cs="Times New Roman"/>
          <w:sz w:val="24"/>
          <w:szCs w:val="24"/>
        </w:rPr>
        <w:lastRenderedPageBreak/>
        <w:t>psychological principles could influence legal proceedings. As a result, the integration of psychological theory into the justice system became a prominent focus of research and debate, an area that continues to evolve today with ongoing investigations into the validity and applicability of psychological theory and evidence within legal settings (Bornstein &amp; Greene, 2011).</w:t>
      </w:r>
    </w:p>
    <w:p w14:paraId="51F5EE9B"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In modern times, the integration and application of psychological theory in legal contexts has expanded significantly. However, the effectiveness of these strategies is still under scrutiny, with research suggesting their success may vary widely based on the specific context, the nature of the biases </w:t>
      </w:r>
      <w:proofErr w:type="gramStart"/>
      <w:r w:rsidRPr="00AB4D00">
        <w:rPr>
          <w:rFonts w:ascii="Times New Roman" w:hAnsi="Times New Roman" w:cs="Times New Roman"/>
          <w:sz w:val="24"/>
          <w:szCs w:val="24"/>
        </w:rPr>
        <w:t>being addressed</w:t>
      </w:r>
      <w:proofErr w:type="gramEnd"/>
      <w:r w:rsidRPr="00AB4D00">
        <w:rPr>
          <w:rFonts w:ascii="Times New Roman" w:hAnsi="Times New Roman" w:cs="Times New Roman"/>
          <w:sz w:val="24"/>
          <w:szCs w:val="24"/>
        </w:rPr>
        <w:t>, and the implementation of these interventions in real-world settings (Sorby &amp; Kehn, 2020; Smith, 2023). However, it is important to emphasise that much of the published empirical evidence comes from simulated courtroom settings rather than real-life trials. Real-world factors such as the emotional weight of a trial, the pressure of public opinion, or the complexity of the case may alter how jurors process evidence and make decisions. Therefore, there is a need for further research that examines jury dynamics in real-world settings to better understand how psychological theories play out in practice (Bornstein &amp; Greene, 2011).</w:t>
      </w:r>
    </w:p>
    <w:p w14:paraId="62CF8D98"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Emotional factors, such as stress or trauma, can significantly influence juror decision-making and the reliability of witness testimony. While research has shown that witnesses under duress may distort memories, the impact of jurors' emotional reactions during deliberations is complex and often influenced by underlying gendered stereotypes. For instance, studies have shown that male jurors' emotional reactions may carry more weight in deliberations compared to female jurors, but this dynamic could </w:t>
      </w:r>
      <w:proofErr w:type="gramStart"/>
      <w:r w:rsidRPr="00AB4D00">
        <w:rPr>
          <w:rFonts w:ascii="Times New Roman" w:hAnsi="Times New Roman" w:cs="Times New Roman"/>
          <w:sz w:val="24"/>
          <w:szCs w:val="24"/>
        </w:rPr>
        <w:t>be exacerbated</w:t>
      </w:r>
      <w:proofErr w:type="gramEnd"/>
      <w:r w:rsidRPr="00AB4D00">
        <w:rPr>
          <w:rFonts w:ascii="Times New Roman" w:hAnsi="Times New Roman" w:cs="Times New Roman"/>
          <w:sz w:val="24"/>
          <w:szCs w:val="24"/>
        </w:rPr>
        <w:t xml:space="preserve"> by cultural biases, further complicating the fairness of the deliberation process (Fischer, 1993; Salerno et al., 2017). Furthermore, these emotional dynamics may not be consistent across different trial contexts, suggesting a need for more research into how these biases manifest and interact during real </w:t>
      </w:r>
      <w:r w:rsidRPr="00AB4D00">
        <w:rPr>
          <w:rFonts w:ascii="Times New Roman" w:hAnsi="Times New Roman" w:cs="Times New Roman"/>
          <w:sz w:val="24"/>
          <w:szCs w:val="24"/>
        </w:rPr>
        <w:lastRenderedPageBreak/>
        <w:t xml:space="preserve">trials. For instance, Salerno et al. (2017) found that male jurors expressing anger were more influential, while female jurors became less so under similar emotional conditions. However, this study fails to account for other variables, such as jurors' previous experiences with emotional expression or the nature of the case itself. Fischer (1993) highlights how women’s emotional expressions may be undervalued due to gendered stereotypes, but it remains unclear whether this dynamic is consistent across </w:t>
      </w:r>
      <w:proofErr w:type="gramStart"/>
      <w:r w:rsidRPr="00AB4D00">
        <w:rPr>
          <w:rFonts w:ascii="Times New Roman" w:hAnsi="Times New Roman" w:cs="Times New Roman"/>
          <w:sz w:val="24"/>
          <w:szCs w:val="24"/>
        </w:rPr>
        <w:t>different cultural</w:t>
      </w:r>
      <w:proofErr w:type="gramEnd"/>
      <w:r w:rsidRPr="00AB4D00">
        <w:rPr>
          <w:rFonts w:ascii="Times New Roman" w:hAnsi="Times New Roman" w:cs="Times New Roman"/>
          <w:sz w:val="24"/>
          <w:szCs w:val="24"/>
        </w:rPr>
        <w:t xml:space="preserve"> or trial contexts. Furthermore, while emotional expressions may marginalise women’s voices, there is a lack of research on how jury diversity or specific interventions, like jury training, might mitigate such biases. More research </w:t>
      </w:r>
      <w:proofErr w:type="gramStart"/>
      <w:r w:rsidRPr="00AB4D00">
        <w:rPr>
          <w:rFonts w:ascii="Times New Roman" w:hAnsi="Times New Roman" w:cs="Times New Roman"/>
          <w:sz w:val="24"/>
          <w:szCs w:val="24"/>
        </w:rPr>
        <w:t>is needed</w:t>
      </w:r>
      <w:proofErr w:type="gramEnd"/>
      <w:r w:rsidRPr="00AB4D00">
        <w:rPr>
          <w:rFonts w:ascii="Times New Roman" w:hAnsi="Times New Roman" w:cs="Times New Roman"/>
          <w:sz w:val="24"/>
          <w:szCs w:val="24"/>
        </w:rPr>
        <w:t xml:space="preserve"> to understand the underlying mechanisms that influence these emotional dynamics and how they impact the fairness of deliberations. Furthermore, in a study by Sheehan et al., (2017) it </w:t>
      </w:r>
      <w:proofErr w:type="gramStart"/>
      <w:r w:rsidRPr="00AB4D00">
        <w:rPr>
          <w:rFonts w:ascii="Times New Roman" w:hAnsi="Times New Roman" w:cs="Times New Roman"/>
          <w:sz w:val="24"/>
          <w:szCs w:val="24"/>
        </w:rPr>
        <w:t>was revealed</w:t>
      </w:r>
      <w:proofErr w:type="gramEnd"/>
      <w:r w:rsidRPr="00AB4D00">
        <w:rPr>
          <w:rFonts w:ascii="Times New Roman" w:hAnsi="Times New Roman" w:cs="Times New Roman"/>
          <w:sz w:val="24"/>
          <w:szCs w:val="24"/>
        </w:rPr>
        <w:t xml:space="preserve"> that jurors were more influenced on victim age, especially when the victim was either described as a child or adult. This study reveals that mock jurors viewed the defendant as more guilty in sexual abuse cases when both the defendant and the victim </w:t>
      </w:r>
      <w:proofErr w:type="gramStart"/>
      <w:r w:rsidRPr="00AB4D00">
        <w:rPr>
          <w:rFonts w:ascii="Times New Roman" w:hAnsi="Times New Roman" w:cs="Times New Roman"/>
          <w:sz w:val="24"/>
          <w:szCs w:val="24"/>
        </w:rPr>
        <w:t>were described</w:t>
      </w:r>
      <w:proofErr w:type="gramEnd"/>
      <w:r w:rsidRPr="00AB4D00">
        <w:rPr>
          <w:rFonts w:ascii="Times New Roman" w:hAnsi="Times New Roman" w:cs="Times New Roman"/>
          <w:sz w:val="24"/>
          <w:szCs w:val="24"/>
        </w:rPr>
        <w:t xml:space="preserve"> as young adults. It is possible that the ages used in this study </w:t>
      </w:r>
      <w:proofErr w:type="gramStart"/>
      <w:r w:rsidRPr="00AB4D00">
        <w:rPr>
          <w:rFonts w:ascii="Times New Roman" w:hAnsi="Times New Roman" w:cs="Times New Roman"/>
          <w:sz w:val="24"/>
          <w:szCs w:val="24"/>
        </w:rPr>
        <w:t>were perceived</w:t>
      </w:r>
      <w:proofErr w:type="gramEnd"/>
      <w:r w:rsidRPr="00AB4D00">
        <w:rPr>
          <w:rFonts w:ascii="Times New Roman" w:hAnsi="Times New Roman" w:cs="Times New Roman"/>
          <w:sz w:val="24"/>
          <w:szCs w:val="24"/>
        </w:rPr>
        <w:t xml:space="preserve"> as too advanced, leading jurors to believe young adults were more capable of dishonesty. Research indicates that adolescent victims </w:t>
      </w:r>
      <w:proofErr w:type="gramStart"/>
      <w:r w:rsidRPr="00AB4D00">
        <w:rPr>
          <w:rFonts w:ascii="Times New Roman" w:hAnsi="Times New Roman" w:cs="Times New Roman"/>
          <w:sz w:val="24"/>
          <w:szCs w:val="24"/>
        </w:rPr>
        <w:t>are often viewed</w:t>
      </w:r>
      <w:proofErr w:type="gramEnd"/>
      <w:r w:rsidRPr="00AB4D00">
        <w:rPr>
          <w:rFonts w:ascii="Times New Roman" w:hAnsi="Times New Roman" w:cs="Times New Roman"/>
          <w:sz w:val="24"/>
          <w:szCs w:val="24"/>
        </w:rPr>
        <w:t xml:space="preserve"> as less credible and more prone to lying compared to younger children (Dykstra et al., 2022; Weissman, 2022). These findings suggest that older children and adolescents may </w:t>
      </w:r>
      <w:proofErr w:type="gramStart"/>
      <w:r w:rsidRPr="00AB4D00">
        <w:rPr>
          <w:rFonts w:ascii="Times New Roman" w:hAnsi="Times New Roman" w:cs="Times New Roman"/>
          <w:sz w:val="24"/>
          <w:szCs w:val="24"/>
        </w:rPr>
        <w:t>be viewed</w:t>
      </w:r>
      <w:proofErr w:type="gramEnd"/>
      <w:r w:rsidRPr="00AB4D00">
        <w:rPr>
          <w:rFonts w:ascii="Times New Roman" w:hAnsi="Times New Roman" w:cs="Times New Roman"/>
          <w:sz w:val="24"/>
          <w:szCs w:val="24"/>
        </w:rPr>
        <w:t xml:space="preserve"> more negatively, influencing jurors’ perceptions of the defendant’s guilt.</w:t>
      </w:r>
    </w:p>
    <w:p w14:paraId="4F77DF87"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Encompassing cognitive bias is significant when looking at jurors in the deliberation process. Cognitive biases, such as confirmation bias, have </w:t>
      </w:r>
      <w:proofErr w:type="gramStart"/>
      <w:r w:rsidRPr="00AB4D00">
        <w:rPr>
          <w:rFonts w:ascii="Times New Roman" w:hAnsi="Times New Roman" w:cs="Times New Roman"/>
          <w:sz w:val="24"/>
          <w:szCs w:val="24"/>
        </w:rPr>
        <w:t>been widely documented</w:t>
      </w:r>
      <w:proofErr w:type="gramEnd"/>
      <w:r w:rsidRPr="00AB4D00">
        <w:rPr>
          <w:rFonts w:ascii="Times New Roman" w:hAnsi="Times New Roman" w:cs="Times New Roman"/>
          <w:sz w:val="24"/>
          <w:szCs w:val="24"/>
        </w:rPr>
        <w:t xml:space="preserve"> as influencing juror decision-making, often leading to distorted interpretations of evidence (Edmond &amp; Martire, 2019). While confirmation bias helps jurors make quicker decisions, particularly in complex cases, this tendency can also skew judgement by reinforcing pre-existing beliefs, sometimes at the cost of fairness (Cullen et al., 2024). Jurors may selectively recall evidence </w:t>
      </w:r>
      <w:r w:rsidRPr="00AB4D00">
        <w:rPr>
          <w:rFonts w:ascii="Times New Roman" w:hAnsi="Times New Roman" w:cs="Times New Roman"/>
          <w:sz w:val="24"/>
          <w:szCs w:val="24"/>
        </w:rPr>
        <w:lastRenderedPageBreak/>
        <w:t xml:space="preserve">that supports their views, while dismissing contradictory information, a phenomenon exacerbated by group deliberations. This confirmation bias can skew the interpretation of evidence, leading to decisions that are less about objective analysis and more about reinforcing group consensus or pre-existing beliefs. However, research has also suggested that in </w:t>
      </w:r>
      <w:proofErr w:type="gramStart"/>
      <w:r w:rsidRPr="00AB4D00">
        <w:rPr>
          <w:rFonts w:ascii="Times New Roman" w:hAnsi="Times New Roman" w:cs="Times New Roman"/>
          <w:sz w:val="24"/>
          <w:szCs w:val="24"/>
        </w:rPr>
        <w:t>some</w:t>
      </w:r>
      <w:proofErr w:type="gramEnd"/>
      <w:r w:rsidRPr="00AB4D00">
        <w:rPr>
          <w:rFonts w:ascii="Times New Roman" w:hAnsi="Times New Roman" w:cs="Times New Roman"/>
          <w:sz w:val="24"/>
          <w:szCs w:val="24"/>
        </w:rPr>
        <w:t xml:space="preserve"> contexts, confirmation bias can help jurors reach consensus more quickly, which might improve efficiency in deliberations, though at the potential cost of fairness (Edmond &amp; Martire, 2019; Cullen et al., 2024). However, it is essential to consider that this bias is not always detrimental. In certain cases, confirmation bias can allow jurors to maintain consistency in their judgements, which may aid in reaching a consensus more quickly. The research on confirmation bias tends to focus primarily on its negative effects, yet it is worth considering whether in </w:t>
      </w:r>
      <w:proofErr w:type="gramStart"/>
      <w:r w:rsidRPr="00AB4D00">
        <w:rPr>
          <w:rFonts w:ascii="Times New Roman" w:hAnsi="Times New Roman" w:cs="Times New Roman"/>
          <w:sz w:val="24"/>
          <w:szCs w:val="24"/>
        </w:rPr>
        <w:t>some</w:t>
      </w:r>
      <w:proofErr w:type="gramEnd"/>
      <w:r w:rsidRPr="00AB4D00">
        <w:rPr>
          <w:rFonts w:ascii="Times New Roman" w:hAnsi="Times New Roman" w:cs="Times New Roman"/>
          <w:sz w:val="24"/>
          <w:szCs w:val="24"/>
        </w:rPr>
        <w:t xml:space="preserve"> circumstances it may help juries feel more confident in their decisions. For example, in cases with ambiguous or incomplete evidence, a jury may reach a verdict that reflects shared beliefs, thus avoiding prolonged deliberations. Moreover, while confirmation bias can amplify prejudices related to race, gender, or socio-economic status, there are alternative perspectives suggesting that well-designed jury instructions and impartial facilitation of deliberations can mitigate such biases. Therefore, further investigation is needed into how jury instructions and the role of the judge in moderating deliberations may influence the strength of confirmation bias in practice, especially given the varying effectiveness of these measures in different </w:t>
      </w:r>
      <w:proofErr w:type="gramStart"/>
      <w:r w:rsidRPr="00AB4D00">
        <w:rPr>
          <w:rFonts w:ascii="Times New Roman" w:hAnsi="Times New Roman" w:cs="Times New Roman"/>
          <w:sz w:val="24"/>
          <w:szCs w:val="24"/>
        </w:rPr>
        <w:t>jurisdictions</w:t>
      </w:r>
      <w:proofErr w:type="gramEnd"/>
      <w:r w:rsidRPr="00AB4D00">
        <w:rPr>
          <w:rFonts w:ascii="Times New Roman" w:hAnsi="Times New Roman" w:cs="Times New Roman"/>
          <w:sz w:val="24"/>
          <w:szCs w:val="24"/>
        </w:rPr>
        <w:t xml:space="preserve">. While jury instructions and open-minded deliberation can mitigate </w:t>
      </w:r>
      <w:proofErr w:type="gramStart"/>
      <w:r w:rsidRPr="00AB4D00">
        <w:rPr>
          <w:rFonts w:ascii="Times New Roman" w:hAnsi="Times New Roman" w:cs="Times New Roman"/>
          <w:sz w:val="24"/>
          <w:szCs w:val="24"/>
        </w:rPr>
        <w:t>some</w:t>
      </w:r>
      <w:proofErr w:type="gramEnd"/>
      <w:r w:rsidRPr="00AB4D00">
        <w:rPr>
          <w:rFonts w:ascii="Times New Roman" w:hAnsi="Times New Roman" w:cs="Times New Roman"/>
          <w:sz w:val="24"/>
          <w:szCs w:val="24"/>
        </w:rPr>
        <w:t xml:space="preserve"> effects, confirmation bias remains a significant challenge to fair and impartial trials. Confirmation bias has its own strengths and limitations, confirmation bias in jury decision-making can provide a sense of efficiency, allowing jurors to make quicker decisions by reinforcing initial judgements, especially in complex or ambiguous cases. However, its primary weakness lies in distorting the interpretation of evidence, as jurors may ignore or misinterpret information that contradicts their beliefs. This </w:t>
      </w:r>
      <w:r w:rsidRPr="00AB4D00">
        <w:rPr>
          <w:rFonts w:ascii="Times New Roman" w:hAnsi="Times New Roman" w:cs="Times New Roman"/>
          <w:sz w:val="24"/>
          <w:szCs w:val="24"/>
        </w:rPr>
        <w:lastRenderedPageBreak/>
        <w:t xml:space="preserve">can lead to unjust verdicts, particularly when personal prejudices </w:t>
      </w:r>
      <w:proofErr w:type="gramStart"/>
      <w:r w:rsidRPr="00AB4D00">
        <w:rPr>
          <w:rFonts w:ascii="Times New Roman" w:hAnsi="Times New Roman" w:cs="Times New Roman"/>
          <w:sz w:val="24"/>
          <w:szCs w:val="24"/>
        </w:rPr>
        <w:t>are amplified</w:t>
      </w:r>
      <w:proofErr w:type="gramEnd"/>
      <w:r w:rsidRPr="00AB4D00">
        <w:rPr>
          <w:rFonts w:ascii="Times New Roman" w:hAnsi="Times New Roman" w:cs="Times New Roman"/>
          <w:sz w:val="24"/>
          <w:szCs w:val="24"/>
        </w:rPr>
        <w:t>, and irrelevant factors like race, gender, or socio-economic status influence decisions. During deliberations, confirmation bias can also create a feedback loop, further entrenching biased group opinions.</w:t>
      </w:r>
    </w:p>
    <w:p w14:paraId="44C719AE"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In addition to cognitive biases like confirmation bias, jurors </w:t>
      </w:r>
      <w:proofErr w:type="gramStart"/>
      <w:r w:rsidRPr="00AB4D00">
        <w:rPr>
          <w:rFonts w:ascii="Times New Roman" w:hAnsi="Times New Roman" w:cs="Times New Roman"/>
          <w:sz w:val="24"/>
          <w:szCs w:val="24"/>
        </w:rPr>
        <w:t>are often influenced</w:t>
      </w:r>
      <w:proofErr w:type="gramEnd"/>
      <w:r w:rsidRPr="00AB4D00">
        <w:rPr>
          <w:rFonts w:ascii="Times New Roman" w:hAnsi="Times New Roman" w:cs="Times New Roman"/>
          <w:sz w:val="24"/>
          <w:szCs w:val="24"/>
        </w:rPr>
        <w:t xml:space="preserve"> by a range of biases that can distort their interpretation of evidence and the fairness of the trial. Jury bias can take </w:t>
      </w:r>
      <w:proofErr w:type="gramStart"/>
      <w:r w:rsidRPr="00AB4D00">
        <w:rPr>
          <w:rFonts w:ascii="Times New Roman" w:hAnsi="Times New Roman" w:cs="Times New Roman"/>
          <w:sz w:val="24"/>
          <w:szCs w:val="24"/>
        </w:rPr>
        <w:t>many</w:t>
      </w:r>
      <w:proofErr w:type="gramEnd"/>
      <w:r w:rsidRPr="00AB4D00">
        <w:rPr>
          <w:rFonts w:ascii="Times New Roman" w:hAnsi="Times New Roman" w:cs="Times New Roman"/>
          <w:sz w:val="24"/>
          <w:szCs w:val="24"/>
        </w:rPr>
        <w:t xml:space="preserve"> forms, including racial, gender, and socio-economic biases. These biases, which can be implicit or explicit, are frequently shaped by societal stereotypes and prejudices, influencing jurors' perceptions of the defendant, the victim, or even the legal process itself (Diamond &amp; Hans, 2024). For instance, research has shown that jurors may be more likely to convict defendants from racial minorities, even when the evidence is the same as for a White defendant (Sommers &amp; Ellsworth, 2000). Similarly, jurors may have biased perceptions of victims based on their gender or socio-economic status, leading to sympathy bias or attribution bias in cases involving diverse types of victims. This bias can affect both the credibility of witnesses and the perceived severity of the crime, with women and children often viewed as more sympathetic victims compared to adult males (Schmidt &amp; Brigham, 1996). Jury bias can foster empathy and understanding in </w:t>
      </w:r>
      <w:proofErr w:type="gramStart"/>
      <w:r w:rsidRPr="00AB4D00">
        <w:rPr>
          <w:rFonts w:ascii="Times New Roman" w:hAnsi="Times New Roman" w:cs="Times New Roman"/>
          <w:sz w:val="24"/>
          <w:szCs w:val="24"/>
        </w:rPr>
        <w:t>some</w:t>
      </w:r>
      <w:proofErr w:type="gramEnd"/>
      <w:r w:rsidRPr="00AB4D00">
        <w:rPr>
          <w:rFonts w:ascii="Times New Roman" w:hAnsi="Times New Roman" w:cs="Times New Roman"/>
          <w:sz w:val="24"/>
          <w:szCs w:val="24"/>
        </w:rPr>
        <w:t xml:space="preserve"> cases by drawing on shared values or experiences. However, its limitations are far-reaching, as bias based on race, gender, or socio-economic status can distort verdicts, leading to significant disparities in trial outcomes. Research suggests that racial biases can result in harsher penalties for minority defendants, even when evidence is equivalent, raising serious concerns about the impartiality of the legal process (Sommers &amp; Ellsworth, 2000). Moreover, gender and socio-economic biases can affect not just verdicts but also the perceived credibility of witnesses, especially in cases where victims or defendants fit certain stereotypical profiles (Schmidt &amp; Brigham, 1996). This compromises impartiality and undermines the integrity of the judicial system.</w:t>
      </w:r>
    </w:p>
    <w:p w14:paraId="253107AC"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lastRenderedPageBreak/>
        <w:t xml:space="preserve">In a study published in 1983, researchers investigated the influence of defence attorneys' gender on juror perceptions in rape cases (Villemur &amp; Hyde, 1983). The experimental design involved manipulating </w:t>
      </w:r>
      <w:proofErr w:type="gramStart"/>
      <w:r w:rsidRPr="00AB4D00">
        <w:rPr>
          <w:rFonts w:ascii="Times New Roman" w:hAnsi="Times New Roman" w:cs="Times New Roman"/>
          <w:sz w:val="24"/>
          <w:szCs w:val="24"/>
        </w:rPr>
        <w:t>several</w:t>
      </w:r>
      <w:proofErr w:type="gramEnd"/>
      <w:r w:rsidRPr="00AB4D00">
        <w:rPr>
          <w:rFonts w:ascii="Times New Roman" w:hAnsi="Times New Roman" w:cs="Times New Roman"/>
          <w:sz w:val="24"/>
          <w:szCs w:val="24"/>
        </w:rPr>
        <w:t xml:space="preserve"> variables: the gender of the defence attorney, the attractiveness of the victim, the victim's age, and the gender of the undergraduate mock jurors. Participants </w:t>
      </w:r>
      <w:proofErr w:type="gramStart"/>
      <w:r w:rsidRPr="00AB4D00">
        <w:rPr>
          <w:rFonts w:ascii="Times New Roman" w:hAnsi="Times New Roman" w:cs="Times New Roman"/>
          <w:sz w:val="24"/>
          <w:szCs w:val="24"/>
        </w:rPr>
        <w:t>were tasked</w:t>
      </w:r>
      <w:proofErr w:type="gramEnd"/>
      <w:r w:rsidRPr="00AB4D00">
        <w:rPr>
          <w:rFonts w:ascii="Times New Roman" w:hAnsi="Times New Roman" w:cs="Times New Roman"/>
          <w:sz w:val="24"/>
          <w:szCs w:val="24"/>
        </w:rPr>
        <w:t xml:space="preserve"> with listening to a fifty-minute audio recording of a simulated trial. The findings revealed that the presence of a female defence attorney correlated with a lower incidence of guilty verdicts compared to a male defence attorney. Furthermore, a significant interaction </w:t>
      </w:r>
      <w:proofErr w:type="gramStart"/>
      <w:r w:rsidRPr="00AB4D00">
        <w:rPr>
          <w:rFonts w:ascii="Times New Roman" w:hAnsi="Times New Roman" w:cs="Times New Roman"/>
          <w:sz w:val="24"/>
          <w:szCs w:val="24"/>
        </w:rPr>
        <w:t>was observed</w:t>
      </w:r>
      <w:proofErr w:type="gramEnd"/>
      <w:r w:rsidRPr="00AB4D00">
        <w:rPr>
          <w:rFonts w:ascii="Times New Roman" w:hAnsi="Times New Roman" w:cs="Times New Roman"/>
          <w:sz w:val="24"/>
          <w:szCs w:val="24"/>
        </w:rPr>
        <w:t xml:space="preserve"> between juror gender and the gender of the defence attorney regarding fault attribution. These results underscore the complex interplay of gender dynamics within legal contexts, particularly in cases involving sexual violence.</w:t>
      </w:r>
    </w:p>
    <w:p w14:paraId="650014B1"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While this study provides foundational evidence regarding the influence of defence attorney gender on rape trials, it fails to elucidate the underlying mechanisms driving these effects, particularly by not accounting for potential mediating variables such as attorney competence. Moreover, the researchers' study focuses exclusively on the gender of the defence attorney, without manipulating the gender of the prosecuting attorney or the gender ratio within the jury, restricting the analysis and presents a limited understanding of the dynamics involving female attorneys within the courtroom context. This oversight suggests the need for further investigation into how gender interactions among legal representatives influence juror perceptions and decision-making.</w:t>
      </w:r>
    </w:p>
    <w:p w14:paraId="4F26C7E1"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This study shows another key factor, which is the role of biases and stereotypes. Vast research has shown that jurors may bring personal preconceived notions into the deliberation process, which can affect interpretation of evidence and testimonies. The results of these studies indicate that jurors may also react differently to defendants based on race, gender, socioeconomic status, or how a defendant presents themselves within the courtroom (Grosso &amp; O’Brien, 2024). Stereotyping in jury decision-making can help jurors process information </w:t>
      </w:r>
      <w:r w:rsidRPr="00AB4D00">
        <w:rPr>
          <w:rFonts w:ascii="Times New Roman" w:hAnsi="Times New Roman" w:cs="Times New Roman"/>
          <w:sz w:val="24"/>
          <w:szCs w:val="24"/>
        </w:rPr>
        <w:lastRenderedPageBreak/>
        <w:t xml:space="preserve">more quickly, but it also poses significant risks. It may result in biased decisions based on factors like race or gender, compromising fairness and impartiality. This can reinforce discrimination and weaken trust in the justice system, highlighting the need for careful, unbiased deliberation. Stereotyping could </w:t>
      </w:r>
      <w:proofErr w:type="gramStart"/>
      <w:r w:rsidRPr="00AB4D00">
        <w:rPr>
          <w:rFonts w:ascii="Times New Roman" w:hAnsi="Times New Roman" w:cs="Times New Roman"/>
          <w:sz w:val="24"/>
          <w:szCs w:val="24"/>
        </w:rPr>
        <w:t>be linked</w:t>
      </w:r>
      <w:proofErr w:type="gramEnd"/>
      <w:r w:rsidRPr="00AB4D00">
        <w:rPr>
          <w:rFonts w:ascii="Times New Roman" w:hAnsi="Times New Roman" w:cs="Times New Roman"/>
          <w:sz w:val="24"/>
          <w:szCs w:val="24"/>
        </w:rPr>
        <w:t xml:space="preserve"> to the psychological theory, The Social Identity Theory (Tajfel &amp; Turner, 1979).</w:t>
      </w:r>
    </w:p>
    <w:p w14:paraId="1DCEED10"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The Story-Telling Model (Pennington &amp; Hastie, 1992) emphasises the importance of narrative structure in shaping juror engagement and emotional responses. While it can make complex cases more relatable, this model also raises concerns about the fairness of the process. Emotional appeals, which are central to the model, can lead jurors to base decisions on emotional resonance rather than objective evaluation of evidence, potentially undermining impartiality (Younan, 2023). The ethical implications of using emotional manipulation in this context deserve further exploration, particularly in cases where vulnerable victims are involved or where evidence is ambiguous. Emotional engagement, which is central to the model, can lead jurors to base their decisions on emotional appeal rather than objective evidence. This becomes particularly problematic in cases involving vulnerable victims or ambiguous evidence, where emotional narratives may distort the jurors' judgement. Though the model improves juror involvement, its reliance on emotional influence risks undermining impartiality.</w:t>
      </w:r>
    </w:p>
    <w:p w14:paraId="26694EFD"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The Elaboration Likelihood Model (ELM) of persuasion, developed by Petty and Cacioppo (1986) (Petty &amp; Cacioppo, 1986; Wagner &amp; Petty, 2022), offers a valuable framework for understanding how jurors process information during trials. According to ELM, jurors can </w:t>
      </w:r>
      <w:proofErr w:type="gramStart"/>
      <w:r w:rsidRPr="00AB4D00">
        <w:rPr>
          <w:rFonts w:ascii="Times New Roman" w:hAnsi="Times New Roman" w:cs="Times New Roman"/>
          <w:sz w:val="24"/>
          <w:szCs w:val="24"/>
        </w:rPr>
        <w:t>be influenced</w:t>
      </w:r>
      <w:proofErr w:type="gramEnd"/>
      <w:r w:rsidRPr="00AB4D00">
        <w:rPr>
          <w:rFonts w:ascii="Times New Roman" w:hAnsi="Times New Roman" w:cs="Times New Roman"/>
          <w:sz w:val="24"/>
          <w:szCs w:val="24"/>
        </w:rPr>
        <w:t xml:space="preserve"> through either the central route, which involves careful, thoughtful consideration of evidence and arguments, or the peripheral route, where decisions are swayed by superficial cues, such as the likability of an attorney or emotional appeals. This supports and aligns with the Story-Telling Model of legal persuasion, which emphasises the narrative structure of a </w:t>
      </w:r>
      <w:r w:rsidRPr="00AB4D00">
        <w:rPr>
          <w:rFonts w:ascii="Times New Roman" w:hAnsi="Times New Roman" w:cs="Times New Roman"/>
          <w:sz w:val="24"/>
          <w:szCs w:val="24"/>
        </w:rPr>
        <w:lastRenderedPageBreak/>
        <w:t>case. In the courtroom, attorneys often use the story-telling approach to craft compelling narratives, appealing to jurors' emotions, and shaping their perceptions. These narratives, whether through dramatic framing or emotional engagement, can activate the peripheral route of persuasion in jurors, causing them to focus more on the emotional or persuasive aspects of the case rather than its logical merits (Younan, 2023). This shift can lead jurors to make decisions based on emotional resonance or persuasive techniques rather than objective evaluation of evidence. The intersection of the ELM and the Story-Telling Model thus underscores a critical challenge in jury decision-making: while such strategies can make cases more relatable and engaging, they may also distort verdicts, reinforcing cognitive biases and undermining impartiality by prioritising emotional influence over rational deliberation.</w:t>
      </w:r>
    </w:p>
    <w:p w14:paraId="31080106"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Empirical studies in recent years have highlighted various issues. Research </w:t>
      </w:r>
      <w:proofErr w:type="gramStart"/>
      <w:r w:rsidRPr="00AB4D00">
        <w:rPr>
          <w:rFonts w:ascii="Times New Roman" w:hAnsi="Times New Roman" w:cs="Times New Roman"/>
          <w:sz w:val="24"/>
          <w:szCs w:val="24"/>
        </w:rPr>
        <w:t>utilising</w:t>
      </w:r>
      <w:proofErr w:type="gramEnd"/>
      <w:r w:rsidRPr="00AB4D00">
        <w:rPr>
          <w:rFonts w:ascii="Times New Roman" w:hAnsi="Times New Roman" w:cs="Times New Roman"/>
          <w:sz w:val="24"/>
          <w:szCs w:val="24"/>
        </w:rPr>
        <w:t xml:space="preserve"> experimental designs has demonstrated how factors like group dynamics or framing effects can alter perceptions of guilt or innocence. For example, studies have shown that the way evidence </w:t>
      </w:r>
      <w:proofErr w:type="gramStart"/>
      <w:r w:rsidRPr="00AB4D00">
        <w:rPr>
          <w:rFonts w:ascii="Times New Roman" w:hAnsi="Times New Roman" w:cs="Times New Roman"/>
          <w:sz w:val="24"/>
          <w:szCs w:val="24"/>
        </w:rPr>
        <w:t>is presented</w:t>
      </w:r>
      <w:proofErr w:type="gramEnd"/>
      <w:r w:rsidRPr="00AB4D00">
        <w:rPr>
          <w:rFonts w:ascii="Times New Roman" w:hAnsi="Times New Roman" w:cs="Times New Roman"/>
          <w:sz w:val="24"/>
          <w:szCs w:val="24"/>
        </w:rPr>
        <w:t xml:space="preserve"> can significantly influence jury decisions, emphasising the importance of effective communication in the courtroom. The storytelling model makes evidence more relatable by framing it as a narrative, fostering engagement but risking bias and oversimplification. The ELM suggests jurors </w:t>
      </w:r>
      <w:proofErr w:type="gramStart"/>
      <w:r w:rsidRPr="00AB4D00">
        <w:rPr>
          <w:rFonts w:ascii="Times New Roman" w:hAnsi="Times New Roman" w:cs="Times New Roman"/>
          <w:sz w:val="24"/>
          <w:szCs w:val="24"/>
        </w:rPr>
        <w:t>are persuaded</w:t>
      </w:r>
      <w:proofErr w:type="gramEnd"/>
      <w:r w:rsidRPr="00AB4D00">
        <w:rPr>
          <w:rFonts w:ascii="Times New Roman" w:hAnsi="Times New Roman" w:cs="Times New Roman"/>
          <w:sz w:val="24"/>
          <w:szCs w:val="24"/>
        </w:rPr>
        <w:t xml:space="preserve"> either by the central route or peripheral route, with the central route encouraging thoughtful decisions but the peripheral route introducing bias. Both models enhance engagement but can distort judgement if jurors focus on emotions or superficial factors over facts.</w:t>
      </w:r>
    </w:p>
    <w:p w14:paraId="1B1C171A"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As discussions around fairness and impartiality continue to gain traction, there is an increasing emphasis on ensuring that legal processes remain impartial. Initiatives aimed at reducing implicit biases, such as training programmes for law enforcement and jurors are becoming more common (Su, 2020). These efforts seek to create a legal environment where decisions are based on facts and unbiased treatment, rather than unconscious prejudices.</w:t>
      </w:r>
    </w:p>
    <w:p w14:paraId="1FAF04B5"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lastRenderedPageBreak/>
        <w:t>A final area for further exploration is the role of diversity in the jury system. Research on this issue suggests that diverse juries may be more likely to challenge groupthink, identify reasoning errors, and reach fairer verdicts. This diversity could potentially help mitigate biases that emerge in deliberation processes. Additionally, the influence of modern technologies such as social media and digital deliberation warrants further investigation, as these elements may introduce new biases or influence jury members' decisions in unprecedented ways.</w:t>
      </w:r>
    </w:p>
    <w:p w14:paraId="18545971" w14:textId="77777777" w:rsidR="00F6082B" w:rsidRPr="00AB4D00"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In summary, the integration of psychological theory into the justice system has evolved to encompass a broader range of factors, including emotional influences, cognitive biases, and empirical research. This ongoing exploration not only enhances the understanding of legal processes but also strives to promote fairness and impartiality in the pursuit of justice.</w:t>
      </w:r>
    </w:p>
    <w:p w14:paraId="7CFA21CB" w14:textId="77777777" w:rsidR="00F6082B" w:rsidRPr="006B000B" w:rsidRDefault="00F6082B" w:rsidP="00F6082B">
      <w:pPr>
        <w:spacing w:line="480" w:lineRule="auto"/>
        <w:rPr>
          <w:rFonts w:ascii="Times New Roman" w:hAnsi="Times New Roman" w:cs="Times New Roman"/>
          <w:sz w:val="24"/>
          <w:szCs w:val="24"/>
        </w:rPr>
      </w:pPr>
      <w:r w:rsidRPr="00AB4D00">
        <w:rPr>
          <w:rFonts w:ascii="Times New Roman" w:hAnsi="Times New Roman" w:cs="Times New Roman"/>
          <w:sz w:val="24"/>
          <w:szCs w:val="24"/>
        </w:rPr>
        <w:t xml:space="preserve">While psychological theory offers valuable insights into jury decision-making, a more critical analysis is necessary to fully understand its real-world implications. Additionally, the ethical concerns surrounding the use of emotional appeals in the Story-Telling Model warrant further scrutiny, as these tactics may undermine impartiality. Finally, a deeper examination of the intersectionality of biases, examining how factors such as gender, race, and socio-economic status interact, could reveal more about the nuanced ways in which jurors' decisions are shaped. Addressing these limitations would enhance our understanding of how psychological insights can </w:t>
      </w:r>
      <w:proofErr w:type="gramStart"/>
      <w:r w:rsidRPr="00AB4D00">
        <w:rPr>
          <w:rFonts w:ascii="Times New Roman" w:hAnsi="Times New Roman" w:cs="Times New Roman"/>
          <w:sz w:val="24"/>
          <w:szCs w:val="24"/>
        </w:rPr>
        <w:t>be more effectively integrated</w:t>
      </w:r>
      <w:proofErr w:type="gramEnd"/>
      <w:r w:rsidRPr="00AB4D00">
        <w:rPr>
          <w:rFonts w:ascii="Times New Roman" w:hAnsi="Times New Roman" w:cs="Times New Roman"/>
          <w:sz w:val="24"/>
          <w:szCs w:val="24"/>
        </w:rPr>
        <w:t xml:space="preserve"> into legal processes.</w:t>
      </w:r>
    </w:p>
    <w:p w14:paraId="01EEDD12" w14:textId="77777777" w:rsidR="000D11B2" w:rsidRDefault="000D11B2" w:rsidP="00F6082B">
      <w:pPr>
        <w:spacing w:line="480" w:lineRule="auto"/>
        <w:rPr>
          <w:rFonts w:ascii="Times New Roman" w:hAnsi="Times New Roman" w:cs="Times New Roman"/>
          <w:sz w:val="24"/>
          <w:szCs w:val="24"/>
        </w:rPr>
      </w:pPr>
    </w:p>
    <w:p w14:paraId="7A137766" w14:textId="77777777" w:rsidR="000D11B2" w:rsidRDefault="000D11B2" w:rsidP="00F6082B">
      <w:pPr>
        <w:spacing w:line="480" w:lineRule="auto"/>
        <w:rPr>
          <w:rFonts w:ascii="Times New Roman" w:hAnsi="Times New Roman" w:cs="Times New Roman"/>
          <w:sz w:val="24"/>
          <w:szCs w:val="24"/>
        </w:rPr>
      </w:pPr>
    </w:p>
    <w:p w14:paraId="28598985" w14:textId="77777777" w:rsidR="000D11B2" w:rsidRDefault="000D11B2" w:rsidP="00F6082B">
      <w:pPr>
        <w:spacing w:line="480" w:lineRule="auto"/>
        <w:rPr>
          <w:rFonts w:ascii="Times New Roman" w:hAnsi="Times New Roman" w:cs="Times New Roman"/>
          <w:sz w:val="24"/>
          <w:szCs w:val="24"/>
        </w:rPr>
      </w:pPr>
    </w:p>
    <w:p w14:paraId="526DB117" w14:textId="77777777" w:rsidR="000D11B2" w:rsidRDefault="000D11B2" w:rsidP="00F6082B">
      <w:pPr>
        <w:spacing w:line="480" w:lineRule="auto"/>
        <w:rPr>
          <w:rFonts w:ascii="Times New Roman" w:hAnsi="Times New Roman" w:cs="Times New Roman"/>
          <w:sz w:val="24"/>
          <w:szCs w:val="24"/>
        </w:rPr>
      </w:pPr>
    </w:p>
    <w:p w14:paraId="6631342D" w14:textId="0DFD8897" w:rsidR="00BC2EFD" w:rsidRPr="006B000B" w:rsidRDefault="00BC2EFD" w:rsidP="00F6082B">
      <w:pPr>
        <w:spacing w:line="480" w:lineRule="auto"/>
        <w:rPr>
          <w:rFonts w:ascii="Times New Roman" w:hAnsi="Times New Roman" w:cs="Times New Roman"/>
          <w:sz w:val="24"/>
          <w:szCs w:val="24"/>
        </w:rPr>
      </w:pPr>
      <w:r w:rsidRPr="006B000B">
        <w:rPr>
          <w:rFonts w:ascii="Times New Roman" w:hAnsi="Times New Roman" w:cs="Times New Roman"/>
          <w:sz w:val="24"/>
          <w:szCs w:val="24"/>
        </w:rPr>
        <w:lastRenderedPageBreak/>
        <w:t>Reference list:</w:t>
      </w:r>
    </w:p>
    <w:p w14:paraId="457AC7E8" w14:textId="02C38B66" w:rsidR="00BC2EFD" w:rsidRPr="00BC2EFD" w:rsidRDefault="00BC2EFD" w:rsidP="00F6082B">
      <w:pPr>
        <w:spacing w:line="480" w:lineRule="auto"/>
        <w:ind w:left="720" w:hanging="720"/>
        <w:rPr>
          <w:rFonts w:ascii="Times New Roman" w:hAnsi="Times New Roman" w:cs="Times New Roman"/>
          <w:sz w:val="24"/>
          <w:szCs w:val="24"/>
        </w:rPr>
      </w:pPr>
      <w:proofErr w:type="gramStart"/>
      <w:r w:rsidRPr="00BC2EFD">
        <w:rPr>
          <w:rFonts w:ascii="Times New Roman" w:hAnsi="Times New Roman" w:cs="Times New Roman"/>
          <w:sz w:val="24"/>
          <w:szCs w:val="24"/>
        </w:rPr>
        <w:t>An,</w:t>
      </w:r>
      <w:proofErr w:type="gramEnd"/>
      <w:r w:rsidRPr="00BC2EFD">
        <w:rPr>
          <w:rFonts w:ascii="Times New Roman" w:hAnsi="Times New Roman" w:cs="Times New Roman"/>
          <w:sz w:val="24"/>
          <w:szCs w:val="24"/>
        </w:rPr>
        <w:t xml:space="preserve"> Y., &amp; Fan, Y. (2024). Beyond the Verdict: The Impact of Juries on Judicial Support. </w:t>
      </w:r>
      <w:r w:rsidRPr="00BC2EFD">
        <w:rPr>
          <w:rFonts w:ascii="Times New Roman" w:hAnsi="Times New Roman" w:cs="Times New Roman"/>
          <w:i/>
          <w:iCs/>
          <w:sz w:val="24"/>
          <w:szCs w:val="24"/>
        </w:rPr>
        <w:t>Elsevier Inc</w:t>
      </w:r>
      <w:r w:rsidRPr="00BC2EFD">
        <w:rPr>
          <w:rFonts w:ascii="Times New Roman" w:hAnsi="Times New Roman" w:cs="Times New Roman"/>
          <w:sz w:val="24"/>
          <w:szCs w:val="24"/>
        </w:rPr>
        <w:t xml:space="preserve">. </w:t>
      </w:r>
      <w:hyperlink r:id="rId7" w:history="1">
        <w:r w:rsidRPr="00BC2EFD">
          <w:rPr>
            <w:rStyle w:val="Hyperlink"/>
            <w:rFonts w:ascii="Times New Roman" w:hAnsi="Times New Roman" w:cs="Times New Roman"/>
            <w:sz w:val="24"/>
            <w:szCs w:val="24"/>
          </w:rPr>
          <w:t>https://doi.org/10.2139/ssrn.4950429</w:t>
        </w:r>
      </w:hyperlink>
      <w:r w:rsidRPr="006B000B">
        <w:rPr>
          <w:rFonts w:ascii="Times New Roman" w:hAnsi="Times New Roman" w:cs="Times New Roman"/>
          <w:sz w:val="24"/>
          <w:szCs w:val="24"/>
        </w:rPr>
        <w:t xml:space="preserve"> </w:t>
      </w:r>
    </w:p>
    <w:p w14:paraId="1253EE4B" w14:textId="2DDCC061"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Bornstein, B. H., &amp; Greene, E. (2011). Jury decision making: Implications for and from psychology. </w:t>
      </w:r>
      <w:r w:rsidRPr="00BC2EFD">
        <w:rPr>
          <w:rFonts w:ascii="Times New Roman" w:hAnsi="Times New Roman" w:cs="Times New Roman"/>
          <w:i/>
          <w:iCs/>
          <w:sz w:val="24"/>
          <w:szCs w:val="24"/>
        </w:rPr>
        <w:t>Current Directions in Psychological Science</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20</w:t>
      </w:r>
      <w:r w:rsidRPr="00BC2EFD">
        <w:rPr>
          <w:rFonts w:ascii="Times New Roman" w:hAnsi="Times New Roman" w:cs="Times New Roman"/>
          <w:sz w:val="24"/>
          <w:szCs w:val="24"/>
        </w:rPr>
        <w:t xml:space="preserve">(1), 63–67. </w:t>
      </w:r>
      <w:hyperlink r:id="rId8" w:history="1">
        <w:r w:rsidRPr="00BC2EFD">
          <w:rPr>
            <w:rStyle w:val="Hyperlink"/>
            <w:rFonts w:ascii="Times New Roman" w:hAnsi="Times New Roman" w:cs="Times New Roman"/>
            <w:sz w:val="24"/>
            <w:szCs w:val="24"/>
          </w:rPr>
          <w:t>https://doi.org/10.1177/0963721410397282</w:t>
        </w:r>
      </w:hyperlink>
      <w:r w:rsidRPr="006B000B">
        <w:rPr>
          <w:rFonts w:ascii="Times New Roman" w:hAnsi="Times New Roman" w:cs="Times New Roman"/>
          <w:sz w:val="24"/>
          <w:szCs w:val="24"/>
        </w:rPr>
        <w:t xml:space="preserve"> </w:t>
      </w:r>
    </w:p>
    <w:p w14:paraId="38E97303" w14:textId="49A4A535"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Cheng, E. (2022, November 13). </w:t>
      </w:r>
      <w:r w:rsidRPr="00BC2EFD">
        <w:rPr>
          <w:rFonts w:ascii="Times New Roman" w:hAnsi="Times New Roman" w:cs="Times New Roman"/>
          <w:i/>
          <w:iCs/>
          <w:sz w:val="24"/>
          <w:szCs w:val="24"/>
        </w:rPr>
        <w:t xml:space="preserve">The Consensus Rule: A New Approach </w:t>
      </w:r>
      <w:proofErr w:type="gramStart"/>
      <w:r w:rsidRPr="00BC2EFD">
        <w:rPr>
          <w:rFonts w:ascii="Times New Roman" w:hAnsi="Times New Roman" w:cs="Times New Roman"/>
          <w:i/>
          <w:iCs/>
          <w:sz w:val="24"/>
          <w:szCs w:val="24"/>
        </w:rPr>
        <w:t>To</w:t>
      </w:r>
      <w:proofErr w:type="gramEnd"/>
      <w:r w:rsidRPr="00BC2EFD">
        <w:rPr>
          <w:rFonts w:ascii="Times New Roman" w:hAnsi="Times New Roman" w:cs="Times New Roman"/>
          <w:i/>
          <w:iCs/>
          <w:sz w:val="24"/>
          <w:szCs w:val="24"/>
        </w:rPr>
        <w:t xml:space="preserve"> Scientific Evidence</w:t>
      </w:r>
      <w:r w:rsidRPr="00BC2EFD">
        <w:rPr>
          <w:rFonts w:ascii="Times New Roman" w:hAnsi="Times New Roman" w:cs="Times New Roman"/>
          <w:sz w:val="24"/>
          <w:szCs w:val="24"/>
        </w:rPr>
        <w:t xml:space="preserve">. HeinOnline. </w:t>
      </w:r>
      <w:hyperlink r:id="rId9" w:history="1">
        <w:r w:rsidRPr="00BC2EFD">
          <w:rPr>
            <w:rStyle w:val="Hyperlink"/>
            <w:rFonts w:ascii="Times New Roman" w:hAnsi="Times New Roman" w:cs="Times New Roman"/>
            <w:sz w:val="24"/>
            <w:szCs w:val="24"/>
          </w:rPr>
          <w:t>https://heinonline.org/HOL/LandingPage?handle=hein.journals/vanlr75&amp;div=14&amp;id=&amp;page=</w:t>
        </w:r>
      </w:hyperlink>
      <w:r w:rsidRPr="006B000B">
        <w:rPr>
          <w:rFonts w:ascii="Times New Roman" w:hAnsi="Times New Roman" w:cs="Times New Roman"/>
          <w:sz w:val="24"/>
          <w:szCs w:val="24"/>
        </w:rPr>
        <w:t xml:space="preserve"> </w:t>
      </w:r>
    </w:p>
    <w:p w14:paraId="6EEE03AB" w14:textId="3D5D8592"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Cullen, H. J., Dilevski, N., Nitschke, F. T., Ribeiro, G., Brind, S., &amp; Woolley, N. (2024). The impact of misinformation presented during jury deliberation on juror memory and decision-making. </w:t>
      </w:r>
      <w:r w:rsidRPr="00BC2EFD">
        <w:rPr>
          <w:rFonts w:ascii="Times New Roman" w:hAnsi="Times New Roman" w:cs="Times New Roman"/>
          <w:i/>
          <w:iCs/>
          <w:sz w:val="24"/>
          <w:szCs w:val="24"/>
        </w:rPr>
        <w:t>Frontiers in Psychology</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15</w:t>
      </w:r>
      <w:r w:rsidRPr="00BC2EFD">
        <w:rPr>
          <w:rFonts w:ascii="Times New Roman" w:hAnsi="Times New Roman" w:cs="Times New Roman"/>
          <w:sz w:val="24"/>
          <w:szCs w:val="24"/>
        </w:rPr>
        <w:t xml:space="preserve">. </w:t>
      </w:r>
      <w:hyperlink r:id="rId10" w:history="1">
        <w:r w:rsidRPr="00BC2EFD">
          <w:rPr>
            <w:rStyle w:val="Hyperlink"/>
            <w:rFonts w:ascii="Times New Roman" w:hAnsi="Times New Roman" w:cs="Times New Roman"/>
            <w:sz w:val="24"/>
            <w:szCs w:val="24"/>
          </w:rPr>
          <w:t>https://doi.org/10.3389/fpsyg.2024.1232228</w:t>
        </w:r>
      </w:hyperlink>
      <w:r w:rsidRPr="006B000B">
        <w:rPr>
          <w:rFonts w:ascii="Times New Roman" w:hAnsi="Times New Roman" w:cs="Times New Roman"/>
          <w:sz w:val="24"/>
          <w:szCs w:val="24"/>
        </w:rPr>
        <w:t xml:space="preserve"> </w:t>
      </w:r>
    </w:p>
    <w:p w14:paraId="3C0F9F32" w14:textId="27A8094E"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Curley, L. J., Munro, J., &amp; Dror, I. E. (2022). Cognitive and human factors in legal layperson decision making: Sources of bias in juror decision making. </w:t>
      </w:r>
      <w:r w:rsidRPr="00BC2EFD">
        <w:rPr>
          <w:rFonts w:ascii="Times New Roman" w:hAnsi="Times New Roman" w:cs="Times New Roman"/>
          <w:i/>
          <w:iCs/>
          <w:sz w:val="24"/>
          <w:szCs w:val="24"/>
        </w:rPr>
        <w:t>Medicine Science and the Law</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62</w:t>
      </w:r>
      <w:r w:rsidRPr="00BC2EFD">
        <w:rPr>
          <w:rFonts w:ascii="Times New Roman" w:hAnsi="Times New Roman" w:cs="Times New Roman"/>
          <w:sz w:val="24"/>
          <w:szCs w:val="24"/>
        </w:rPr>
        <w:t xml:space="preserve">(3), 206–215. </w:t>
      </w:r>
      <w:hyperlink r:id="rId11" w:history="1">
        <w:r w:rsidRPr="00BC2EFD">
          <w:rPr>
            <w:rStyle w:val="Hyperlink"/>
            <w:rFonts w:ascii="Times New Roman" w:hAnsi="Times New Roman" w:cs="Times New Roman"/>
            <w:sz w:val="24"/>
            <w:szCs w:val="24"/>
          </w:rPr>
          <w:t>https://doi.org/10.1177/00258024221080655</w:t>
        </w:r>
      </w:hyperlink>
      <w:r w:rsidRPr="006B000B">
        <w:rPr>
          <w:rFonts w:ascii="Times New Roman" w:hAnsi="Times New Roman" w:cs="Times New Roman"/>
          <w:sz w:val="24"/>
          <w:szCs w:val="24"/>
        </w:rPr>
        <w:t xml:space="preserve"> </w:t>
      </w:r>
    </w:p>
    <w:p w14:paraId="3E5B268B" w14:textId="1D54EB92"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Dabbs, E. R. (2023). </w:t>
      </w:r>
      <w:r w:rsidRPr="00BC2EFD">
        <w:rPr>
          <w:rFonts w:ascii="Times New Roman" w:hAnsi="Times New Roman" w:cs="Times New Roman"/>
          <w:i/>
          <w:iCs/>
          <w:sz w:val="24"/>
          <w:szCs w:val="24"/>
        </w:rPr>
        <w:t>Understanding the impact of scientific testimony on potential jury members: independent and interactive effects of expert characteristics and jury member’s social location</w:t>
      </w:r>
      <w:r w:rsidRPr="00BC2EFD">
        <w:rPr>
          <w:rFonts w:ascii="Times New Roman" w:hAnsi="Times New Roman" w:cs="Times New Roman"/>
          <w:sz w:val="24"/>
          <w:szCs w:val="24"/>
        </w:rPr>
        <w:t xml:space="preserve">. The Research Repository @ WVU. </w:t>
      </w:r>
      <w:hyperlink r:id="rId12" w:history="1">
        <w:r w:rsidRPr="00BC2EFD">
          <w:rPr>
            <w:rStyle w:val="Hyperlink"/>
            <w:rFonts w:ascii="Times New Roman" w:hAnsi="Times New Roman" w:cs="Times New Roman"/>
            <w:sz w:val="24"/>
            <w:szCs w:val="24"/>
          </w:rPr>
          <w:t>https://researchrepository.wvu.edu/etd/12244/</w:t>
        </w:r>
      </w:hyperlink>
      <w:r w:rsidRPr="006B000B">
        <w:rPr>
          <w:rFonts w:ascii="Times New Roman" w:hAnsi="Times New Roman" w:cs="Times New Roman"/>
          <w:sz w:val="24"/>
          <w:szCs w:val="24"/>
        </w:rPr>
        <w:t xml:space="preserve"> </w:t>
      </w:r>
    </w:p>
    <w:p w14:paraId="49E2731E" w14:textId="24953FC8"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lastRenderedPageBreak/>
        <w:t xml:space="preserve">Diamond, S., &amp; Hans, V. (2024, November 13). </w:t>
      </w:r>
      <w:r w:rsidRPr="00BC2EFD">
        <w:rPr>
          <w:rFonts w:ascii="Times New Roman" w:hAnsi="Times New Roman" w:cs="Times New Roman"/>
          <w:i/>
          <w:iCs/>
          <w:sz w:val="24"/>
          <w:szCs w:val="24"/>
        </w:rPr>
        <w:t>Fair juries</w:t>
      </w:r>
      <w:r w:rsidRPr="00BC2EFD">
        <w:rPr>
          <w:rFonts w:ascii="Times New Roman" w:hAnsi="Times New Roman" w:cs="Times New Roman"/>
          <w:sz w:val="24"/>
          <w:szCs w:val="24"/>
        </w:rPr>
        <w:t xml:space="preserve">. HeinOnline. </w:t>
      </w:r>
      <w:hyperlink r:id="rId13" w:history="1">
        <w:r w:rsidRPr="00BC2EFD">
          <w:rPr>
            <w:rStyle w:val="Hyperlink"/>
            <w:rFonts w:ascii="Times New Roman" w:hAnsi="Times New Roman" w:cs="Times New Roman"/>
            <w:sz w:val="24"/>
            <w:szCs w:val="24"/>
          </w:rPr>
          <w:t>https://heinonline.org/HOL/LandingPage?handle=hein.journals/unilllr2023&amp;div=28&amp;id=&amp;page=</w:t>
        </w:r>
      </w:hyperlink>
      <w:r w:rsidRPr="006B000B">
        <w:rPr>
          <w:rFonts w:ascii="Times New Roman" w:hAnsi="Times New Roman" w:cs="Times New Roman"/>
          <w:sz w:val="24"/>
          <w:szCs w:val="24"/>
        </w:rPr>
        <w:t xml:space="preserve"> </w:t>
      </w:r>
    </w:p>
    <w:p w14:paraId="0F6730D3" w14:textId="2E646EB8"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Dykstra, V. W., Van Der Kant, R., Keller, C. E., Bruer, K. C., Price, H. L., &amp; Evans, A. D. (2022). The impact of the consistency of child witness and peer reports on credibility. </w:t>
      </w:r>
      <w:r w:rsidRPr="00BC2EFD">
        <w:rPr>
          <w:rFonts w:ascii="Times New Roman" w:hAnsi="Times New Roman" w:cs="Times New Roman"/>
          <w:i/>
          <w:iCs/>
          <w:sz w:val="24"/>
          <w:szCs w:val="24"/>
        </w:rPr>
        <w:t>Journal of Interpersonal Violence</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38</w:t>
      </w:r>
      <w:r w:rsidRPr="00BC2EFD">
        <w:rPr>
          <w:rFonts w:ascii="Times New Roman" w:hAnsi="Times New Roman" w:cs="Times New Roman"/>
          <w:sz w:val="24"/>
          <w:szCs w:val="24"/>
        </w:rPr>
        <w:t xml:space="preserve">(9–10), 6601–6623. </w:t>
      </w:r>
      <w:hyperlink r:id="rId14" w:history="1">
        <w:r w:rsidRPr="00BC2EFD">
          <w:rPr>
            <w:rStyle w:val="Hyperlink"/>
            <w:rFonts w:ascii="Times New Roman" w:hAnsi="Times New Roman" w:cs="Times New Roman"/>
            <w:sz w:val="24"/>
            <w:szCs w:val="24"/>
          </w:rPr>
          <w:t>https://doi.org/10.1177/08862605221137708</w:t>
        </w:r>
      </w:hyperlink>
      <w:r w:rsidRPr="006B000B">
        <w:rPr>
          <w:rFonts w:ascii="Times New Roman" w:hAnsi="Times New Roman" w:cs="Times New Roman"/>
          <w:sz w:val="24"/>
          <w:szCs w:val="24"/>
        </w:rPr>
        <w:t xml:space="preserve"> </w:t>
      </w:r>
    </w:p>
    <w:p w14:paraId="04C8C9DA" w14:textId="192B335C"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Edmond, G., &amp; Martire, K. A. (2019). Just Cognition: Scientific research on bias and </w:t>
      </w:r>
      <w:proofErr w:type="gramStart"/>
      <w:r w:rsidRPr="00BC2EFD">
        <w:rPr>
          <w:rFonts w:ascii="Times New Roman" w:hAnsi="Times New Roman" w:cs="Times New Roman"/>
          <w:sz w:val="24"/>
          <w:szCs w:val="24"/>
        </w:rPr>
        <w:t>some</w:t>
      </w:r>
      <w:proofErr w:type="gramEnd"/>
      <w:r w:rsidRPr="00BC2EFD">
        <w:rPr>
          <w:rFonts w:ascii="Times New Roman" w:hAnsi="Times New Roman" w:cs="Times New Roman"/>
          <w:sz w:val="24"/>
          <w:szCs w:val="24"/>
        </w:rPr>
        <w:t xml:space="preserve"> implications for legal procedure and Decision‐Making. </w:t>
      </w:r>
      <w:r w:rsidRPr="00BC2EFD">
        <w:rPr>
          <w:rFonts w:ascii="Times New Roman" w:hAnsi="Times New Roman" w:cs="Times New Roman"/>
          <w:i/>
          <w:iCs/>
          <w:sz w:val="24"/>
          <w:szCs w:val="24"/>
        </w:rPr>
        <w:t>Modern Law Review</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82</w:t>
      </w:r>
      <w:r w:rsidRPr="00BC2EFD">
        <w:rPr>
          <w:rFonts w:ascii="Times New Roman" w:hAnsi="Times New Roman" w:cs="Times New Roman"/>
          <w:sz w:val="24"/>
          <w:szCs w:val="24"/>
        </w:rPr>
        <w:t xml:space="preserve">(4), 633–664. </w:t>
      </w:r>
      <w:hyperlink r:id="rId15" w:history="1">
        <w:r w:rsidRPr="00BC2EFD">
          <w:rPr>
            <w:rStyle w:val="Hyperlink"/>
            <w:rFonts w:ascii="Times New Roman" w:hAnsi="Times New Roman" w:cs="Times New Roman"/>
            <w:sz w:val="24"/>
            <w:szCs w:val="24"/>
          </w:rPr>
          <w:t>https://doi.org/10.1111/1468-2230.12424</w:t>
        </w:r>
      </w:hyperlink>
      <w:r w:rsidRPr="006B000B">
        <w:rPr>
          <w:rFonts w:ascii="Times New Roman" w:hAnsi="Times New Roman" w:cs="Times New Roman"/>
          <w:sz w:val="24"/>
          <w:szCs w:val="24"/>
        </w:rPr>
        <w:t xml:space="preserve"> </w:t>
      </w:r>
    </w:p>
    <w:p w14:paraId="25F45057" w14:textId="10D3DFDA"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Fischer, A. H. (1993). Sex Differences in emotionality: fact or stereotype? </w:t>
      </w:r>
      <w:r w:rsidRPr="00BC2EFD">
        <w:rPr>
          <w:rFonts w:ascii="Times New Roman" w:hAnsi="Times New Roman" w:cs="Times New Roman"/>
          <w:i/>
          <w:iCs/>
          <w:sz w:val="24"/>
          <w:szCs w:val="24"/>
        </w:rPr>
        <w:t>Feminism &amp; Psychology</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3</w:t>
      </w:r>
      <w:r w:rsidRPr="00BC2EFD">
        <w:rPr>
          <w:rFonts w:ascii="Times New Roman" w:hAnsi="Times New Roman" w:cs="Times New Roman"/>
          <w:sz w:val="24"/>
          <w:szCs w:val="24"/>
        </w:rPr>
        <w:t xml:space="preserve">(3), 303–318. </w:t>
      </w:r>
      <w:hyperlink r:id="rId16" w:history="1">
        <w:r w:rsidRPr="00BC2EFD">
          <w:rPr>
            <w:rStyle w:val="Hyperlink"/>
            <w:rFonts w:ascii="Times New Roman" w:hAnsi="Times New Roman" w:cs="Times New Roman"/>
            <w:sz w:val="24"/>
            <w:szCs w:val="24"/>
          </w:rPr>
          <w:t>https://doi.org/10.1177/0959353593033002</w:t>
        </w:r>
      </w:hyperlink>
      <w:r w:rsidRPr="006B000B">
        <w:rPr>
          <w:rFonts w:ascii="Times New Roman" w:hAnsi="Times New Roman" w:cs="Times New Roman"/>
          <w:sz w:val="24"/>
          <w:szCs w:val="24"/>
        </w:rPr>
        <w:t xml:space="preserve"> </w:t>
      </w:r>
    </w:p>
    <w:p w14:paraId="28BAF086" w14:textId="033C9CB9"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Grosso, C. M., &amp; O’Brien, B. (2024). Jury selection and race. In </w:t>
      </w:r>
      <w:r w:rsidRPr="00BC2EFD">
        <w:rPr>
          <w:rFonts w:ascii="Times New Roman" w:hAnsi="Times New Roman" w:cs="Times New Roman"/>
          <w:i/>
          <w:iCs/>
          <w:sz w:val="24"/>
          <w:szCs w:val="24"/>
        </w:rPr>
        <w:t>Edward Elgar Publishing eBooks</w:t>
      </w:r>
      <w:r w:rsidRPr="00BC2EFD">
        <w:rPr>
          <w:rFonts w:ascii="Times New Roman" w:hAnsi="Times New Roman" w:cs="Times New Roman"/>
          <w:sz w:val="24"/>
          <w:szCs w:val="24"/>
        </w:rPr>
        <w:t xml:space="preserve"> (pp. 122–135). </w:t>
      </w:r>
      <w:hyperlink r:id="rId17" w:history="1">
        <w:r w:rsidRPr="00BC2EFD">
          <w:rPr>
            <w:rStyle w:val="Hyperlink"/>
            <w:rFonts w:ascii="Times New Roman" w:hAnsi="Times New Roman" w:cs="Times New Roman"/>
            <w:sz w:val="24"/>
            <w:szCs w:val="24"/>
          </w:rPr>
          <w:t>https://doi.org/10.4337/9781800881921.00017</w:t>
        </w:r>
      </w:hyperlink>
      <w:r w:rsidRPr="006B000B">
        <w:rPr>
          <w:rFonts w:ascii="Times New Roman" w:hAnsi="Times New Roman" w:cs="Times New Roman"/>
          <w:sz w:val="24"/>
          <w:szCs w:val="24"/>
        </w:rPr>
        <w:t xml:space="preserve"> </w:t>
      </w:r>
    </w:p>
    <w:p w14:paraId="26AA1322" w14:textId="0A11580B"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Leib, Margarita, Köbis, Nils, Soraperra, Ivan, Weisel, Ori, Shalvi, &amp; Shaul. (2021, December 21). </w:t>
      </w:r>
      <w:r w:rsidRPr="00BC2EFD">
        <w:rPr>
          <w:rFonts w:ascii="Times New Roman" w:hAnsi="Times New Roman" w:cs="Times New Roman"/>
          <w:i/>
          <w:iCs/>
          <w:sz w:val="24"/>
          <w:szCs w:val="24"/>
        </w:rPr>
        <w:t>Collaborative Dishonesty: A Meta-analytic review</w:t>
      </w:r>
      <w:r w:rsidRPr="00BC2EFD">
        <w:rPr>
          <w:rFonts w:ascii="Times New Roman" w:hAnsi="Times New Roman" w:cs="Times New Roman"/>
          <w:sz w:val="24"/>
          <w:szCs w:val="24"/>
        </w:rPr>
        <w:t xml:space="preserve">. APA PsycNet. </w:t>
      </w:r>
      <w:hyperlink r:id="rId18" w:history="1">
        <w:r w:rsidRPr="00BC2EFD">
          <w:rPr>
            <w:rStyle w:val="Hyperlink"/>
            <w:rFonts w:ascii="Times New Roman" w:hAnsi="Times New Roman" w:cs="Times New Roman"/>
            <w:sz w:val="24"/>
            <w:szCs w:val="24"/>
          </w:rPr>
          <w:t>https://psycnet.apa.org/buy/2022-52851-001</w:t>
        </w:r>
      </w:hyperlink>
      <w:r w:rsidRPr="006B000B">
        <w:rPr>
          <w:rFonts w:ascii="Times New Roman" w:hAnsi="Times New Roman" w:cs="Times New Roman"/>
          <w:sz w:val="24"/>
          <w:szCs w:val="24"/>
        </w:rPr>
        <w:t xml:space="preserve"> </w:t>
      </w:r>
    </w:p>
    <w:p w14:paraId="65ACB9A5" w14:textId="03B08EAF"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Lewis, D. N. S. (2020). </w:t>
      </w:r>
      <w:r w:rsidRPr="00BC2EFD">
        <w:rPr>
          <w:rFonts w:ascii="Times New Roman" w:hAnsi="Times New Roman" w:cs="Times New Roman"/>
          <w:i/>
          <w:iCs/>
          <w:sz w:val="24"/>
          <w:szCs w:val="24"/>
        </w:rPr>
        <w:t>Wrongful conviction: using lived experience to explore errors in juror cognition</w:t>
      </w:r>
      <w:r w:rsidRPr="00BC2EFD">
        <w:rPr>
          <w:rFonts w:ascii="Times New Roman" w:hAnsi="Times New Roman" w:cs="Times New Roman"/>
          <w:sz w:val="24"/>
          <w:szCs w:val="24"/>
        </w:rPr>
        <w:t xml:space="preserve">. ScholarWorks. </w:t>
      </w:r>
      <w:hyperlink r:id="rId19" w:history="1">
        <w:r w:rsidRPr="00BC2EFD">
          <w:rPr>
            <w:rStyle w:val="Hyperlink"/>
            <w:rFonts w:ascii="Times New Roman" w:hAnsi="Times New Roman" w:cs="Times New Roman"/>
            <w:sz w:val="24"/>
            <w:szCs w:val="24"/>
          </w:rPr>
          <w:t>https://scholarworks.waldenu.edu/dissertations/9643/</w:t>
        </w:r>
      </w:hyperlink>
      <w:r w:rsidRPr="006B000B">
        <w:rPr>
          <w:rFonts w:ascii="Times New Roman" w:hAnsi="Times New Roman" w:cs="Times New Roman"/>
          <w:sz w:val="24"/>
          <w:szCs w:val="24"/>
        </w:rPr>
        <w:t xml:space="preserve"> </w:t>
      </w:r>
    </w:p>
    <w:p w14:paraId="232BF138" w14:textId="0540D5B8"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Lowe, D. J., Reckers, P. M. J.</w:t>
      </w:r>
      <w:r w:rsidR="00D34753" w:rsidRPr="006B000B">
        <w:rPr>
          <w:rFonts w:ascii="Times New Roman" w:hAnsi="Times New Roman" w:cs="Times New Roman"/>
          <w:sz w:val="24"/>
          <w:szCs w:val="24"/>
        </w:rPr>
        <w:t xml:space="preserve"> </w:t>
      </w:r>
      <w:r w:rsidRPr="006B000B">
        <w:rPr>
          <w:rFonts w:ascii="Times New Roman" w:hAnsi="Times New Roman" w:cs="Times New Roman"/>
          <w:sz w:val="24"/>
          <w:szCs w:val="24"/>
        </w:rPr>
        <w:t>(1994)</w:t>
      </w:r>
      <w:r w:rsidRPr="00BC2EFD">
        <w:rPr>
          <w:rFonts w:ascii="Times New Roman" w:hAnsi="Times New Roman" w:cs="Times New Roman"/>
          <w:sz w:val="24"/>
          <w:szCs w:val="24"/>
        </w:rPr>
        <w:t xml:space="preserve"> Department of Accounting, Erginia Polytechnic Institute and State University, &amp; Department of Accounting, Arizona State University. The effects of hindsight bias on jurors’ evaluations of auditor decisions. In </w:t>
      </w:r>
      <w:r w:rsidRPr="00BC2EFD">
        <w:rPr>
          <w:rFonts w:ascii="Times New Roman" w:hAnsi="Times New Roman" w:cs="Times New Roman"/>
          <w:i/>
          <w:iCs/>
          <w:sz w:val="24"/>
          <w:szCs w:val="24"/>
        </w:rPr>
        <w:t>Decision Sciences</w:t>
      </w:r>
      <w:r w:rsidRPr="00BC2EFD">
        <w:rPr>
          <w:rFonts w:ascii="Times New Roman" w:hAnsi="Times New Roman" w:cs="Times New Roman"/>
          <w:sz w:val="24"/>
          <w:szCs w:val="24"/>
        </w:rPr>
        <w:t xml:space="preserve"> (No. 3; Vol. 25, pp. 401–403)</w:t>
      </w:r>
      <w:r w:rsidRPr="006B000B">
        <w:rPr>
          <w:rFonts w:ascii="Times New Roman" w:hAnsi="Times New Roman" w:cs="Times New Roman"/>
          <w:sz w:val="24"/>
          <w:szCs w:val="24"/>
        </w:rPr>
        <w:t xml:space="preserve">. </w:t>
      </w:r>
    </w:p>
    <w:p w14:paraId="6DA71D60" w14:textId="55A493F8"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lastRenderedPageBreak/>
        <w:t xml:space="preserve">Munsterberg, H. (1908). </w:t>
      </w:r>
      <w:r w:rsidRPr="00BC2EFD">
        <w:rPr>
          <w:rFonts w:ascii="Times New Roman" w:hAnsi="Times New Roman" w:cs="Times New Roman"/>
          <w:i/>
          <w:iCs/>
          <w:sz w:val="24"/>
          <w:szCs w:val="24"/>
        </w:rPr>
        <w:t>On the Witness Towel</w:t>
      </w:r>
      <w:r w:rsidRPr="00BC2EFD">
        <w:rPr>
          <w:rFonts w:ascii="Times New Roman" w:hAnsi="Times New Roman" w:cs="Times New Roman"/>
          <w:sz w:val="24"/>
          <w:szCs w:val="24"/>
        </w:rPr>
        <w:t xml:space="preserve">. APA PsycNet. </w:t>
      </w:r>
      <w:hyperlink r:id="rId20" w:history="1">
        <w:r w:rsidRPr="00BC2EFD">
          <w:rPr>
            <w:rStyle w:val="Hyperlink"/>
            <w:rFonts w:ascii="Times New Roman" w:hAnsi="Times New Roman" w:cs="Times New Roman"/>
            <w:sz w:val="24"/>
            <w:szCs w:val="24"/>
          </w:rPr>
          <w:t>https://psycnet.apa.org/record/1908-10466-000</w:t>
        </w:r>
      </w:hyperlink>
      <w:r w:rsidRPr="006B000B">
        <w:rPr>
          <w:rFonts w:ascii="Times New Roman" w:hAnsi="Times New Roman" w:cs="Times New Roman"/>
          <w:sz w:val="24"/>
          <w:szCs w:val="24"/>
        </w:rPr>
        <w:t xml:space="preserve"> </w:t>
      </w:r>
    </w:p>
    <w:p w14:paraId="3F1EDC31" w14:textId="3349535C"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Pennington, N., &amp; Hastie, R. (1992). </w:t>
      </w:r>
      <w:r w:rsidRPr="00BC2EFD">
        <w:rPr>
          <w:rFonts w:ascii="Times New Roman" w:hAnsi="Times New Roman" w:cs="Times New Roman"/>
          <w:i/>
          <w:iCs/>
          <w:sz w:val="24"/>
          <w:szCs w:val="24"/>
        </w:rPr>
        <w:t>Explaining the evidence: tests of the story model for juror decision making.</w:t>
      </w:r>
      <w:r w:rsidRPr="00BC2EFD">
        <w:rPr>
          <w:rFonts w:ascii="Times New Roman" w:hAnsi="Times New Roman" w:cs="Times New Roman"/>
          <w:sz w:val="24"/>
          <w:szCs w:val="24"/>
        </w:rPr>
        <w:t xml:space="preserve"> APA PsychNet. </w:t>
      </w:r>
      <w:hyperlink r:id="rId21" w:history="1">
        <w:r w:rsidRPr="00BC2EFD">
          <w:rPr>
            <w:rStyle w:val="Hyperlink"/>
            <w:rFonts w:ascii="Times New Roman" w:hAnsi="Times New Roman" w:cs="Times New Roman"/>
            <w:sz w:val="24"/>
            <w:szCs w:val="24"/>
          </w:rPr>
          <w:t>https://psycnet.apa.org/record/1992-21907-001</w:t>
        </w:r>
      </w:hyperlink>
      <w:r w:rsidRPr="00BC2EFD">
        <w:rPr>
          <w:rFonts w:ascii="Times New Roman" w:hAnsi="Times New Roman" w:cs="Times New Roman"/>
          <w:sz w:val="24"/>
          <w:szCs w:val="24"/>
        </w:rPr>
        <w:t>?</w:t>
      </w:r>
      <w:r w:rsidRPr="006B000B">
        <w:rPr>
          <w:rFonts w:ascii="Times New Roman" w:hAnsi="Times New Roman" w:cs="Times New Roman"/>
          <w:sz w:val="24"/>
          <w:szCs w:val="24"/>
        </w:rPr>
        <w:t xml:space="preserve"> </w:t>
      </w:r>
    </w:p>
    <w:p w14:paraId="1DF2286F" w14:textId="2DD4D868"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Petty, R. E., &amp; Cacioppo, J. T. (1986). The elaboration likelihood model of persuasion. In </w:t>
      </w:r>
      <w:r w:rsidRPr="00BC2EFD">
        <w:rPr>
          <w:rFonts w:ascii="Times New Roman" w:hAnsi="Times New Roman" w:cs="Times New Roman"/>
          <w:i/>
          <w:iCs/>
          <w:sz w:val="24"/>
          <w:szCs w:val="24"/>
        </w:rPr>
        <w:t>Springer eBooks</w:t>
      </w:r>
      <w:r w:rsidRPr="00BC2EFD">
        <w:rPr>
          <w:rFonts w:ascii="Times New Roman" w:hAnsi="Times New Roman" w:cs="Times New Roman"/>
          <w:sz w:val="24"/>
          <w:szCs w:val="24"/>
        </w:rPr>
        <w:t xml:space="preserve"> (pp. 1–24). </w:t>
      </w:r>
      <w:hyperlink r:id="rId22" w:history="1">
        <w:r w:rsidRPr="00BC2EFD">
          <w:rPr>
            <w:rStyle w:val="Hyperlink"/>
            <w:rFonts w:ascii="Times New Roman" w:hAnsi="Times New Roman" w:cs="Times New Roman"/>
            <w:sz w:val="24"/>
            <w:szCs w:val="24"/>
          </w:rPr>
          <w:t>https://doi.org/10.1007/978-1-4612-4964-1_1</w:t>
        </w:r>
      </w:hyperlink>
      <w:r w:rsidRPr="006B000B">
        <w:rPr>
          <w:rFonts w:ascii="Times New Roman" w:hAnsi="Times New Roman" w:cs="Times New Roman"/>
          <w:sz w:val="24"/>
          <w:szCs w:val="24"/>
        </w:rPr>
        <w:t xml:space="preserve"> </w:t>
      </w:r>
    </w:p>
    <w:p w14:paraId="6E05DBA0" w14:textId="25159F70"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Ross, L. (2023). The curious case of the jury-shaped hole: A plea for real jury research. </w:t>
      </w:r>
      <w:r w:rsidRPr="00BC2EFD">
        <w:rPr>
          <w:rFonts w:ascii="Times New Roman" w:hAnsi="Times New Roman" w:cs="Times New Roman"/>
          <w:i/>
          <w:iCs/>
          <w:sz w:val="24"/>
          <w:szCs w:val="24"/>
        </w:rPr>
        <w:t>The International Journal of Evidence &amp; Proof</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27</w:t>
      </w:r>
      <w:r w:rsidRPr="00BC2EFD">
        <w:rPr>
          <w:rFonts w:ascii="Times New Roman" w:hAnsi="Times New Roman" w:cs="Times New Roman"/>
          <w:sz w:val="24"/>
          <w:szCs w:val="24"/>
        </w:rPr>
        <w:t xml:space="preserve">(2), 107–125. </w:t>
      </w:r>
      <w:hyperlink r:id="rId23" w:history="1">
        <w:r w:rsidR="00961C2C" w:rsidRPr="00BC2EFD">
          <w:rPr>
            <w:rStyle w:val="Hyperlink"/>
            <w:rFonts w:ascii="Times New Roman" w:hAnsi="Times New Roman" w:cs="Times New Roman"/>
            <w:sz w:val="24"/>
            <w:szCs w:val="24"/>
          </w:rPr>
          <w:t>https://doi.org/10.1177/13657127221150451</w:t>
        </w:r>
      </w:hyperlink>
      <w:r w:rsidRPr="006B000B">
        <w:rPr>
          <w:rFonts w:ascii="Times New Roman" w:hAnsi="Times New Roman" w:cs="Times New Roman"/>
          <w:sz w:val="24"/>
          <w:szCs w:val="24"/>
        </w:rPr>
        <w:t xml:space="preserve"> </w:t>
      </w:r>
    </w:p>
    <w:p w14:paraId="71C776E4" w14:textId="09CD4BDA"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Salerno, J. M., Peter-Hagene, L. C., &amp; Jay, A. C. V. (2017). Women and African Americans are less influential when they express anger during group decision making. </w:t>
      </w:r>
      <w:r w:rsidRPr="00BC2EFD">
        <w:rPr>
          <w:rFonts w:ascii="Times New Roman" w:hAnsi="Times New Roman" w:cs="Times New Roman"/>
          <w:i/>
          <w:iCs/>
          <w:sz w:val="24"/>
          <w:szCs w:val="24"/>
        </w:rPr>
        <w:t>Group Processes &amp; Intergroup Relations</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22</w:t>
      </w:r>
      <w:r w:rsidRPr="00BC2EFD">
        <w:rPr>
          <w:rFonts w:ascii="Times New Roman" w:hAnsi="Times New Roman" w:cs="Times New Roman"/>
          <w:sz w:val="24"/>
          <w:szCs w:val="24"/>
        </w:rPr>
        <w:t xml:space="preserve">(1), 57–79. </w:t>
      </w:r>
      <w:hyperlink r:id="rId24" w:history="1">
        <w:r w:rsidRPr="00BC2EFD">
          <w:rPr>
            <w:rStyle w:val="Hyperlink"/>
            <w:rFonts w:ascii="Times New Roman" w:hAnsi="Times New Roman" w:cs="Times New Roman"/>
            <w:sz w:val="24"/>
            <w:szCs w:val="24"/>
          </w:rPr>
          <w:t>https://doi.org/10.1177/1368430217702967</w:t>
        </w:r>
      </w:hyperlink>
      <w:r w:rsidRPr="006B000B">
        <w:rPr>
          <w:rFonts w:ascii="Times New Roman" w:hAnsi="Times New Roman" w:cs="Times New Roman"/>
          <w:sz w:val="24"/>
          <w:szCs w:val="24"/>
        </w:rPr>
        <w:t xml:space="preserve"> </w:t>
      </w:r>
    </w:p>
    <w:p w14:paraId="0C290D14" w14:textId="09D3FCFA"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Schmidt, C. W., &amp; Brigham, J. C. (1996). Jurors’ perceptions of child victim-witnesses in a simulated sexual abuse trial. </w:t>
      </w:r>
      <w:r w:rsidRPr="00BC2EFD">
        <w:rPr>
          <w:rFonts w:ascii="Times New Roman" w:hAnsi="Times New Roman" w:cs="Times New Roman"/>
          <w:i/>
          <w:iCs/>
          <w:sz w:val="24"/>
          <w:szCs w:val="24"/>
        </w:rPr>
        <w:t>Law And Human Behavior</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20</w:t>
      </w:r>
      <w:r w:rsidRPr="00BC2EFD">
        <w:rPr>
          <w:rFonts w:ascii="Times New Roman" w:hAnsi="Times New Roman" w:cs="Times New Roman"/>
          <w:sz w:val="24"/>
          <w:szCs w:val="24"/>
        </w:rPr>
        <w:t xml:space="preserve">(6), 581–606. </w:t>
      </w:r>
      <w:hyperlink r:id="rId25" w:history="1">
        <w:r w:rsidRPr="00BC2EFD">
          <w:rPr>
            <w:rStyle w:val="Hyperlink"/>
            <w:rFonts w:ascii="Times New Roman" w:hAnsi="Times New Roman" w:cs="Times New Roman"/>
            <w:sz w:val="24"/>
            <w:szCs w:val="24"/>
          </w:rPr>
          <w:t>https://doi.org/10.1007/bf01499233</w:t>
        </w:r>
      </w:hyperlink>
      <w:r w:rsidRPr="006B000B">
        <w:rPr>
          <w:rFonts w:ascii="Times New Roman" w:hAnsi="Times New Roman" w:cs="Times New Roman"/>
          <w:sz w:val="24"/>
          <w:szCs w:val="24"/>
        </w:rPr>
        <w:t xml:space="preserve"> </w:t>
      </w:r>
    </w:p>
    <w:p w14:paraId="1DE782AC" w14:textId="6B659302"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Sheahan, C. L., Pica, E., &amp; Pozzulo, J. D. (2017). Abuse is abuse: the influence of type of abuse, victim age, and defendant age on juror decision making. </w:t>
      </w:r>
      <w:r w:rsidRPr="00BC2EFD">
        <w:rPr>
          <w:rFonts w:ascii="Times New Roman" w:hAnsi="Times New Roman" w:cs="Times New Roman"/>
          <w:i/>
          <w:iCs/>
          <w:sz w:val="24"/>
          <w:szCs w:val="24"/>
        </w:rPr>
        <w:t>Journal of Interpersonal Violence</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36</w:t>
      </w:r>
      <w:r w:rsidRPr="00BC2EFD">
        <w:rPr>
          <w:rFonts w:ascii="Times New Roman" w:hAnsi="Times New Roman" w:cs="Times New Roman"/>
          <w:sz w:val="24"/>
          <w:szCs w:val="24"/>
        </w:rPr>
        <w:t xml:space="preserve">(1–2), 938–956. </w:t>
      </w:r>
      <w:hyperlink r:id="rId26" w:history="1">
        <w:r w:rsidRPr="00BC2EFD">
          <w:rPr>
            <w:rStyle w:val="Hyperlink"/>
            <w:rFonts w:ascii="Times New Roman" w:hAnsi="Times New Roman" w:cs="Times New Roman"/>
            <w:sz w:val="24"/>
            <w:szCs w:val="24"/>
          </w:rPr>
          <w:t>https://doi.org/10.1177/0886260517731316</w:t>
        </w:r>
      </w:hyperlink>
      <w:r w:rsidRPr="006B000B">
        <w:rPr>
          <w:rFonts w:ascii="Times New Roman" w:hAnsi="Times New Roman" w:cs="Times New Roman"/>
          <w:sz w:val="24"/>
          <w:szCs w:val="24"/>
        </w:rPr>
        <w:t xml:space="preserve"> </w:t>
      </w:r>
    </w:p>
    <w:p w14:paraId="558CC21F" w14:textId="0D76BD45"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lastRenderedPageBreak/>
        <w:t>Sommers, S. R., &amp; Ellsworth, P. C. (</w:t>
      </w:r>
      <w:proofErr w:type="gramStart"/>
      <w:r w:rsidRPr="00BC2EFD">
        <w:rPr>
          <w:rFonts w:ascii="Times New Roman" w:hAnsi="Times New Roman" w:cs="Times New Roman"/>
          <w:sz w:val="24"/>
          <w:szCs w:val="24"/>
        </w:rPr>
        <w:t>2000</w:t>
      </w:r>
      <w:proofErr w:type="gramEnd"/>
      <w:r w:rsidRPr="00BC2EFD">
        <w:rPr>
          <w:rFonts w:ascii="Times New Roman" w:hAnsi="Times New Roman" w:cs="Times New Roman"/>
          <w:sz w:val="24"/>
          <w:szCs w:val="24"/>
        </w:rPr>
        <w:t xml:space="preserve">). Race in the courtroom: Perceptions of guilt and dispositional attributions. </w:t>
      </w:r>
      <w:r w:rsidRPr="00BC2EFD">
        <w:rPr>
          <w:rFonts w:ascii="Times New Roman" w:hAnsi="Times New Roman" w:cs="Times New Roman"/>
          <w:i/>
          <w:iCs/>
          <w:sz w:val="24"/>
          <w:szCs w:val="24"/>
        </w:rPr>
        <w:t>Personality and Social Psychology Bulletin</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26</w:t>
      </w:r>
      <w:r w:rsidRPr="00BC2EFD">
        <w:rPr>
          <w:rFonts w:ascii="Times New Roman" w:hAnsi="Times New Roman" w:cs="Times New Roman"/>
          <w:sz w:val="24"/>
          <w:szCs w:val="24"/>
        </w:rPr>
        <w:t xml:space="preserve">(11), 1367–1379. </w:t>
      </w:r>
      <w:hyperlink r:id="rId27" w:history="1">
        <w:r w:rsidRPr="00BC2EFD">
          <w:rPr>
            <w:rStyle w:val="Hyperlink"/>
            <w:rFonts w:ascii="Times New Roman" w:hAnsi="Times New Roman" w:cs="Times New Roman"/>
            <w:sz w:val="24"/>
            <w:szCs w:val="24"/>
          </w:rPr>
          <w:t>https://doi.org/10.1177/0146167200263005</w:t>
        </w:r>
      </w:hyperlink>
      <w:r w:rsidRPr="006B000B">
        <w:rPr>
          <w:rFonts w:ascii="Times New Roman" w:hAnsi="Times New Roman" w:cs="Times New Roman"/>
          <w:sz w:val="24"/>
          <w:szCs w:val="24"/>
        </w:rPr>
        <w:t xml:space="preserve"> </w:t>
      </w:r>
    </w:p>
    <w:p w14:paraId="13FFFD99" w14:textId="5686CDDB"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Sorby, M., &amp; Kehn, A. (2020). Juror perceptions of the stereotypical violent crime defendant. </w:t>
      </w:r>
      <w:r w:rsidRPr="00BC2EFD">
        <w:rPr>
          <w:rFonts w:ascii="Times New Roman" w:hAnsi="Times New Roman" w:cs="Times New Roman"/>
          <w:i/>
          <w:iCs/>
          <w:sz w:val="24"/>
          <w:szCs w:val="24"/>
        </w:rPr>
        <w:t>Psychiatry Psychology and Law</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28</w:t>
      </w:r>
      <w:r w:rsidRPr="00BC2EFD">
        <w:rPr>
          <w:rFonts w:ascii="Times New Roman" w:hAnsi="Times New Roman" w:cs="Times New Roman"/>
          <w:sz w:val="24"/>
          <w:szCs w:val="24"/>
        </w:rPr>
        <w:t xml:space="preserve">(5), 645–664. </w:t>
      </w:r>
      <w:hyperlink r:id="rId28" w:history="1">
        <w:r w:rsidRPr="00BC2EFD">
          <w:rPr>
            <w:rStyle w:val="Hyperlink"/>
            <w:rFonts w:ascii="Times New Roman" w:hAnsi="Times New Roman" w:cs="Times New Roman"/>
            <w:sz w:val="24"/>
            <w:szCs w:val="24"/>
          </w:rPr>
          <w:t>https://doi.org/10.1080/13218719.2020.1821827</w:t>
        </w:r>
      </w:hyperlink>
      <w:r w:rsidRPr="006B000B">
        <w:rPr>
          <w:rFonts w:ascii="Times New Roman" w:hAnsi="Times New Roman" w:cs="Times New Roman"/>
          <w:sz w:val="24"/>
          <w:szCs w:val="24"/>
        </w:rPr>
        <w:t xml:space="preserve"> </w:t>
      </w:r>
    </w:p>
    <w:p w14:paraId="5EB0A45B" w14:textId="03EB942E"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Spruill, M., &amp; Hans, V. P. (2024). Trial by jury: psychological research contributions to an enduring legal institution. In </w:t>
      </w:r>
      <w:r w:rsidRPr="00BC2EFD">
        <w:rPr>
          <w:rFonts w:ascii="Times New Roman" w:hAnsi="Times New Roman" w:cs="Times New Roman"/>
          <w:i/>
          <w:iCs/>
          <w:sz w:val="24"/>
          <w:szCs w:val="24"/>
        </w:rPr>
        <w:t>Edward Elgar Publishing eBooks</w:t>
      </w:r>
      <w:r w:rsidRPr="00BC2EFD">
        <w:rPr>
          <w:rFonts w:ascii="Times New Roman" w:hAnsi="Times New Roman" w:cs="Times New Roman"/>
          <w:sz w:val="24"/>
          <w:szCs w:val="24"/>
        </w:rPr>
        <w:t xml:space="preserve"> (pp. 108–121). </w:t>
      </w:r>
      <w:hyperlink r:id="rId29" w:history="1">
        <w:r w:rsidRPr="00BC2EFD">
          <w:rPr>
            <w:rStyle w:val="Hyperlink"/>
            <w:rFonts w:ascii="Times New Roman" w:hAnsi="Times New Roman" w:cs="Times New Roman"/>
            <w:sz w:val="24"/>
            <w:szCs w:val="24"/>
          </w:rPr>
          <w:t>https://doi.org/10.4337/9781800881921.00016</w:t>
        </w:r>
      </w:hyperlink>
      <w:r w:rsidRPr="006B000B">
        <w:rPr>
          <w:rFonts w:ascii="Times New Roman" w:hAnsi="Times New Roman" w:cs="Times New Roman"/>
          <w:sz w:val="24"/>
          <w:szCs w:val="24"/>
        </w:rPr>
        <w:t xml:space="preserve"> </w:t>
      </w:r>
    </w:p>
    <w:p w14:paraId="399E25BA" w14:textId="0FED31D4"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i/>
          <w:iCs/>
          <w:sz w:val="24"/>
          <w:szCs w:val="24"/>
        </w:rPr>
        <w:t>Stereotypes and Perceptions of Child Witness Credibility - ProQuest</w:t>
      </w:r>
      <w:r w:rsidRPr="00BC2EFD">
        <w:rPr>
          <w:rFonts w:ascii="Times New Roman" w:hAnsi="Times New Roman" w:cs="Times New Roman"/>
          <w:sz w:val="24"/>
          <w:szCs w:val="24"/>
        </w:rPr>
        <w:t xml:space="preserve">. (n.d.). </w:t>
      </w:r>
      <w:hyperlink r:id="rId30" w:history="1">
        <w:r w:rsidRPr="00BC2EFD">
          <w:rPr>
            <w:rStyle w:val="Hyperlink"/>
            <w:rFonts w:ascii="Times New Roman" w:hAnsi="Times New Roman" w:cs="Times New Roman"/>
            <w:sz w:val="24"/>
            <w:szCs w:val="24"/>
          </w:rPr>
          <w:t>https://www.proquest.com/docview/2481868041?pq-origsite=gscholar&amp;fromopenview=true&amp;sourcetype=Dissertations%20&amp;%20Theses</w:t>
        </w:r>
      </w:hyperlink>
      <w:r w:rsidRPr="006B000B">
        <w:rPr>
          <w:rFonts w:ascii="Times New Roman" w:hAnsi="Times New Roman" w:cs="Times New Roman"/>
          <w:sz w:val="24"/>
          <w:szCs w:val="24"/>
        </w:rPr>
        <w:t xml:space="preserve"> </w:t>
      </w:r>
    </w:p>
    <w:p w14:paraId="031A3547" w14:textId="7DE84BCA"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Su, A. (2020, November 13). </w:t>
      </w:r>
      <w:r w:rsidRPr="00BC2EFD">
        <w:rPr>
          <w:rFonts w:ascii="Times New Roman" w:hAnsi="Times New Roman" w:cs="Times New Roman"/>
          <w:i/>
          <w:iCs/>
          <w:sz w:val="24"/>
          <w:szCs w:val="24"/>
        </w:rPr>
        <w:t>A Proposal to Properly Address Implicit Bias in the Jury</w:t>
      </w:r>
      <w:r w:rsidRPr="00BC2EFD">
        <w:rPr>
          <w:rFonts w:ascii="Times New Roman" w:hAnsi="Times New Roman" w:cs="Times New Roman"/>
          <w:sz w:val="24"/>
          <w:szCs w:val="24"/>
        </w:rPr>
        <w:t xml:space="preserve">. HeinOnline. </w:t>
      </w:r>
      <w:hyperlink r:id="rId31" w:history="1">
        <w:r w:rsidRPr="00BC2EFD">
          <w:rPr>
            <w:rStyle w:val="Hyperlink"/>
            <w:rFonts w:ascii="Times New Roman" w:hAnsi="Times New Roman" w:cs="Times New Roman"/>
            <w:sz w:val="24"/>
            <w:szCs w:val="24"/>
          </w:rPr>
          <w:t>https://heinonline.org/HOL/LandingPage?handle=hein.journals/haswo31&amp;div=8&amp;id=&amp;page=</w:t>
        </w:r>
      </w:hyperlink>
      <w:r w:rsidRPr="006B000B">
        <w:rPr>
          <w:rFonts w:ascii="Times New Roman" w:hAnsi="Times New Roman" w:cs="Times New Roman"/>
          <w:sz w:val="24"/>
          <w:szCs w:val="24"/>
        </w:rPr>
        <w:t xml:space="preserve"> </w:t>
      </w:r>
    </w:p>
    <w:p w14:paraId="1F7A9D11" w14:textId="1CBDD036"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i/>
          <w:iCs/>
          <w:sz w:val="24"/>
          <w:szCs w:val="24"/>
        </w:rPr>
        <w:t>Tajfel, H., &amp; Turner, J. C. (1979). An integrative theory of intergroup conflict. In W. G. Austin, &amp; S. Worchel (Eds.), The social psychology of intergroup relations (pp. 33-37). Monterey, CA Brooks/Cole. - References - Scientific Research Publishing</w:t>
      </w:r>
      <w:r w:rsidRPr="00BC2EFD">
        <w:rPr>
          <w:rFonts w:ascii="Times New Roman" w:hAnsi="Times New Roman" w:cs="Times New Roman"/>
          <w:sz w:val="24"/>
          <w:szCs w:val="24"/>
        </w:rPr>
        <w:t xml:space="preserve">. (n.d.). </w:t>
      </w:r>
      <w:hyperlink r:id="rId32" w:history="1">
        <w:r w:rsidRPr="00BC2EFD">
          <w:rPr>
            <w:rStyle w:val="Hyperlink"/>
            <w:rFonts w:ascii="Times New Roman" w:hAnsi="Times New Roman" w:cs="Times New Roman"/>
            <w:sz w:val="24"/>
            <w:szCs w:val="24"/>
          </w:rPr>
          <w:t>https://www.scirp.org/reference/ReferencesPapers?ReferenceID=757561</w:t>
        </w:r>
      </w:hyperlink>
      <w:r w:rsidRPr="006B000B">
        <w:rPr>
          <w:rFonts w:ascii="Times New Roman" w:hAnsi="Times New Roman" w:cs="Times New Roman"/>
          <w:sz w:val="24"/>
          <w:szCs w:val="24"/>
        </w:rPr>
        <w:t xml:space="preserve"> </w:t>
      </w:r>
    </w:p>
    <w:p w14:paraId="3DE85877" w14:textId="6A2B2A3C"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Villemur, N. K., &amp; Hyde, J. S. (1983). Effects of sex of defense attorney, sex of juror, and age and attractiveness of the victim on mock juror decision making in a rape case. </w:t>
      </w:r>
      <w:r w:rsidRPr="00BC2EFD">
        <w:rPr>
          <w:rFonts w:ascii="Times New Roman" w:hAnsi="Times New Roman" w:cs="Times New Roman"/>
          <w:i/>
          <w:iCs/>
          <w:sz w:val="24"/>
          <w:szCs w:val="24"/>
        </w:rPr>
        <w:t>Sex Roles</w:t>
      </w:r>
      <w:r w:rsidRPr="00BC2EFD">
        <w:rPr>
          <w:rFonts w:ascii="Times New Roman" w:hAnsi="Times New Roman" w:cs="Times New Roman"/>
          <w:sz w:val="24"/>
          <w:szCs w:val="24"/>
        </w:rPr>
        <w:t xml:space="preserve">, </w:t>
      </w:r>
      <w:r w:rsidRPr="00BC2EFD">
        <w:rPr>
          <w:rFonts w:ascii="Times New Roman" w:hAnsi="Times New Roman" w:cs="Times New Roman"/>
          <w:i/>
          <w:iCs/>
          <w:sz w:val="24"/>
          <w:szCs w:val="24"/>
        </w:rPr>
        <w:t>9</w:t>
      </w:r>
      <w:r w:rsidRPr="00BC2EFD">
        <w:rPr>
          <w:rFonts w:ascii="Times New Roman" w:hAnsi="Times New Roman" w:cs="Times New Roman"/>
          <w:sz w:val="24"/>
          <w:szCs w:val="24"/>
        </w:rPr>
        <w:t xml:space="preserve">(8), 879–889. </w:t>
      </w:r>
      <w:hyperlink r:id="rId33" w:history="1">
        <w:r w:rsidRPr="00BC2EFD">
          <w:rPr>
            <w:rStyle w:val="Hyperlink"/>
            <w:rFonts w:ascii="Times New Roman" w:hAnsi="Times New Roman" w:cs="Times New Roman"/>
            <w:sz w:val="24"/>
            <w:szCs w:val="24"/>
          </w:rPr>
          <w:t>https://doi.org/10.1007/bf00289961</w:t>
        </w:r>
      </w:hyperlink>
      <w:r w:rsidRPr="006B000B">
        <w:rPr>
          <w:rFonts w:ascii="Times New Roman" w:hAnsi="Times New Roman" w:cs="Times New Roman"/>
          <w:sz w:val="24"/>
          <w:szCs w:val="24"/>
        </w:rPr>
        <w:t xml:space="preserve"> </w:t>
      </w:r>
    </w:p>
    <w:p w14:paraId="15969C0F" w14:textId="3FC97C5A"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lastRenderedPageBreak/>
        <w:t xml:space="preserve">Wagner, B. C. W., &amp; Petty, R. E. (2022). The Elaboration Likelihood Model of Persuasion. </w:t>
      </w:r>
      <w:r w:rsidRPr="00BC2EFD">
        <w:rPr>
          <w:rFonts w:ascii="Times New Roman" w:hAnsi="Times New Roman" w:cs="Times New Roman"/>
          <w:i/>
          <w:iCs/>
          <w:sz w:val="24"/>
          <w:szCs w:val="24"/>
        </w:rPr>
        <w:t>Wiley</w:t>
      </w:r>
      <w:r w:rsidRPr="00BC2EFD">
        <w:rPr>
          <w:rFonts w:ascii="Times New Roman" w:hAnsi="Times New Roman" w:cs="Times New Roman"/>
          <w:sz w:val="24"/>
          <w:szCs w:val="24"/>
        </w:rPr>
        <w:t xml:space="preserve">, 120–142. </w:t>
      </w:r>
      <w:hyperlink r:id="rId34" w:history="1">
        <w:r w:rsidRPr="00BC2EFD">
          <w:rPr>
            <w:rStyle w:val="Hyperlink"/>
            <w:rFonts w:ascii="Times New Roman" w:hAnsi="Times New Roman" w:cs="Times New Roman"/>
            <w:sz w:val="24"/>
            <w:szCs w:val="24"/>
          </w:rPr>
          <w:t>https://doi.org/10.1002/9781394266616.ch5</w:t>
        </w:r>
      </w:hyperlink>
      <w:r w:rsidRPr="006B000B">
        <w:rPr>
          <w:rFonts w:ascii="Times New Roman" w:hAnsi="Times New Roman" w:cs="Times New Roman"/>
          <w:sz w:val="24"/>
          <w:szCs w:val="24"/>
        </w:rPr>
        <w:t xml:space="preserve"> </w:t>
      </w:r>
    </w:p>
    <w:p w14:paraId="4DEDA239" w14:textId="47DA9C04" w:rsidR="00BC2EFD" w:rsidRPr="00BC2EFD"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Weissman, B. (2022). What counts as a lie in and out of the courtroom? The effect of discourse genre on </w:t>
      </w:r>
      <w:proofErr w:type="gramStart"/>
      <w:r w:rsidRPr="00BC2EFD">
        <w:rPr>
          <w:rFonts w:ascii="Times New Roman" w:hAnsi="Times New Roman" w:cs="Times New Roman"/>
          <w:sz w:val="24"/>
          <w:szCs w:val="24"/>
        </w:rPr>
        <w:t>lie</w:t>
      </w:r>
      <w:proofErr w:type="gramEnd"/>
      <w:r w:rsidRPr="00BC2EFD">
        <w:rPr>
          <w:rFonts w:ascii="Times New Roman" w:hAnsi="Times New Roman" w:cs="Times New Roman"/>
          <w:sz w:val="24"/>
          <w:szCs w:val="24"/>
        </w:rPr>
        <w:t xml:space="preserve"> judgments. In </w:t>
      </w:r>
      <w:r w:rsidRPr="00BC2EFD">
        <w:rPr>
          <w:rFonts w:ascii="Times New Roman" w:hAnsi="Times New Roman" w:cs="Times New Roman"/>
          <w:i/>
          <w:iCs/>
          <w:sz w:val="24"/>
          <w:szCs w:val="24"/>
        </w:rPr>
        <w:t>De Gruyter eBooks</w:t>
      </w:r>
      <w:r w:rsidRPr="00BC2EFD">
        <w:rPr>
          <w:rFonts w:ascii="Times New Roman" w:hAnsi="Times New Roman" w:cs="Times New Roman"/>
          <w:sz w:val="24"/>
          <w:szCs w:val="24"/>
        </w:rPr>
        <w:t xml:space="preserve"> (pp. 353–380). </w:t>
      </w:r>
      <w:hyperlink r:id="rId35" w:history="1">
        <w:r w:rsidRPr="00BC2EFD">
          <w:rPr>
            <w:rStyle w:val="Hyperlink"/>
            <w:rFonts w:ascii="Times New Roman" w:hAnsi="Times New Roman" w:cs="Times New Roman"/>
            <w:sz w:val="24"/>
            <w:szCs w:val="24"/>
          </w:rPr>
          <w:t>https://doi.org/10.1515/9783110733730-014</w:t>
        </w:r>
      </w:hyperlink>
      <w:r w:rsidRPr="006B000B">
        <w:rPr>
          <w:rFonts w:ascii="Times New Roman" w:hAnsi="Times New Roman" w:cs="Times New Roman"/>
          <w:sz w:val="24"/>
          <w:szCs w:val="24"/>
        </w:rPr>
        <w:t xml:space="preserve"> </w:t>
      </w:r>
    </w:p>
    <w:p w14:paraId="0246C9DB" w14:textId="22EF5219" w:rsidR="00BC2EFD" w:rsidRPr="006B000B" w:rsidRDefault="00BC2EFD" w:rsidP="00F6082B">
      <w:pPr>
        <w:spacing w:line="480" w:lineRule="auto"/>
        <w:ind w:left="720" w:hanging="720"/>
        <w:rPr>
          <w:rFonts w:ascii="Times New Roman" w:hAnsi="Times New Roman" w:cs="Times New Roman"/>
          <w:sz w:val="24"/>
          <w:szCs w:val="24"/>
        </w:rPr>
      </w:pPr>
      <w:r w:rsidRPr="00BC2EFD">
        <w:rPr>
          <w:rFonts w:ascii="Times New Roman" w:hAnsi="Times New Roman" w:cs="Times New Roman"/>
          <w:sz w:val="24"/>
          <w:szCs w:val="24"/>
        </w:rPr>
        <w:t xml:space="preserve">Younan, M. (2023). What makes an expert persuasive? Examining the influence of evidence quality and superficial cues on jurors’ evaluation of expert evidence. </w:t>
      </w:r>
      <w:r w:rsidRPr="00BC2EFD">
        <w:rPr>
          <w:rFonts w:ascii="Times New Roman" w:hAnsi="Times New Roman" w:cs="Times New Roman"/>
          <w:i/>
          <w:iCs/>
          <w:sz w:val="24"/>
          <w:szCs w:val="24"/>
        </w:rPr>
        <w:t>unsworks.unsw.edu.au</w:t>
      </w:r>
      <w:r w:rsidRPr="00BC2EFD">
        <w:rPr>
          <w:rFonts w:ascii="Times New Roman" w:hAnsi="Times New Roman" w:cs="Times New Roman"/>
          <w:sz w:val="24"/>
          <w:szCs w:val="24"/>
        </w:rPr>
        <w:t xml:space="preserve">. </w:t>
      </w:r>
      <w:hyperlink r:id="rId36" w:history="1">
        <w:r w:rsidRPr="00BC2EFD">
          <w:rPr>
            <w:rStyle w:val="Hyperlink"/>
            <w:rFonts w:ascii="Times New Roman" w:hAnsi="Times New Roman" w:cs="Times New Roman"/>
            <w:sz w:val="24"/>
            <w:szCs w:val="24"/>
          </w:rPr>
          <w:t>https://doi.org/10.26190/unsworks/25185</w:t>
        </w:r>
      </w:hyperlink>
      <w:r w:rsidRPr="006B000B">
        <w:rPr>
          <w:rFonts w:ascii="Times New Roman" w:hAnsi="Times New Roman" w:cs="Times New Roman"/>
          <w:sz w:val="24"/>
          <w:szCs w:val="24"/>
        </w:rPr>
        <w:t xml:space="preserve"> </w:t>
      </w:r>
    </w:p>
    <w:sectPr w:rsidR="00BC2EFD" w:rsidRPr="006B0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E1CA2"/>
    <w:multiLevelType w:val="hybridMultilevel"/>
    <w:tmpl w:val="9CA01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4280F"/>
    <w:multiLevelType w:val="hybridMultilevel"/>
    <w:tmpl w:val="1F4C08A2"/>
    <w:lvl w:ilvl="0" w:tplc="B136040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55789"/>
    <w:multiLevelType w:val="hybridMultilevel"/>
    <w:tmpl w:val="2CC03468"/>
    <w:lvl w:ilvl="0" w:tplc="923A3D32">
      <w:numFmt w:val="bullet"/>
      <w:lvlText w:val=""/>
      <w:lvlJc w:val="left"/>
      <w:pPr>
        <w:ind w:left="720" w:hanging="360"/>
      </w:pPr>
      <w:rPr>
        <w:rFonts w:ascii="Wingdings" w:eastAsiaTheme="minorHAnsi" w:hAnsi="Wingdings" w:cstheme="minorBidi"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76828"/>
    <w:multiLevelType w:val="hybridMultilevel"/>
    <w:tmpl w:val="FF645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EB55A5"/>
    <w:multiLevelType w:val="hybridMultilevel"/>
    <w:tmpl w:val="200A76F6"/>
    <w:lvl w:ilvl="0" w:tplc="EA706AB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9258511">
    <w:abstractNumId w:val="2"/>
  </w:num>
  <w:num w:numId="2" w16cid:durableId="1596136966">
    <w:abstractNumId w:val="4"/>
  </w:num>
  <w:num w:numId="3" w16cid:durableId="11731032">
    <w:abstractNumId w:val="1"/>
  </w:num>
  <w:num w:numId="4" w16cid:durableId="848638997">
    <w:abstractNumId w:val="0"/>
  </w:num>
  <w:num w:numId="5" w16cid:durableId="801384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F3C"/>
    <w:rsid w:val="000148C2"/>
    <w:rsid w:val="0002273B"/>
    <w:rsid w:val="00047E9E"/>
    <w:rsid w:val="000835DD"/>
    <w:rsid w:val="00086E47"/>
    <w:rsid w:val="000C081C"/>
    <w:rsid w:val="000C69C3"/>
    <w:rsid w:val="000D11B2"/>
    <w:rsid w:val="000E39D9"/>
    <w:rsid w:val="00103CEE"/>
    <w:rsid w:val="00107CE3"/>
    <w:rsid w:val="00116AC3"/>
    <w:rsid w:val="001401A9"/>
    <w:rsid w:val="00141FDF"/>
    <w:rsid w:val="001D6A99"/>
    <w:rsid w:val="00204D4B"/>
    <w:rsid w:val="00215279"/>
    <w:rsid w:val="00225123"/>
    <w:rsid w:val="00246D4A"/>
    <w:rsid w:val="00250870"/>
    <w:rsid w:val="00250E14"/>
    <w:rsid w:val="00255D57"/>
    <w:rsid w:val="002A59D2"/>
    <w:rsid w:val="002B55EB"/>
    <w:rsid w:val="002D192B"/>
    <w:rsid w:val="002D35C6"/>
    <w:rsid w:val="00392E89"/>
    <w:rsid w:val="003B1B84"/>
    <w:rsid w:val="004470A1"/>
    <w:rsid w:val="00471606"/>
    <w:rsid w:val="0049146D"/>
    <w:rsid w:val="004A65AA"/>
    <w:rsid w:val="004B39EF"/>
    <w:rsid w:val="005078A2"/>
    <w:rsid w:val="00536B06"/>
    <w:rsid w:val="00585A74"/>
    <w:rsid w:val="005903D9"/>
    <w:rsid w:val="00591FF9"/>
    <w:rsid w:val="005A3C9F"/>
    <w:rsid w:val="00610F3C"/>
    <w:rsid w:val="006314B9"/>
    <w:rsid w:val="006563ED"/>
    <w:rsid w:val="00686509"/>
    <w:rsid w:val="0069213E"/>
    <w:rsid w:val="006A08E3"/>
    <w:rsid w:val="006A27C3"/>
    <w:rsid w:val="006B000B"/>
    <w:rsid w:val="006C4171"/>
    <w:rsid w:val="00720186"/>
    <w:rsid w:val="007226BE"/>
    <w:rsid w:val="00742FDC"/>
    <w:rsid w:val="00750289"/>
    <w:rsid w:val="0079668F"/>
    <w:rsid w:val="007B1FA0"/>
    <w:rsid w:val="007D4EC5"/>
    <w:rsid w:val="007D55C9"/>
    <w:rsid w:val="007E6957"/>
    <w:rsid w:val="00817EC7"/>
    <w:rsid w:val="008339CF"/>
    <w:rsid w:val="00841511"/>
    <w:rsid w:val="008D6591"/>
    <w:rsid w:val="00901404"/>
    <w:rsid w:val="0090150F"/>
    <w:rsid w:val="009047DE"/>
    <w:rsid w:val="00925974"/>
    <w:rsid w:val="0094141E"/>
    <w:rsid w:val="00961C2C"/>
    <w:rsid w:val="00976FB0"/>
    <w:rsid w:val="0099186D"/>
    <w:rsid w:val="00994ED0"/>
    <w:rsid w:val="00A144D2"/>
    <w:rsid w:val="00A17707"/>
    <w:rsid w:val="00A26A23"/>
    <w:rsid w:val="00A625CE"/>
    <w:rsid w:val="00AA15B7"/>
    <w:rsid w:val="00AE2536"/>
    <w:rsid w:val="00B12548"/>
    <w:rsid w:val="00B6060F"/>
    <w:rsid w:val="00B74B45"/>
    <w:rsid w:val="00B9363D"/>
    <w:rsid w:val="00B95E4D"/>
    <w:rsid w:val="00BB6279"/>
    <w:rsid w:val="00BC2EFD"/>
    <w:rsid w:val="00C6349F"/>
    <w:rsid w:val="00CC0E7D"/>
    <w:rsid w:val="00CD3E8F"/>
    <w:rsid w:val="00CD4E1F"/>
    <w:rsid w:val="00CD6285"/>
    <w:rsid w:val="00CF6FF1"/>
    <w:rsid w:val="00D024D6"/>
    <w:rsid w:val="00D34753"/>
    <w:rsid w:val="00DB4B02"/>
    <w:rsid w:val="00DE3480"/>
    <w:rsid w:val="00E121A2"/>
    <w:rsid w:val="00E569AB"/>
    <w:rsid w:val="00E7192C"/>
    <w:rsid w:val="00EF4514"/>
    <w:rsid w:val="00F2345A"/>
    <w:rsid w:val="00F5158C"/>
    <w:rsid w:val="00F6082B"/>
    <w:rsid w:val="00F6476A"/>
    <w:rsid w:val="00F8216F"/>
    <w:rsid w:val="00FA0B75"/>
    <w:rsid w:val="00FA2274"/>
    <w:rsid w:val="00FB2CCB"/>
    <w:rsid w:val="00FE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3E91D"/>
  <w15:chartTrackingRefBased/>
  <w15:docId w15:val="{144DC98E-FF7A-454A-9560-CC62026C2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F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0F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F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F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F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F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F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F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F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F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0F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0F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F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F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F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F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F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F3C"/>
    <w:rPr>
      <w:rFonts w:eastAsiaTheme="majorEastAsia" w:cstheme="majorBidi"/>
      <w:color w:val="272727" w:themeColor="text1" w:themeTint="D8"/>
    </w:rPr>
  </w:style>
  <w:style w:type="paragraph" w:styleId="Title">
    <w:name w:val="Title"/>
    <w:basedOn w:val="Normal"/>
    <w:next w:val="Normal"/>
    <w:link w:val="TitleChar"/>
    <w:uiPriority w:val="10"/>
    <w:qFormat/>
    <w:rsid w:val="00610F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F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F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F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F3C"/>
    <w:pPr>
      <w:spacing w:before="160"/>
      <w:jc w:val="center"/>
    </w:pPr>
    <w:rPr>
      <w:i/>
      <w:iCs/>
      <w:color w:val="404040" w:themeColor="text1" w:themeTint="BF"/>
    </w:rPr>
  </w:style>
  <w:style w:type="character" w:customStyle="1" w:styleId="QuoteChar">
    <w:name w:val="Quote Char"/>
    <w:basedOn w:val="DefaultParagraphFont"/>
    <w:link w:val="Quote"/>
    <w:uiPriority w:val="29"/>
    <w:rsid w:val="00610F3C"/>
    <w:rPr>
      <w:i/>
      <w:iCs/>
      <w:color w:val="404040" w:themeColor="text1" w:themeTint="BF"/>
    </w:rPr>
  </w:style>
  <w:style w:type="paragraph" w:styleId="ListParagraph">
    <w:name w:val="List Paragraph"/>
    <w:basedOn w:val="Normal"/>
    <w:uiPriority w:val="34"/>
    <w:qFormat/>
    <w:rsid w:val="00610F3C"/>
    <w:pPr>
      <w:ind w:left="720"/>
      <w:contextualSpacing/>
    </w:pPr>
  </w:style>
  <w:style w:type="character" w:styleId="IntenseEmphasis">
    <w:name w:val="Intense Emphasis"/>
    <w:basedOn w:val="DefaultParagraphFont"/>
    <w:uiPriority w:val="21"/>
    <w:qFormat/>
    <w:rsid w:val="00610F3C"/>
    <w:rPr>
      <w:i/>
      <w:iCs/>
      <w:color w:val="0F4761" w:themeColor="accent1" w:themeShade="BF"/>
    </w:rPr>
  </w:style>
  <w:style w:type="paragraph" w:styleId="IntenseQuote">
    <w:name w:val="Intense Quote"/>
    <w:basedOn w:val="Normal"/>
    <w:next w:val="Normal"/>
    <w:link w:val="IntenseQuoteChar"/>
    <w:uiPriority w:val="30"/>
    <w:qFormat/>
    <w:rsid w:val="00610F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F3C"/>
    <w:rPr>
      <w:i/>
      <w:iCs/>
      <w:color w:val="0F4761" w:themeColor="accent1" w:themeShade="BF"/>
    </w:rPr>
  </w:style>
  <w:style w:type="character" w:styleId="IntenseReference">
    <w:name w:val="Intense Reference"/>
    <w:basedOn w:val="DefaultParagraphFont"/>
    <w:uiPriority w:val="32"/>
    <w:qFormat/>
    <w:rsid w:val="00610F3C"/>
    <w:rPr>
      <w:b/>
      <w:bCs/>
      <w:smallCaps/>
      <w:color w:val="0F4761" w:themeColor="accent1" w:themeShade="BF"/>
      <w:spacing w:val="5"/>
    </w:rPr>
  </w:style>
  <w:style w:type="character" w:styleId="Hyperlink">
    <w:name w:val="Hyperlink"/>
    <w:basedOn w:val="DefaultParagraphFont"/>
    <w:uiPriority w:val="99"/>
    <w:unhideWhenUsed/>
    <w:rsid w:val="0094141E"/>
    <w:rPr>
      <w:color w:val="467886" w:themeColor="hyperlink"/>
      <w:u w:val="single"/>
    </w:rPr>
  </w:style>
  <w:style w:type="character" w:styleId="UnresolvedMention">
    <w:name w:val="Unresolved Mention"/>
    <w:basedOn w:val="DefaultParagraphFont"/>
    <w:uiPriority w:val="99"/>
    <w:semiHidden/>
    <w:unhideWhenUsed/>
    <w:rsid w:val="009414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279">
      <w:bodyDiv w:val="1"/>
      <w:marLeft w:val="0"/>
      <w:marRight w:val="0"/>
      <w:marTop w:val="0"/>
      <w:marBottom w:val="0"/>
      <w:divBdr>
        <w:top w:val="none" w:sz="0" w:space="0" w:color="auto"/>
        <w:left w:val="none" w:sz="0" w:space="0" w:color="auto"/>
        <w:bottom w:val="none" w:sz="0" w:space="0" w:color="auto"/>
        <w:right w:val="none" w:sz="0" w:space="0" w:color="auto"/>
      </w:divBdr>
    </w:div>
    <w:div w:id="43986586">
      <w:bodyDiv w:val="1"/>
      <w:marLeft w:val="0"/>
      <w:marRight w:val="0"/>
      <w:marTop w:val="0"/>
      <w:marBottom w:val="0"/>
      <w:divBdr>
        <w:top w:val="none" w:sz="0" w:space="0" w:color="auto"/>
        <w:left w:val="none" w:sz="0" w:space="0" w:color="auto"/>
        <w:bottom w:val="none" w:sz="0" w:space="0" w:color="auto"/>
        <w:right w:val="none" w:sz="0" w:space="0" w:color="auto"/>
      </w:divBdr>
    </w:div>
    <w:div w:id="73866802">
      <w:bodyDiv w:val="1"/>
      <w:marLeft w:val="0"/>
      <w:marRight w:val="0"/>
      <w:marTop w:val="0"/>
      <w:marBottom w:val="0"/>
      <w:divBdr>
        <w:top w:val="none" w:sz="0" w:space="0" w:color="auto"/>
        <w:left w:val="none" w:sz="0" w:space="0" w:color="auto"/>
        <w:bottom w:val="none" w:sz="0" w:space="0" w:color="auto"/>
        <w:right w:val="none" w:sz="0" w:space="0" w:color="auto"/>
      </w:divBdr>
    </w:div>
    <w:div w:id="95565018">
      <w:bodyDiv w:val="1"/>
      <w:marLeft w:val="0"/>
      <w:marRight w:val="0"/>
      <w:marTop w:val="0"/>
      <w:marBottom w:val="0"/>
      <w:divBdr>
        <w:top w:val="none" w:sz="0" w:space="0" w:color="auto"/>
        <w:left w:val="none" w:sz="0" w:space="0" w:color="auto"/>
        <w:bottom w:val="none" w:sz="0" w:space="0" w:color="auto"/>
        <w:right w:val="none" w:sz="0" w:space="0" w:color="auto"/>
      </w:divBdr>
    </w:div>
    <w:div w:id="137575983">
      <w:bodyDiv w:val="1"/>
      <w:marLeft w:val="0"/>
      <w:marRight w:val="0"/>
      <w:marTop w:val="0"/>
      <w:marBottom w:val="0"/>
      <w:divBdr>
        <w:top w:val="none" w:sz="0" w:space="0" w:color="auto"/>
        <w:left w:val="none" w:sz="0" w:space="0" w:color="auto"/>
        <w:bottom w:val="none" w:sz="0" w:space="0" w:color="auto"/>
        <w:right w:val="none" w:sz="0" w:space="0" w:color="auto"/>
      </w:divBdr>
    </w:div>
    <w:div w:id="147551063">
      <w:bodyDiv w:val="1"/>
      <w:marLeft w:val="0"/>
      <w:marRight w:val="0"/>
      <w:marTop w:val="0"/>
      <w:marBottom w:val="0"/>
      <w:divBdr>
        <w:top w:val="none" w:sz="0" w:space="0" w:color="auto"/>
        <w:left w:val="none" w:sz="0" w:space="0" w:color="auto"/>
        <w:bottom w:val="none" w:sz="0" w:space="0" w:color="auto"/>
        <w:right w:val="none" w:sz="0" w:space="0" w:color="auto"/>
      </w:divBdr>
      <w:divsChild>
        <w:div w:id="502477421">
          <w:marLeft w:val="-720"/>
          <w:marRight w:val="0"/>
          <w:marTop w:val="0"/>
          <w:marBottom w:val="0"/>
          <w:divBdr>
            <w:top w:val="none" w:sz="0" w:space="0" w:color="auto"/>
            <w:left w:val="none" w:sz="0" w:space="0" w:color="auto"/>
            <w:bottom w:val="none" w:sz="0" w:space="0" w:color="auto"/>
            <w:right w:val="none" w:sz="0" w:space="0" w:color="auto"/>
          </w:divBdr>
        </w:div>
      </w:divsChild>
    </w:div>
    <w:div w:id="172035802">
      <w:bodyDiv w:val="1"/>
      <w:marLeft w:val="0"/>
      <w:marRight w:val="0"/>
      <w:marTop w:val="0"/>
      <w:marBottom w:val="0"/>
      <w:divBdr>
        <w:top w:val="none" w:sz="0" w:space="0" w:color="auto"/>
        <w:left w:val="none" w:sz="0" w:space="0" w:color="auto"/>
        <w:bottom w:val="none" w:sz="0" w:space="0" w:color="auto"/>
        <w:right w:val="none" w:sz="0" w:space="0" w:color="auto"/>
      </w:divBdr>
    </w:div>
    <w:div w:id="175659221">
      <w:bodyDiv w:val="1"/>
      <w:marLeft w:val="0"/>
      <w:marRight w:val="0"/>
      <w:marTop w:val="0"/>
      <w:marBottom w:val="0"/>
      <w:divBdr>
        <w:top w:val="none" w:sz="0" w:space="0" w:color="auto"/>
        <w:left w:val="none" w:sz="0" w:space="0" w:color="auto"/>
        <w:bottom w:val="none" w:sz="0" w:space="0" w:color="auto"/>
        <w:right w:val="none" w:sz="0" w:space="0" w:color="auto"/>
      </w:divBdr>
    </w:div>
    <w:div w:id="180364421">
      <w:bodyDiv w:val="1"/>
      <w:marLeft w:val="0"/>
      <w:marRight w:val="0"/>
      <w:marTop w:val="0"/>
      <w:marBottom w:val="0"/>
      <w:divBdr>
        <w:top w:val="none" w:sz="0" w:space="0" w:color="auto"/>
        <w:left w:val="none" w:sz="0" w:space="0" w:color="auto"/>
        <w:bottom w:val="none" w:sz="0" w:space="0" w:color="auto"/>
        <w:right w:val="none" w:sz="0" w:space="0" w:color="auto"/>
      </w:divBdr>
    </w:div>
    <w:div w:id="185102144">
      <w:bodyDiv w:val="1"/>
      <w:marLeft w:val="0"/>
      <w:marRight w:val="0"/>
      <w:marTop w:val="0"/>
      <w:marBottom w:val="0"/>
      <w:divBdr>
        <w:top w:val="none" w:sz="0" w:space="0" w:color="auto"/>
        <w:left w:val="none" w:sz="0" w:space="0" w:color="auto"/>
        <w:bottom w:val="none" w:sz="0" w:space="0" w:color="auto"/>
        <w:right w:val="none" w:sz="0" w:space="0" w:color="auto"/>
      </w:divBdr>
    </w:div>
    <w:div w:id="236673004">
      <w:bodyDiv w:val="1"/>
      <w:marLeft w:val="0"/>
      <w:marRight w:val="0"/>
      <w:marTop w:val="0"/>
      <w:marBottom w:val="0"/>
      <w:divBdr>
        <w:top w:val="none" w:sz="0" w:space="0" w:color="auto"/>
        <w:left w:val="none" w:sz="0" w:space="0" w:color="auto"/>
        <w:bottom w:val="none" w:sz="0" w:space="0" w:color="auto"/>
        <w:right w:val="none" w:sz="0" w:space="0" w:color="auto"/>
      </w:divBdr>
    </w:div>
    <w:div w:id="245893281">
      <w:bodyDiv w:val="1"/>
      <w:marLeft w:val="0"/>
      <w:marRight w:val="0"/>
      <w:marTop w:val="0"/>
      <w:marBottom w:val="0"/>
      <w:divBdr>
        <w:top w:val="none" w:sz="0" w:space="0" w:color="auto"/>
        <w:left w:val="none" w:sz="0" w:space="0" w:color="auto"/>
        <w:bottom w:val="none" w:sz="0" w:space="0" w:color="auto"/>
        <w:right w:val="none" w:sz="0" w:space="0" w:color="auto"/>
      </w:divBdr>
    </w:div>
    <w:div w:id="264073478">
      <w:bodyDiv w:val="1"/>
      <w:marLeft w:val="0"/>
      <w:marRight w:val="0"/>
      <w:marTop w:val="0"/>
      <w:marBottom w:val="0"/>
      <w:divBdr>
        <w:top w:val="none" w:sz="0" w:space="0" w:color="auto"/>
        <w:left w:val="none" w:sz="0" w:space="0" w:color="auto"/>
        <w:bottom w:val="none" w:sz="0" w:space="0" w:color="auto"/>
        <w:right w:val="none" w:sz="0" w:space="0" w:color="auto"/>
      </w:divBdr>
      <w:divsChild>
        <w:div w:id="1520659841">
          <w:marLeft w:val="-720"/>
          <w:marRight w:val="0"/>
          <w:marTop w:val="0"/>
          <w:marBottom w:val="0"/>
          <w:divBdr>
            <w:top w:val="none" w:sz="0" w:space="0" w:color="auto"/>
            <w:left w:val="none" w:sz="0" w:space="0" w:color="auto"/>
            <w:bottom w:val="none" w:sz="0" w:space="0" w:color="auto"/>
            <w:right w:val="none" w:sz="0" w:space="0" w:color="auto"/>
          </w:divBdr>
        </w:div>
      </w:divsChild>
    </w:div>
    <w:div w:id="351764281">
      <w:bodyDiv w:val="1"/>
      <w:marLeft w:val="0"/>
      <w:marRight w:val="0"/>
      <w:marTop w:val="0"/>
      <w:marBottom w:val="0"/>
      <w:divBdr>
        <w:top w:val="none" w:sz="0" w:space="0" w:color="auto"/>
        <w:left w:val="none" w:sz="0" w:space="0" w:color="auto"/>
        <w:bottom w:val="none" w:sz="0" w:space="0" w:color="auto"/>
        <w:right w:val="none" w:sz="0" w:space="0" w:color="auto"/>
      </w:divBdr>
    </w:div>
    <w:div w:id="368798450">
      <w:bodyDiv w:val="1"/>
      <w:marLeft w:val="0"/>
      <w:marRight w:val="0"/>
      <w:marTop w:val="0"/>
      <w:marBottom w:val="0"/>
      <w:divBdr>
        <w:top w:val="none" w:sz="0" w:space="0" w:color="auto"/>
        <w:left w:val="none" w:sz="0" w:space="0" w:color="auto"/>
        <w:bottom w:val="none" w:sz="0" w:space="0" w:color="auto"/>
        <w:right w:val="none" w:sz="0" w:space="0" w:color="auto"/>
      </w:divBdr>
    </w:div>
    <w:div w:id="392850590">
      <w:bodyDiv w:val="1"/>
      <w:marLeft w:val="0"/>
      <w:marRight w:val="0"/>
      <w:marTop w:val="0"/>
      <w:marBottom w:val="0"/>
      <w:divBdr>
        <w:top w:val="none" w:sz="0" w:space="0" w:color="auto"/>
        <w:left w:val="none" w:sz="0" w:space="0" w:color="auto"/>
        <w:bottom w:val="none" w:sz="0" w:space="0" w:color="auto"/>
        <w:right w:val="none" w:sz="0" w:space="0" w:color="auto"/>
      </w:divBdr>
    </w:div>
    <w:div w:id="449014737">
      <w:bodyDiv w:val="1"/>
      <w:marLeft w:val="0"/>
      <w:marRight w:val="0"/>
      <w:marTop w:val="0"/>
      <w:marBottom w:val="0"/>
      <w:divBdr>
        <w:top w:val="none" w:sz="0" w:space="0" w:color="auto"/>
        <w:left w:val="none" w:sz="0" w:space="0" w:color="auto"/>
        <w:bottom w:val="none" w:sz="0" w:space="0" w:color="auto"/>
        <w:right w:val="none" w:sz="0" w:space="0" w:color="auto"/>
      </w:divBdr>
      <w:divsChild>
        <w:div w:id="747851712">
          <w:marLeft w:val="-720"/>
          <w:marRight w:val="0"/>
          <w:marTop w:val="0"/>
          <w:marBottom w:val="0"/>
          <w:divBdr>
            <w:top w:val="none" w:sz="0" w:space="0" w:color="auto"/>
            <w:left w:val="none" w:sz="0" w:space="0" w:color="auto"/>
            <w:bottom w:val="none" w:sz="0" w:space="0" w:color="auto"/>
            <w:right w:val="none" w:sz="0" w:space="0" w:color="auto"/>
          </w:divBdr>
        </w:div>
      </w:divsChild>
    </w:div>
    <w:div w:id="470447458">
      <w:bodyDiv w:val="1"/>
      <w:marLeft w:val="0"/>
      <w:marRight w:val="0"/>
      <w:marTop w:val="0"/>
      <w:marBottom w:val="0"/>
      <w:divBdr>
        <w:top w:val="none" w:sz="0" w:space="0" w:color="auto"/>
        <w:left w:val="none" w:sz="0" w:space="0" w:color="auto"/>
        <w:bottom w:val="none" w:sz="0" w:space="0" w:color="auto"/>
        <w:right w:val="none" w:sz="0" w:space="0" w:color="auto"/>
      </w:divBdr>
    </w:div>
    <w:div w:id="513156294">
      <w:bodyDiv w:val="1"/>
      <w:marLeft w:val="0"/>
      <w:marRight w:val="0"/>
      <w:marTop w:val="0"/>
      <w:marBottom w:val="0"/>
      <w:divBdr>
        <w:top w:val="none" w:sz="0" w:space="0" w:color="auto"/>
        <w:left w:val="none" w:sz="0" w:space="0" w:color="auto"/>
        <w:bottom w:val="none" w:sz="0" w:space="0" w:color="auto"/>
        <w:right w:val="none" w:sz="0" w:space="0" w:color="auto"/>
      </w:divBdr>
    </w:div>
    <w:div w:id="513963326">
      <w:bodyDiv w:val="1"/>
      <w:marLeft w:val="0"/>
      <w:marRight w:val="0"/>
      <w:marTop w:val="0"/>
      <w:marBottom w:val="0"/>
      <w:divBdr>
        <w:top w:val="none" w:sz="0" w:space="0" w:color="auto"/>
        <w:left w:val="none" w:sz="0" w:space="0" w:color="auto"/>
        <w:bottom w:val="none" w:sz="0" w:space="0" w:color="auto"/>
        <w:right w:val="none" w:sz="0" w:space="0" w:color="auto"/>
      </w:divBdr>
    </w:div>
    <w:div w:id="535239123">
      <w:bodyDiv w:val="1"/>
      <w:marLeft w:val="0"/>
      <w:marRight w:val="0"/>
      <w:marTop w:val="0"/>
      <w:marBottom w:val="0"/>
      <w:divBdr>
        <w:top w:val="none" w:sz="0" w:space="0" w:color="auto"/>
        <w:left w:val="none" w:sz="0" w:space="0" w:color="auto"/>
        <w:bottom w:val="none" w:sz="0" w:space="0" w:color="auto"/>
        <w:right w:val="none" w:sz="0" w:space="0" w:color="auto"/>
      </w:divBdr>
    </w:div>
    <w:div w:id="549343869">
      <w:bodyDiv w:val="1"/>
      <w:marLeft w:val="0"/>
      <w:marRight w:val="0"/>
      <w:marTop w:val="0"/>
      <w:marBottom w:val="0"/>
      <w:divBdr>
        <w:top w:val="none" w:sz="0" w:space="0" w:color="auto"/>
        <w:left w:val="none" w:sz="0" w:space="0" w:color="auto"/>
        <w:bottom w:val="none" w:sz="0" w:space="0" w:color="auto"/>
        <w:right w:val="none" w:sz="0" w:space="0" w:color="auto"/>
      </w:divBdr>
    </w:div>
    <w:div w:id="555121996">
      <w:bodyDiv w:val="1"/>
      <w:marLeft w:val="0"/>
      <w:marRight w:val="0"/>
      <w:marTop w:val="0"/>
      <w:marBottom w:val="0"/>
      <w:divBdr>
        <w:top w:val="none" w:sz="0" w:space="0" w:color="auto"/>
        <w:left w:val="none" w:sz="0" w:space="0" w:color="auto"/>
        <w:bottom w:val="none" w:sz="0" w:space="0" w:color="auto"/>
        <w:right w:val="none" w:sz="0" w:space="0" w:color="auto"/>
      </w:divBdr>
    </w:div>
    <w:div w:id="562954746">
      <w:bodyDiv w:val="1"/>
      <w:marLeft w:val="0"/>
      <w:marRight w:val="0"/>
      <w:marTop w:val="0"/>
      <w:marBottom w:val="0"/>
      <w:divBdr>
        <w:top w:val="none" w:sz="0" w:space="0" w:color="auto"/>
        <w:left w:val="none" w:sz="0" w:space="0" w:color="auto"/>
        <w:bottom w:val="none" w:sz="0" w:space="0" w:color="auto"/>
        <w:right w:val="none" w:sz="0" w:space="0" w:color="auto"/>
      </w:divBdr>
      <w:divsChild>
        <w:div w:id="1189609913">
          <w:marLeft w:val="-720"/>
          <w:marRight w:val="0"/>
          <w:marTop w:val="0"/>
          <w:marBottom w:val="0"/>
          <w:divBdr>
            <w:top w:val="none" w:sz="0" w:space="0" w:color="auto"/>
            <w:left w:val="none" w:sz="0" w:space="0" w:color="auto"/>
            <w:bottom w:val="none" w:sz="0" w:space="0" w:color="auto"/>
            <w:right w:val="none" w:sz="0" w:space="0" w:color="auto"/>
          </w:divBdr>
        </w:div>
      </w:divsChild>
    </w:div>
    <w:div w:id="572207358">
      <w:bodyDiv w:val="1"/>
      <w:marLeft w:val="0"/>
      <w:marRight w:val="0"/>
      <w:marTop w:val="0"/>
      <w:marBottom w:val="0"/>
      <w:divBdr>
        <w:top w:val="none" w:sz="0" w:space="0" w:color="auto"/>
        <w:left w:val="none" w:sz="0" w:space="0" w:color="auto"/>
        <w:bottom w:val="none" w:sz="0" w:space="0" w:color="auto"/>
        <w:right w:val="none" w:sz="0" w:space="0" w:color="auto"/>
      </w:divBdr>
    </w:div>
    <w:div w:id="635647836">
      <w:bodyDiv w:val="1"/>
      <w:marLeft w:val="0"/>
      <w:marRight w:val="0"/>
      <w:marTop w:val="0"/>
      <w:marBottom w:val="0"/>
      <w:divBdr>
        <w:top w:val="none" w:sz="0" w:space="0" w:color="auto"/>
        <w:left w:val="none" w:sz="0" w:space="0" w:color="auto"/>
        <w:bottom w:val="none" w:sz="0" w:space="0" w:color="auto"/>
        <w:right w:val="none" w:sz="0" w:space="0" w:color="auto"/>
      </w:divBdr>
    </w:div>
    <w:div w:id="661204612">
      <w:bodyDiv w:val="1"/>
      <w:marLeft w:val="0"/>
      <w:marRight w:val="0"/>
      <w:marTop w:val="0"/>
      <w:marBottom w:val="0"/>
      <w:divBdr>
        <w:top w:val="none" w:sz="0" w:space="0" w:color="auto"/>
        <w:left w:val="none" w:sz="0" w:space="0" w:color="auto"/>
        <w:bottom w:val="none" w:sz="0" w:space="0" w:color="auto"/>
        <w:right w:val="none" w:sz="0" w:space="0" w:color="auto"/>
      </w:divBdr>
    </w:div>
    <w:div w:id="735054700">
      <w:bodyDiv w:val="1"/>
      <w:marLeft w:val="0"/>
      <w:marRight w:val="0"/>
      <w:marTop w:val="0"/>
      <w:marBottom w:val="0"/>
      <w:divBdr>
        <w:top w:val="none" w:sz="0" w:space="0" w:color="auto"/>
        <w:left w:val="none" w:sz="0" w:space="0" w:color="auto"/>
        <w:bottom w:val="none" w:sz="0" w:space="0" w:color="auto"/>
        <w:right w:val="none" w:sz="0" w:space="0" w:color="auto"/>
      </w:divBdr>
    </w:div>
    <w:div w:id="792403203">
      <w:bodyDiv w:val="1"/>
      <w:marLeft w:val="0"/>
      <w:marRight w:val="0"/>
      <w:marTop w:val="0"/>
      <w:marBottom w:val="0"/>
      <w:divBdr>
        <w:top w:val="none" w:sz="0" w:space="0" w:color="auto"/>
        <w:left w:val="none" w:sz="0" w:space="0" w:color="auto"/>
        <w:bottom w:val="none" w:sz="0" w:space="0" w:color="auto"/>
        <w:right w:val="none" w:sz="0" w:space="0" w:color="auto"/>
      </w:divBdr>
    </w:div>
    <w:div w:id="812139550">
      <w:bodyDiv w:val="1"/>
      <w:marLeft w:val="0"/>
      <w:marRight w:val="0"/>
      <w:marTop w:val="0"/>
      <w:marBottom w:val="0"/>
      <w:divBdr>
        <w:top w:val="none" w:sz="0" w:space="0" w:color="auto"/>
        <w:left w:val="none" w:sz="0" w:space="0" w:color="auto"/>
        <w:bottom w:val="none" w:sz="0" w:space="0" w:color="auto"/>
        <w:right w:val="none" w:sz="0" w:space="0" w:color="auto"/>
      </w:divBdr>
    </w:div>
    <w:div w:id="853804069">
      <w:bodyDiv w:val="1"/>
      <w:marLeft w:val="0"/>
      <w:marRight w:val="0"/>
      <w:marTop w:val="0"/>
      <w:marBottom w:val="0"/>
      <w:divBdr>
        <w:top w:val="none" w:sz="0" w:space="0" w:color="auto"/>
        <w:left w:val="none" w:sz="0" w:space="0" w:color="auto"/>
        <w:bottom w:val="none" w:sz="0" w:space="0" w:color="auto"/>
        <w:right w:val="none" w:sz="0" w:space="0" w:color="auto"/>
      </w:divBdr>
      <w:divsChild>
        <w:div w:id="891961627">
          <w:marLeft w:val="-720"/>
          <w:marRight w:val="0"/>
          <w:marTop w:val="0"/>
          <w:marBottom w:val="0"/>
          <w:divBdr>
            <w:top w:val="none" w:sz="0" w:space="0" w:color="auto"/>
            <w:left w:val="none" w:sz="0" w:space="0" w:color="auto"/>
            <w:bottom w:val="none" w:sz="0" w:space="0" w:color="auto"/>
            <w:right w:val="none" w:sz="0" w:space="0" w:color="auto"/>
          </w:divBdr>
        </w:div>
      </w:divsChild>
    </w:div>
    <w:div w:id="935944903">
      <w:bodyDiv w:val="1"/>
      <w:marLeft w:val="0"/>
      <w:marRight w:val="0"/>
      <w:marTop w:val="0"/>
      <w:marBottom w:val="0"/>
      <w:divBdr>
        <w:top w:val="none" w:sz="0" w:space="0" w:color="auto"/>
        <w:left w:val="none" w:sz="0" w:space="0" w:color="auto"/>
        <w:bottom w:val="none" w:sz="0" w:space="0" w:color="auto"/>
        <w:right w:val="none" w:sz="0" w:space="0" w:color="auto"/>
      </w:divBdr>
    </w:div>
    <w:div w:id="979961121">
      <w:bodyDiv w:val="1"/>
      <w:marLeft w:val="0"/>
      <w:marRight w:val="0"/>
      <w:marTop w:val="0"/>
      <w:marBottom w:val="0"/>
      <w:divBdr>
        <w:top w:val="none" w:sz="0" w:space="0" w:color="auto"/>
        <w:left w:val="none" w:sz="0" w:space="0" w:color="auto"/>
        <w:bottom w:val="none" w:sz="0" w:space="0" w:color="auto"/>
        <w:right w:val="none" w:sz="0" w:space="0" w:color="auto"/>
      </w:divBdr>
    </w:div>
    <w:div w:id="1063989248">
      <w:bodyDiv w:val="1"/>
      <w:marLeft w:val="0"/>
      <w:marRight w:val="0"/>
      <w:marTop w:val="0"/>
      <w:marBottom w:val="0"/>
      <w:divBdr>
        <w:top w:val="none" w:sz="0" w:space="0" w:color="auto"/>
        <w:left w:val="none" w:sz="0" w:space="0" w:color="auto"/>
        <w:bottom w:val="none" w:sz="0" w:space="0" w:color="auto"/>
        <w:right w:val="none" w:sz="0" w:space="0" w:color="auto"/>
      </w:divBdr>
    </w:div>
    <w:div w:id="1084498936">
      <w:bodyDiv w:val="1"/>
      <w:marLeft w:val="0"/>
      <w:marRight w:val="0"/>
      <w:marTop w:val="0"/>
      <w:marBottom w:val="0"/>
      <w:divBdr>
        <w:top w:val="none" w:sz="0" w:space="0" w:color="auto"/>
        <w:left w:val="none" w:sz="0" w:space="0" w:color="auto"/>
        <w:bottom w:val="none" w:sz="0" w:space="0" w:color="auto"/>
        <w:right w:val="none" w:sz="0" w:space="0" w:color="auto"/>
      </w:divBdr>
    </w:div>
    <w:div w:id="1112086994">
      <w:bodyDiv w:val="1"/>
      <w:marLeft w:val="0"/>
      <w:marRight w:val="0"/>
      <w:marTop w:val="0"/>
      <w:marBottom w:val="0"/>
      <w:divBdr>
        <w:top w:val="none" w:sz="0" w:space="0" w:color="auto"/>
        <w:left w:val="none" w:sz="0" w:space="0" w:color="auto"/>
        <w:bottom w:val="none" w:sz="0" w:space="0" w:color="auto"/>
        <w:right w:val="none" w:sz="0" w:space="0" w:color="auto"/>
      </w:divBdr>
    </w:div>
    <w:div w:id="1128162515">
      <w:bodyDiv w:val="1"/>
      <w:marLeft w:val="0"/>
      <w:marRight w:val="0"/>
      <w:marTop w:val="0"/>
      <w:marBottom w:val="0"/>
      <w:divBdr>
        <w:top w:val="none" w:sz="0" w:space="0" w:color="auto"/>
        <w:left w:val="none" w:sz="0" w:space="0" w:color="auto"/>
        <w:bottom w:val="none" w:sz="0" w:space="0" w:color="auto"/>
        <w:right w:val="none" w:sz="0" w:space="0" w:color="auto"/>
      </w:divBdr>
    </w:div>
    <w:div w:id="1129981267">
      <w:bodyDiv w:val="1"/>
      <w:marLeft w:val="0"/>
      <w:marRight w:val="0"/>
      <w:marTop w:val="0"/>
      <w:marBottom w:val="0"/>
      <w:divBdr>
        <w:top w:val="none" w:sz="0" w:space="0" w:color="auto"/>
        <w:left w:val="none" w:sz="0" w:space="0" w:color="auto"/>
        <w:bottom w:val="none" w:sz="0" w:space="0" w:color="auto"/>
        <w:right w:val="none" w:sz="0" w:space="0" w:color="auto"/>
      </w:divBdr>
    </w:div>
    <w:div w:id="1163399152">
      <w:bodyDiv w:val="1"/>
      <w:marLeft w:val="0"/>
      <w:marRight w:val="0"/>
      <w:marTop w:val="0"/>
      <w:marBottom w:val="0"/>
      <w:divBdr>
        <w:top w:val="none" w:sz="0" w:space="0" w:color="auto"/>
        <w:left w:val="none" w:sz="0" w:space="0" w:color="auto"/>
        <w:bottom w:val="none" w:sz="0" w:space="0" w:color="auto"/>
        <w:right w:val="none" w:sz="0" w:space="0" w:color="auto"/>
      </w:divBdr>
    </w:div>
    <w:div w:id="1165247838">
      <w:bodyDiv w:val="1"/>
      <w:marLeft w:val="0"/>
      <w:marRight w:val="0"/>
      <w:marTop w:val="0"/>
      <w:marBottom w:val="0"/>
      <w:divBdr>
        <w:top w:val="none" w:sz="0" w:space="0" w:color="auto"/>
        <w:left w:val="none" w:sz="0" w:space="0" w:color="auto"/>
        <w:bottom w:val="none" w:sz="0" w:space="0" w:color="auto"/>
        <w:right w:val="none" w:sz="0" w:space="0" w:color="auto"/>
      </w:divBdr>
    </w:div>
    <w:div w:id="1233467306">
      <w:bodyDiv w:val="1"/>
      <w:marLeft w:val="0"/>
      <w:marRight w:val="0"/>
      <w:marTop w:val="0"/>
      <w:marBottom w:val="0"/>
      <w:divBdr>
        <w:top w:val="none" w:sz="0" w:space="0" w:color="auto"/>
        <w:left w:val="none" w:sz="0" w:space="0" w:color="auto"/>
        <w:bottom w:val="none" w:sz="0" w:space="0" w:color="auto"/>
        <w:right w:val="none" w:sz="0" w:space="0" w:color="auto"/>
      </w:divBdr>
      <w:divsChild>
        <w:div w:id="1878620567">
          <w:marLeft w:val="-720"/>
          <w:marRight w:val="0"/>
          <w:marTop w:val="0"/>
          <w:marBottom w:val="0"/>
          <w:divBdr>
            <w:top w:val="none" w:sz="0" w:space="0" w:color="auto"/>
            <w:left w:val="none" w:sz="0" w:space="0" w:color="auto"/>
            <w:bottom w:val="none" w:sz="0" w:space="0" w:color="auto"/>
            <w:right w:val="none" w:sz="0" w:space="0" w:color="auto"/>
          </w:divBdr>
        </w:div>
      </w:divsChild>
    </w:div>
    <w:div w:id="1253852049">
      <w:bodyDiv w:val="1"/>
      <w:marLeft w:val="0"/>
      <w:marRight w:val="0"/>
      <w:marTop w:val="0"/>
      <w:marBottom w:val="0"/>
      <w:divBdr>
        <w:top w:val="none" w:sz="0" w:space="0" w:color="auto"/>
        <w:left w:val="none" w:sz="0" w:space="0" w:color="auto"/>
        <w:bottom w:val="none" w:sz="0" w:space="0" w:color="auto"/>
        <w:right w:val="none" w:sz="0" w:space="0" w:color="auto"/>
      </w:divBdr>
    </w:div>
    <w:div w:id="1290480346">
      <w:bodyDiv w:val="1"/>
      <w:marLeft w:val="0"/>
      <w:marRight w:val="0"/>
      <w:marTop w:val="0"/>
      <w:marBottom w:val="0"/>
      <w:divBdr>
        <w:top w:val="none" w:sz="0" w:space="0" w:color="auto"/>
        <w:left w:val="none" w:sz="0" w:space="0" w:color="auto"/>
        <w:bottom w:val="none" w:sz="0" w:space="0" w:color="auto"/>
        <w:right w:val="none" w:sz="0" w:space="0" w:color="auto"/>
      </w:divBdr>
    </w:div>
    <w:div w:id="1358120884">
      <w:bodyDiv w:val="1"/>
      <w:marLeft w:val="0"/>
      <w:marRight w:val="0"/>
      <w:marTop w:val="0"/>
      <w:marBottom w:val="0"/>
      <w:divBdr>
        <w:top w:val="none" w:sz="0" w:space="0" w:color="auto"/>
        <w:left w:val="none" w:sz="0" w:space="0" w:color="auto"/>
        <w:bottom w:val="none" w:sz="0" w:space="0" w:color="auto"/>
        <w:right w:val="none" w:sz="0" w:space="0" w:color="auto"/>
      </w:divBdr>
    </w:div>
    <w:div w:id="1371564846">
      <w:bodyDiv w:val="1"/>
      <w:marLeft w:val="0"/>
      <w:marRight w:val="0"/>
      <w:marTop w:val="0"/>
      <w:marBottom w:val="0"/>
      <w:divBdr>
        <w:top w:val="none" w:sz="0" w:space="0" w:color="auto"/>
        <w:left w:val="none" w:sz="0" w:space="0" w:color="auto"/>
        <w:bottom w:val="none" w:sz="0" w:space="0" w:color="auto"/>
        <w:right w:val="none" w:sz="0" w:space="0" w:color="auto"/>
      </w:divBdr>
    </w:div>
    <w:div w:id="1432362092">
      <w:bodyDiv w:val="1"/>
      <w:marLeft w:val="0"/>
      <w:marRight w:val="0"/>
      <w:marTop w:val="0"/>
      <w:marBottom w:val="0"/>
      <w:divBdr>
        <w:top w:val="none" w:sz="0" w:space="0" w:color="auto"/>
        <w:left w:val="none" w:sz="0" w:space="0" w:color="auto"/>
        <w:bottom w:val="none" w:sz="0" w:space="0" w:color="auto"/>
        <w:right w:val="none" w:sz="0" w:space="0" w:color="auto"/>
      </w:divBdr>
    </w:div>
    <w:div w:id="1537085935">
      <w:bodyDiv w:val="1"/>
      <w:marLeft w:val="0"/>
      <w:marRight w:val="0"/>
      <w:marTop w:val="0"/>
      <w:marBottom w:val="0"/>
      <w:divBdr>
        <w:top w:val="none" w:sz="0" w:space="0" w:color="auto"/>
        <w:left w:val="none" w:sz="0" w:space="0" w:color="auto"/>
        <w:bottom w:val="none" w:sz="0" w:space="0" w:color="auto"/>
        <w:right w:val="none" w:sz="0" w:space="0" w:color="auto"/>
      </w:divBdr>
    </w:div>
    <w:div w:id="1625378802">
      <w:bodyDiv w:val="1"/>
      <w:marLeft w:val="0"/>
      <w:marRight w:val="0"/>
      <w:marTop w:val="0"/>
      <w:marBottom w:val="0"/>
      <w:divBdr>
        <w:top w:val="none" w:sz="0" w:space="0" w:color="auto"/>
        <w:left w:val="none" w:sz="0" w:space="0" w:color="auto"/>
        <w:bottom w:val="none" w:sz="0" w:space="0" w:color="auto"/>
        <w:right w:val="none" w:sz="0" w:space="0" w:color="auto"/>
      </w:divBdr>
    </w:div>
    <w:div w:id="1665550563">
      <w:bodyDiv w:val="1"/>
      <w:marLeft w:val="0"/>
      <w:marRight w:val="0"/>
      <w:marTop w:val="0"/>
      <w:marBottom w:val="0"/>
      <w:divBdr>
        <w:top w:val="none" w:sz="0" w:space="0" w:color="auto"/>
        <w:left w:val="none" w:sz="0" w:space="0" w:color="auto"/>
        <w:bottom w:val="none" w:sz="0" w:space="0" w:color="auto"/>
        <w:right w:val="none" w:sz="0" w:space="0" w:color="auto"/>
      </w:divBdr>
    </w:div>
    <w:div w:id="1671717808">
      <w:bodyDiv w:val="1"/>
      <w:marLeft w:val="0"/>
      <w:marRight w:val="0"/>
      <w:marTop w:val="0"/>
      <w:marBottom w:val="0"/>
      <w:divBdr>
        <w:top w:val="none" w:sz="0" w:space="0" w:color="auto"/>
        <w:left w:val="none" w:sz="0" w:space="0" w:color="auto"/>
        <w:bottom w:val="none" w:sz="0" w:space="0" w:color="auto"/>
        <w:right w:val="none" w:sz="0" w:space="0" w:color="auto"/>
      </w:divBdr>
    </w:div>
    <w:div w:id="1673071774">
      <w:bodyDiv w:val="1"/>
      <w:marLeft w:val="0"/>
      <w:marRight w:val="0"/>
      <w:marTop w:val="0"/>
      <w:marBottom w:val="0"/>
      <w:divBdr>
        <w:top w:val="none" w:sz="0" w:space="0" w:color="auto"/>
        <w:left w:val="none" w:sz="0" w:space="0" w:color="auto"/>
        <w:bottom w:val="none" w:sz="0" w:space="0" w:color="auto"/>
        <w:right w:val="none" w:sz="0" w:space="0" w:color="auto"/>
      </w:divBdr>
    </w:div>
    <w:div w:id="1679959684">
      <w:bodyDiv w:val="1"/>
      <w:marLeft w:val="0"/>
      <w:marRight w:val="0"/>
      <w:marTop w:val="0"/>
      <w:marBottom w:val="0"/>
      <w:divBdr>
        <w:top w:val="none" w:sz="0" w:space="0" w:color="auto"/>
        <w:left w:val="none" w:sz="0" w:space="0" w:color="auto"/>
        <w:bottom w:val="none" w:sz="0" w:space="0" w:color="auto"/>
        <w:right w:val="none" w:sz="0" w:space="0" w:color="auto"/>
      </w:divBdr>
    </w:div>
    <w:div w:id="1726179572">
      <w:bodyDiv w:val="1"/>
      <w:marLeft w:val="0"/>
      <w:marRight w:val="0"/>
      <w:marTop w:val="0"/>
      <w:marBottom w:val="0"/>
      <w:divBdr>
        <w:top w:val="none" w:sz="0" w:space="0" w:color="auto"/>
        <w:left w:val="none" w:sz="0" w:space="0" w:color="auto"/>
        <w:bottom w:val="none" w:sz="0" w:space="0" w:color="auto"/>
        <w:right w:val="none" w:sz="0" w:space="0" w:color="auto"/>
      </w:divBdr>
    </w:div>
    <w:div w:id="1728068347">
      <w:bodyDiv w:val="1"/>
      <w:marLeft w:val="0"/>
      <w:marRight w:val="0"/>
      <w:marTop w:val="0"/>
      <w:marBottom w:val="0"/>
      <w:divBdr>
        <w:top w:val="none" w:sz="0" w:space="0" w:color="auto"/>
        <w:left w:val="none" w:sz="0" w:space="0" w:color="auto"/>
        <w:bottom w:val="none" w:sz="0" w:space="0" w:color="auto"/>
        <w:right w:val="none" w:sz="0" w:space="0" w:color="auto"/>
      </w:divBdr>
    </w:div>
    <w:div w:id="1759130213">
      <w:bodyDiv w:val="1"/>
      <w:marLeft w:val="0"/>
      <w:marRight w:val="0"/>
      <w:marTop w:val="0"/>
      <w:marBottom w:val="0"/>
      <w:divBdr>
        <w:top w:val="none" w:sz="0" w:space="0" w:color="auto"/>
        <w:left w:val="none" w:sz="0" w:space="0" w:color="auto"/>
        <w:bottom w:val="none" w:sz="0" w:space="0" w:color="auto"/>
        <w:right w:val="none" w:sz="0" w:space="0" w:color="auto"/>
      </w:divBdr>
    </w:div>
    <w:div w:id="1765808154">
      <w:bodyDiv w:val="1"/>
      <w:marLeft w:val="0"/>
      <w:marRight w:val="0"/>
      <w:marTop w:val="0"/>
      <w:marBottom w:val="0"/>
      <w:divBdr>
        <w:top w:val="none" w:sz="0" w:space="0" w:color="auto"/>
        <w:left w:val="none" w:sz="0" w:space="0" w:color="auto"/>
        <w:bottom w:val="none" w:sz="0" w:space="0" w:color="auto"/>
        <w:right w:val="none" w:sz="0" w:space="0" w:color="auto"/>
      </w:divBdr>
    </w:div>
    <w:div w:id="1831866455">
      <w:bodyDiv w:val="1"/>
      <w:marLeft w:val="0"/>
      <w:marRight w:val="0"/>
      <w:marTop w:val="0"/>
      <w:marBottom w:val="0"/>
      <w:divBdr>
        <w:top w:val="none" w:sz="0" w:space="0" w:color="auto"/>
        <w:left w:val="none" w:sz="0" w:space="0" w:color="auto"/>
        <w:bottom w:val="none" w:sz="0" w:space="0" w:color="auto"/>
        <w:right w:val="none" w:sz="0" w:space="0" w:color="auto"/>
      </w:divBdr>
    </w:div>
    <w:div w:id="1852723590">
      <w:bodyDiv w:val="1"/>
      <w:marLeft w:val="0"/>
      <w:marRight w:val="0"/>
      <w:marTop w:val="0"/>
      <w:marBottom w:val="0"/>
      <w:divBdr>
        <w:top w:val="none" w:sz="0" w:space="0" w:color="auto"/>
        <w:left w:val="none" w:sz="0" w:space="0" w:color="auto"/>
        <w:bottom w:val="none" w:sz="0" w:space="0" w:color="auto"/>
        <w:right w:val="none" w:sz="0" w:space="0" w:color="auto"/>
      </w:divBdr>
    </w:div>
    <w:div w:id="1854567432">
      <w:bodyDiv w:val="1"/>
      <w:marLeft w:val="0"/>
      <w:marRight w:val="0"/>
      <w:marTop w:val="0"/>
      <w:marBottom w:val="0"/>
      <w:divBdr>
        <w:top w:val="none" w:sz="0" w:space="0" w:color="auto"/>
        <w:left w:val="none" w:sz="0" w:space="0" w:color="auto"/>
        <w:bottom w:val="none" w:sz="0" w:space="0" w:color="auto"/>
        <w:right w:val="none" w:sz="0" w:space="0" w:color="auto"/>
      </w:divBdr>
    </w:div>
    <w:div w:id="1856310076">
      <w:bodyDiv w:val="1"/>
      <w:marLeft w:val="0"/>
      <w:marRight w:val="0"/>
      <w:marTop w:val="0"/>
      <w:marBottom w:val="0"/>
      <w:divBdr>
        <w:top w:val="none" w:sz="0" w:space="0" w:color="auto"/>
        <w:left w:val="none" w:sz="0" w:space="0" w:color="auto"/>
        <w:bottom w:val="none" w:sz="0" w:space="0" w:color="auto"/>
        <w:right w:val="none" w:sz="0" w:space="0" w:color="auto"/>
      </w:divBdr>
    </w:div>
    <w:div w:id="1859925612">
      <w:bodyDiv w:val="1"/>
      <w:marLeft w:val="0"/>
      <w:marRight w:val="0"/>
      <w:marTop w:val="0"/>
      <w:marBottom w:val="0"/>
      <w:divBdr>
        <w:top w:val="none" w:sz="0" w:space="0" w:color="auto"/>
        <w:left w:val="none" w:sz="0" w:space="0" w:color="auto"/>
        <w:bottom w:val="none" w:sz="0" w:space="0" w:color="auto"/>
        <w:right w:val="none" w:sz="0" w:space="0" w:color="auto"/>
      </w:divBdr>
    </w:div>
    <w:div w:id="1924141562">
      <w:bodyDiv w:val="1"/>
      <w:marLeft w:val="0"/>
      <w:marRight w:val="0"/>
      <w:marTop w:val="0"/>
      <w:marBottom w:val="0"/>
      <w:divBdr>
        <w:top w:val="none" w:sz="0" w:space="0" w:color="auto"/>
        <w:left w:val="none" w:sz="0" w:space="0" w:color="auto"/>
        <w:bottom w:val="none" w:sz="0" w:space="0" w:color="auto"/>
        <w:right w:val="none" w:sz="0" w:space="0" w:color="auto"/>
      </w:divBdr>
    </w:div>
    <w:div w:id="1977173895">
      <w:bodyDiv w:val="1"/>
      <w:marLeft w:val="0"/>
      <w:marRight w:val="0"/>
      <w:marTop w:val="0"/>
      <w:marBottom w:val="0"/>
      <w:divBdr>
        <w:top w:val="none" w:sz="0" w:space="0" w:color="auto"/>
        <w:left w:val="none" w:sz="0" w:space="0" w:color="auto"/>
        <w:bottom w:val="none" w:sz="0" w:space="0" w:color="auto"/>
        <w:right w:val="none" w:sz="0" w:space="0" w:color="auto"/>
      </w:divBdr>
    </w:div>
    <w:div w:id="2060547419">
      <w:bodyDiv w:val="1"/>
      <w:marLeft w:val="0"/>
      <w:marRight w:val="0"/>
      <w:marTop w:val="0"/>
      <w:marBottom w:val="0"/>
      <w:divBdr>
        <w:top w:val="none" w:sz="0" w:space="0" w:color="auto"/>
        <w:left w:val="none" w:sz="0" w:space="0" w:color="auto"/>
        <w:bottom w:val="none" w:sz="0" w:space="0" w:color="auto"/>
        <w:right w:val="none" w:sz="0" w:space="0" w:color="auto"/>
      </w:divBdr>
    </w:div>
    <w:div w:id="2130078567">
      <w:bodyDiv w:val="1"/>
      <w:marLeft w:val="0"/>
      <w:marRight w:val="0"/>
      <w:marTop w:val="0"/>
      <w:marBottom w:val="0"/>
      <w:divBdr>
        <w:top w:val="none" w:sz="0" w:space="0" w:color="auto"/>
        <w:left w:val="none" w:sz="0" w:space="0" w:color="auto"/>
        <w:bottom w:val="none" w:sz="0" w:space="0" w:color="auto"/>
        <w:right w:val="none" w:sz="0" w:space="0" w:color="auto"/>
      </w:divBdr>
    </w:div>
    <w:div w:id="2137210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inonline.org/HOL/LandingPage?handle=hein.journals/unilllr2023&amp;div=28&amp;id=&amp;page=" TargetMode="External"/><Relationship Id="rId18" Type="http://schemas.openxmlformats.org/officeDocument/2006/relationships/hyperlink" Target="https://psycnet.apa.org/buy/2022-52851-001" TargetMode="External"/><Relationship Id="rId26" Type="http://schemas.openxmlformats.org/officeDocument/2006/relationships/hyperlink" Target="https://doi.org/10.1177/0886260517731316" TargetMode="External"/><Relationship Id="rId21" Type="http://schemas.openxmlformats.org/officeDocument/2006/relationships/hyperlink" Target="https://psycnet.apa.org/record/1992-21907-001" TargetMode="External"/><Relationship Id="rId34" Type="http://schemas.openxmlformats.org/officeDocument/2006/relationships/hyperlink" Target="https://doi.org/10.1002/9781394266616.ch5" TargetMode="External"/><Relationship Id="rId7" Type="http://schemas.openxmlformats.org/officeDocument/2006/relationships/hyperlink" Target="https://doi.org/10.2139/ssrn.4950429" TargetMode="External"/><Relationship Id="rId12" Type="http://schemas.openxmlformats.org/officeDocument/2006/relationships/hyperlink" Target="https://researchrepository.wvu.edu/etd/12244/" TargetMode="External"/><Relationship Id="rId17" Type="http://schemas.openxmlformats.org/officeDocument/2006/relationships/hyperlink" Target="https://doi.org/10.4337/9781800881921.00017" TargetMode="External"/><Relationship Id="rId25" Type="http://schemas.openxmlformats.org/officeDocument/2006/relationships/hyperlink" Target="https://doi.org/10.1007/bf01499233" TargetMode="External"/><Relationship Id="rId33" Type="http://schemas.openxmlformats.org/officeDocument/2006/relationships/hyperlink" Target="https://doi.org/10.1007/bf0028996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959353593033002" TargetMode="External"/><Relationship Id="rId20" Type="http://schemas.openxmlformats.org/officeDocument/2006/relationships/hyperlink" Target="https://psycnet.apa.org/record/1908-10466-000" TargetMode="External"/><Relationship Id="rId29" Type="http://schemas.openxmlformats.org/officeDocument/2006/relationships/hyperlink" Target="https://doi.org/10.4337/9781800881921.00016" TargetMode="External"/><Relationship Id="rId1" Type="http://schemas.openxmlformats.org/officeDocument/2006/relationships/numbering" Target="numbering.xml"/><Relationship Id="rId6" Type="http://schemas.openxmlformats.org/officeDocument/2006/relationships/hyperlink" Target="https://scholar.google.com/" TargetMode="External"/><Relationship Id="rId11" Type="http://schemas.openxmlformats.org/officeDocument/2006/relationships/hyperlink" Target="https://doi.org/10.1177/00258024221080655" TargetMode="External"/><Relationship Id="rId24" Type="http://schemas.openxmlformats.org/officeDocument/2006/relationships/hyperlink" Target="https://doi.org/10.1177/1368430217702967" TargetMode="External"/><Relationship Id="rId32" Type="http://schemas.openxmlformats.org/officeDocument/2006/relationships/hyperlink" Target="https://www.scirp.org/reference/ReferencesPapers?ReferenceID=757561" TargetMode="External"/><Relationship Id="rId37" Type="http://schemas.openxmlformats.org/officeDocument/2006/relationships/fontTable" Target="fontTable.xml"/><Relationship Id="rId5" Type="http://schemas.openxmlformats.org/officeDocument/2006/relationships/hyperlink" Target="https://chatgpt.com/" TargetMode="External"/><Relationship Id="rId15" Type="http://schemas.openxmlformats.org/officeDocument/2006/relationships/hyperlink" Target="https://doi.org/10.1111/1468-2230.12424" TargetMode="External"/><Relationship Id="rId23" Type="http://schemas.openxmlformats.org/officeDocument/2006/relationships/hyperlink" Target="https://doi.org/10.1177/13657127221150451" TargetMode="External"/><Relationship Id="rId28" Type="http://schemas.openxmlformats.org/officeDocument/2006/relationships/hyperlink" Target="https://doi.org/10.1080/13218719.2020.1821827" TargetMode="External"/><Relationship Id="rId36" Type="http://schemas.openxmlformats.org/officeDocument/2006/relationships/hyperlink" Target="https://doi.org/10.26190/unsworks/25185" TargetMode="External"/><Relationship Id="rId10" Type="http://schemas.openxmlformats.org/officeDocument/2006/relationships/hyperlink" Target="https://doi.org/10.3389/fpsyg.2024.1232228" TargetMode="External"/><Relationship Id="rId19" Type="http://schemas.openxmlformats.org/officeDocument/2006/relationships/hyperlink" Target="https://scholarworks.waldenu.edu/dissertations/9643/" TargetMode="External"/><Relationship Id="rId31" Type="http://schemas.openxmlformats.org/officeDocument/2006/relationships/hyperlink" Target="https://heinonline.org/HOL/LandingPage?handle=hein.journals/haswo31&amp;div=8&amp;id=&amp;page=" TargetMode="External"/><Relationship Id="rId4" Type="http://schemas.openxmlformats.org/officeDocument/2006/relationships/webSettings" Target="webSettings.xml"/><Relationship Id="rId9" Type="http://schemas.openxmlformats.org/officeDocument/2006/relationships/hyperlink" Target="https://heinonline.org/HOL/LandingPage?handle=hein.journals/vanlr75&amp;div=14&amp;id=&amp;page=" TargetMode="External"/><Relationship Id="rId14" Type="http://schemas.openxmlformats.org/officeDocument/2006/relationships/hyperlink" Target="https://doi.org/10.1177/08862605221137708" TargetMode="External"/><Relationship Id="rId22" Type="http://schemas.openxmlformats.org/officeDocument/2006/relationships/hyperlink" Target="https://doi.org/10.1007/978-1-4612-4964-1_1" TargetMode="External"/><Relationship Id="rId27" Type="http://schemas.openxmlformats.org/officeDocument/2006/relationships/hyperlink" Target="https://doi.org/10.1177/0146167200263005" TargetMode="External"/><Relationship Id="rId30" Type="http://schemas.openxmlformats.org/officeDocument/2006/relationships/hyperlink" Target="https://www.proquest.com/docview/2481868041?pq-origsite=gscholar&amp;fromopenview=true&amp;sourcetype=Dissertations%20&amp;%20Theses" TargetMode="External"/><Relationship Id="rId35" Type="http://schemas.openxmlformats.org/officeDocument/2006/relationships/hyperlink" Target="https://doi.org/10.1515/9783110733730-014" TargetMode="External"/><Relationship Id="rId8" Type="http://schemas.openxmlformats.org/officeDocument/2006/relationships/hyperlink" Target="https://doi.org/10.1177/096372141039728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1857</TotalTime>
  <Pages>15</Pages>
  <Words>4308</Words>
  <Characters>24557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15</cp:revision>
  <dcterms:created xsi:type="dcterms:W3CDTF">2024-11-14T11:55:00Z</dcterms:created>
  <dcterms:modified xsi:type="dcterms:W3CDTF">2024-11-19T20:00:00Z</dcterms:modified>
</cp:coreProperties>
</file>