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9F22CF" w14:textId="54939ED1" w:rsidR="001A490A" w:rsidRDefault="001A490A">
      <w:r>
        <w:t>Naome Wrightson</w:t>
      </w:r>
      <w:r>
        <w:tab/>
      </w:r>
      <w:r>
        <w:tab/>
      </w:r>
      <w:r>
        <w:tab/>
      </w:r>
      <w:r>
        <w:tab/>
      </w:r>
      <w:r>
        <w:tab/>
      </w:r>
      <w:r>
        <w:tab/>
      </w:r>
      <w:r>
        <w:tab/>
      </w:r>
      <w:r>
        <w:tab/>
      </w:r>
      <w:r>
        <w:tab/>
        <w:t>HPAN4007</w:t>
      </w:r>
    </w:p>
    <w:p w14:paraId="69901380" w14:textId="3E408B06" w:rsidR="0083213A" w:rsidRDefault="001A490A">
      <w:r>
        <w:t>In 500 words compare and contrast the San with the Mbuti.</w:t>
      </w:r>
    </w:p>
    <w:p w14:paraId="4D222984" w14:textId="12482F68" w:rsidR="001A490A" w:rsidRDefault="001A490A">
      <w:r>
        <w:t xml:space="preserve">Many comparisons can be made </w:t>
      </w:r>
      <w:r w:rsidR="00B60B9C">
        <w:t xml:space="preserve">throughout every aspect of the culture and life of the San and the Mbuti tribes. </w:t>
      </w:r>
      <w:r w:rsidR="00F06510">
        <w:t>Whether they are drawn from environment, daily life, cultur</w:t>
      </w:r>
      <w:r w:rsidR="00992159">
        <w:t xml:space="preserve">e. </w:t>
      </w:r>
    </w:p>
    <w:p w14:paraId="764F6F49" w14:textId="0B529EFA" w:rsidR="00992159" w:rsidRDefault="00992159">
      <w:r>
        <w:t>For example, life for the Mbuti is centred around the forest</w:t>
      </w:r>
      <w:r w:rsidR="0045199E">
        <w:t xml:space="preserve"> of African Congo</w:t>
      </w:r>
      <w:r>
        <w:t xml:space="preserve"> as is made evident in Turnbull’s The Forest People </w:t>
      </w:r>
      <w:sdt>
        <w:sdtPr>
          <w:id w:val="703366749"/>
          <w:citation/>
        </w:sdtPr>
        <w:sdtContent>
          <w:r>
            <w:fldChar w:fldCharType="begin"/>
          </w:r>
          <w:r>
            <w:instrText xml:space="preserve">CITATION Col61 \n  \l 2057 </w:instrText>
          </w:r>
          <w:r>
            <w:fldChar w:fldCharType="separate"/>
          </w:r>
          <w:r w:rsidRPr="00992159">
            <w:rPr>
              <w:noProof/>
            </w:rPr>
            <w:t>(1961)</w:t>
          </w:r>
          <w:r>
            <w:fldChar w:fldCharType="end"/>
          </w:r>
        </w:sdtContent>
      </w:sdt>
      <w:r>
        <w:t>, where as for the San their environment is radically different</w:t>
      </w:r>
      <w:r w:rsidR="0045199E">
        <w:t xml:space="preserve">, they, according to Peters-Golden’s Culture Sketches </w:t>
      </w:r>
      <w:sdt>
        <w:sdtPr>
          <w:id w:val="134989579"/>
          <w:citation/>
        </w:sdtPr>
        <w:sdtContent>
          <w:r w:rsidR="0045199E">
            <w:fldChar w:fldCharType="begin"/>
          </w:r>
          <w:r w:rsidR="00FA351C">
            <w:instrText xml:space="preserve">CITATION Pet94 \n  \l 2057 </w:instrText>
          </w:r>
          <w:r w:rsidR="0045199E">
            <w:fldChar w:fldCharType="separate"/>
          </w:r>
          <w:r w:rsidR="00FA351C" w:rsidRPr="00FA351C">
            <w:rPr>
              <w:noProof/>
            </w:rPr>
            <w:t>(1994)</w:t>
          </w:r>
          <w:r w:rsidR="0045199E">
            <w:fldChar w:fldCharType="end"/>
          </w:r>
        </w:sdtContent>
      </w:sdt>
      <w:r w:rsidR="0045199E">
        <w:t xml:space="preserve">, live in an area of “ten </w:t>
      </w:r>
      <w:r w:rsidR="00FA351C">
        <w:t xml:space="preserve">water holes, arranged in three sections”. The San people forage within an area of desert with very limited amounts of water, this contrasts with the heavily vegetated forests the Mbuti live in with its almost abundance of water. </w:t>
      </w:r>
    </w:p>
    <w:p w14:paraId="0ADAFF46" w14:textId="7E0FEA8F" w:rsidR="00C04128" w:rsidRDefault="00FA351C">
      <w:r>
        <w:t xml:space="preserve">One of the most obvious comparisons between the Mbuti and San peoples are the generally style of living. Both groups, as made clear in Forest People </w:t>
      </w:r>
      <w:sdt>
        <w:sdtPr>
          <w:id w:val="-687220486"/>
          <w:citation/>
        </w:sdtPr>
        <w:sdtContent>
          <w:r>
            <w:fldChar w:fldCharType="begin"/>
          </w:r>
          <w:r>
            <w:instrText xml:space="preserve"> CITATION Col61 \l 2057 </w:instrText>
          </w:r>
          <w:r>
            <w:fldChar w:fldCharType="separate"/>
          </w:r>
          <w:r w:rsidRPr="00FA351C">
            <w:rPr>
              <w:noProof/>
            </w:rPr>
            <w:t>(Turnbull, 1961)</w:t>
          </w:r>
          <w:r>
            <w:fldChar w:fldCharType="end"/>
          </w:r>
        </w:sdtContent>
      </w:sdt>
      <w:r>
        <w:t xml:space="preserve"> and Culture Sketches </w:t>
      </w:r>
      <w:sdt>
        <w:sdtPr>
          <w:id w:val="1750380314"/>
          <w:citation/>
        </w:sdtPr>
        <w:sdtContent>
          <w:r>
            <w:fldChar w:fldCharType="begin"/>
          </w:r>
          <w:r>
            <w:instrText xml:space="preserve"> CITATION Pet94 \l 2057 </w:instrText>
          </w:r>
          <w:r>
            <w:fldChar w:fldCharType="separate"/>
          </w:r>
          <w:r w:rsidRPr="00FA351C">
            <w:rPr>
              <w:noProof/>
            </w:rPr>
            <w:t>(Peters-Golden, 1994)</w:t>
          </w:r>
          <w:r>
            <w:fldChar w:fldCharType="end"/>
          </w:r>
        </w:sdtContent>
      </w:sdt>
      <w:r>
        <w:t xml:space="preserve">, are by nature hunter gatherers. The foraging aspect of life takes up most of both </w:t>
      </w:r>
      <w:r w:rsidR="00DD5220">
        <w:t xml:space="preserve">of these differing tribes. </w:t>
      </w:r>
      <w:r w:rsidR="005D0CCA">
        <w:t xml:space="preserve"> Although both tribes forage the types of food </w:t>
      </w:r>
      <w:r w:rsidR="00291814">
        <w:t>available to forage</w:t>
      </w:r>
      <w:r w:rsidR="005D0CCA">
        <w:t xml:space="preserve"> differs greatly as a result of contrasting environment between the two. The San survive on a diet based on desert growing vegetation, plants that grow with little water available. While the Mbuti survive on </w:t>
      </w:r>
      <w:r w:rsidR="00291814">
        <w:t>plants that have large amounts of water available at all times.</w:t>
      </w:r>
    </w:p>
    <w:p w14:paraId="686EACEA" w14:textId="52C532DA" w:rsidR="00291814" w:rsidRDefault="00291814">
      <w:r>
        <w:t xml:space="preserve">Another contrast between the </w:t>
      </w:r>
      <w:r w:rsidR="00A4435B">
        <w:t xml:space="preserve">two tribes is the fact that the San people rely heavily on the weather patterns. </w:t>
      </w:r>
      <w:r w:rsidR="002832D8">
        <w:t xml:space="preserve"> Peters-Golden explains that the living arrangements of the San people are dependent on the time of year, for example “huts built for use during rainy season are constructed with thickly thatched roofs” and then “during times of the year when there is less extreme weather, camp is often set up without an building shelter of any kind.” </w:t>
      </w:r>
      <w:sdt>
        <w:sdtPr>
          <w:id w:val="753781815"/>
          <w:citation/>
        </w:sdtPr>
        <w:sdtContent>
          <w:r w:rsidR="002832D8">
            <w:fldChar w:fldCharType="begin"/>
          </w:r>
          <w:r w:rsidR="002832D8">
            <w:instrText xml:space="preserve">CITATION Pet94 \p 100 \l 2057 </w:instrText>
          </w:r>
          <w:r w:rsidR="002832D8">
            <w:fldChar w:fldCharType="separate"/>
          </w:r>
          <w:r w:rsidR="002832D8" w:rsidRPr="002832D8">
            <w:rPr>
              <w:noProof/>
            </w:rPr>
            <w:t>(Peters-Golden, 1994, p. 100)</w:t>
          </w:r>
          <w:r w:rsidR="002832D8">
            <w:fldChar w:fldCharType="end"/>
          </w:r>
        </w:sdtContent>
      </w:sdt>
      <w:r w:rsidR="00A24809">
        <w:t xml:space="preserve">. While the Mbuti </w:t>
      </w:r>
      <w:r w:rsidR="007B30E9">
        <w:t>display two distinct styles of building. In the early sections of The Forest People</w:t>
      </w:r>
      <w:sdt>
        <w:sdtPr>
          <w:id w:val="-670959550"/>
          <w:citation/>
        </w:sdtPr>
        <w:sdtContent>
          <w:r w:rsidR="007B30E9">
            <w:fldChar w:fldCharType="begin"/>
          </w:r>
          <w:r w:rsidR="007B30E9">
            <w:instrText xml:space="preserve"> CITATION Col61 \l 2057 </w:instrText>
          </w:r>
          <w:r w:rsidR="007B30E9">
            <w:fldChar w:fldCharType="separate"/>
          </w:r>
          <w:r w:rsidR="007B30E9">
            <w:rPr>
              <w:noProof/>
            </w:rPr>
            <w:t xml:space="preserve"> </w:t>
          </w:r>
          <w:r w:rsidR="007B30E9" w:rsidRPr="007B30E9">
            <w:rPr>
              <w:noProof/>
            </w:rPr>
            <w:t>(Turnbull, 1961)</w:t>
          </w:r>
          <w:r w:rsidR="007B30E9">
            <w:fldChar w:fldCharType="end"/>
          </w:r>
        </w:sdtContent>
      </w:sdt>
      <w:r w:rsidR="007B30E9">
        <w:t xml:space="preserve">, the Mbuti have a fixed camp outside of the main village which as expressed by many of the Mbuti themselves is not in their nature to be fixed in one area for too long, yet it is not until on of the elders dies that they finally return to the forest. The San live with little interaction when it come to building and life, whereas the Mbuti, when living near the village, come to rely on the input and lifestyle provided by the outsiders. </w:t>
      </w:r>
    </w:p>
    <w:p w14:paraId="226CEB15" w14:textId="4EE12F48" w:rsidR="00A24809" w:rsidRDefault="00A24809">
      <w:bookmarkStart w:id="0" w:name="_GoBack"/>
      <w:bookmarkEnd w:id="0"/>
      <w:r>
        <w:t xml:space="preserve">In conclusion, while there are many similarities between the San and the Mbuti peoples, there are still many differences that provide evidence of just how separate these tribes are. The differences also provide evidence to support the idea that just because they can be grouped together as ‘hunter gatherers’ it does not make the two tribes the same. </w:t>
      </w:r>
    </w:p>
    <w:sdt>
      <w:sdtPr>
        <w:id w:val="1838959547"/>
        <w:docPartObj>
          <w:docPartGallery w:val="Bibliographies"/>
          <w:docPartUnique/>
        </w:docPartObj>
      </w:sdtPr>
      <w:sdtEndPr>
        <w:rPr>
          <w:rFonts w:asciiTheme="minorHAnsi" w:eastAsiaTheme="minorHAnsi" w:hAnsiTheme="minorHAnsi" w:cstheme="minorBidi"/>
          <w:sz w:val="22"/>
          <w:szCs w:val="22"/>
        </w:rPr>
      </w:sdtEndPr>
      <w:sdtContent>
        <w:p w14:paraId="747A9005" w14:textId="7856D8F6" w:rsidR="00C04128" w:rsidRDefault="00C04128">
          <w:pPr>
            <w:pStyle w:val="Heading1"/>
          </w:pPr>
          <w:r>
            <w:t>References</w:t>
          </w:r>
        </w:p>
        <w:sdt>
          <w:sdtPr>
            <w:id w:val="-573587230"/>
            <w:bibliography/>
          </w:sdtPr>
          <w:sdtContent>
            <w:p w14:paraId="1999D8B0" w14:textId="77777777" w:rsidR="00C04128" w:rsidRDefault="00C04128" w:rsidP="00C04128">
              <w:pPr>
                <w:pStyle w:val="Bibliography"/>
                <w:rPr>
                  <w:noProof/>
                  <w:sz w:val="24"/>
                  <w:szCs w:val="24"/>
                </w:rPr>
              </w:pPr>
              <w:r>
                <w:fldChar w:fldCharType="begin"/>
              </w:r>
              <w:r>
                <w:instrText xml:space="preserve"> BIBLIOGRAPHY </w:instrText>
              </w:r>
              <w:r>
                <w:fldChar w:fldCharType="separate"/>
              </w:r>
              <w:r>
                <w:rPr>
                  <w:noProof/>
                </w:rPr>
                <w:t xml:space="preserve">Peters-Golden, H., 1994. The Ju'/hoansi . In: </w:t>
              </w:r>
              <w:r>
                <w:rPr>
                  <w:i/>
                  <w:iCs/>
                  <w:noProof/>
                </w:rPr>
                <w:t xml:space="preserve">Culture Sketches. </w:t>
              </w:r>
              <w:r>
                <w:rPr>
                  <w:noProof/>
                </w:rPr>
                <w:t>New York: McGraw-Hill, pp. 97-116.</w:t>
              </w:r>
            </w:p>
            <w:p w14:paraId="3E1A98D3" w14:textId="77777777" w:rsidR="00C04128" w:rsidRDefault="00C04128" w:rsidP="00C04128">
              <w:pPr>
                <w:pStyle w:val="Bibliography"/>
                <w:rPr>
                  <w:noProof/>
                </w:rPr>
              </w:pPr>
              <w:r>
                <w:rPr>
                  <w:noProof/>
                </w:rPr>
                <w:t xml:space="preserve">Turnbull, C., 1961. </w:t>
              </w:r>
              <w:r>
                <w:rPr>
                  <w:i/>
                  <w:iCs/>
                  <w:noProof/>
                </w:rPr>
                <w:t xml:space="preserve">The Forest People. </w:t>
              </w:r>
              <w:r>
                <w:rPr>
                  <w:noProof/>
                </w:rPr>
                <w:t>London: The Bodley Head.</w:t>
              </w:r>
            </w:p>
            <w:p w14:paraId="1CF40262" w14:textId="62EB4F87" w:rsidR="00C04128" w:rsidRDefault="00C04128" w:rsidP="00C04128">
              <w:r>
                <w:rPr>
                  <w:b/>
                  <w:bCs/>
                  <w:noProof/>
                </w:rPr>
                <w:fldChar w:fldCharType="end"/>
              </w:r>
            </w:p>
          </w:sdtContent>
        </w:sdt>
      </w:sdtContent>
    </w:sdt>
    <w:p w14:paraId="5A258BC3" w14:textId="50BA997D" w:rsidR="00FA351C" w:rsidRDefault="00FA351C"/>
    <w:p w14:paraId="74938C60" w14:textId="77777777" w:rsidR="001A490A" w:rsidRDefault="001A490A"/>
    <w:sectPr w:rsidR="001A49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490A"/>
    <w:rsid w:val="00146BD4"/>
    <w:rsid w:val="001A490A"/>
    <w:rsid w:val="002832D8"/>
    <w:rsid w:val="00291814"/>
    <w:rsid w:val="0045199E"/>
    <w:rsid w:val="0050520D"/>
    <w:rsid w:val="005D0CCA"/>
    <w:rsid w:val="006A2A30"/>
    <w:rsid w:val="007B30E9"/>
    <w:rsid w:val="007E3468"/>
    <w:rsid w:val="007E6588"/>
    <w:rsid w:val="0083213A"/>
    <w:rsid w:val="00992159"/>
    <w:rsid w:val="00A24809"/>
    <w:rsid w:val="00A4435B"/>
    <w:rsid w:val="00B60B9C"/>
    <w:rsid w:val="00C04128"/>
    <w:rsid w:val="00DD5220"/>
    <w:rsid w:val="00E27BBA"/>
    <w:rsid w:val="00F06510"/>
    <w:rsid w:val="00FA3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77FAA"/>
  <w15:chartTrackingRefBased/>
  <w15:docId w15:val="{CC3A39A4-A986-4F1D-B3FB-015099CDCF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346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468"/>
    <w:rPr>
      <w:rFonts w:asciiTheme="majorHAnsi" w:eastAsiaTheme="majorEastAsia" w:hAnsiTheme="majorHAnsi" w:cstheme="majorBidi"/>
      <w:sz w:val="36"/>
      <w:szCs w:val="36"/>
    </w:rPr>
  </w:style>
  <w:style w:type="paragraph" w:styleId="Bibliography">
    <w:name w:val="Bibliography"/>
    <w:basedOn w:val="Normal"/>
    <w:next w:val="Normal"/>
    <w:uiPriority w:val="37"/>
    <w:unhideWhenUsed/>
    <w:rsid w:val="00C041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8980234">
      <w:bodyDiv w:val="1"/>
      <w:marLeft w:val="0"/>
      <w:marRight w:val="0"/>
      <w:marTop w:val="0"/>
      <w:marBottom w:val="0"/>
      <w:divBdr>
        <w:top w:val="none" w:sz="0" w:space="0" w:color="auto"/>
        <w:left w:val="none" w:sz="0" w:space="0" w:color="auto"/>
        <w:bottom w:val="none" w:sz="0" w:space="0" w:color="auto"/>
        <w:right w:val="none" w:sz="0" w:space="0" w:color="auto"/>
      </w:divBdr>
    </w:div>
    <w:div w:id="190530179">
      <w:bodyDiv w:val="1"/>
      <w:marLeft w:val="0"/>
      <w:marRight w:val="0"/>
      <w:marTop w:val="0"/>
      <w:marBottom w:val="0"/>
      <w:divBdr>
        <w:top w:val="none" w:sz="0" w:space="0" w:color="auto"/>
        <w:left w:val="none" w:sz="0" w:space="0" w:color="auto"/>
        <w:bottom w:val="none" w:sz="0" w:space="0" w:color="auto"/>
        <w:right w:val="none" w:sz="0" w:space="0" w:color="auto"/>
      </w:divBdr>
    </w:div>
    <w:div w:id="200871404">
      <w:bodyDiv w:val="1"/>
      <w:marLeft w:val="0"/>
      <w:marRight w:val="0"/>
      <w:marTop w:val="0"/>
      <w:marBottom w:val="0"/>
      <w:divBdr>
        <w:top w:val="none" w:sz="0" w:space="0" w:color="auto"/>
        <w:left w:val="none" w:sz="0" w:space="0" w:color="auto"/>
        <w:bottom w:val="none" w:sz="0" w:space="0" w:color="auto"/>
        <w:right w:val="none" w:sz="0" w:space="0" w:color="auto"/>
      </w:divBdr>
    </w:div>
    <w:div w:id="432671284">
      <w:bodyDiv w:val="1"/>
      <w:marLeft w:val="0"/>
      <w:marRight w:val="0"/>
      <w:marTop w:val="0"/>
      <w:marBottom w:val="0"/>
      <w:divBdr>
        <w:top w:val="none" w:sz="0" w:space="0" w:color="auto"/>
        <w:left w:val="none" w:sz="0" w:space="0" w:color="auto"/>
        <w:bottom w:val="none" w:sz="0" w:space="0" w:color="auto"/>
        <w:right w:val="none" w:sz="0" w:space="0" w:color="auto"/>
      </w:divBdr>
    </w:div>
    <w:div w:id="627125935">
      <w:bodyDiv w:val="1"/>
      <w:marLeft w:val="0"/>
      <w:marRight w:val="0"/>
      <w:marTop w:val="0"/>
      <w:marBottom w:val="0"/>
      <w:divBdr>
        <w:top w:val="none" w:sz="0" w:space="0" w:color="auto"/>
        <w:left w:val="none" w:sz="0" w:space="0" w:color="auto"/>
        <w:bottom w:val="none" w:sz="0" w:space="0" w:color="auto"/>
        <w:right w:val="none" w:sz="0" w:space="0" w:color="auto"/>
      </w:divBdr>
    </w:div>
    <w:div w:id="1189640001">
      <w:bodyDiv w:val="1"/>
      <w:marLeft w:val="0"/>
      <w:marRight w:val="0"/>
      <w:marTop w:val="0"/>
      <w:marBottom w:val="0"/>
      <w:divBdr>
        <w:top w:val="none" w:sz="0" w:space="0" w:color="auto"/>
        <w:left w:val="none" w:sz="0" w:space="0" w:color="auto"/>
        <w:bottom w:val="none" w:sz="0" w:space="0" w:color="auto"/>
        <w:right w:val="none" w:sz="0" w:space="0" w:color="auto"/>
      </w:divBdr>
    </w:div>
    <w:div w:id="1290820752">
      <w:bodyDiv w:val="1"/>
      <w:marLeft w:val="0"/>
      <w:marRight w:val="0"/>
      <w:marTop w:val="0"/>
      <w:marBottom w:val="0"/>
      <w:divBdr>
        <w:top w:val="none" w:sz="0" w:space="0" w:color="auto"/>
        <w:left w:val="none" w:sz="0" w:space="0" w:color="auto"/>
        <w:bottom w:val="none" w:sz="0" w:space="0" w:color="auto"/>
        <w:right w:val="none" w:sz="0" w:space="0" w:color="auto"/>
      </w:divBdr>
    </w:div>
    <w:div w:id="1346663986">
      <w:bodyDiv w:val="1"/>
      <w:marLeft w:val="0"/>
      <w:marRight w:val="0"/>
      <w:marTop w:val="0"/>
      <w:marBottom w:val="0"/>
      <w:divBdr>
        <w:top w:val="none" w:sz="0" w:space="0" w:color="auto"/>
        <w:left w:val="none" w:sz="0" w:space="0" w:color="auto"/>
        <w:bottom w:val="none" w:sz="0" w:space="0" w:color="auto"/>
        <w:right w:val="none" w:sz="0" w:space="0" w:color="auto"/>
      </w:divBdr>
    </w:div>
    <w:div w:id="1477142519">
      <w:bodyDiv w:val="1"/>
      <w:marLeft w:val="0"/>
      <w:marRight w:val="0"/>
      <w:marTop w:val="0"/>
      <w:marBottom w:val="0"/>
      <w:divBdr>
        <w:top w:val="none" w:sz="0" w:space="0" w:color="auto"/>
        <w:left w:val="none" w:sz="0" w:space="0" w:color="auto"/>
        <w:bottom w:val="none" w:sz="0" w:space="0" w:color="auto"/>
        <w:right w:val="none" w:sz="0" w:space="0" w:color="auto"/>
      </w:divBdr>
    </w:div>
    <w:div w:id="1612397286">
      <w:bodyDiv w:val="1"/>
      <w:marLeft w:val="0"/>
      <w:marRight w:val="0"/>
      <w:marTop w:val="0"/>
      <w:marBottom w:val="0"/>
      <w:divBdr>
        <w:top w:val="none" w:sz="0" w:space="0" w:color="auto"/>
        <w:left w:val="none" w:sz="0" w:space="0" w:color="auto"/>
        <w:bottom w:val="none" w:sz="0" w:space="0" w:color="auto"/>
        <w:right w:val="none" w:sz="0" w:space="0" w:color="auto"/>
      </w:divBdr>
    </w:div>
    <w:div w:id="2068726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Col61</b:Tag>
    <b:SourceType>Book</b:SourceType>
    <b:Guid>{16240675-BBE0-4EAE-9F48-41354E0FB770}</b:Guid>
    <b:Title>The Forest People</b:Title>
    <b:Year>1961</b:Year>
    <b:Author>
      <b:Author>
        <b:NameList>
          <b:Person>
            <b:Last>Turnbull</b:Last>
            <b:First>Colin</b:First>
          </b:Person>
        </b:NameList>
      </b:Author>
    </b:Author>
    <b:City>London</b:City>
    <b:Publisher>The Bodley Head</b:Publisher>
    <b:RefOrder>1</b:RefOrder>
  </b:Source>
  <b:Source>
    <b:Tag>Pet94</b:Tag>
    <b:SourceType>BookSection</b:SourceType>
    <b:Guid>{58552EDB-0B2E-4AEF-B6FC-F707E052C88B}</b:Guid>
    <b:Author>
      <b:Author>
        <b:NameList>
          <b:Person>
            <b:Last>Peters-Golden</b:Last>
            <b:First>Holly</b:First>
          </b:Person>
        </b:NameList>
      </b:Author>
    </b:Author>
    <b:Title>The Ju'/hoansi </b:Title>
    <b:Year>1994</b:Year>
    <b:City>New York</b:City>
    <b:Publisher>McGraw-Hill</b:Publisher>
    <b:BookTitle>Culture Sketches</b:BookTitle>
    <b:Pages>97-116</b:Pages>
    <b:RefOrder>2</b:RefOrder>
  </b:Source>
</b:Sources>
</file>

<file path=customXml/itemProps1.xml><?xml version="1.0" encoding="utf-8"?>
<ds:datastoreItem xmlns:ds="http://schemas.openxmlformats.org/officeDocument/2006/customXml" ds:itemID="{CA0A4279-B827-466B-8D6A-840BD40A0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2643</TotalTime>
  <Pages>1</Pages>
  <Words>478</Words>
  <Characters>2728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Naome Wrightson</dc:creator>
  <cp:keywords/>
  <dc:description/>
  <cp:lastModifiedBy>Naome Wrightson</cp:lastModifiedBy>
  <cp:revision>10</cp:revision>
  <dcterms:created xsi:type="dcterms:W3CDTF">2019-10-25T14:45:00Z</dcterms:created>
  <dcterms:modified xsi:type="dcterms:W3CDTF">2019-10-27T11:47:00Z</dcterms:modified>
</cp:coreProperties>
</file>