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05E487" w14:textId="08CC9D9D" w:rsidR="00B53AB8" w:rsidRPr="0086738A" w:rsidRDefault="00E71840" w:rsidP="00812AF5">
      <w:pPr>
        <w:rPr>
          <w:rFonts w:ascii="Arial" w:hAnsi="Arial" w:cs="Arial"/>
          <w:b/>
          <w:bCs/>
          <w:sz w:val="22"/>
          <w:szCs w:val="22"/>
        </w:rPr>
      </w:pPr>
      <w:r w:rsidRPr="0086738A">
        <w:rPr>
          <w:rFonts w:ascii="Arial" w:hAnsi="Arial" w:cs="Arial"/>
          <w:b/>
          <w:bCs/>
          <w:sz w:val="22"/>
          <w:szCs w:val="22"/>
        </w:rPr>
        <w:t xml:space="preserve">Malaika Hussain </w:t>
      </w:r>
    </w:p>
    <w:p w14:paraId="3F8952FD" w14:textId="4A1DFFD4" w:rsidR="00B53AB8" w:rsidRPr="0086738A" w:rsidRDefault="00D449CF" w:rsidP="00812AF5">
      <w:pPr>
        <w:rPr>
          <w:rFonts w:ascii="Arial" w:hAnsi="Arial" w:cs="Arial"/>
          <w:sz w:val="22"/>
          <w:szCs w:val="22"/>
        </w:rPr>
      </w:pPr>
      <w:r w:rsidRPr="0086738A">
        <w:rPr>
          <w:rFonts w:ascii="Arial" w:hAnsi="Arial" w:cs="Arial"/>
          <w:sz w:val="22"/>
          <w:szCs w:val="22"/>
        </w:rPr>
        <w:t xml:space="preserve">Introduction to public health </w:t>
      </w:r>
    </w:p>
    <w:p w14:paraId="2F8AD88C" w14:textId="616CCE0E" w:rsidR="00D449CF" w:rsidRPr="0086738A" w:rsidRDefault="00D449CF" w:rsidP="00812AF5">
      <w:pPr>
        <w:rPr>
          <w:rFonts w:ascii="Arial" w:hAnsi="Arial" w:cs="Arial"/>
          <w:sz w:val="22"/>
          <w:szCs w:val="22"/>
        </w:rPr>
      </w:pPr>
      <w:r w:rsidRPr="0086738A">
        <w:rPr>
          <w:rFonts w:ascii="Arial" w:hAnsi="Arial" w:cs="Arial"/>
          <w:sz w:val="22"/>
          <w:szCs w:val="22"/>
        </w:rPr>
        <w:t>Module code: LCHS</w:t>
      </w:r>
      <w:r w:rsidR="00C65817" w:rsidRPr="0086738A">
        <w:rPr>
          <w:rFonts w:ascii="Arial" w:hAnsi="Arial" w:cs="Arial"/>
          <w:sz w:val="22"/>
          <w:szCs w:val="22"/>
        </w:rPr>
        <w:t>4008</w:t>
      </w:r>
    </w:p>
    <w:p w14:paraId="2FE7F169" w14:textId="649BC226" w:rsidR="00C65817" w:rsidRPr="0086738A" w:rsidRDefault="00C65817" w:rsidP="00812AF5">
      <w:pPr>
        <w:rPr>
          <w:rFonts w:ascii="Arial" w:hAnsi="Arial" w:cs="Arial"/>
          <w:sz w:val="22"/>
          <w:szCs w:val="22"/>
        </w:rPr>
      </w:pPr>
      <w:r w:rsidRPr="0086738A">
        <w:rPr>
          <w:rFonts w:ascii="Arial" w:hAnsi="Arial" w:cs="Arial"/>
          <w:sz w:val="22"/>
          <w:szCs w:val="22"/>
        </w:rPr>
        <w:t>Le</w:t>
      </w:r>
      <w:r w:rsidR="00AA69BD" w:rsidRPr="0086738A">
        <w:rPr>
          <w:rFonts w:ascii="Arial" w:hAnsi="Arial" w:cs="Arial"/>
          <w:sz w:val="22"/>
          <w:szCs w:val="22"/>
        </w:rPr>
        <w:t xml:space="preserve">cturer: </w:t>
      </w:r>
      <w:proofErr w:type="spellStart"/>
      <w:r w:rsidR="00AA69BD" w:rsidRPr="0086738A">
        <w:rPr>
          <w:rFonts w:ascii="Arial" w:hAnsi="Arial" w:cs="Arial"/>
          <w:sz w:val="22"/>
          <w:szCs w:val="22"/>
        </w:rPr>
        <w:t>T</w:t>
      </w:r>
      <w:r w:rsidR="002B5E53" w:rsidRPr="0086738A">
        <w:rPr>
          <w:rFonts w:ascii="Arial" w:hAnsi="Arial" w:cs="Arial"/>
          <w:sz w:val="22"/>
          <w:szCs w:val="22"/>
        </w:rPr>
        <w:t>si</w:t>
      </w:r>
      <w:r w:rsidR="005D5BE2" w:rsidRPr="0086738A">
        <w:rPr>
          <w:rFonts w:ascii="Arial" w:hAnsi="Arial" w:cs="Arial"/>
          <w:sz w:val="22"/>
          <w:szCs w:val="22"/>
        </w:rPr>
        <w:t>wani</w:t>
      </w:r>
      <w:proofErr w:type="spellEnd"/>
      <w:r w:rsidR="00201BB5" w:rsidRPr="0086738A">
        <w:rPr>
          <w:rFonts w:ascii="Arial" w:hAnsi="Arial" w:cs="Arial"/>
          <w:sz w:val="22"/>
          <w:szCs w:val="22"/>
        </w:rPr>
        <w:t xml:space="preserve"> Khumalo</w:t>
      </w:r>
    </w:p>
    <w:p w14:paraId="77FBEF83" w14:textId="77777777" w:rsidR="00B53AB8" w:rsidRPr="0086738A" w:rsidRDefault="00B53AB8" w:rsidP="00812AF5">
      <w:pPr>
        <w:rPr>
          <w:rFonts w:ascii="Arial" w:hAnsi="Arial" w:cs="Arial"/>
          <w:b/>
          <w:bCs/>
          <w:sz w:val="22"/>
          <w:szCs w:val="22"/>
        </w:rPr>
      </w:pPr>
    </w:p>
    <w:p w14:paraId="548931C5" w14:textId="77777777" w:rsidR="00B53AB8" w:rsidRPr="0086738A" w:rsidRDefault="00B53AB8" w:rsidP="00812AF5">
      <w:pPr>
        <w:rPr>
          <w:rFonts w:ascii="Arial" w:hAnsi="Arial" w:cs="Arial"/>
          <w:b/>
          <w:bCs/>
          <w:sz w:val="22"/>
          <w:szCs w:val="22"/>
        </w:rPr>
      </w:pPr>
    </w:p>
    <w:p w14:paraId="7B710419" w14:textId="77777777" w:rsidR="00B53AB8" w:rsidRPr="0086738A" w:rsidRDefault="00B53AB8" w:rsidP="00812AF5">
      <w:pPr>
        <w:rPr>
          <w:rFonts w:ascii="Arial" w:hAnsi="Arial" w:cs="Arial"/>
          <w:b/>
          <w:bCs/>
          <w:sz w:val="22"/>
          <w:szCs w:val="22"/>
        </w:rPr>
      </w:pPr>
    </w:p>
    <w:p w14:paraId="417CC89E" w14:textId="77777777" w:rsidR="00B53AB8" w:rsidRPr="0086738A" w:rsidRDefault="00B53AB8" w:rsidP="00812AF5">
      <w:pPr>
        <w:rPr>
          <w:rFonts w:ascii="Arial" w:hAnsi="Arial" w:cs="Arial"/>
          <w:b/>
          <w:bCs/>
          <w:sz w:val="22"/>
          <w:szCs w:val="22"/>
        </w:rPr>
      </w:pPr>
    </w:p>
    <w:p w14:paraId="268D22C1" w14:textId="77777777" w:rsidR="00B53AB8" w:rsidRPr="0086738A" w:rsidRDefault="00B53AB8" w:rsidP="00812AF5">
      <w:pPr>
        <w:rPr>
          <w:rFonts w:ascii="Arial" w:hAnsi="Arial" w:cs="Arial"/>
          <w:b/>
          <w:bCs/>
          <w:sz w:val="22"/>
          <w:szCs w:val="22"/>
        </w:rPr>
      </w:pPr>
    </w:p>
    <w:p w14:paraId="012F6932" w14:textId="77777777" w:rsidR="00B53AB8" w:rsidRPr="0086738A" w:rsidRDefault="00B53AB8" w:rsidP="00812AF5">
      <w:pPr>
        <w:rPr>
          <w:rFonts w:ascii="Arial" w:hAnsi="Arial" w:cs="Arial"/>
          <w:b/>
          <w:bCs/>
          <w:sz w:val="22"/>
          <w:szCs w:val="22"/>
        </w:rPr>
      </w:pPr>
    </w:p>
    <w:p w14:paraId="37B61549" w14:textId="77777777" w:rsidR="00B53AB8" w:rsidRPr="0086738A" w:rsidRDefault="00B53AB8" w:rsidP="00812AF5">
      <w:pPr>
        <w:rPr>
          <w:rFonts w:ascii="Arial" w:hAnsi="Arial" w:cs="Arial"/>
          <w:b/>
          <w:bCs/>
          <w:sz w:val="22"/>
          <w:szCs w:val="22"/>
        </w:rPr>
      </w:pPr>
    </w:p>
    <w:p w14:paraId="4F651EE3" w14:textId="77777777" w:rsidR="00B53AB8" w:rsidRPr="0086738A" w:rsidRDefault="00B53AB8" w:rsidP="00812AF5">
      <w:pPr>
        <w:rPr>
          <w:rFonts w:ascii="Arial" w:hAnsi="Arial" w:cs="Arial"/>
          <w:b/>
          <w:bCs/>
          <w:sz w:val="22"/>
          <w:szCs w:val="22"/>
        </w:rPr>
      </w:pPr>
    </w:p>
    <w:p w14:paraId="517520CC" w14:textId="77777777" w:rsidR="00B53AB8" w:rsidRPr="0086738A" w:rsidRDefault="00B53AB8" w:rsidP="00812AF5">
      <w:pPr>
        <w:rPr>
          <w:rFonts w:ascii="Arial" w:hAnsi="Arial" w:cs="Arial"/>
          <w:b/>
          <w:bCs/>
          <w:sz w:val="22"/>
          <w:szCs w:val="22"/>
        </w:rPr>
      </w:pPr>
    </w:p>
    <w:p w14:paraId="3B97221F" w14:textId="77777777" w:rsidR="00B53AB8" w:rsidRPr="0086738A" w:rsidRDefault="00B53AB8" w:rsidP="00812AF5">
      <w:pPr>
        <w:rPr>
          <w:rFonts w:ascii="Arial" w:hAnsi="Arial" w:cs="Arial"/>
          <w:b/>
          <w:bCs/>
          <w:sz w:val="22"/>
          <w:szCs w:val="22"/>
        </w:rPr>
      </w:pPr>
    </w:p>
    <w:p w14:paraId="41607647" w14:textId="77777777" w:rsidR="00B53AB8" w:rsidRPr="0086738A" w:rsidRDefault="00B53AB8" w:rsidP="00812AF5">
      <w:pPr>
        <w:rPr>
          <w:rFonts w:ascii="Arial" w:hAnsi="Arial" w:cs="Arial"/>
          <w:b/>
          <w:bCs/>
          <w:sz w:val="22"/>
          <w:szCs w:val="22"/>
        </w:rPr>
      </w:pPr>
    </w:p>
    <w:p w14:paraId="0521A703" w14:textId="77777777" w:rsidR="00B53AB8" w:rsidRPr="0086738A" w:rsidRDefault="00B53AB8" w:rsidP="00812AF5">
      <w:pPr>
        <w:rPr>
          <w:rFonts w:ascii="Arial" w:hAnsi="Arial" w:cs="Arial"/>
          <w:b/>
          <w:bCs/>
          <w:sz w:val="22"/>
          <w:szCs w:val="22"/>
        </w:rPr>
      </w:pPr>
    </w:p>
    <w:p w14:paraId="58BAD693" w14:textId="77777777" w:rsidR="00B53AB8" w:rsidRPr="0086738A" w:rsidRDefault="00B53AB8" w:rsidP="00812AF5">
      <w:pPr>
        <w:rPr>
          <w:rFonts w:ascii="Arial" w:hAnsi="Arial" w:cs="Arial"/>
          <w:b/>
          <w:bCs/>
          <w:sz w:val="22"/>
          <w:szCs w:val="22"/>
        </w:rPr>
      </w:pPr>
    </w:p>
    <w:p w14:paraId="6A5ECD9B" w14:textId="77777777" w:rsidR="00B53AB8" w:rsidRPr="0086738A" w:rsidRDefault="00B53AB8" w:rsidP="00812AF5">
      <w:pPr>
        <w:rPr>
          <w:rFonts w:ascii="Arial" w:hAnsi="Arial" w:cs="Arial"/>
          <w:b/>
          <w:bCs/>
          <w:sz w:val="22"/>
          <w:szCs w:val="22"/>
        </w:rPr>
      </w:pPr>
    </w:p>
    <w:p w14:paraId="491B6363" w14:textId="77777777" w:rsidR="00B53AB8" w:rsidRPr="0086738A" w:rsidRDefault="00B53AB8" w:rsidP="00812AF5">
      <w:pPr>
        <w:rPr>
          <w:rFonts w:ascii="Arial" w:hAnsi="Arial" w:cs="Arial"/>
          <w:b/>
          <w:bCs/>
          <w:sz w:val="22"/>
          <w:szCs w:val="22"/>
        </w:rPr>
      </w:pPr>
    </w:p>
    <w:p w14:paraId="0CA674AF" w14:textId="77777777" w:rsidR="00B53AB8" w:rsidRPr="0086738A" w:rsidRDefault="00B53AB8" w:rsidP="00812AF5">
      <w:pPr>
        <w:rPr>
          <w:rFonts w:ascii="Arial" w:hAnsi="Arial" w:cs="Arial"/>
          <w:b/>
          <w:bCs/>
          <w:sz w:val="22"/>
          <w:szCs w:val="22"/>
        </w:rPr>
      </w:pPr>
    </w:p>
    <w:p w14:paraId="1CB33D09" w14:textId="77777777" w:rsidR="00B53AB8" w:rsidRPr="0086738A" w:rsidRDefault="00B53AB8" w:rsidP="00812AF5">
      <w:pPr>
        <w:rPr>
          <w:rFonts w:ascii="Arial" w:hAnsi="Arial" w:cs="Arial"/>
          <w:b/>
          <w:bCs/>
          <w:sz w:val="22"/>
          <w:szCs w:val="22"/>
        </w:rPr>
      </w:pPr>
    </w:p>
    <w:p w14:paraId="6895869A" w14:textId="77777777" w:rsidR="00B53AB8" w:rsidRPr="0086738A" w:rsidRDefault="00B53AB8" w:rsidP="00812AF5">
      <w:pPr>
        <w:rPr>
          <w:rFonts w:ascii="Arial" w:hAnsi="Arial" w:cs="Arial"/>
          <w:b/>
          <w:bCs/>
          <w:sz w:val="22"/>
          <w:szCs w:val="22"/>
        </w:rPr>
      </w:pPr>
    </w:p>
    <w:p w14:paraId="4CDEC476" w14:textId="77777777" w:rsidR="00B53AB8" w:rsidRPr="0086738A" w:rsidRDefault="00B53AB8" w:rsidP="00812AF5">
      <w:pPr>
        <w:rPr>
          <w:rFonts w:ascii="Arial" w:hAnsi="Arial" w:cs="Arial"/>
          <w:b/>
          <w:bCs/>
          <w:sz w:val="22"/>
          <w:szCs w:val="22"/>
        </w:rPr>
      </w:pPr>
    </w:p>
    <w:p w14:paraId="09D4CB66" w14:textId="77777777" w:rsidR="00B53AB8" w:rsidRPr="0086738A" w:rsidRDefault="00B53AB8" w:rsidP="00812AF5">
      <w:pPr>
        <w:rPr>
          <w:rFonts w:ascii="Arial" w:hAnsi="Arial" w:cs="Arial"/>
          <w:b/>
          <w:bCs/>
          <w:sz w:val="22"/>
          <w:szCs w:val="22"/>
        </w:rPr>
      </w:pPr>
    </w:p>
    <w:p w14:paraId="604A7D3C" w14:textId="77777777" w:rsidR="00B53AB8" w:rsidRPr="0086738A" w:rsidRDefault="00B53AB8" w:rsidP="00812AF5">
      <w:pPr>
        <w:rPr>
          <w:rFonts w:ascii="Arial" w:hAnsi="Arial" w:cs="Arial"/>
          <w:b/>
          <w:bCs/>
          <w:sz w:val="22"/>
          <w:szCs w:val="22"/>
        </w:rPr>
      </w:pPr>
    </w:p>
    <w:p w14:paraId="0EE85AAE" w14:textId="77777777" w:rsidR="00B53AB8" w:rsidRPr="0086738A" w:rsidRDefault="00B53AB8" w:rsidP="00812AF5">
      <w:pPr>
        <w:rPr>
          <w:rFonts w:ascii="Arial" w:hAnsi="Arial" w:cs="Arial"/>
          <w:b/>
          <w:bCs/>
          <w:sz w:val="22"/>
          <w:szCs w:val="22"/>
        </w:rPr>
      </w:pPr>
    </w:p>
    <w:p w14:paraId="1DFD8F90" w14:textId="77777777" w:rsidR="00B53AB8" w:rsidRPr="0086738A" w:rsidRDefault="00B53AB8" w:rsidP="00812AF5">
      <w:pPr>
        <w:rPr>
          <w:rFonts w:ascii="Arial" w:hAnsi="Arial" w:cs="Arial"/>
          <w:b/>
          <w:bCs/>
          <w:sz w:val="22"/>
          <w:szCs w:val="22"/>
        </w:rPr>
      </w:pPr>
    </w:p>
    <w:sdt>
      <w:sdtPr>
        <w:rPr>
          <w:rFonts w:ascii="Arial" w:hAnsi="Arial" w:cs="Arial"/>
          <w:sz w:val="22"/>
          <w:szCs w:val="22"/>
        </w:rPr>
        <w:id w:val="2086178098"/>
        <w:docPartObj>
          <w:docPartGallery w:val="Table of Contents"/>
          <w:docPartUnique/>
        </w:docPartObj>
      </w:sdtPr>
      <w:sdtEndPr>
        <w:rPr>
          <w:rFonts w:eastAsiaTheme="minorHAnsi"/>
          <w:color w:val="auto"/>
          <w:kern w:val="2"/>
          <w:lang w:eastAsia="en-US"/>
          <w14:ligatures w14:val="standardContextual"/>
        </w:rPr>
      </w:sdtEndPr>
      <w:sdtContent>
        <w:p w14:paraId="57401CE1" w14:textId="77777777" w:rsidR="00C954F6" w:rsidRDefault="00C954F6">
          <w:pPr>
            <w:pStyle w:val="TOCHeading"/>
            <w:rPr>
              <w:rFonts w:ascii="Arial" w:hAnsi="Arial" w:cs="Arial"/>
              <w:sz w:val="22"/>
              <w:szCs w:val="22"/>
            </w:rPr>
          </w:pPr>
        </w:p>
        <w:p w14:paraId="1FBDBB1F" w14:textId="77777777" w:rsidR="00C954F6" w:rsidRDefault="00C954F6">
          <w:pPr>
            <w:pStyle w:val="TOCHeading"/>
            <w:rPr>
              <w:rFonts w:ascii="Arial" w:hAnsi="Arial" w:cs="Arial"/>
              <w:sz w:val="22"/>
              <w:szCs w:val="22"/>
            </w:rPr>
          </w:pPr>
        </w:p>
        <w:p w14:paraId="071CD461" w14:textId="77777777" w:rsidR="00C954F6" w:rsidRDefault="00C954F6">
          <w:pPr>
            <w:pStyle w:val="TOCHeading"/>
            <w:rPr>
              <w:rFonts w:ascii="Arial" w:hAnsi="Arial" w:cs="Arial"/>
              <w:sz w:val="22"/>
              <w:szCs w:val="22"/>
            </w:rPr>
          </w:pPr>
        </w:p>
        <w:p w14:paraId="2D3B721C" w14:textId="4CC044D1" w:rsidR="005E05A4" w:rsidRPr="0086738A" w:rsidRDefault="005E05A4">
          <w:pPr>
            <w:pStyle w:val="TOCHeading"/>
            <w:rPr>
              <w:rFonts w:ascii="Arial" w:hAnsi="Arial" w:cs="Arial"/>
              <w:sz w:val="22"/>
              <w:szCs w:val="22"/>
            </w:rPr>
          </w:pPr>
          <w:r w:rsidRPr="0086738A">
            <w:rPr>
              <w:rFonts w:ascii="Arial" w:hAnsi="Arial" w:cs="Arial"/>
              <w:sz w:val="22"/>
              <w:szCs w:val="22"/>
            </w:rPr>
            <w:t>Table of Contents</w:t>
          </w:r>
        </w:p>
        <w:p w14:paraId="5C95556A" w14:textId="56E4C429" w:rsidR="005E05A4" w:rsidRPr="0086738A" w:rsidRDefault="00572630">
          <w:pPr>
            <w:pStyle w:val="TOC1"/>
            <w:rPr>
              <w:rFonts w:ascii="Arial" w:hAnsi="Arial" w:cs="Arial"/>
            </w:rPr>
          </w:pPr>
          <w:r w:rsidRPr="0086738A">
            <w:rPr>
              <w:rFonts w:ascii="Arial" w:hAnsi="Arial" w:cs="Arial"/>
              <w:b/>
              <w:bCs/>
            </w:rPr>
            <w:t>Abstract</w:t>
          </w:r>
          <w:r w:rsidR="00B35AE4" w:rsidRPr="0086738A">
            <w:rPr>
              <w:rFonts w:ascii="Arial" w:hAnsi="Arial" w:cs="Arial"/>
              <w:b/>
              <w:bCs/>
            </w:rPr>
            <w:t xml:space="preserve"> </w:t>
          </w:r>
          <w:r w:rsidR="005E05A4" w:rsidRPr="0086738A">
            <w:rPr>
              <w:rFonts w:ascii="Arial" w:hAnsi="Arial" w:cs="Arial"/>
            </w:rPr>
            <w:ptab w:relativeTo="margin" w:alignment="right" w:leader="dot"/>
          </w:r>
          <w:r w:rsidRPr="0086738A">
            <w:rPr>
              <w:rFonts w:ascii="Arial" w:hAnsi="Arial" w:cs="Arial"/>
              <w:b/>
              <w:bCs/>
            </w:rPr>
            <w:t>3</w:t>
          </w:r>
        </w:p>
        <w:p w14:paraId="67FABB04" w14:textId="067F9F07" w:rsidR="005E05A4" w:rsidRPr="0086738A" w:rsidRDefault="006E3AA8" w:rsidP="00EA16C0">
          <w:pPr>
            <w:pStyle w:val="TOC2"/>
            <w:ind w:left="0"/>
            <w:rPr>
              <w:rFonts w:ascii="Arial" w:hAnsi="Arial" w:cs="Arial"/>
            </w:rPr>
          </w:pPr>
          <w:r w:rsidRPr="0086738A">
            <w:rPr>
              <w:rFonts w:ascii="Arial" w:hAnsi="Arial" w:cs="Arial"/>
            </w:rPr>
            <w:t xml:space="preserve"> </w:t>
          </w:r>
          <w:r w:rsidR="00572630" w:rsidRPr="0086738A">
            <w:rPr>
              <w:rFonts w:ascii="Arial" w:hAnsi="Arial" w:cs="Arial"/>
            </w:rPr>
            <w:t xml:space="preserve">Introduction </w:t>
          </w:r>
          <w:r w:rsidR="005E05A4" w:rsidRPr="0086738A">
            <w:rPr>
              <w:rFonts w:ascii="Arial" w:hAnsi="Arial" w:cs="Arial"/>
            </w:rPr>
            <w:ptab w:relativeTo="margin" w:alignment="right" w:leader="dot"/>
          </w:r>
          <w:r w:rsidR="00572630" w:rsidRPr="0086738A">
            <w:rPr>
              <w:rFonts w:ascii="Arial" w:hAnsi="Arial" w:cs="Arial"/>
            </w:rPr>
            <w:t>4</w:t>
          </w:r>
        </w:p>
        <w:p w14:paraId="18E57DCB" w14:textId="56A0E3F1" w:rsidR="005E05A4" w:rsidRPr="0086738A" w:rsidRDefault="00C80D4F" w:rsidP="00EA16C0">
          <w:pPr>
            <w:pStyle w:val="TOC3"/>
            <w:ind w:left="0"/>
            <w:rPr>
              <w:rFonts w:ascii="Arial" w:hAnsi="Arial" w:cs="Arial"/>
            </w:rPr>
          </w:pPr>
          <w:r w:rsidRPr="0086738A">
            <w:rPr>
              <w:rFonts w:ascii="Arial" w:hAnsi="Arial" w:cs="Arial"/>
            </w:rPr>
            <w:t>Measuring and Monitoring</w:t>
          </w:r>
          <w:r w:rsidR="00586EE8" w:rsidRPr="0086738A">
            <w:rPr>
              <w:rFonts w:ascii="Arial" w:hAnsi="Arial" w:cs="Arial"/>
            </w:rPr>
            <w:t xml:space="preserve"> Type 1 </w:t>
          </w:r>
          <w:r w:rsidR="00C00A40" w:rsidRPr="0086738A">
            <w:rPr>
              <w:rFonts w:ascii="Arial" w:hAnsi="Arial" w:cs="Arial"/>
            </w:rPr>
            <w:t xml:space="preserve">Diabetes </w:t>
          </w:r>
          <w:r w:rsidRPr="0086738A">
            <w:rPr>
              <w:rFonts w:ascii="Arial" w:hAnsi="Arial" w:cs="Arial"/>
            </w:rPr>
            <w:t xml:space="preserve"> </w:t>
          </w:r>
          <w:r w:rsidR="005E05A4" w:rsidRPr="0086738A">
            <w:rPr>
              <w:rFonts w:ascii="Arial" w:hAnsi="Arial" w:cs="Arial"/>
            </w:rPr>
            <w:ptab w:relativeTo="margin" w:alignment="right" w:leader="dot"/>
          </w:r>
          <w:r w:rsidR="00C00A40" w:rsidRPr="0086738A">
            <w:rPr>
              <w:rFonts w:ascii="Arial" w:hAnsi="Arial" w:cs="Arial"/>
            </w:rPr>
            <w:t>4</w:t>
          </w:r>
        </w:p>
        <w:p w14:paraId="37179975" w14:textId="74CD6EE9" w:rsidR="005E05A4" w:rsidRPr="0086738A" w:rsidRDefault="003C26D6">
          <w:pPr>
            <w:pStyle w:val="TOC1"/>
            <w:rPr>
              <w:rFonts w:ascii="Arial" w:hAnsi="Arial" w:cs="Arial"/>
            </w:rPr>
          </w:pPr>
          <w:r w:rsidRPr="0086738A">
            <w:rPr>
              <w:rFonts w:ascii="Arial" w:hAnsi="Arial" w:cs="Arial"/>
            </w:rPr>
            <w:t xml:space="preserve">Control and Management Type 1 Diabetes </w:t>
          </w:r>
          <w:r w:rsidR="005E05A4" w:rsidRPr="0086738A">
            <w:rPr>
              <w:rFonts w:ascii="Arial" w:hAnsi="Arial" w:cs="Arial"/>
            </w:rPr>
            <w:ptab w:relativeTo="margin" w:alignment="right" w:leader="dot"/>
          </w:r>
          <w:r w:rsidR="0085479A" w:rsidRPr="0086738A">
            <w:rPr>
              <w:rFonts w:ascii="Arial" w:hAnsi="Arial" w:cs="Arial"/>
            </w:rPr>
            <w:t>5</w:t>
          </w:r>
          <w:r w:rsidR="001055C0" w:rsidRPr="0086738A">
            <w:rPr>
              <w:rFonts w:ascii="Arial" w:hAnsi="Arial" w:cs="Arial"/>
            </w:rPr>
            <w:t>/6</w:t>
          </w:r>
        </w:p>
        <w:p w14:paraId="1F66E6A3" w14:textId="0A2A4BF9" w:rsidR="005E05A4" w:rsidRPr="0086738A" w:rsidRDefault="00232DD5" w:rsidP="00232DD5">
          <w:pPr>
            <w:spacing w:line="360" w:lineRule="auto"/>
            <w:rPr>
              <w:rFonts w:ascii="Arial" w:hAnsi="Arial" w:cs="Arial"/>
              <w:b/>
              <w:bCs/>
              <w:sz w:val="22"/>
              <w:szCs w:val="22"/>
            </w:rPr>
          </w:pPr>
          <w:r w:rsidRPr="0086738A">
            <w:rPr>
              <w:rFonts w:ascii="Arial" w:hAnsi="Arial" w:cs="Arial"/>
              <w:sz w:val="22"/>
              <w:szCs w:val="22"/>
            </w:rPr>
            <w:t>Consequences of Type 1 Diabetes on Individuals and the Community</w:t>
          </w:r>
          <w:r w:rsidRPr="0086738A">
            <w:rPr>
              <w:rFonts w:ascii="Arial" w:hAnsi="Arial" w:cs="Arial"/>
              <w:b/>
              <w:bCs/>
              <w:sz w:val="22"/>
              <w:szCs w:val="22"/>
            </w:rPr>
            <w:t xml:space="preserve">  </w:t>
          </w:r>
          <w:r w:rsidR="005E05A4" w:rsidRPr="0086738A">
            <w:rPr>
              <w:rFonts w:ascii="Arial" w:hAnsi="Arial" w:cs="Arial"/>
              <w:sz w:val="22"/>
              <w:szCs w:val="22"/>
            </w:rPr>
            <w:ptab w:relativeTo="margin" w:alignment="right" w:leader="dot"/>
          </w:r>
          <w:r w:rsidR="00FF5494" w:rsidRPr="0086738A">
            <w:rPr>
              <w:rFonts w:ascii="Arial" w:hAnsi="Arial" w:cs="Arial"/>
              <w:sz w:val="22"/>
              <w:szCs w:val="22"/>
            </w:rPr>
            <w:t>7</w:t>
          </w:r>
        </w:p>
        <w:p w14:paraId="551C786E" w14:textId="77777777" w:rsidR="005108AD" w:rsidRPr="0086738A" w:rsidRDefault="00232DD5" w:rsidP="00232DD5">
          <w:pPr>
            <w:spacing w:line="360" w:lineRule="auto"/>
            <w:rPr>
              <w:rFonts w:ascii="Arial" w:hAnsi="Arial" w:cs="Arial"/>
              <w:sz w:val="22"/>
              <w:szCs w:val="22"/>
            </w:rPr>
          </w:pPr>
          <w:r w:rsidRPr="0086738A">
            <w:rPr>
              <w:rFonts w:ascii="Arial" w:hAnsi="Arial" w:cs="Arial"/>
              <w:sz w:val="22"/>
              <w:szCs w:val="22"/>
            </w:rPr>
            <w:t>Health and Social Care Support Services</w:t>
          </w:r>
          <w:r w:rsidRPr="0086738A">
            <w:rPr>
              <w:rFonts w:ascii="Arial" w:hAnsi="Arial" w:cs="Arial"/>
              <w:b/>
              <w:bCs/>
              <w:sz w:val="22"/>
              <w:szCs w:val="22"/>
            </w:rPr>
            <w:t xml:space="preserve"> </w:t>
          </w:r>
          <w:r w:rsidR="005E05A4" w:rsidRPr="0086738A">
            <w:rPr>
              <w:rFonts w:ascii="Arial" w:hAnsi="Arial" w:cs="Arial"/>
              <w:sz w:val="22"/>
              <w:szCs w:val="22"/>
            </w:rPr>
            <w:ptab w:relativeTo="margin" w:alignment="right" w:leader="dot"/>
          </w:r>
          <w:r w:rsidR="00572630" w:rsidRPr="0086738A">
            <w:rPr>
              <w:rFonts w:ascii="Arial" w:hAnsi="Arial" w:cs="Arial"/>
              <w:sz w:val="22"/>
              <w:szCs w:val="22"/>
            </w:rPr>
            <w:t>8</w:t>
          </w:r>
        </w:p>
        <w:p w14:paraId="31A8B448" w14:textId="38E091BC" w:rsidR="005108AD" w:rsidRPr="0086738A" w:rsidRDefault="005108AD" w:rsidP="005108AD">
          <w:pPr>
            <w:spacing w:line="360" w:lineRule="auto"/>
            <w:rPr>
              <w:rFonts w:ascii="Arial" w:hAnsi="Arial" w:cs="Arial"/>
              <w:sz w:val="22"/>
              <w:szCs w:val="22"/>
            </w:rPr>
          </w:pPr>
          <w:r w:rsidRPr="0086738A">
            <w:rPr>
              <w:rFonts w:ascii="Arial" w:hAnsi="Arial" w:cs="Arial"/>
              <w:sz w:val="22"/>
              <w:szCs w:val="22"/>
            </w:rPr>
            <w:t xml:space="preserve">Charities and Policies </w:t>
          </w:r>
          <w:r w:rsidRPr="0086738A">
            <w:rPr>
              <w:rFonts w:ascii="Arial" w:hAnsi="Arial" w:cs="Arial"/>
              <w:sz w:val="22"/>
              <w:szCs w:val="22"/>
            </w:rPr>
            <w:t>…………………………………………………………………………………</w:t>
          </w:r>
          <w:r w:rsidR="00704FDE" w:rsidRPr="0086738A">
            <w:rPr>
              <w:rFonts w:ascii="Arial" w:hAnsi="Arial" w:cs="Arial"/>
              <w:sz w:val="22"/>
              <w:szCs w:val="22"/>
            </w:rPr>
            <w:t>….</w:t>
          </w:r>
          <w:r w:rsidR="00C35824" w:rsidRPr="0086738A">
            <w:rPr>
              <w:rFonts w:ascii="Arial" w:hAnsi="Arial" w:cs="Arial"/>
              <w:sz w:val="22"/>
              <w:szCs w:val="22"/>
            </w:rPr>
            <w:t>9</w:t>
          </w:r>
        </w:p>
        <w:p w14:paraId="6BD53BEE" w14:textId="5898118D" w:rsidR="00C35824" w:rsidRPr="0086738A" w:rsidRDefault="00243953" w:rsidP="005108AD">
          <w:pPr>
            <w:spacing w:line="360" w:lineRule="auto"/>
            <w:rPr>
              <w:rFonts w:ascii="Arial" w:hAnsi="Arial" w:cs="Arial"/>
              <w:sz w:val="22"/>
              <w:szCs w:val="22"/>
            </w:rPr>
          </w:pPr>
          <w:r w:rsidRPr="0086738A">
            <w:rPr>
              <w:rFonts w:ascii="Arial" w:hAnsi="Arial" w:cs="Arial"/>
              <w:sz w:val="22"/>
              <w:szCs w:val="22"/>
            </w:rPr>
            <w:t>Conclusion ……………………………………………………………………………………………………</w:t>
          </w:r>
          <w:r w:rsidR="00591F82" w:rsidRPr="0086738A">
            <w:rPr>
              <w:rFonts w:ascii="Arial" w:hAnsi="Arial" w:cs="Arial"/>
              <w:sz w:val="22"/>
              <w:szCs w:val="22"/>
            </w:rPr>
            <w:t>10</w:t>
          </w:r>
        </w:p>
        <w:p w14:paraId="063F6C9B" w14:textId="2B9ADA05" w:rsidR="00591F82" w:rsidRPr="0086738A" w:rsidRDefault="00591F82" w:rsidP="005108AD">
          <w:pPr>
            <w:spacing w:line="360" w:lineRule="auto"/>
            <w:rPr>
              <w:rFonts w:ascii="Arial" w:hAnsi="Arial" w:cs="Arial"/>
              <w:sz w:val="22"/>
              <w:szCs w:val="22"/>
            </w:rPr>
          </w:pPr>
          <w:r w:rsidRPr="0086738A">
            <w:rPr>
              <w:rFonts w:ascii="Arial" w:hAnsi="Arial" w:cs="Arial"/>
              <w:sz w:val="22"/>
              <w:szCs w:val="22"/>
            </w:rPr>
            <w:t>Recom</w:t>
          </w:r>
          <w:r w:rsidR="00A11E18" w:rsidRPr="0086738A">
            <w:rPr>
              <w:rFonts w:ascii="Arial" w:hAnsi="Arial" w:cs="Arial"/>
              <w:sz w:val="22"/>
              <w:szCs w:val="22"/>
            </w:rPr>
            <w:t>mendation</w:t>
          </w:r>
          <w:r w:rsidR="00F56017" w:rsidRPr="0086738A">
            <w:rPr>
              <w:rFonts w:ascii="Arial" w:hAnsi="Arial" w:cs="Arial"/>
              <w:sz w:val="22"/>
              <w:szCs w:val="22"/>
            </w:rPr>
            <w:t>……………………………………………………………………………………………10</w:t>
          </w:r>
        </w:p>
        <w:p w14:paraId="27039859" w14:textId="538AD203" w:rsidR="00F56017" w:rsidRPr="0086738A" w:rsidRDefault="00F56017" w:rsidP="005108AD">
          <w:pPr>
            <w:spacing w:line="360" w:lineRule="auto"/>
            <w:rPr>
              <w:rFonts w:ascii="Arial" w:hAnsi="Arial" w:cs="Arial"/>
              <w:sz w:val="22"/>
              <w:szCs w:val="22"/>
            </w:rPr>
          </w:pPr>
          <w:r w:rsidRPr="0086738A">
            <w:rPr>
              <w:rFonts w:ascii="Arial" w:hAnsi="Arial" w:cs="Arial"/>
              <w:sz w:val="22"/>
              <w:szCs w:val="22"/>
            </w:rPr>
            <w:t>References</w:t>
          </w:r>
          <w:r w:rsidR="00515EF9" w:rsidRPr="0086738A">
            <w:rPr>
              <w:rFonts w:ascii="Arial" w:hAnsi="Arial" w:cs="Arial"/>
              <w:sz w:val="22"/>
              <w:szCs w:val="22"/>
            </w:rPr>
            <w:t>……………………………………………………………………………………………………11</w:t>
          </w:r>
        </w:p>
        <w:p w14:paraId="49AAB97B" w14:textId="7AFCF3A8" w:rsidR="005E05A4" w:rsidRPr="0086738A" w:rsidRDefault="005E05A4" w:rsidP="00232DD5">
          <w:pPr>
            <w:spacing w:line="360" w:lineRule="auto"/>
            <w:rPr>
              <w:rFonts w:ascii="Arial" w:hAnsi="Arial" w:cs="Arial"/>
              <w:b/>
              <w:bCs/>
              <w:sz w:val="22"/>
              <w:szCs w:val="22"/>
            </w:rPr>
          </w:pPr>
        </w:p>
      </w:sdtContent>
    </w:sdt>
    <w:p w14:paraId="7C69C4B6" w14:textId="77777777" w:rsidR="00B53AB8" w:rsidRPr="0086738A" w:rsidRDefault="00B53AB8" w:rsidP="00812AF5">
      <w:pPr>
        <w:rPr>
          <w:rFonts w:ascii="Arial" w:hAnsi="Arial" w:cs="Arial"/>
          <w:b/>
          <w:bCs/>
          <w:sz w:val="22"/>
          <w:szCs w:val="22"/>
        </w:rPr>
      </w:pPr>
    </w:p>
    <w:p w14:paraId="71ACE6AD" w14:textId="77777777" w:rsidR="00B53AB8" w:rsidRPr="0086738A" w:rsidRDefault="00B53AB8" w:rsidP="00812AF5">
      <w:pPr>
        <w:rPr>
          <w:rFonts w:ascii="Arial" w:hAnsi="Arial" w:cs="Arial"/>
          <w:b/>
          <w:bCs/>
          <w:sz w:val="22"/>
          <w:szCs w:val="22"/>
        </w:rPr>
      </w:pPr>
    </w:p>
    <w:p w14:paraId="3F90A334" w14:textId="77777777" w:rsidR="00B53AB8" w:rsidRPr="0086738A" w:rsidRDefault="00B53AB8" w:rsidP="00812AF5">
      <w:pPr>
        <w:rPr>
          <w:rFonts w:ascii="Arial" w:hAnsi="Arial" w:cs="Arial"/>
          <w:b/>
          <w:bCs/>
          <w:sz w:val="22"/>
          <w:szCs w:val="22"/>
        </w:rPr>
      </w:pPr>
    </w:p>
    <w:p w14:paraId="4D102753" w14:textId="77777777" w:rsidR="00B53AB8" w:rsidRPr="0086738A" w:rsidRDefault="00B53AB8" w:rsidP="00812AF5">
      <w:pPr>
        <w:rPr>
          <w:rFonts w:ascii="Arial" w:hAnsi="Arial" w:cs="Arial"/>
          <w:b/>
          <w:bCs/>
          <w:sz w:val="22"/>
          <w:szCs w:val="22"/>
        </w:rPr>
      </w:pPr>
    </w:p>
    <w:p w14:paraId="3CA65AF4" w14:textId="77777777" w:rsidR="00B53AB8" w:rsidRPr="0086738A" w:rsidRDefault="00B53AB8" w:rsidP="00812AF5">
      <w:pPr>
        <w:rPr>
          <w:rFonts w:ascii="Arial" w:hAnsi="Arial" w:cs="Arial"/>
          <w:b/>
          <w:bCs/>
          <w:sz w:val="22"/>
          <w:szCs w:val="22"/>
        </w:rPr>
      </w:pPr>
    </w:p>
    <w:p w14:paraId="660E75AA" w14:textId="77777777" w:rsidR="00B53AB8" w:rsidRPr="0086738A" w:rsidRDefault="00B53AB8" w:rsidP="00812AF5">
      <w:pPr>
        <w:rPr>
          <w:rFonts w:ascii="Arial" w:hAnsi="Arial" w:cs="Arial"/>
          <w:b/>
          <w:bCs/>
          <w:sz w:val="22"/>
          <w:szCs w:val="22"/>
        </w:rPr>
      </w:pPr>
    </w:p>
    <w:p w14:paraId="45445367" w14:textId="77777777" w:rsidR="00B53AB8" w:rsidRPr="0086738A" w:rsidRDefault="00B53AB8" w:rsidP="00812AF5">
      <w:pPr>
        <w:rPr>
          <w:rFonts w:ascii="Arial" w:hAnsi="Arial" w:cs="Arial"/>
          <w:b/>
          <w:bCs/>
          <w:sz w:val="22"/>
          <w:szCs w:val="22"/>
        </w:rPr>
      </w:pPr>
    </w:p>
    <w:p w14:paraId="6983D59C" w14:textId="77777777" w:rsidR="00B53AB8" w:rsidRPr="0086738A" w:rsidRDefault="00B53AB8" w:rsidP="00812AF5">
      <w:pPr>
        <w:rPr>
          <w:rFonts w:ascii="Arial" w:hAnsi="Arial" w:cs="Arial"/>
          <w:b/>
          <w:bCs/>
          <w:sz w:val="22"/>
          <w:szCs w:val="22"/>
        </w:rPr>
      </w:pPr>
    </w:p>
    <w:p w14:paraId="737FD608" w14:textId="77777777" w:rsidR="00B53AB8" w:rsidRPr="0086738A" w:rsidRDefault="00B53AB8" w:rsidP="00812AF5">
      <w:pPr>
        <w:rPr>
          <w:rFonts w:ascii="Arial" w:hAnsi="Arial" w:cs="Arial"/>
          <w:b/>
          <w:bCs/>
          <w:sz w:val="22"/>
          <w:szCs w:val="22"/>
        </w:rPr>
      </w:pPr>
    </w:p>
    <w:p w14:paraId="40D8CE1E" w14:textId="77777777" w:rsidR="00B53AB8" w:rsidRPr="0086738A" w:rsidRDefault="00B53AB8" w:rsidP="00812AF5">
      <w:pPr>
        <w:rPr>
          <w:rFonts w:ascii="Arial" w:hAnsi="Arial" w:cs="Arial"/>
          <w:b/>
          <w:bCs/>
          <w:sz w:val="22"/>
          <w:szCs w:val="22"/>
        </w:rPr>
      </w:pPr>
    </w:p>
    <w:p w14:paraId="3217A057" w14:textId="77777777" w:rsidR="00B53AB8" w:rsidRPr="0086738A" w:rsidRDefault="00B53AB8" w:rsidP="00812AF5">
      <w:pPr>
        <w:rPr>
          <w:rFonts w:ascii="Arial" w:hAnsi="Arial" w:cs="Arial"/>
          <w:b/>
          <w:bCs/>
          <w:sz w:val="22"/>
          <w:szCs w:val="22"/>
        </w:rPr>
      </w:pPr>
    </w:p>
    <w:p w14:paraId="6D6BC60C" w14:textId="77777777" w:rsidR="00B53AB8" w:rsidRPr="0086738A" w:rsidRDefault="00B53AB8" w:rsidP="00812AF5">
      <w:pPr>
        <w:rPr>
          <w:rFonts w:ascii="Arial" w:hAnsi="Arial" w:cs="Arial"/>
          <w:b/>
          <w:bCs/>
          <w:sz w:val="22"/>
          <w:szCs w:val="22"/>
        </w:rPr>
      </w:pPr>
    </w:p>
    <w:p w14:paraId="51E28E2C" w14:textId="77777777" w:rsidR="00B53AB8" w:rsidRPr="0086738A" w:rsidRDefault="00B53AB8" w:rsidP="00812AF5">
      <w:pPr>
        <w:rPr>
          <w:rFonts w:ascii="Arial" w:hAnsi="Arial" w:cs="Arial"/>
          <w:b/>
          <w:bCs/>
          <w:sz w:val="22"/>
          <w:szCs w:val="22"/>
        </w:rPr>
      </w:pPr>
    </w:p>
    <w:p w14:paraId="53B71B74" w14:textId="77777777" w:rsidR="00B53AB8" w:rsidRPr="0086738A" w:rsidRDefault="00B53AB8" w:rsidP="00812AF5">
      <w:pPr>
        <w:rPr>
          <w:rFonts w:ascii="Arial" w:hAnsi="Arial" w:cs="Arial"/>
          <w:b/>
          <w:bCs/>
          <w:sz w:val="22"/>
          <w:szCs w:val="22"/>
        </w:rPr>
      </w:pPr>
    </w:p>
    <w:p w14:paraId="0132CA65" w14:textId="77777777" w:rsidR="00B53AB8" w:rsidRPr="0086738A" w:rsidRDefault="00B53AB8" w:rsidP="00812AF5">
      <w:pPr>
        <w:rPr>
          <w:rFonts w:ascii="Arial" w:hAnsi="Arial" w:cs="Arial"/>
          <w:b/>
          <w:bCs/>
          <w:sz w:val="22"/>
          <w:szCs w:val="22"/>
        </w:rPr>
      </w:pPr>
    </w:p>
    <w:p w14:paraId="39C334A5" w14:textId="77777777" w:rsidR="00B53AB8" w:rsidRPr="0086738A" w:rsidRDefault="00B53AB8" w:rsidP="00812AF5">
      <w:pPr>
        <w:rPr>
          <w:rFonts w:ascii="Arial" w:hAnsi="Arial" w:cs="Arial"/>
          <w:b/>
          <w:bCs/>
          <w:sz w:val="22"/>
          <w:szCs w:val="22"/>
        </w:rPr>
      </w:pPr>
    </w:p>
    <w:p w14:paraId="4B83C0E2" w14:textId="77777777" w:rsidR="00B53AB8" w:rsidRPr="0086738A" w:rsidRDefault="00B53AB8" w:rsidP="00812AF5">
      <w:pPr>
        <w:rPr>
          <w:rFonts w:ascii="Arial" w:hAnsi="Arial" w:cs="Arial"/>
          <w:b/>
          <w:bCs/>
          <w:sz w:val="22"/>
          <w:szCs w:val="22"/>
        </w:rPr>
      </w:pPr>
    </w:p>
    <w:p w14:paraId="3AD29B39" w14:textId="77777777" w:rsidR="00B53AB8" w:rsidRPr="0086738A" w:rsidRDefault="00B53AB8" w:rsidP="00812AF5">
      <w:pPr>
        <w:rPr>
          <w:rFonts w:ascii="Arial" w:hAnsi="Arial" w:cs="Arial"/>
          <w:b/>
          <w:bCs/>
          <w:sz w:val="22"/>
          <w:szCs w:val="22"/>
        </w:rPr>
      </w:pPr>
    </w:p>
    <w:p w14:paraId="6CD232D3" w14:textId="77777777" w:rsidR="00B53AB8" w:rsidRPr="0086738A" w:rsidRDefault="00B53AB8" w:rsidP="00812AF5">
      <w:pPr>
        <w:rPr>
          <w:rFonts w:ascii="Arial" w:hAnsi="Arial" w:cs="Arial"/>
          <w:b/>
          <w:bCs/>
          <w:sz w:val="22"/>
          <w:szCs w:val="22"/>
        </w:rPr>
      </w:pPr>
    </w:p>
    <w:p w14:paraId="07B34C58" w14:textId="77777777" w:rsidR="00B53AB8" w:rsidRPr="0086738A" w:rsidRDefault="00B53AB8" w:rsidP="00812AF5">
      <w:pPr>
        <w:rPr>
          <w:rFonts w:ascii="Arial" w:hAnsi="Arial" w:cs="Arial"/>
          <w:b/>
          <w:bCs/>
          <w:sz w:val="22"/>
          <w:szCs w:val="22"/>
        </w:rPr>
      </w:pPr>
    </w:p>
    <w:p w14:paraId="6A452825" w14:textId="77777777" w:rsidR="00B53AB8" w:rsidRPr="0086738A" w:rsidRDefault="00B53AB8" w:rsidP="00812AF5">
      <w:pPr>
        <w:rPr>
          <w:rFonts w:ascii="Arial" w:hAnsi="Arial" w:cs="Arial"/>
          <w:b/>
          <w:bCs/>
          <w:sz w:val="22"/>
          <w:szCs w:val="22"/>
        </w:rPr>
      </w:pPr>
    </w:p>
    <w:p w14:paraId="04C37BDF" w14:textId="77777777" w:rsidR="00B53AB8" w:rsidRPr="0086738A" w:rsidRDefault="00B53AB8" w:rsidP="00812AF5">
      <w:pPr>
        <w:rPr>
          <w:rFonts w:ascii="Arial" w:hAnsi="Arial" w:cs="Arial"/>
          <w:b/>
          <w:bCs/>
          <w:sz w:val="22"/>
          <w:szCs w:val="22"/>
        </w:rPr>
      </w:pPr>
    </w:p>
    <w:p w14:paraId="291A7503" w14:textId="5C1C771F" w:rsidR="00B53AB8" w:rsidRPr="0086738A" w:rsidRDefault="00A67F3E" w:rsidP="00812AF5">
      <w:pPr>
        <w:rPr>
          <w:rFonts w:ascii="Arial" w:hAnsi="Arial" w:cs="Arial"/>
          <w:b/>
          <w:bCs/>
          <w:sz w:val="22"/>
          <w:szCs w:val="22"/>
        </w:rPr>
      </w:pPr>
      <w:r w:rsidRPr="0086738A">
        <w:rPr>
          <w:rFonts w:ascii="Arial" w:hAnsi="Arial" w:cs="Arial"/>
          <w:b/>
          <w:bCs/>
          <w:sz w:val="22"/>
          <w:szCs w:val="22"/>
        </w:rPr>
        <w:t>Abstract</w:t>
      </w:r>
    </w:p>
    <w:p w14:paraId="3A2E36EE" w14:textId="77C76A56" w:rsidR="0068373F" w:rsidRPr="0086738A" w:rsidRDefault="0068373F" w:rsidP="0068373F">
      <w:pPr>
        <w:rPr>
          <w:rFonts w:ascii="Arial" w:hAnsi="Arial" w:cs="Arial"/>
          <w:sz w:val="22"/>
          <w:szCs w:val="22"/>
        </w:rPr>
      </w:pPr>
      <w:r w:rsidRPr="0086738A">
        <w:rPr>
          <w:rFonts w:ascii="Arial" w:hAnsi="Arial" w:cs="Arial"/>
          <w:sz w:val="22"/>
          <w:szCs w:val="22"/>
        </w:rPr>
        <w:t>This report examines Type 1 diabetes as a major public health issue, outlining its autoimmune nature, symptoms, and increasing global prevalence (WHO, 202</w:t>
      </w:r>
      <w:r w:rsidR="0083769A" w:rsidRPr="0086738A">
        <w:rPr>
          <w:rFonts w:ascii="Arial" w:hAnsi="Arial" w:cs="Arial"/>
          <w:sz w:val="22"/>
          <w:szCs w:val="22"/>
        </w:rPr>
        <w:t>4</w:t>
      </w:r>
      <w:r w:rsidRPr="0086738A">
        <w:rPr>
          <w:rFonts w:ascii="Arial" w:hAnsi="Arial" w:cs="Arial"/>
          <w:sz w:val="22"/>
          <w:szCs w:val="22"/>
        </w:rPr>
        <w:t>; Diabetes UK, 202</w:t>
      </w:r>
      <w:r w:rsidR="00AF3E97" w:rsidRPr="0086738A">
        <w:rPr>
          <w:rFonts w:ascii="Arial" w:hAnsi="Arial" w:cs="Arial"/>
          <w:sz w:val="22"/>
          <w:szCs w:val="22"/>
        </w:rPr>
        <w:t>3</w:t>
      </w:r>
      <w:r w:rsidRPr="0086738A">
        <w:rPr>
          <w:rFonts w:ascii="Arial" w:hAnsi="Arial" w:cs="Arial"/>
          <w:sz w:val="22"/>
          <w:szCs w:val="22"/>
        </w:rPr>
        <w:t>). It discusses key monitoring methods such as blood glucose testing, continuous glucose monitoring, and HbA1c measurement, which are essential for preventing complications (NICE, 202</w:t>
      </w:r>
      <w:r w:rsidR="0083769A" w:rsidRPr="0086738A">
        <w:rPr>
          <w:rFonts w:ascii="Arial" w:hAnsi="Arial" w:cs="Arial"/>
          <w:sz w:val="22"/>
          <w:szCs w:val="22"/>
        </w:rPr>
        <w:t>2</w:t>
      </w:r>
      <w:r w:rsidRPr="0086738A">
        <w:rPr>
          <w:rFonts w:ascii="Arial" w:hAnsi="Arial" w:cs="Arial"/>
          <w:sz w:val="22"/>
          <w:szCs w:val="22"/>
        </w:rPr>
        <w:t>). The report evaluates management approaches including insulin therapy, dietary regulation, structured education, psychological support, and emerging technologies. It also explores the physical, psychological, social, and economic impacts of the condition, alongside the vital role of multidisciplinary services, charities, and national policies in improving outcomes (NHS England, 202</w:t>
      </w:r>
      <w:r w:rsidR="00B42D0F" w:rsidRPr="0086738A">
        <w:rPr>
          <w:rFonts w:ascii="Arial" w:hAnsi="Arial" w:cs="Arial"/>
          <w:sz w:val="22"/>
          <w:szCs w:val="22"/>
        </w:rPr>
        <w:t>3</w:t>
      </w:r>
      <w:r w:rsidRPr="0086738A">
        <w:rPr>
          <w:rFonts w:ascii="Arial" w:hAnsi="Arial" w:cs="Arial"/>
          <w:sz w:val="22"/>
          <w:szCs w:val="22"/>
        </w:rPr>
        <w:t>).</w:t>
      </w:r>
    </w:p>
    <w:p w14:paraId="62297D61" w14:textId="77777777" w:rsidR="00B53AB8" w:rsidRPr="0086738A" w:rsidRDefault="00B53AB8" w:rsidP="00812AF5">
      <w:pPr>
        <w:rPr>
          <w:rFonts w:ascii="Arial" w:hAnsi="Arial" w:cs="Arial"/>
          <w:b/>
          <w:bCs/>
          <w:sz w:val="22"/>
          <w:szCs w:val="22"/>
        </w:rPr>
      </w:pPr>
    </w:p>
    <w:p w14:paraId="7B96ACAD" w14:textId="77777777" w:rsidR="00B53AB8" w:rsidRPr="0086738A" w:rsidRDefault="00B53AB8" w:rsidP="00812AF5">
      <w:pPr>
        <w:rPr>
          <w:rFonts w:ascii="Arial" w:hAnsi="Arial" w:cs="Arial"/>
          <w:b/>
          <w:bCs/>
          <w:sz w:val="22"/>
          <w:szCs w:val="22"/>
        </w:rPr>
      </w:pPr>
    </w:p>
    <w:p w14:paraId="5C88C6F1" w14:textId="77777777" w:rsidR="00A67F3E" w:rsidRPr="0086738A" w:rsidRDefault="00A67F3E" w:rsidP="00812AF5">
      <w:pPr>
        <w:rPr>
          <w:rFonts w:ascii="Arial" w:hAnsi="Arial" w:cs="Arial"/>
          <w:b/>
          <w:bCs/>
          <w:sz w:val="22"/>
          <w:szCs w:val="22"/>
        </w:rPr>
      </w:pPr>
    </w:p>
    <w:p w14:paraId="1BAE042D" w14:textId="77777777" w:rsidR="00A67F3E" w:rsidRPr="0086738A" w:rsidRDefault="00A67F3E" w:rsidP="00812AF5">
      <w:pPr>
        <w:rPr>
          <w:rFonts w:ascii="Arial" w:hAnsi="Arial" w:cs="Arial"/>
          <w:b/>
          <w:bCs/>
          <w:sz w:val="22"/>
          <w:szCs w:val="22"/>
        </w:rPr>
      </w:pPr>
    </w:p>
    <w:p w14:paraId="063B4E72" w14:textId="77777777" w:rsidR="00A67F3E" w:rsidRPr="0086738A" w:rsidRDefault="00A67F3E" w:rsidP="00812AF5">
      <w:pPr>
        <w:rPr>
          <w:rFonts w:ascii="Arial" w:hAnsi="Arial" w:cs="Arial"/>
          <w:b/>
          <w:bCs/>
          <w:sz w:val="22"/>
          <w:szCs w:val="22"/>
        </w:rPr>
      </w:pPr>
    </w:p>
    <w:p w14:paraId="41974E53" w14:textId="77777777" w:rsidR="00A67F3E" w:rsidRPr="0086738A" w:rsidRDefault="00A67F3E" w:rsidP="00812AF5">
      <w:pPr>
        <w:rPr>
          <w:rFonts w:ascii="Arial" w:hAnsi="Arial" w:cs="Arial"/>
          <w:b/>
          <w:bCs/>
          <w:sz w:val="22"/>
          <w:szCs w:val="22"/>
        </w:rPr>
      </w:pPr>
    </w:p>
    <w:p w14:paraId="1BEDD5B0" w14:textId="77777777" w:rsidR="00A67F3E" w:rsidRPr="0086738A" w:rsidRDefault="00A67F3E" w:rsidP="00812AF5">
      <w:pPr>
        <w:rPr>
          <w:rFonts w:ascii="Arial" w:hAnsi="Arial" w:cs="Arial"/>
          <w:b/>
          <w:bCs/>
          <w:sz w:val="22"/>
          <w:szCs w:val="22"/>
        </w:rPr>
      </w:pPr>
    </w:p>
    <w:p w14:paraId="35E9C37D" w14:textId="77777777" w:rsidR="00A67F3E" w:rsidRPr="0086738A" w:rsidRDefault="00A67F3E" w:rsidP="00812AF5">
      <w:pPr>
        <w:rPr>
          <w:rFonts w:ascii="Arial" w:hAnsi="Arial" w:cs="Arial"/>
          <w:b/>
          <w:bCs/>
          <w:sz w:val="22"/>
          <w:szCs w:val="22"/>
        </w:rPr>
      </w:pPr>
    </w:p>
    <w:p w14:paraId="0B09721E" w14:textId="77777777" w:rsidR="00A67F3E" w:rsidRPr="0086738A" w:rsidRDefault="00A67F3E" w:rsidP="00812AF5">
      <w:pPr>
        <w:rPr>
          <w:rFonts w:ascii="Arial" w:hAnsi="Arial" w:cs="Arial"/>
          <w:b/>
          <w:bCs/>
          <w:sz w:val="22"/>
          <w:szCs w:val="22"/>
        </w:rPr>
      </w:pPr>
    </w:p>
    <w:p w14:paraId="2F0A642B" w14:textId="77777777" w:rsidR="00A67F3E" w:rsidRPr="0086738A" w:rsidRDefault="00A67F3E" w:rsidP="00812AF5">
      <w:pPr>
        <w:rPr>
          <w:rFonts w:ascii="Arial" w:hAnsi="Arial" w:cs="Arial"/>
          <w:b/>
          <w:bCs/>
          <w:sz w:val="22"/>
          <w:szCs w:val="22"/>
        </w:rPr>
      </w:pPr>
    </w:p>
    <w:p w14:paraId="053983CD" w14:textId="77777777" w:rsidR="00A67F3E" w:rsidRPr="0086738A" w:rsidRDefault="00A67F3E" w:rsidP="00812AF5">
      <w:pPr>
        <w:rPr>
          <w:rFonts w:ascii="Arial" w:hAnsi="Arial" w:cs="Arial"/>
          <w:b/>
          <w:bCs/>
          <w:sz w:val="22"/>
          <w:szCs w:val="22"/>
        </w:rPr>
      </w:pPr>
    </w:p>
    <w:p w14:paraId="1C1D44E8" w14:textId="77777777" w:rsidR="0001534D" w:rsidRDefault="0001534D" w:rsidP="00812AF5">
      <w:pPr>
        <w:rPr>
          <w:rFonts w:ascii="Arial" w:hAnsi="Arial" w:cs="Arial"/>
          <w:b/>
          <w:bCs/>
          <w:sz w:val="22"/>
          <w:szCs w:val="22"/>
        </w:rPr>
      </w:pPr>
    </w:p>
    <w:p w14:paraId="71B93DB7" w14:textId="77777777" w:rsidR="0001534D" w:rsidRDefault="0001534D" w:rsidP="00812AF5">
      <w:pPr>
        <w:rPr>
          <w:rFonts w:ascii="Arial" w:hAnsi="Arial" w:cs="Arial"/>
          <w:b/>
          <w:bCs/>
          <w:sz w:val="22"/>
          <w:szCs w:val="22"/>
        </w:rPr>
      </w:pPr>
    </w:p>
    <w:p w14:paraId="7EA078D5" w14:textId="77777777" w:rsidR="00951ABA" w:rsidRDefault="00951ABA" w:rsidP="00812AF5">
      <w:pPr>
        <w:rPr>
          <w:rFonts w:ascii="Arial" w:hAnsi="Arial" w:cs="Arial"/>
          <w:b/>
          <w:bCs/>
          <w:sz w:val="22"/>
          <w:szCs w:val="22"/>
        </w:rPr>
      </w:pPr>
    </w:p>
    <w:p w14:paraId="2AB3706E" w14:textId="0FE27B4A" w:rsidR="00812AF5" w:rsidRPr="0086738A" w:rsidRDefault="00812AF5" w:rsidP="00812AF5">
      <w:pPr>
        <w:rPr>
          <w:rFonts w:ascii="Arial" w:hAnsi="Arial" w:cs="Arial"/>
          <w:b/>
          <w:bCs/>
          <w:sz w:val="22"/>
          <w:szCs w:val="22"/>
        </w:rPr>
      </w:pPr>
      <w:r w:rsidRPr="0086738A">
        <w:rPr>
          <w:rFonts w:ascii="Arial" w:hAnsi="Arial" w:cs="Arial"/>
          <w:b/>
          <w:bCs/>
          <w:sz w:val="22"/>
          <w:szCs w:val="22"/>
        </w:rPr>
        <w:lastRenderedPageBreak/>
        <w:t>Introduction</w:t>
      </w:r>
    </w:p>
    <w:p w14:paraId="1D88E715" w14:textId="77777777" w:rsidR="00081A4C" w:rsidRPr="0086738A" w:rsidRDefault="00081A4C" w:rsidP="00081A4C">
      <w:pPr>
        <w:spacing w:line="360" w:lineRule="auto"/>
        <w:rPr>
          <w:rFonts w:ascii="Arial" w:hAnsi="Arial" w:cs="Arial"/>
          <w:sz w:val="22"/>
          <w:szCs w:val="22"/>
        </w:rPr>
      </w:pPr>
      <w:r w:rsidRPr="0086738A">
        <w:rPr>
          <w:rFonts w:ascii="Arial" w:hAnsi="Arial" w:cs="Arial"/>
          <w:sz w:val="22"/>
          <w:szCs w:val="22"/>
        </w:rPr>
        <w:t>Type 1 diabetes (T1D) is an autoimmune condition in which the immune system destroys the pancreas’s insulin</w:t>
      </w:r>
      <w:r w:rsidRPr="0086738A">
        <w:rPr>
          <w:rFonts w:ascii="Arial" w:hAnsi="Arial" w:cs="Arial"/>
          <w:sz w:val="22"/>
          <w:szCs w:val="22"/>
        </w:rPr>
        <w:noBreakHyphen/>
        <w:t>producing beta cells, causing absolute insulin</w:t>
      </w:r>
      <w:r w:rsidRPr="0086738A">
        <w:rPr>
          <w:rFonts w:ascii="Arial" w:hAnsi="Arial" w:cs="Arial"/>
          <w:b/>
          <w:bCs/>
          <w:sz w:val="22"/>
          <w:szCs w:val="22"/>
        </w:rPr>
        <w:t xml:space="preserve"> </w:t>
      </w:r>
      <w:r w:rsidRPr="0086738A">
        <w:rPr>
          <w:rFonts w:ascii="Arial" w:hAnsi="Arial" w:cs="Arial"/>
          <w:sz w:val="22"/>
          <w:szCs w:val="22"/>
        </w:rPr>
        <w:t>deficiency (WHO, 2024; Diabetes UK, 2023). It is not linked to lifestyle factors and often develops in childhood or adolescence. Key symptoms include excessive thirst, frequent urination, weight loss, fatigue, and blurred vision, and delayed diagnosis can lead to diabetic ketoacidosis (DKA), a life</w:t>
      </w:r>
      <w:r w:rsidRPr="0086738A">
        <w:rPr>
          <w:rFonts w:ascii="Arial" w:hAnsi="Arial" w:cs="Arial"/>
          <w:sz w:val="22"/>
          <w:szCs w:val="22"/>
        </w:rPr>
        <w:noBreakHyphen/>
        <w:t>threatening emergency (NICE, 2022).</w:t>
      </w:r>
    </w:p>
    <w:p w14:paraId="2815C0A9" w14:textId="77777777" w:rsidR="00081A4C" w:rsidRPr="0086738A" w:rsidRDefault="00081A4C" w:rsidP="00081A4C">
      <w:pPr>
        <w:spacing w:line="360" w:lineRule="auto"/>
        <w:rPr>
          <w:rFonts w:ascii="Arial" w:hAnsi="Arial" w:cs="Arial"/>
          <w:sz w:val="22"/>
          <w:szCs w:val="22"/>
        </w:rPr>
      </w:pPr>
      <w:r w:rsidRPr="0086738A">
        <w:rPr>
          <w:rFonts w:ascii="Arial" w:hAnsi="Arial" w:cs="Arial"/>
          <w:sz w:val="22"/>
          <w:szCs w:val="22"/>
        </w:rPr>
        <w:t>Globally, around 8.4 million people live with T1D (Gregory et al., 2023). In the UK, approximately 400,000 individuals are affected, representing about 8% of all diabetes</w:t>
      </w:r>
      <w:r w:rsidRPr="0086738A">
        <w:rPr>
          <w:rFonts w:ascii="Arial" w:hAnsi="Arial" w:cs="Arial"/>
          <w:b/>
          <w:bCs/>
          <w:sz w:val="22"/>
          <w:szCs w:val="22"/>
        </w:rPr>
        <w:t xml:space="preserve"> </w:t>
      </w:r>
      <w:r w:rsidRPr="0086738A">
        <w:rPr>
          <w:rFonts w:ascii="Arial" w:hAnsi="Arial" w:cs="Arial"/>
          <w:sz w:val="22"/>
          <w:szCs w:val="22"/>
        </w:rPr>
        <w:t>cases (Diabetes UK, 2023). Its lifelong nature and rising prevalence make T1D a significant public health concern requiring sustained and coordinated responses.</w:t>
      </w:r>
    </w:p>
    <w:p w14:paraId="793D3F37" w14:textId="77777777" w:rsidR="0055620A" w:rsidRPr="0086738A" w:rsidRDefault="0055620A" w:rsidP="00AF22A4">
      <w:pPr>
        <w:spacing w:line="360" w:lineRule="auto"/>
        <w:rPr>
          <w:rFonts w:ascii="Arial" w:hAnsi="Arial" w:cs="Arial"/>
          <w:sz w:val="22"/>
          <w:szCs w:val="22"/>
        </w:rPr>
      </w:pPr>
    </w:p>
    <w:p w14:paraId="18AD79E4" w14:textId="127DA55B" w:rsidR="00812AF5" w:rsidRPr="0086738A" w:rsidRDefault="00812AF5" w:rsidP="00AF22A4">
      <w:pPr>
        <w:spacing w:line="360" w:lineRule="auto"/>
        <w:rPr>
          <w:rFonts w:ascii="Arial" w:hAnsi="Arial" w:cs="Arial"/>
          <w:b/>
          <w:bCs/>
          <w:sz w:val="22"/>
          <w:szCs w:val="22"/>
        </w:rPr>
      </w:pPr>
      <w:r w:rsidRPr="0086738A">
        <w:rPr>
          <w:rFonts w:ascii="Arial" w:hAnsi="Arial" w:cs="Arial"/>
          <w:sz w:val="22"/>
          <w:szCs w:val="22"/>
        </w:rPr>
        <w:drawing>
          <wp:anchor distT="0" distB="0" distL="114300" distR="114300" simplePos="0" relativeHeight="251659264" behindDoc="0" locked="0" layoutInCell="1" allowOverlap="1" wp14:anchorId="38625021" wp14:editId="22EA5656">
            <wp:simplePos x="914400" y="5702300"/>
            <wp:positionH relativeFrom="column">
              <wp:align>left</wp:align>
            </wp:positionH>
            <wp:positionV relativeFrom="paragraph">
              <wp:align>top</wp:align>
            </wp:positionV>
            <wp:extent cx="12700" cy="12700"/>
            <wp:effectExtent l="0" t="0" r="0" b="0"/>
            <wp:wrapSquare wrapText="bothSides"/>
            <wp:docPr id="18981297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anchor>
        </w:drawing>
      </w:r>
      <w:r w:rsidRPr="0086738A">
        <w:rPr>
          <w:rFonts w:ascii="Arial" w:hAnsi="Arial" w:cs="Arial"/>
          <w:b/>
          <w:bCs/>
          <w:sz w:val="22"/>
          <w:szCs w:val="22"/>
        </w:rPr>
        <w:t>Measuring and Monitoring Type 1 Diabetes</w:t>
      </w:r>
    </w:p>
    <w:p w14:paraId="5229D6AD" w14:textId="72C25994" w:rsidR="00812AF5" w:rsidRPr="0086738A" w:rsidRDefault="00812AF5" w:rsidP="00AF22A4">
      <w:pPr>
        <w:spacing w:line="360" w:lineRule="auto"/>
        <w:rPr>
          <w:rFonts w:ascii="Arial" w:hAnsi="Arial" w:cs="Arial"/>
          <w:sz w:val="22"/>
          <w:szCs w:val="22"/>
        </w:rPr>
      </w:pPr>
      <w:r w:rsidRPr="0086738A">
        <w:rPr>
          <w:rFonts w:ascii="Arial" w:hAnsi="Arial" w:cs="Arial"/>
          <w:sz w:val="22"/>
          <w:szCs w:val="22"/>
        </w:rPr>
        <w:t>Effective measurement and monitoring are essential for improving health outcomes and reducing the risk of complications associated with T1D. Daily blood glucose monitoring remains a cornerstone of disease management. Individuals are encouraged to measure their blood glucose levels multiple times per day using either traditional blood glucose meters or continuous glucose monitoring (CGM) systems (NICE, 202</w:t>
      </w:r>
      <w:r w:rsidR="0052686F" w:rsidRPr="0086738A">
        <w:rPr>
          <w:rFonts w:ascii="Arial" w:hAnsi="Arial" w:cs="Arial"/>
          <w:sz w:val="22"/>
          <w:szCs w:val="22"/>
        </w:rPr>
        <w:t>2</w:t>
      </w:r>
      <w:r w:rsidRPr="0086738A">
        <w:rPr>
          <w:rFonts w:ascii="Arial" w:hAnsi="Arial" w:cs="Arial"/>
          <w:sz w:val="22"/>
          <w:szCs w:val="22"/>
        </w:rPr>
        <w:t xml:space="preserve">). As the document notes, </w:t>
      </w:r>
      <w:r w:rsidRPr="0086738A">
        <w:rPr>
          <w:rFonts w:ascii="Arial" w:hAnsi="Arial" w:cs="Arial"/>
          <w:i/>
          <w:iCs/>
          <w:sz w:val="22"/>
          <w:szCs w:val="22"/>
        </w:rPr>
        <w:t>“CGM devices provide real</w:t>
      </w:r>
      <w:r w:rsidRPr="0086738A">
        <w:rPr>
          <w:rFonts w:ascii="Arial" w:hAnsi="Arial" w:cs="Arial"/>
          <w:i/>
          <w:iCs/>
          <w:sz w:val="22"/>
          <w:szCs w:val="22"/>
        </w:rPr>
        <w:noBreakHyphen/>
        <w:t>time glucose readings every few minutes, enabling patients to identify trends and respond quickly to episodes of hypoglycaemia or hyperglycaemia.”</w:t>
      </w:r>
      <w:r w:rsidRPr="0086738A">
        <w:rPr>
          <w:rFonts w:ascii="Arial" w:hAnsi="Arial" w:cs="Arial"/>
          <w:sz w:val="22"/>
          <w:szCs w:val="22"/>
        </w:rPr>
        <w:t xml:space="preserve"> Flash glucose monitoring systems, such as </w:t>
      </w:r>
      <w:r w:rsidR="0052686F" w:rsidRPr="0086738A">
        <w:rPr>
          <w:rFonts w:ascii="Arial" w:hAnsi="Arial" w:cs="Arial"/>
          <w:sz w:val="22"/>
          <w:szCs w:val="22"/>
        </w:rPr>
        <w:t>Freestyle</w:t>
      </w:r>
      <w:r w:rsidRPr="0086738A">
        <w:rPr>
          <w:rFonts w:ascii="Arial" w:hAnsi="Arial" w:cs="Arial"/>
          <w:sz w:val="22"/>
          <w:szCs w:val="22"/>
        </w:rPr>
        <w:t xml:space="preserve"> Libre, have further enhanced self</w:t>
      </w:r>
      <w:r w:rsidRPr="0086738A">
        <w:rPr>
          <w:rFonts w:ascii="Arial" w:hAnsi="Arial" w:cs="Arial"/>
          <w:sz w:val="22"/>
          <w:szCs w:val="22"/>
        </w:rPr>
        <w:noBreakHyphen/>
        <w:t>management by reducing the need for frequent finger</w:t>
      </w:r>
      <w:r w:rsidRPr="0086738A">
        <w:rPr>
          <w:rFonts w:ascii="Arial" w:hAnsi="Arial" w:cs="Arial"/>
          <w:sz w:val="22"/>
          <w:szCs w:val="22"/>
        </w:rPr>
        <w:noBreakHyphen/>
        <w:t>prick testing.</w:t>
      </w:r>
    </w:p>
    <w:p w14:paraId="2A1D8331" w14:textId="280C7F3B" w:rsidR="00812AF5" w:rsidRPr="0086738A" w:rsidRDefault="00812AF5" w:rsidP="00AF22A4">
      <w:pPr>
        <w:spacing w:line="360" w:lineRule="auto"/>
        <w:rPr>
          <w:rFonts w:ascii="Arial" w:hAnsi="Arial" w:cs="Arial"/>
          <w:sz w:val="22"/>
          <w:szCs w:val="22"/>
        </w:rPr>
      </w:pPr>
      <w:r w:rsidRPr="0086738A">
        <w:rPr>
          <w:rFonts w:ascii="Arial" w:hAnsi="Arial" w:cs="Arial"/>
          <w:sz w:val="22"/>
          <w:szCs w:val="22"/>
        </w:rPr>
        <w:t>Long</w:t>
      </w:r>
      <w:r w:rsidRPr="0086738A">
        <w:rPr>
          <w:rFonts w:ascii="Arial" w:hAnsi="Arial" w:cs="Arial"/>
          <w:sz w:val="22"/>
          <w:szCs w:val="22"/>
        </w:rPr>
        <w:noBreakHyphen/>
        <w:t>term glycaemic control is assessed using glycated haemoglobin (HbA1c), which reflects average blood glucose levels over two to three months. HbA1c is widely regarded as the gold standard for evaluating long</w:t>
      </w:r>
      <w:r w:rsidRPr="0086738A">
        <w:rPr>
          <w:rFonts w:ascii="Arial" w:hAnsi="Arial" w:cs="Arial"/>
          <w:sz w:val="22"/>
          <w:szCs w:val="22"/>
        </w:rPr>
        <w:noBreakHyphen/>
        <w:t>term glycaemic control. NICE (202</w:t>
      </w:r>
      <w:r w:rsidR="00C65A46" w:rsidRPr="0086738A">
        <w:rPr>
          <w:rFonts w:ascii="Arial" w:hAnsi="Arial" w:cs="Arial"/>
          <w:sz w:val="22"/>
          <w:szCs w:val="22"/>
        </w:rPr>
        <w:t>2</w:t>
      </w:r>
      <w:r w:rsidRPr="0086738A">
        <w:rPr>
          <w:rFonts w:ascii="Arial" w:hAnsi="Arial" w:cs="Arial"/>
          <w:sz w:val="22"/>
          <w:szCs w:val="22"/>
        </w:rPr>
        <w:t>) recommends aiming for an HbA1c level of 48 mmol/mol (6.5%) where achievable without causing severe hypoglycaemia. Regular HbA1c testing enables healthcare professionals to determine whether treatment plans require adjustment.</w:t>
      </w:r>
    </w:p>
    <w:p w14:paraId="493EA832" w14:textId="77777777" w:rsidR="00812AF5" w:rsidRPr="0086738A" w:rsidRDefault="00812AF5" w:rsidP="00AF22A4">
      <w:pPr>
        <w:spacing w:line="360" w:lineRule="auto"/>
        <w:rPr>
          <w:rFonts w:ascii="Arial" w:hAnsi="Arial" w:cs="Arial"/>
          <w:sz w:val="22"/>
          <w:szCs w:val="22"/>
        </w:rPr>
      </w:pPr>
      <w:r w:rsidRPr="0086738A">
        <w:rPr>
          <w:rFonts w:ascii="Arial" w:hAnsi="Arial" w:cs="Arial"/>
          <w:sz w:val="22"/>
          <w:szCs w:val="22"/>
        </w:rPr>
        <w:t>Monitoring for complications is also essential. Individuals with T1D are at increased risk of cardiovascular disease, diabetic nephropathy, and diabetic retinopathy (NHS England, 2023). Annual retinal screening programmes in the UK allow early identification and treatment of retinal damage before significant vision loss occurs. Routine monitoring of blood pressure, cholesterol, kidney function, and body weight helps identify early signs of complications and supports timely intervention.</w:t>
      </w:r>
    </w:p>
    <w:p w14:paraId="03C76541" w14:textId="52FE2C33" w:rsidR="00812AF5" w:rsidRPr="0086738A" w:rsidRDefault="00812AF5" w:rsidP="00AF22A4">
      <w:pPr>
        <w:spacing w:line="360" w:lineRule="auto"/>
        <w:rPr>
          <w:rFonts w:ascii="Arial" w:hAnsi="Arial" w:cs="Arial"/>
          <w:sz w:val="22"/>
          <w:szCs w:val="22"/>
        </w:rPr>
      </w:pPr>
      <w:r w:rsidRPr="0086738A">
        <w:rPr>
          <w:rFonts w:ascii="Arial" w:hAnsi="Arial" w:cs="Arial"/>
          <w:sz w:val="22"/>
          <w:szCs w:val="22"/>
        </w:rPr>
        <w:lastRenderedPageBreak/>
        <w:t>National surveillance programmes play an important role in monitoring the burden of diabetes. The National Diabetes Audit (NDA) collects data across England to evaluate patient outcomes, monitor healthcare quality, and identify inequalities in care (NHS England, 20</w:t>
      </w:r>
      <w:r w:rsidR="00946990" w:rsidRPr="0086738A">
        <w:rPr>
          <w:rFonts w:ascii="Arial" w:hAnsi="Arial" w:cs="Arial"/>
          <w:sz w:val="22"/>
          <w:szCs w:val="22"/>
        </w:rPr>
        <w:t>19</w:t>
      </w:r>
      <w:r w:rsidRPr="0086738A">
        <w:rPr>
          <w:rFonts w:ascii="Arial" w:hAnsi="Arial" w:cs="Arial"/>
          <w:sz w:val="22"/>
          <w:szCs w:val="22"/>
        </w:rPr>
        <w:t>). International organisations such as the International Diabetes Federation (IDF) and the World Health Organization (WHO) monitor global incidence, prevalence, mortality, and complications to inform policy and research.</w:t>
      </w:r>
    </w:p>
    <w:p w14:paraId="13840EFC" w14:textId="77777777" w:rsidR="00812AF5" w:rsidRPr="0086738A" w:rsidRDefault="00812AF5" w:rsidP="00AF22A4">
      <w:pPr>
        <w:spacing w:line="360" w:lineRule="auto"/>
        <w:rPr>
          <w:rFonts w:ascii="Arial" w:hAnsi="Arial" w:cs="Arial"/>
          <w:sz w:val="22"/>
          <w:szCs w:val="22"/>
        </w:rPr>
      </w:pPr>
      <w:r w:rsidRPr="0086738A">
        <w:rPr>
          <w:rFonts w:ascii="Arial" w:hAnsi="Arial" w:cs="Arial"/>
          <w:sz w:val="22"/>
          <w:szCs w:val="22"/>
        </w:rPr>
        <w:t>Patient</w:t>
      </w:r>
      <w:r w:rsidRPr="0086738A">
        <w:rPr>
          <w:rFonts w:ascii="Arial" w:hAnsi="Arial" w:cs="Arial"/>
          <w:sz w:val="22"/>
          <w:szCs w:val="22"/>
        </w:rPr>
        <w:noBreakHyphen/>
        <w:t>reported outcome measures (PROMs) and quality</w:t>
      </w:r>
      <w:r w:rsidRPr="0086738A">
        <w:rPr>
          <w:rFonts w:ascii="Arial" w:hAnsi="Arial" w:cs="Arial"/>
          <w:sz w:val="22"/>
          <w:szCs w:val="22"/>
        </w:rPr>
        <w:noBreakHyphen/>
        <w:t>of</w:t>
      </w:r>
      <w:r w:rsidRPr="0086738A">
        <w:rPr>
          <w:rFonts w:ascii="Arial" w:hAnsi="Arial" w:cs="Arial"/>
          <w:sz w:val="22"/>
          <w:szCs w:val="22"/>
        </w:rPr>
        <w:noBreakHyphen/>
        <w:t>life assessments are increasingly used to evaluate psychological wellbeing, treatment satisfaction, and daily functioning. These measures recognise that successful diabetes management extends beyond blood glucose control and includes emotional and social wellbeing.</w:t>
      </w:r>
    </w:p>
    <w:p w14:paraId="4C3F9F01" w14:textId="77777777" w:rsidR="00812AF5" w:rsidRPr="0086738A" w:rsidRDefault="00812AF5" w:rsidP="00AF22A4">
      <w:pPr>
        <w:spacing w:line="360" w:lineRule="auto"/>
        <w:rPr>
          <w:rFonts w:ascii="Arial" w:hAnsi="Arial" w:cs="Arial"/>
          <w:b/>
          <w:bCs/>
          <w:sz w:val="22"/>
          <w:szCs w:val="22"/>
        </w:rPr>
      </w:pPr>
      <w:r w:rsidRPr="0086738A">
        <w:rPr>
          <w:rFonts w:ascii="Arial" w:hAnsi="Arial" w:cs="Arial"/>
          <w:b/>
          <w:bCs/>
          <w:sz w:val="22"/>
          <w:szCs w:val="22"/>
        </w:rPr>
        <w:t>Control and Management of Type 1 Diabetes</w:t>
      </w:r>
    </w:p>
    <w:p w14:paraId="3FC3D1D0" w14:textId="6BAB5E6C" w:rsidR="00812AF5" w:rsidRPr="0086738A" w:rsidRDefault="00812AF5" w:rsidP="00AF22A4">
      <w:pPr>
        <w:spacing w:line="360" w:lineRule="auto"/>
        <w:rPr>
          <w:rFonts w:ascii="Arial" w:hAnsi="Arial" w:cs="Arial"/>
          <w:sz w:val="22"/>
          <w:szCs w:val="22"/>
        </w:rPr>
      </w:pPr>
      <w:r w:rsidRPr="0086738A">
        <w:rPr>
          <w:rFonts w:ascii="Arial" w:hAnsi="Arial" w:cs="Arial"/>
          <w:sz w:val="22"/>
          <w:szCs w:val="22"/>
        </w:rPr>
        <w:t>As there is currently no cure for T1D, disease control focuses on maintaining normal blood glucose levels, preventing complications, and supporting individuals to live healthy lives. Lifelong insulin replacement therapy remains the cornerstone of treatment. Individuals require multiple daily insulin injections or continuous insulin delivery through an insulin pump. Insulin regimens are adjusted according to blood glucose levels, food intake, physical activity, illness, and lifestyle factors (NICE, 202</w:t>
      </w:r>
      <w:r w:rsidR="0025274F" w:rsidRPr="0086738A">
        <w:rPr>
          <w:rFonts w:ascii="Arial" w:hAnsi="Arial" w:cs="Arial"/>
          <w:sz w:val="22"/>
          <w:szCs w:val="22"/>
        </w:rPr>
        <w:t>2</w:t>
      </w:r>
      <w:r w:rsidRPr="0086738A">
        <w:rPr>
          <w:rFonts w:ascii="Arial" w:hAnsi="Arial" w:cs="Arial"/>
          <w:sz w:val="22"/>
          <w:szCs w:val="22"/>
        </w:rPr>
        <w:t xml:space="preserve">). The document highlights that </w:t>
      </w:r>
      <w:r w:rsidRPr="0086738A">
        <w:rPr>
          <w:rFonts w:ascii="Arial" w:hAnsi="Arial" w:cs="Arial"/>
          <w:i/>
          <w:iCs/>
          <w:sz w:val="22"/>
          <w:szCs w:val="22"/>
        </w:rPr>
        <w:t>“advances in insulin pump technology integrated with continuous glucose monitoring have significantly improved glycaemic control and reduced episodes of severe hypoglycaemia.”</w:t>
      </w:r>
    </w:p>
    <w:p w14:paraId="5654FA58" w14:textId="77777777" w:rsidR="00812AF5" w:rsidRPr="0086738A" w:rsidRDefault="00812AF5" w:rsidP="00AF22A4">
      <w:pPr>
        <w:spacing w:line="360" w:lineRule="auto"/>
        <w:rPr>
          <w:rFonts w:ascii="Arial" w:hAnsi="Arial" w:cs="Arial"/>
          <w:sz w:val="22"/>
          <w:szCs w:val="22"/>
        </w:rPr>
      </w:pPr>
      <w:r w:rsidRPr="0086738A">
        <w:rPr>
          <w:rFonts w:ascii="Arial" w:hAnsi="Arial" w:cs="Arial"/>
          <w:sz w:val="22"/>
          <w:szCs w:val="22"/>
        </w:rPr>
        <w:t>Dietary management is another essential component of disease control. Individuals are encouraged to follow a balanced diet and learn carbohydrate counting to match insulin doses accurately with food intake. Registered dietitians provide education on meal planning, portion control, and healthy eating patterns. People with T1D do not require a special diet but benefit from healthy nutritional choices consistent with national dietary guidelines.</w:t>
      </w:r>
    </w:p>
    <w:p w14:paraId="1514DD62" w14:textId="77777777" w:rsidR="00812AF5" w:rsidRPr="0086738A" w:rsidRDefault="00812AF5" w:rsidP="00AF22A4">
      <w:pPr>
        <w:spacing w:line="360" w:lineRule="auto"/>
        <w:rPr>
          <w:rFonts w:ascii="Arial" w:hAnsi="Arial" w:cs="Arial"/>
          <w:sz w:val="22"/>
          <w:szCs w:val="22"/>
        </w:rPr>
      </w:pPr>
      <w:r w:rsidRPr="0086738A">
        <w:rPr>
          <w:rFonts w:ascii="Arial" w:hAnsi="Arial" w:cs="Arial"/>
          <w:sz w:val="22"/>
          <w:szCs w:val="22"/>
        </w:rPr>
        <w:t>Regular physical activity improves insulin sensitivity, cardiovascular health, and mental wellbeing. However, exercise requires careful planning because physical activity can increase the risk of hypoglycaemia. Individuals often adjust insulin doses or carbohydrate intake before, during, or after exercise.</w:t>
      </w:r>
    </w:p>
    <w:p w14:paraId="5C7DC327" w14:textId="09601521" w:rsidR="00812AF5" w:rsidRPr="0086738A" w:rsidRDefault="00812AF5" w:rsidP="00AF22A4">
      <w:pPr>
        <w:spacing w:line="360" w:lineRule="auto"/>
        <w:rPr>
          <w:rFonts w:ascii="Arial" w:hAnsi="Arial" w:cs="Arial"/>
          <w:sz w:val="22"/>
          <w:szCs w:val="22"/>
        </w:rPr>
      </w:pPr>
      <w:r w:rsidRPr="0086738A">
        <w:rPr>
          <w:rFonts w:ascii="Arial" w:hAnsi="Arial" w:cs="Arial"/>
          <w:sz w:val="22"/>
          <w:szCs w:val="22"/>
        </w:rPr>
        <w:t>Structured diabetes education programmes improve self</w:t>
      </w:r>
      <w:r w:rsidRPr="0086738A">
        <w:rPr>
          <w:rFonts w:ascii="Arial" w:hAnsi="Arial" w:cs="Arial"/>
          <w:sz w:val="22"/>
          <w:szCs w:val="22"/>
        </w:rPr>
        <w:noBreakHyphen/>
        <w:t>management skills and confidence. In the UK, programmes such as DAFNE (Dose Adjustment for Normal Eating) teach adults how to adjust insulin according to food intake and physical activity, leading to improved glycaemic control and quality of life (NICE, 202</w:t>
      </w:r>
      <w:r w:rsidR="00F97663" w:rsidRPr="0086738A">
        <w:rPr>
          <w:rFonts w:ascii="Arial" w:hAnsi="Arial" w:cs="Arial"/>
          <w:sz w:val="22"/>
          <w:szCs w:val="22"/>
        </w:rPr>
        <w:t>2</w:t>
      </w:r>
      <w:r w:rsidRPr="0086738A">
        <w:rPr>
          <w:rFonts w:ascii="Arial" w:hAnsi="Arial" w:cs="Arial"/>
          <w:sz w:val="22"/>
          <w:szCs w:val="22"/>
        </w:rPr>
        <w:t>).</w:t>
      </w:r>
    </w:p>
    <w:p w14:paraId="5FB4A51A" w14:textId="77777777" w:rsidR="00812AF5" w:rsidRPr="0086738A" w:rsidRDefault="00812AF5" w:rsidP="00AF22A4">
      <w:pPr>
        <w:spacing w:line="360" w:lineRule="auto"/>
        <w:rPr>
          <w:rFonts w:ascii="Arial" w:hAnsi="Arial" w:cs="Arial"/>
          <w:sz w:val="22"/>
          <w:szCs w:val="22"/>
        </w:rPr>
      </w:pPr>
      <w:r w:rsidRPr="0086738A">
        <w:rPr>
          <w:rFonts w:ascii="Arial" w:hAnsi="Arial" w:cs="Arial"/>
          <w:sz w:val="22"/>
          <w:szCs w:val="22"/>
        </w:rPr>
        <w:t xml:space="preserve">Preventing complications is a key aspect of disease control. Regular screening for kidney disease, eye disease, cardiovascular risk factors, and foot problems enables early detection </w:t>
      </w:r>
      <w:r w:rsidRPr="0086738A">
        <w:rPr>
          <w:rFonts w:ascii="Arial" w:hAnsi="Arial" w:cs="Arial"/>
          <w:sz w:val="22"/>
          <w:szCs w:val="22"/>
        </w:rPr>
        <w:lastRenderedPageBreak/>
        <w:t>and intervention. Vaccinations, smoking cessation advice, blood pressure management, and cholesterol</w:t>
      </w:r>
      <w:r w:rsidRPr="0086738A">
        <w:rPr>
          <w:rFonts w:ascii="Arial" w:hAnsi="Arial" w:cs="Arial"/>
          <w:sz w:val="22"/>
          <w:szCs w:val="22"/>
        </w:rPr>
        <w:noBreakHyphen/>
        <w:t>lowering medication further reduce long</w:t>
      </w:r>
      <w:r w:rsidRPr="0086738A">
        <w:rPr>
          <w:rFonts w:ascii="Arial" w:hAnsi="Arial" w:cs="Arial"/>
          <w:sz w:val="22"/>
          <w:szCs w:val="22"/>
        </w:rPr>
        <w:noBreakHyphen/>
        <w:t>term complications.</w:t>
      </w:r>
    </w:p>
    <w:p w14:paraId="302ED2E7" w14:textId="0408A947" w:rsidR="00812AF5" w:rsidRPr="0086738A" w:rsidRDefault="00812AF5" w:rsidP="00AF22A4">
      <w:pPr>
        <w:spacing w:line="360" w:lineRule="auto"/>
        <w:rPr>
          <w:rFonts w:ascii="Arial" w:hAnsi="Arial" w:cs="Arial"/>
          <w:sz w:val="22"/>
          <w:szCs w:val="22"/>
        </w:rPr>
      </w:pPr>
      <w:r w:rsidRPr="0086738A">
        <w:rPr>
          <w:rFonts w:ascii="Arial" w:hAnsi="Arial" w:cs="Arial"/>
          <w:sz w:val="22"/>
          <w:szCs w:val="22"/>
        </w:rPr>
        <w:t>Psychological support is increasingly recognised as essential because many individuals experience diabetes distress, anxiety, depression, or burnout associated with the demands of lifelong disease management (Diabetes UK, 202</w:t>
      </w:r>
      <w:r w:rsidR="00E40FAA" w:rsidRPr="0086738A">
        <w:rPr>
          <w:rFonts w:ascii="Arial" w:hAnsi="Arial" w:cs="Arial"/>
          <w:sz w:val="22"/>
          <w:szCs w:val="22"/>
        </w:rPr>
        <w:t>3</w:t>
      </w:r>
      <w:r w:rsidRPr="0086738A">
        <w:rPr>
          <w:rFonts w:ascii="Arial" w:hAnsi="Arial" w:cs="Arial"/>
          <w:sz w:val="22"/>
          <w:szCs w:val="22"/>
        </w:rPr>
        <w:t>). NICE (202</w:t>
      </w:r>
      <w:r w:rsidR="00407533" w:rsidRPr="0086738A">
        <w:rPr>
          <w:rFonts w:ascii="Arial" w:hAnsi="Arial" w:cs="Arial"/>
          <w:sz w:val="22"/>
          <w:szCs w:val="22"/>
        </w:rPr>
        <w:t>2</w:t>
      </w:r>
      <w:r w:rsidRPr="0086738A">
        <w:rPr>
          <w:rFonts w:ascii="Arial" w:hAnsi="Arial" w:cs="Arial"/>
          <w:sz w:val="22"/>
          <w:szCs w:val="22"/>
        </w:rPr>
        <w:t>) recommends integrating psychological assessment into routine diabetes care where appropriate.</w:t>
      </w:r>
    </w:p>
    <w:p w14:paraId="0F5DB672" w14:textId="679019DD" w:rsidR="00812AF5" w:rsidRPr="0086738A" w:rsidRDefault="00812AF5" w:rsidP="00AF22A4">
      <w:pPr>
        <w:spacing w:line="360" w:lineRule="auto"/>
        <w:rPr>
          <w:rFonts w:ascii="Arial" w:hAnsi="Arial" w:cs="Arial"/>
          <w:sz w:val="22"/>
          <w:szCs w:val="22"/>
        </w:rPr>
      </w:pPr>
      <w:r w:rsidRPr="0086738A">
        <w:rPr>
          <w:rFonts w:ascii="Arial" w:hAnsi="Arial" w:cs="Arial"/>
          <w:sz w:val="22"/>
          <w:szCs w:val="22"/>
        </w:rPr>
        <w:t>Technological advances have transformed diabetes management. Hybrid closed</w:t>
      </w:r>
      <w:r w:rsidRPr="0086738A">
        <w:rPr>
          <w:rFonts w:ascii="Arial" w:hAnsi="Arial" w:cs="Arial"/>
          <w:sz w:val="22"/>
          <w:szCs w:val="22"/>
        </w:rPr>
        <w:noBreakHyphen/>
        <w:t>loop systems, often referred to as artificial pancreas systems, automatically adjust insulin delivery using continuous glucose monitoring data. Research demonstrates that these systems improve blood glucose control while reducing hypoglycaemia and improving quality of life (NICE, 202</w:t>
      </w:r>
      <w:r w:rsidR="00407533" w:rsidRPr="0086738A">
        <w:rPr>
          <w:rFonts w:ascii="Arial" w:hAnsi="Arial" w:cs="Arial"/>
          <w:sz w:val="22"/>
          <w:szCs w:val="22"/>
        </w:rPr>
        <w:t>2</w:t>
      </w:r>
      <w:r w:rsidRPr="0086738A">
        <w:rPr>
          <w:rFonts w:ascii="Arial" w:hAnsi="Arial" w:cs="Arial"/>
          <w:sz w:val="22"/>
          <w:szCs w:val="22"/>
        </w:rPr>
        <w:t>).</w:t>
      </w:r>
    </w:p>
    <w:p w14:paraId="192CF4AE" w14:textId="77777777" w:rsidR="00812AF5" w:rsidRPr="0086738A" w:rsidRDefault="00812AF5" w:rsidP="00AF22A4">
      <w:pPr>
        <w:spacing w:line="360" w:lineRule="auto"/>
        <w:rPr>
          <w:rFonts w:ascii="Arial" w:hAnsi="Arial" w:cs="Arial"/>
          <w:b/>
          <w:bCs/>
          <w:sz w:val="22"/>
          <w:szCs w:val="22"/>
        </w:rPr>
      </w:pPr>
      <w:r w:rsidRPr="0086738A">
        <w:rPr>
          <w:rFonts w:ascii="Arial" w:hAnsi="Arial" w:cs="Arial"/>
          <w:b/>
          <w:bCs/>
          <w:sz w:val="22"/>
          <w:szCs w:val="22"/>
        </w:rPr>
        <w:t>Consequences of Type 1 Diabetes on Individuals and the Community</w:t>
      </w:r>
    </w:p>
    <w:p w14:paraId="4BBD4E3F" w14:textId="77777777" w:rsidR="006C7719" w:rsidRPr="0086738A" w:rsidRDefault="006C7719" w:rsidP="006C7719">
      <w:pPr>
        <w:spacing w:line="360" w:lineRule="auto"/>
        <w:rPr>
          <w:rFonts w:ascii="Arial" w:hAnsi="Arial" w:cs="Arial"/>
          <w:sz w:val="22"/>
          <w:szCs w:val="22"/>
        </w:rPr>
      </w:pPr>
      <w:r w:rsidRPr="0086738A">
        <w:rPr>
          <w:rFonts w:ascii="Arial" w:hAnsi="Arial" w:cs="Arial"/>
          <w:sz w:val="22"/>
          <w:szCs w:val="22"/>
        </w:rPr>
        <w:t>T1D has wide</w:t>
      </w:r>
      <w:r w:rsidRPr="0086738A">
        <w:rPr>
          <w:rFonts w:ascii="Arial" w:hAnsi="Arial" w:cs="Arial"/>
          <w:sz w:val="22"/>
          <w:szCs w:val="22"/>
        </w:rPr>
        <w:noBreakHyphen/>
        <w:t>ranging physical, psychological, social, and economic consequences for individuals, families, and communities. Poor glycaemic control increases the risk of acute complications such as hypoglycaemia and diabetic ketoacidosis, as well as chronic complications including retinopathy, nephropathy, neuropathy, cardiovascular disease, and foot ulcers, which may lead to disability or premature mortality (WHO, 2024; Diabetes UK, 2023). The ongoing demands of insulin administration, glucose monitoring, and fear of complications contribute to heightened anxiety, depression, and diabetes distress, particularly among children and adolescents (Diabetes UK, 2023).</w:t>
      </w:r>
    </w:p>
    <w:p w14:paraId="386FB422" w14:textId="77777777" w:rsidR="006C7719" w:rsidRPr="0086738A" w:rsidRDefault="006C7719" w:rsidP="006C7719">
      <w:pPr>
        <w:spacing w:line="360" w:lineRule="auto"/>
        <w:rPr>
          <w:rFonts w:ascii="Arial" w:hAnsi="Arial" w:cs="Arial"/>
          <w:sz w:val="22"/>
          <w:szCs w:val="22"/>
        </w:rPr>
      </w:pPr>
      <w:r w:rsidRPr="0086738A">
        <w:rPr>
          <w:rFonts w:ascii="Arial" w:hAnsi="Arial" w:cs="Arial"/>
          <w:sz w:val="22"/>
          <w:szCs w:val="22"/>
        </w:rPr>
        <w:t>Social and educational impacts include disrupted school or work attendance and, in some cases, workplace discrimination. Families often experience emotional strain and increased caregiving responsibilities, affecting employment and financial stability. Economically, T1D generates substantial healthcare costs related to insulin therapy, monitoring technologies, hospital admissions, and management of complications, with preventive care being more cost</w:t>
      </w:r>
      <w:r w:rsidRPr="0086738A">
        <w:rPr>
          <w:rFonts w:ascii="Arial" w:hAnsi="Arial" w:cs="Arial"/>
          <w:sz w:val="22"/>
          <w:szCs w:val="22"/>
        </w:rPr>
        <w:noBreakHyphen/>
        <w:t>effective than treating advanced disease (NHS England, 2023; NHS Digital, 2019).</w:t>
      </w:r>
    </w:p>
    <w:p w14:paraId="305E5B36" w14:textId="77777777" w:rsidR="006C7719" w:rsidRPr="0086738A" w:rsidRDefault="006C7719" w:rsidP="006C7719">
      <w:pPr>
        <w:spacing w:line="360" w:lineRule="auto"/>
        <w:rPr>
          <w:rFonts w:ascii="Arial" w:hAnsi="Arial" w:cs="Arial"/>
          <w:sz w:val="22"/>
          <w:szCs w:val="22"/>
        </w:rPr>
      </w:pPr>
      <w:r w:rsidRPr="0086738A">
        <w:rPr>
          <w:rFonts w:ascii="Arial" w:hAnsi="Arial" w:cs="Arial"/>
          <w:sz w:val="22"/>
          <w:szCs w:val="22"/>
        </w:rPr>
        <w:t>At a population level, T1D contributes to productivity losses and increased demand for health and social care services. Health inequalities further shape outcomes, as individuals from disadvantaged backgrounds may face barriers to accessing specialist care, diabetes technologies, and healthy foods, highlighting the need for equitable NHS service provision (NICE, 2022; WHO, 2024).</w:t>
      </w:r>
    </w:p>
    <w:p w14:paraId="38FF6A7E" w14:textId="77777777" w:rsidR="006C7719" w:rsidRPr="0086738A" w:rsidRDefault="006C7719" w:rsidP="00AF22A4">
      <w:pPr>
        <w:spacing w:line="360" w:lineRule="auto"/>
        <w:rPr>
          <w:rFonts w:ascii="Arial" w:hAnsi="Arial" w:cs="Arial"/>
          <w:sz w:val="22"/>
          <w:szCs w:val="22"/>
        </w:rPr>
      </w:pPr>
    </w:p>
    <w:p w14:paraId="0E07B2A6" w14:textId="77777777" w:rsidR="008D3FF0" w:rsidRPr="0086738A" w:rsidRDefault="008D3FF0" w:rsidP="00AF22A4">
      <w:pPr>
        <w:spacing w:line="360" w:lineRule="auto"/>
        <w:rPr>
          <w:rFonts w:ascii="Arial" w:hAnsi="Arial" w:cs="Arial"/>
          <w:sz w:val="22"/>
          <w:szCs w:val="22"/>
        </w:rPr>
      </w:pPr>
    </w:p>
    <w:p w14:paraId="528D8743" w14:textId="77777777" w:rsidR="00812AF5" w:rsidRPr="0086738A" w:rsidRDefault="00812AF5" w:rsidP="00AF22A4">
      <w:pPr>
        <w:spacing w:line="360" w:lineRule="auto"/>
        <w:rPr>
          <w:rFonts w:ascii="Arial" w:hAnsi="Arial" w:cs="Arial"/>
          <w:b/>
          <w:bCs/>
          <w:sz w:val="22"/>
          <w:szCs w:val="22"/>
        </w:rPr>
      </w:pPr>
      <w:r w:rsidRPr="0086738A">
        <w:rPr>
          <w:rFonts w:ascii="Arial" w:hAnsi="Arial" w:cs="Arial"/>
          <w:b/>
          <w:bCs/>
          <w:sz w:val="22"/>
          <w:szCs w:val="22"/>
        </w:rPr>
        <w:lastRenderedPageBreak/>
        <w:t>Health and Social Care Support Services</w:t>
      </w:r>
    </w:p>
    <w:p w14:paraId="1A8AFD6B" w14:textId="77777777" w:rsidR="00812AF5" w:rsidRPr="0086738A" w:rsidRDefault="00812AF5" w:rsidP="00AF22A4">
      <w:pPr>
        <w:spacing w:line="360" w:lineRule="auto"/>
        <w:rPr>
          <w:rFonts w:ascii="Arial" w:hAnsi="Arial" w:cs="Arial"/>
          <w:sz w:val="22"/>
          <w:szCs w:val="22"/>
        </w:rPr>
      </w:pPr>
      <w:r w:rsidRPr="0086738A">
        <w:rPr>
          <w:rFonts w:ascii="Arial" w:hAnsi="Arial" w:cs="Arial"/>
          <w:sz w:val="22"/>
          <w:szCs w:val="22"/>
        </w:rPr>
        <w:t>A multidisciplinary approach is required to meet the complex needs of individuals living with T1D. General practitioners coordinate routine care, prescribe medications, provide referrals, and monitor overall health. Specialist diabetes consultants oversee complex cases and develop personalised treatment plans.</w:t>
      </w:r>
    </w:p>
    <w:p w14:paraId="6128B0CF" w14:textId="77777777" w:rsidR="00812AF5" w:rsidRPr="0086738A" w:rsidRDefault="00812AF5" w:rsidP="00AF22A4">
      <w:pPr>
        <w:spacing w:line="360" w:lineRule="auto"/>
        <w:rPr>
          <w:rFonts w:ascii="Arial" w:hAnsi="Arial" w:cs="Arial"/>
          <w:sz w:val="22"/>
          <w:szCs w:val="22"/>
        </w:rPr>
      </w:pPr>
      <w:r w:rsidRPr="0086738A">
        <w:rPr>
          <w:rFonts w:ascii="Arial" w:hAnsi="Arial" w:cs="Arial"/>
          <w:sz w:val="22"/>
          <w:szCs w:val="22"/>
        </w:rPr>
        <w:t>Diabetes specialist nurses play a central role by educating patients about insulin administration, blood glucose monitoring, carbohydrate counting, sick</w:t>
      </w:r>
      <w:r w:rsidRPr="0086738A">
        <w:rPr>
          <w:rFonts w:ascii="Arial" w:hAnsi="Arial" w:cs="Arial"/>
          <w:sz w:val="22"/>
          <w:szCs w:val="22"/>
        </w:rPr>
        <w:noBreakHyphen/>
        <w:t>day rules, and technology use. They also provide ongoing emotional support and advice.</w:t>
      </w:r>
    </w:p>
    <w:p w14:paraId="7113E537" w14:textId="77777777" w:rsidR="00812AF5" w:rsidRPr="0086738A" w:rsidRDefault="00812AF5" w:rsidP="00AF22A4">
      <w:pPr>
        <w:spacing w:line="360" w:lineRule="auto"/>
        <w:rPr>
          <w:rFonts w:ascii="Arial" w:hAnsi="Arial" w:cs="Arial"/>
          <w:sz w:val="22"/>
          <w:szCs w:val="22"/>
        </w:rPr>
      </w:pPr>
      <w:r w:rsidRPr="0086738A">
        <w:rPr>
          <w:rFonts w:ascii="Arial" w:hAnsi="Arial" w:cs="Arial"/>
          <w:sz w:val="22"/>
          <w:szCs w:val="22"/>
        </w:rPr>
        <w:t>Registered dietitians help individuals develop healthy eating plans, understand carbohydrate counting, manage weight where appropriate, and support cultural or personal dietary preferences. Clinical psychologists and mental health professionals provide assessment and treatment for diabetes distress, anxiety, depression, and adjustment difficulties.</w:t>
      </w:r>
    </w:p>
    <w:p w14:paraId="234D5E07" w14:textId="77777777" w:rsidR="00812AF5" w:rsidRPr="0086738A" w:rsidRDefault="00812AF5" w:rsidP="00AF22A4">
      <w:pPr>
        <w:spacing w:line="360" w:lineRule="auto"/>
        <w:rPr>
          <w:rFonts w:ascii="Arial" w:hAnsi="Arial" w:cs="Arial"/>
          <w:sz w:val="22"/>
          <w:szCs w:val="22"/>
        </w:rPr>
      </w:pPr>
      <w:r w:rsidRPr="0086738A">
        <w:rPr>
          <w:rFonts w:ascii="Arial" w:hAnsi="Arial" w:cs="Arial"/>
          <w:sz w:val="22"/>
          <w:szCs w:val="22"/>
        </w:rPr>
        <w:t>Pharmacists contribute by providing medication counselling, checking insulin use, advising on injection techniques, and supporting medication adherence. Podiatrists provide regular foot examinations, identify early signs of neuropathy or ulceration, and educate patients on foot care to prevent serious complications. Ophthalmology services provide annual retinal screening, enabling early detection and treatment of diabetic retinopathy.</w:t>
      </w:r>
    </w:p>
    <w:p w14:paraId="6A1CED82" w14:textId="77777777" w:rsidR="00812AF5" w:rsidRPr="0086738A" w:rsidRDefault="00812AF5" w:rsidP="00AF22A4">
      <w:pPr>
        <w:spacing w:line="360" w:lineRule="auto"/>
        <w:rPr>
          <w:rFonts w:ascii="Arial" w:hAnsi="Arial" w:cs="Arial"/>
          <w:sz w:val="22"/>
          <w:szCs w:val="22"/>
        </w:rPr>
      </w:pPr>
      <w:r w:rsidRPr="0086738A">
        <w:rPr>
          <w:rFonts w:ascii="Arial" w:hAnsi="Arial" w:cs="Arial"/>
          <w:sz w:val="22"/>
          <w:szCs w:val="22"/>
        </w:rPr>
        <w:t>Community nursing services support individuals with complex needs, disabilities, or reduced independence. Schools play an important role in supporting children with T1D by ensuring staff are trained to recognise hypoglycaemia and support insulin management. Voluntary organisations such as Diabetes UK provide education, advocacy, emotional support, helplines, and peer support groups.</w:t>
      </w:r>
    </w:p>
    <w:p w14:paraId="72D0928E" w14:textId="77777777" w:rsidR="00812AF5" w:rsidRPr="0086738A" w:rsidRDefault="00812AF5" w:rsidP="00AF22A4">
      <w:pPr>
        <w:spacing w:line="360" w:lineRule="auto"/>
        <w:rPr>
          <w:rFonts w:ascii="Arial" w:hAnsi="Arial" w:cs="Arial"/>
          <w:sz w:val="22"/>
          <w:szCs w:val="22"/>
        </w:rPr>
      </w:pPr>
      <w:r w:rsidRPr="0086738A">
        <w:rPr>
          <w:rFonts w:ascii="Arial" w:hAnsi="Arial" w:cs="Arial"/>
          <w:sz w:val="22"/>
          <w:szCs w:val="22"/>
        </w:rPr>
        <w:t>Social care services may be required for individuals with significant complications affecting mobility, vision, or independent living. Occupational therapists can recommend home adaptations or assistive equipment to maximise independence. The NHS Long Term Plan emphasises expanding access to diabetes technology, personalised care, and integrated multidisciplinary services to improve outcomes and reduce health inequalities.</w:t>
      </w:r>
    </w:p>
    <w:p w14:paraId="26B50A18" w14:textId="688F9A19" w:rsidR="0039597E" w:rsidRPr="0086738A" w:rsidRDefault="0039597E" w:rsidP="00AF22A4">
      <w:pPr>
        <w:spacing w:line="360" w:lineRule="auto"/>
        <w:rPr>
          <w:rFonts w:ascii="Arial" w:hAnsi="Arial" w:cs="Arial"/>
          <w:b/>
          <w:bCs/>
          <w:sz w:val="22"/>
          <w:szCs w:val="22"/>
          <w:u w:val="single"/>
        </w:rPr>
      </w:pPr>
      <w:r w:rsidRPr="0086738A">
        <w:rPr>
          <w:rFonts w:ascii="Arial" w:hAnsi="Arial" w:cs="Arial"/>
          <w:b/>
          <w:bCs/>
          <w:sz w:val="22"/>
          <w:szCs w:val="22"/>
          <w:u w:val="single"/>
        </w:rPr>
        <w:t>Char</w:t>
      </w:r>
      <w:r w:rsidR="00F6104D" w:rsidRPr="0086738A">
        <w:rPr>
          <w:rFonts w:ascii="Arial" w:hAnsi="Arial" w:cs="Arial"/>
          <w:b/>
          <w:bCs/>
          <w:sz w:val="22"/>
          <w:szCs w:val="22"/>
          <w:u w:val="single"/>
        </w:rPr>
        <w:t xml:space="preserve">ities </w:t>
      </w:r>
      <w:r w:rsidRPr="0086738A">
        <w:rPr>
          <w:rFonts w:ascii="Arial" w:hAnsi="Arial" w:cs="Arial"/>
          <w:b/>
          <w:bCs/>
          <w:sz w:val="22"/>
          <w:szCs w:val="22"/>
          <w:u w:val="single"/>
        </w:rPr>
        <w:t xml:space="preserve">and Policies </w:t>
      </w:r>
    </w:p>
    <w:p w14:paraId="6DAB003C" w14:textId="2E306042" w:rsidR="00AF22A4" w:rsidRPr="0086738A" w:rsidRDefault="0039597E" w:rsidP="00AF22A4">
      <w:pPr>
        <w:spacing w:line="360" w:lineRule="auto"/>
        <w:rPr>
          <w:rFonts w:ascii="Arial" w:hAnsi="Arial" w:cs="Arial"/>
          <w:sz w:val="22"/>
          <w:szCs w:val="22"/>
        </w:rPr>
      </w:pPr>
      <w:r w:rsidRPr="0086738A">
        <w:rPr>
          <w:rFonts w:ascii="Arial" w:hAnsi="Arial" w:cs="Arial"/>
          <w:sz w:val="22"/>
          <w:szCs w:val="22"/>
        </w:rPr>
        <w:t xml:space="preserve">Charities and national policies form an essential part of the support system for individuals living with Type 1 diabetes, complementing clinical care and helping to reduce inequalities in health outcomes. Charitable organisations such </w:t>
      </w:r>
      <w:r w:rsidR="00322DC8" w:rsidRPr="0086738A">
        <w:rPr>
          <w:rFonts w:ascii="Arial" w:hAnsi="Arial" w:cs="Arial"/>
          <w:sz w:val="22"/>
          <w:szCs w:val="22"/>
        </w:rPr>
        <w:t>as</w:t>
      </w:r>
      <w:r w:rsidRPr="0086738A">
        <w:rPr>
          <w:rFonts w:ascii="Arial" w:hAnsi="Arial" w:cs="Arial"/>
          <w:b/>
          <w:bCs/>
          <w:sz w:val="22"/>
          <w:szCs w:val="22"/>
        </w:rPr>
        <w:t xml:space="preserve"> </w:t>
      </w:r>
      <w:r w:rsidRPr="0086738A">
        <w:rPr>
          <w:rStyle w:val="Strong"/>
          <w:rFonts w:ascii="Arial" w:hAnsi="Arial" w:cs="Arial"/>
          <w:b w:val="0"/>
          <w:bCs w:val="0"/>
          <w:sz w:val="22"/>
          <w:szCs w:val="22"/>
        </w:rPr>
        <w:t>Diabetes UK</w:t>
      </w:r>
      <w:r w:rsidRPr="0086738A">
        <w:rPr>
          <w:rFonts w:ascii="Arial" w:hAnsi="Arial" w:cs="Arial"/>
          <w:sz w:val="22"/>
          <w:szCs w:val="22"/>
        </w:rPr>
        <w:t xml:space="preserve"> play a central role by providing education, advocacy, emotional support, helplines, and peer</w:t>
      </w:r>
      <w:r w:rsidRPr="0086738A">
        <w:rPr>
          <w:rFonts w:ascii="Arial" w:hAnsi="Arial" w:cs="Arial"/>
          <w:sz w:val="22"/>
          <w:szCs w:val="22"/>
        </w:rPr>
        <w:noBreakHyphen/>
        <w:t>support communities that empower individuals to manage their condition more confidently (Diabetes UK, 202</w:t>
      </w:r>
      <w:r w:rsidR="00124271" w:rsidRPr="0086738A">
        <w:rPr>
          <w:rFonts w:ascii="Arial" w:hAnsi="Arial" w:cs="Arial"/>
          <w:sz w:val="22"/>
          <w:szCs w:val="22"/>
        </w:rPr>
        <w:t>3</w:t>
      </w:r>
      <w:r w:rsidRPr="0086738A">
        <w:rPr>
          <w:rFonts w:ascii="Arial" w:hAnsi="Arial" w:cs="Arial"/>
          <w:sz w:val="22"/>
          <w:szCs w:val="22"/>
        </w:rPr>
        <w:t xml:space="preserve">). </w:t>
      </w:r>
      <w:r w:rsidRPr="0086738A">
        <w:rPr>
          <w:rFonts w:ascii="Arial" w:hAnsi="Arial" w:cs="Arial"/>
          <w:sz w:val="22"/>
          <w:szCs w:val="22"/>
        </w:rPr>
        <w:lastRenderedPageBreak/>
        <w:t xml:space="preserve">As highlighted in your document, </w:t>
      </w:r>
      <w:r w:rsidRPr="0086738A">
        <w:rPr>
          <w:rStyle w:val="Emphasis"/>
          <w:rFonts w:ascii="Arial" w:hAnsi="Arial" w:cs="Arial"/>
          <w:sz w:val="22"/>
          <w:szCs w:val="22"/>
        </w:rPr>
        <w:t>“Diabetes UK offers education, advocacy, emotional support, helplines, online communities, and information resources.”</w:t>
      </w:r>
      <w:r w:rsidRPr="0086738A">
        <w:rPr>
          <w:rFonts w:ascii="Arial" w:hAnsi="Arial" w:cs="Arial"/>
          <w:sz w:val="22"/>
          <w:szCs w:val="22"/>
        </w:rPr>
        <w:t xml:space="preserve"> These services help reduce isolation and improve self</w:t>
      </w:r>
      <w:r w:rsidRPr="0086738A">
        <w:rPr>
          <w:rFonts w:ascii="Arial" w:hAnsi="Arial" w:cs="Arial"/>
          <w:sz w:val="22"/>
          <w:szCs w:val="22"/>
        </w:rPr>
        <w:noBreakHyphen/>
        <w:t xml:space="preserve">management skills. National policies, including the </w:t>
      </w:r>
      <w:r w:rsidRPr="0086738A">
        <w:rPr>
          <w:rStyle w:val="Strong"/>
          <w:rFonts w:ascii="Arial" w:hAnsi="Arial" w:cs="Arial"/>
          <w:b w:val="0"/>
          <w:bCs w:val="0"/>
          <w:sz w:val="22"/>
          <w:szCs w:val="22"/>
        </w:rPr>
        <w:t>NHS Long Term Plan</w:t>
      </w:r>
      <w:r w:rsidRPr="0086738A">
        <w:rPr>
          <w:rFonts w:ascii="Arial" w:hAnsi="Arial" w:cs="Arial"/>
          <w:sz w:val="22"/>
          <w:szCs w:val="22"/>
        </w:rPr>
        <w:t>, aim to expand access to diabetes technologies, strengthen integrated multidisciplinary care, and address socioeconomic barriers that affect disease outcomes (NHS England, 2023). Together, charities and policies promote equitable access to care, enhance patient wellbeing, and contribute to long</w:t>
      </w:r>
      <w:r w:rsidRPr="0086738A">
        <w:rPr>
          <w:rFonts w:ascii="Arial" w:hAnsi="Arial" w:cs="Arial"/>
          <w:sz w:val="22"/>
          <w:szCs w:val="22"/>
        </w:rPr>
        <w:noBreakHyphen/>
        <w:t>term improvements in public health for people living with Type 1 diabetes.</w:t>
      </w:r>
    </w:p>
    <w:p w14:paraId="1065B34C" w14:textId="0554D9AE" w:rsidR="00AF22A4" w:rsidRPr="0086738A" w:rsidRDefault="00AF22A4" w:rsidP="00AF22A4">
      <w:pPr>
        <w:spacing w:line="360" w:lineRule="auto"/>
        <w:rPr>
          <w:rFonts w:ascii="Arial" w:hAnsi="Arial" w:cs="Arial"/>
          <w:color w:val="EE0000"/>
          <w:sz w:val="22"/>
          <w:szCs w:val="22"/>
        </w:rPr>
      </w:pPr>
    </w:p>
    <w:p w14:paraId="469334DE" w14:textId="77777777" w:rsidR="00812AF5" w:rsidRPr="0086738A" w:rsidRDefault="00812AF5" w:rsidP="00AF22A4">
      <w:pPr>
        <w:spacing w:line="360" w:lineRule="auto"/>
        <w:rPr>
          <w:rFonts w:ascii="Arial" w:hAnsi="Arial" w:cs="Arial"/>
          <w:b/>
          <w:bCs/>
          <w:sz w:val="22"/>
          <w:szCs w:val="22"/>
        </w:rPr>
      </w:pPr>
      <w:r w:rsidRPr="0086738A">
        <w:rPr>
          <w:rFonts w:ascii="Arial" w:hAnsi="Arial" w:cs="Arial"/>
          <w:b/>
          <w:bCs/>
          <w:sz w:val="22"/>
          <w:szCs w:val="22"/>
        </w:rPr>
        <w:t>Conclusion</w:t>
      </w:r>
    </w:p>
    <w:p w14:paraId="19543E06" w14:textId="77777777" w:rsidR="00DC07BE" w:rsidRPr="0086738A" w:rsidRDefault="00812AF5" w:rsidP="00AF22A4">
      <w:pPr>
        <w:spacing w:line="360" w:lineRule="auto"/>
        <w:rPr>
          <w:rFonts w:ascii="Arial" w:hAnsi="Arial" w:cs="Arial"/>
          <w:sz w:val="22"/>
          <w:szCs w:val="22"/>
        </w:rPr>
      </w:pPr>
      <w:r w:rsidRPr="0086738A">
        <w:rPr>
          <w:rFonts w:ascii="Arial" w:hAnsi="Arial" w:cs="Arial"/>
          <w:sz w:val="22"/>
          <w:szCs w:val="22"/>
        </w:rPr>
        <w:t xml:space="preserve">Type 1 diabetes is a lifelong autoimmune condition requiring continuous monitoring, insulin replacement therapy, and multidisciplinary healthcare support. Although no cure currently exists, advances in glucose monitoring technology, insulin delivery systems, structured education, and integrated healthcare have significantly improved patient outcomes and quality of life. Effective disease management depends upon regular monitoring through blood glucose testing, HbA1c measurement, and screening programmes that identify complications at an early stage. The condition has substantial physical, psychological, social, and economic consequences for individuals, families, communities, and healthcare systems. </w:t>
      </w:r>
    </w:p>
    <w:p w14:paraId="5FF41541" w14:textId="77777777" w:rsidR="00DC07BE" w:rsidRPr="0086738A" w:rsidRDefault="00DC07BE" w:rsidP="00AF22A4">
      <w:pPr>
        <w:spacing w:line="360" w:lineRule="auto"/>
        <w:rPr>
          <w:rFonts w:ascii="Arial" w:hAnsi="Arial" w:cs="Arial"/>
          <w:sz w:val="22"/>
          <w:szCs w:val="22"/>
        </w:rPr>
      </w:pPr>
      <w:r w:rsidRPr="0086738A">
        <w:rPr>
          <w:rFonts w:ascii="Arial" w:hAnsi="Arial" w:cs="Arial"/>
          <w:b/>
          <w:bCs/>
          <w:sz w:val="22"/>
          <w:szCs w:val="22"/>
        </w:rPr>
        <w:t>Recommendation</w:t>
      </w:r>
      <w:r w:rsidRPr="0086738A">
        <w:rPr>
          <w:rFonts w:ascii="Arial" w:hAnsi="Arial" w:cs="Arial"/>
          <w:sz w:val="22"/>
          <w:szCs w:val="22"/>
        </w:rPr>
        <w:t>:</w:t>
      </w:r>
    </w:p>
    <w:p w14:paraId="693A9FC1" w14:textId="77777777" w:rsidR="00DC07BE" w:rsidRPr="0086738A" w:rsidRDefault="00812AF5" w:rsidP="00AF22A4">
      <w:pPr>
        <w:pStyle w:val="ListParagraph"/>
        <w:numPr>
          <w:ilvl w:val="0"/>
          <w:numId w:val="1"/>
        </w:numPr>
        <w:spacing w:line="360" w:lineRule="auto"/>
        <w:rPr>
          <w:rFonts w:ascii="Arial" w:hAnsi="Arial" w:cs="Arial"/>
          <w:sz w:val="22"/>
          <w:szCs w:val="22"/>
        </w:rPr>
      </w:pPr>
      <w:r w:rsidRPr="0086738A">
        <w:rPr>
          <w:rFonts w:ascii="Arial" w:hAnsi="Arial" w:cs="Arial"/>
          <w:sz w:val="22"/>
          <w:szCs w:val="22"/>
        </w:rPr>
        <w:t>Coordinated health and social care services are essential to support self</w:t>
      </w:r>
      <w:r w:rsidRPr="0086738A">
        <w:rPr>
          <w:rFonts w:ascii="Arial" w:hAnsi="Arial" w:cs="Arial"/>
          <w:sz w:val="22"/>
          <w:szCs w:val="22"/>
        </w:rPr>
        <w:noBreakHyphen/>
        <w:t xml:space="preserve">management, prevent complications, and promote wellbeing. </w:t>
      </w:r>
    </w:p>
    <w:p w14:paraId="68CC2B2E" w14:textId="58C20589" w:rsidR="009C52AF" w:rsidRPr="0086738A" w:rsidRDefault="00812AF5" w:rsidP="002C4F26">
      <w:pPr>
        <w:pStyle w:val="ListParagraph"/>
        <w:numPr>
          <w:ilvl w:val="0"/>
          <w:numId w:val="1"/>
        </w:numPr>
        <w:spacing w:line="360" w:lineRule="auto"/>
        <w:rPr>
          <w:rFonts w:ascii="Arial" w:hAnsi="Arial" w:cs="Arial"/>
          <w:sz w:val="22"/>
          <w:szCs w:val="22"/>
        </w:rPr>
      </w:pPr>
      <w:r w:rsidRPr="0086738A">
        <w:rPr>
          <w:rFonts w:ascii="Arial" w:hAnsi="Arial" w:cs="Arial"/>
          <w:sz w:val="22"/>
          <w:szCs w:val="22"/>
        </w:rPr>
        <w:t>Continued investment in patient education, innovative technology, equitable access to healthcare services, and ongoing research will remain fundamental in improving outcomes for people living with T1D.</w:t>
      </w:r>
      <w:r w:rsidR="009C52AF" w:rsidRPr="0086738A">
        <w:rPr>
          <w:rFonts w:ascii="Arial" w:hAnsi="Arial" w:cs="Arial"/>
          <w:sz w:val="22"/>
          <w:szCs w:val="22"/>
        </w:rPr>
        <w:t xml:space="preserve">     </w:t>
      </w:r>
    </w:p>
    <w:p w14:paraId="5EB50B4B" w14:textId="77777777" w:rsidR="00F43191" w:rsidRPr="0086738A" w:rsidRDefault="00F43191" w:rsidP="00AF22A4">
      <w:pPr>
        <w:spacing w:line="360" w:lineRule="auto"/>
        <w:rPr>
          <w:rFonts w:ascii="Arial" w:hAnsi="Arial" w:cs="Arial"/>
          <w:b/>
          <w:bCs/>
          <w:sz w:val="22"/>
          <w:szCs w:val="22"/>
        </w:rPr>
      </w:pPr>
    </w:p>
    <w:p w14:paraId="401D6010" w14:textId="77777777" w:rsidR="00F43191" w:rsidRPr="0086738A" w:rsidRDefault="00F43191" w:rsidP="00812AF5">
      <w:pPr>
        <w:rPr>
          <w:rFonts w:ascii="Arial" w:hAnsi="Arial" w:cs="Arial"/>
          <w:b/>
          <w:bCs/>
          <w:sz w:val="22"/>
          <w:szCs w:val="22"/>
        </w:rPr>
      </w:pPr>
    </w:p>
    <w:p w14:paraId="4121BB6E" w14:textId="77777777" w:rsidR="002C4F26" w:rsidRPr="0086738A" w:rsidRDefault="002C4F26" w:rsidP="00812AF5">
      <w:pPr>
        <w:rPr>
          <w:rFonts w:ascii="Arial" w:hAnsi="Arial" w:cs="Arial"/>
          <w:b/>
          <w:bCs/>
          <w:sz w:val="22"/>
          <w:szCs w:val="22"/>
        </w:rPr>
      </w:pPr>
    </w:p>
    <w:p w14:paraId="36966302" w14:textId="77777777" w:rsidR="00B743DD" w:rsidRPr="0086738A" w:rsidRDefault="00B743DD" w:rsidP="00812AF5">
      <w:pPr>
        <w:rPr>
          <w:rFonts w:ascii="Arial" w:hAnsi="Arial" w:cs="Arial"/>
          <w:b/>
          <w:bCs/>
          <w:sz w:val="22"/>
          <w:szCs w:val="22"/>
        </w:rPr>
      </w:pPr>
    </w:p>
    <w:p w14:paraId="1F2BBE38" w14:textId="77777777" w:rsidR="00B743DD" w:rsidRPr="0086738A" w:rsidRDefault="00B743DD" w:rsidP="00812AF5">
      <w:pPr>
        <w:rPr>
          <w:rFonts w:ascii="Arial" w:hAnsi="Arial" w:cs="Arial"/>
          <w:b/>
          <w:bCs/>
          <w:sz w:val="22"/>
          <w:szCs w:val="22"/>
        </w:rPr>
      </w:pPr>
    </w:p>
    <w:p w14:paraId="197C175C" w14:textId="77777777" w:rsidR="00B743DD" w:rsidRPr="0086738A" w:rsidRDefault="00B743DD" w:rsidP="00812AF5">
      <w:pPr>
        <w:rPr>
          <w:rFonts w:ascii="Arial" w:hAnsi="Arial" w:cs="Arial"/>
          <w:b/>
          <w:bCs/>
          <w:sz w:val="22"/>
          <w:szCs w:val="22"/>
        </w:rPr>
      </w:pPr>
    </w:p>
    <w:p w14:paraId="2E4E39CF" w14:textId="77777777" w:rsidR="00B743DD" w:rsidRPr="0086738A" w:rsidRDefault="00B743DD" w:rsidP="00812AF5">
      <w:pPr>
        <w:rPr>
          <w:rFonts w:ascii="Arial" w:hAnsi="Arial" w:cs="Arial"/>
          <w:b/>
          <w:bCs/>
          <w:sz w:val="22"/>
          <w:szCs w:val="22"/>
        </w:rPr>
      </w:pPr>
    </w:p>
    <w:p w14:paraId="5C55DCAA" w14:textId="77777777" w:rsidR="002C4F26" w:rsidRPr="0086738A" w:rsidRDefault="002C4F26" w:rsidP="00812AF5">
      <w:pPr>
        <w:rPr>
          <w:rFonts w:ascii="Arial" w:hAnsi="Arial" w:cs="Arial"/>
          <w:b/>
          <w:bCs/>
          <w:sz w:val="22"/>
          <w:szCs w:val="22"/>
        </w:rPr>
      </w:pPr>
    </w:p>
    <w:p w14:paraId="4C400922" w14:textId="77777777" w:rsidR="00D678D6" w:rsidRPr="0086738A" w:rsidRDefault="00D678D6" w:rsidP="00812AF5">
      <w:pPr>
        <w:rPr>
          <w:rFonts w:ascii="Arial" w:hAnsi="Arial" w:cs="Arial"/>
          <w:b/>
          <w:bCs/>
          <w:sz w:val="22"/>
          <w:szCs w:val="22"/>
        </w:rPr>
      </w:pPr>
    </w:p>
    <w:p w14:paraId="77C17557" w14:textId="77777777" w:rsidR="00D678D6" w:rsidRPr="0086738A" w:rsidRDefault="00D678D6" w:rsidP="00812AF5">
      <w:pPr>
        <w:rPr>
          <w:rFonts w:ascii="Arial" w:hAnsi="Arial" w:cs="Arial"/>
          <w:b/>
          <w:bCs/>
          <w:sz w:val="22"/>
          <w:szCs w:val="22"/>
        </w:rPr>
      </w:pPr>
    </w:p>
    <w:p w14:paraId="346F1C8D" w14:textId="779E6CF0" w:rsidR="00812AF5" w:rsidRPr="0086738A" w:rsidRDefault="00812AF5" w:rsidP="00812AF5">
      <w:pPr>
        <w:rPr>
          <w:rFonts w:ascii="Arial" w:hAnsi="Arial" w:cs="Arial"/>
          <w:b/>
          <w:bCs/>
          <w:sz w:val="22"/>
          <w:szCs w:val="22"/>
        </w:rPr>
      </w:pPr>
      <w:r w:rsidRPr="0086738A">
        <w:rPr>
          <w:rFonts w:ascii="Arial" w:hAnsi="Arial" w:cs="Arial"/>
          <w:b/>
          <w:bCs/>
          <w:sz w:val="22"/>
          <w:szCs w:val="22"/>
        </w:rPr>
        <w:t>Reference List</w:t>
      </w:r>
    </w:p>
    <w:p w14:paraId="5FD65D36" w14:textId="04C24E40" w:rsidR="00812AF5" w:rsidRPr="0086738A" w:rsidRDefault="00812AF5" w:rsidP="00812AF5">
      <w:pPr>
        <w:rPr>
          <w:rFonts w:ascii="Arial" w:hAnsi="Arial" w:cs="Arial"/>
          <w:sz w:val="22"/>
          <w:szCs w:val="22"/>
        </w:rPr>
      </w:pPr>
    </w:p>
    <w:p w14:paraId="263A54E4" w14:textId="77777777" w:rsidR="00643A03" w:rsidRPr="0086738A" w:rsidRDefault="00643A03" w:rsidP="00643A03">
      <w:pPr>
        <w:rPr>
          <w:rFonts w:ascii="Arial" w:hAnsi="Arial" w:cs="Arial"/>
          <w:sz w:val="22"/>
          <w:szCs w:val="22"/>
        </w:rPr>
      </w:pPr>
      <w:r w:rsidRPr="0086738A">
        <w:rPr>
          <w:rFonts w:ascii="Arial" w:hAnsi="Arial" w:cs="Arial"/>
          <w:sz w:val="22"/>
          <w:szCs w:val="22"/>
        </w:rPr>
        <w:t xml:space="preserve">Diabetes UK (2023) </w:t>
      </w:r>
      <w:r w:rsidRPr="0086738A">
        <w:rPr>
          <w:rFonts w:ascii="Arial" w:hAnsi="Arial" w:cs="Arial"/>
          <w:i/>
          <w:iCs/>
          <w:sz w:val="22"/>
          <w:szCs w:val="22"/>
        </w:rPr>
        <w:t>Diabetes UK - Know diabetes. Fight diabetes. | Diabetes UK</w:t>
      </w:r>
      <w:r w:rsidRPr="0086738A">
        <w:rPr>
          <w:rFonts w:ascii="Arial" w:hAnsi="Arial" w:cs="Arial"/>
          <w:sz w:val="22"/>
          <w:szCs w:val="22"/>
        </w:rPr>
        <w:t xml:space="preserve">, </w:t>
      </w:r>
      <w:r w:rsidRPr="0086738A">
        <w:rPr>
          <w:rFonts w:ascii="Arial" w:hAnsi="Arial" w:cs="Arial"/>
          <w:i/>
          <w:iCs/>
          <w:sz w:val="22"/>
          <w:szCs w:val="22"/>
        </w:rPr>
        <w:t>Diabetes.org.uk</w:t>
      </w:r>
      <w:r w:rsidRPr="0086738A">
        <w:rPr>
          <w:rFonts w:ascii="Arial" w:hAnsi="Arial" w:cs="Arial"/>
          <w:sz w:val="22"/>
          <w:szCs w:val="22"/>
        </w:rPr>
        <w:t>. Available at: https://www.diabetes.org.uk (Accessed: July 12, 2026).</w:t>
      </w:r>
    </w:p>
    <w:p w14:paraId="1E2DE59A" w14:textId="77777777" w:rsidR="00B743DD" w:rsidRPr="0086738A" w:rsidRDefault="00B743DD" w:rsidP="00643A03">
      <w:pPr>
        <w:rPr>
          <w:rFonts w:ascii="Arial" w:hAnsi="Arial" w:cs="Arial"/>
          <w:sz w:val="22"/>
          <w:szCs w:val="22"/>
        </w:rPr>
      </w:pPr>
    </w:p>
    <w:p w14:paraId="320DE774" w14:textId="0BC2C238" w:rsidR="00207813" w:rsidRPr="0086738A" w:rsidRDefault="00207813" w:rsidP="00207813">
      <w:pPr>
        <w:rPr>
          <w:rFonts w:ascii="Arial" w:hAnsi="Arial" w:cs="Arial"/>
          <w:sz w:val="22"/>
          <w:szCs w:val="22"/>
        </w:rPr>
      </w:pPr>
      <w:r w:rsidRPr="0086738A">
        <w:rPr>
          <w:rFonts w:ascii="Arial" w:hAnsi="Arial" w:cs="Arial"/>
          <w:sz w:val="22"/>
          <w:szCs w:val="22"/>
        </w:rPr>
        <w:t xml:space="preserve">GA, G. </w:t>
      </w:r>
      <w:r w:rsidRPr="0086738A">
        <w:rPr>
          <w:rFonts w:ascii="Arial" w:hAnsi="Arial" w:cs="Arial"/>
          <w:i/>
          <w:iCs/>
          <w:sz w:val="22"/>
          <w:szCs w:val="22"/>
        </w:rPr>
        <w:t>et al.</w:t>
      </w:r>
      <w:r w:rsidRPr="0086738A">
        <w:rPr>
          <w:rFonts w:ascii="Arial" w:hAnsi="Arial" w:cs="Arial"/>
          <w:sz w:val="22"/>
          <w:szCs w:val="22"/>
        </w:rPr>
        <w:t xml:space="preserve"> (2023) “Global incidence, prevalence, and mortality of type 1 diabetes in 2021 with projection to 2040: A modelling study,” </w:t>
      </w:r>
      <w:r w:rsidRPr="0086738A">
        <w:rPr>
          <w:rFonts w:ascii="Arial" w:hAnsi="Arial" w:cs="Arial"/>
          <w:i/>
          <w:iCs/>
          <w:sz w:val="22"/>
          <w:szCs w:val="22"/>
        </w:rPr>
        <w:t xml:space="preserve">Yearbook of </w:t>
      </w:r>
      <w:r w:rsidRPr="0086738A">
        <w:rPr>
          <w:rFonts w:ascii="Arial" w:hAnsi="Arial" w:cs="Arial"/>
          <w:i/>
          <w:iCs/>
          <w:sz w:val="22"/>
          <w:szCs w:val="22"/>
        </w:rPr>
        <w:t>paediatric</w:t>
      </w:r>
      <w:r w:rsidRPr="0086738A">
        <w:rPr>
          <w:rFonts w:ascii="Arial" w:hAnsi="Arial" w:cs="Arial"/>
          <w:i/>
          <w:iCs/>
          <w:sz w:val="22"/>
          <w:szCs w:val="22"/>
        </w:rPr>
        <w:t xml:space="preserve"> endocrinology</w:t>
      </w:r>
      <w:r w:rsidRPr="0086738A">
        <w:rPr>
          <w:rFonts w:ascii="Arial" w:hAnsi="Arial" w:cs="Arial"/>
          <w:sz w:val="22"/>
          <w:szCs w:val="22"/>
        </w:rPr>
        <w:t xml:space="preserve">, 2023(2023). Available at: </w:t>
      </w:r>
      <w:hyperlink r:id="rId8" w:history="1">
        <w:r w:rsidR="009E76F9" w:rsidRPr="0086738A">
          <w:rPr>
            <w:rStyle w:val="Hyperlink"/>
            <w:rFonts w:ascii="Arial" w:hAnsi="Arial" w:cs="Arial"/>
            <w:sz w:val="22"/>
            <w:szCs w:val="22"/>
          </w:rPr>
          <w:t>https://doi.org/10.1530/ey.20.11.5</w:t>
        </w:r>
      </w:hyperlink>
      <w:r w:rsidRPr="0086738A">
        <w:rPr>
          <w:rFonts w:ascii="Arial" w:hAnsi="Arial" w:cs="Arial"/>
          <w:sz w:val="22"/>
          <w:szCs w:val="22"/>
        </w:rPr>
        <w:t>.</w:t>
      </w:r>
    </w:p>
    <w:p w14:paraId="38C2763F" w14:textId="77777777" w:rsidR="00B743DD" w:rsidRPr="0086738A" w:rsidRDefault="00B743DD" w:rsidP="00207813">
      <w:pPr>
        <w:rPr>
          <w:rFonts w:ascii="Arial" w:hAnsi="Arial" w:cs="Arial"/>
          <w:sz w:val="22"/>
          <w:szCs w:val="22"/>
        </w:rPr>
      </w:pPr>
    </w:p>
    <w:p w14:paraId="1B635614" w14:textId="77777777" w:rsidR="009E76F9" w:rsidRPr="0086738A" w:rsidRDefault="009E76F9" w:rsidP="009E76F9">
      <w:pPr>
        <w:rPr>
          <w:rFonts w:ascii="Arial" w:hAnsi="Arial" w:cs="Arial"/>
          <w:sz w:val="22"/>
          <w:szCs w:val="22"/>
        </w:rPr>
      </w:pPr>
      <w:r w:rsidRPr="0086738A">
        <w:rPr>
          <w:rFonts w:ascii="Arial" w:hAnsi="Arial" w:cs="Arial"/>
          <w:sz w:val="22"/>
          <w:szCs w:val="22"/>
        </w:rPr>
        <w:t xml:space="preserve">National Institute for Health and Care Excellence (2022) </w:t>
      </w:r>
      <w:r w:rsidRPr="0086738A">
        <w:rPr>
          <w:rFonts w:ascii="Arial" w:hAnsi="Arial" w:cs="Arial"/>
          <w:i/>
          <w:iCs/>
          <w:sz w:val="22"/>
          <w:szCs w:val="22"/>
        </w:rPr>
        <w:t>Overview | Type 1 Diabetes in adults: Diagnosis and Management | Guidance | NICE</w:t>
      </w:r>
      <w:r w:rsidRPr="0086738A">
        <w:rPr>
          <w:rFonts w:ascii="Arial" w:hAnsi="Arial" w:cs="Arial"/>
          <w:sz w:val="22"/>
          <w:szCs w:val="22"/>
        </w:rPr>
        <w:t xml:space="preserve">, </w:t>
      </w:r>
      <w:r w:rsidRPr="0086738A">
        <w:rPr>
          <w:rFonts w:ascii="Arial" w:hAnsi="Arial" w:cs="Arial"/>
          <w:i/>
          <w:iCs/>
          <w:sz w:val="22"/>
          <w:szCs w:val="22"/>
        </w:rPr>
        <w:t>Nice.org.uk</w:t>
      </w:r>
      <w:r w:rsidRPr="0086738A">
        <w:rPr>
          <w:rFonts w:ascii="Arial" w:hAnsi="Arial" w:cs="Arial"/>
          <w:sz w:val="22"/>
          <w:szCs w:val="22"/>
        </w:rPr>
        <w:t>. NICE. Available at: https://www.nice.org.uk/guidance/ng17 (Accessed: July 12, 2026).</w:t>
      </w:r>
    </w:p>
    <w:p w14:paraId="73D095DE" w14:textId="77777777" w:rsidR="00326071" w:rsidRPr="0086738A" w:rsidRDefault="00326071" w:rsidP="00326071">
      <w:pPr>
        <w:rPr>
          <w:rFonts w:ascii="Arial" w:hAnsi="Arial" w:cs="Arial"/>
          <w:sz w:val="22"/>
          <w:szCs w:val="22"/>
        </w:rPr>
      </w:pPr>
      <w:r w:rsidRPr="0086738A">
        <w:rPr>
          <w:rFonts w:ascii="Arial" w:hAnsi="Arial" w:cs="Arial"/>
          <w:sz w:val="22"/>
          <w:szCs w:val="22"/>
        </w:rPr>
        <w:t xml:space="preserve">NHS Digital (2019) </w:t>
      </w:r>
      <w:r w:rsidRPr="0086738A">
        <w:rPr>
          <w:rFonts w:ascii="Arial" w:hAnsi="Arial" w:cs="Arial"/>
          <w:i/>
          <w:iCs/>
          <w:sz w:val="22"/>
          <w:szCs w:val="22"/>
        </w:rPr>
        <w:t>Home - NHS Digital</w:t>
      </w:r>
      <w:r w:rsidRPr="0086738A">
        <w:rPr>
          <w:rFonts w:ascii="Arial" w:hAnsi="Arial" w:cs="Arial"/>
          <w:sz w:val="22"/>
          <w:szCs w:val="22"/>
        </w:rPr>
        <w:t xml:space="preserve">, </w:t>
      </w:r>
      <w:r w:rsidRPr="0086738A">
        <w:rPr>
          <w:rFonts w:ascii="Arial" w:hAnsi="Arial" w:cs="Arial"/>
          <w:i/>
          <w:iCs/>
          <w:sz w:val="22"/>
          <w:szCs w:val="22"/>
        </w:rPr>
        <w:t>NHS Digital</w:t>
      </w:r>
      <w:r w:rsidRPr="0086738A">
        <w:rPr>
          <w:rFonts w:ascii="Arial" w:hAnsi="Arial" w:cs="Arial"/>
          <w:sz w:val="22"/>
          <w:szCs w:val="22"/>
        </w:rPr>
        <w:t>. Available at: https://digital.nhs.uk (Accessed: July 12, 2026).</w:t>
      </w:r>
    </w:p>
    <w:p w14:paraId="75B017F1" w14:textId="77777777" w:rsidR="0024320E" w:rsidRPr="0086738A" w:rsidRDefault="0024320E" w:rsidP="0024320E">
      <w:pPr>
        <w:rPr>
          <w:rFonts w:ascii="Arial" w:hAnsi="Arial" w:cs="Arial"/>
          <w:sz w:val="22"/>
          <w:szCs w:val="22"/>
        </w:rPr>
      </w:pPr>
      <w:r w:rsidRPr="0086738A">
        <w:rPr>
          <w:rFonts w:ascii="Arial" w:hAnsi="Arial" w:cs="Arial"/>
          <w:sz w:val="22"/>
          <w:szCs w:val="22"/>
        </w:rPr>
        <w:t xml:space="preserve">NHS England (2023) </w:t>
      </w:r>
      <w:r w:rsidRPr="0086738A">
        <w:rPr>
          <w:rFonts w:ascii="Arial" w:hAnsi="Arial" w:cs="Arial"/>
          <w:i/>
          <w:iCs/>
          <w:sz w:val="22"/>
          <w:szCs w:val="22"/>
        </w:rPr>
        <w:t>NHS England</w:t>
      </w:r>
      <w:r w:rsidRPr="0086738A">
        <w:rPr>
          <w:rFonts w:ascii="Arial" w:hAnsi="Arial" w:cs="Arial"/>
          <w:sz w:val="22"/>
          <w:szCs w:val="22"/>
        </w:rPr>
        <w:t xml:space="preserve">, </w:t>
      </w:r>
      <w:r w:rsidRPr="0086738A">
        <w:rPr>
          <w:rFonts w:ascii="Arial" w:hAnsi="Arial" w:cs="Arial"/>
          <w:i/>
          <w:iCs/>
          <w:sz w:val="22"/>
          <w:szCs w:val="22"/>
        </w:rPr>
        <w:t>England.nhs.uk</w:t>
      </w:r>
      <w:r w:rsidRPr="0086738A">
        <w:rPr>
          <w:rFonts w:ascii="Arial" w:hAnsi="Arial" w:cs="Arial"/>
          <w:sz w:val="22"/>
          <w:szCs w:val="22"/>
        </w:rPr>
        <w:t>. Available at: https://www.england.nhs.uk (Accessed: July 12, 2026).</w:t>
      </w:r>
    </w:p>
    <w:p w14:paraId="38776F79" w14:textId="77777777" w:rsidR="00244E55" w:rsidRPr="0086738A" w:rsidRDefault="00244E55" w:rsidP="00244E55">
      <w:pPr>
        <w:rPr>
          <w:rFonts w:ascii="Arial" w:hAnsi="Arial" w:cs="Arial"/>
          <w:sz w:val="22"/>
          <w:szCs w:val="22"/>
        </w:rPr>
      </w:pPr>
      <w:r w:rsidRPr="0086738A">
        <w:rPr>
          <w:rFonts w:ascii="Arial" w:hAnsi="Arial" w:cs="Arial"/>
          <w:sz w:val="22"/>
          <w:szCs w:val="22"/>
        </w:rPr>
        <w:t xml:space="preserve">World Health Organization (2024) </w:t>
      </w:r>
      <w:r w:rsidRPr="0086738A">
        <w:rPr>
          <w:rFonts w:ascii="Arial" w:hAnsi="Arial" w:cs="Arial"/>
          <w:i/>
          <w:iCs/>
          <w:sz w:val="22"/>
          <w:szCs w:val="22"/>
        </w:rPr>
        <w:t>Diabetes</w:t>
      </w:r>
      <w:r w:rsidRPr="0086738A">
        <w:rPr>
          <w:rFonts w:ascii="Arial" w:hAnsi="Arial" w:cs="Arial"/>
          <w:sz w:val="22"/>
          <w:szCs w:val="22"/>
        </w:rPr>
        <w:t xml:space="preserve">, </w:t>
      </w:r>
      <w:r w:rsidRPr="0086738A">
        <w:rPr>
          <w:rFonts w:ascii="Arial" w:hAnsi="Arial" w:cs="Arial"/>
          <w:i/>
          <w:iCs/>
          <w:sz w:val="22"/>
          <w:szCs w:val="22"/>
        </w:rPr>
        <w:t>World Health Organization</w:t>
      </w:r>
      <w:r w:rsidRPr="0086738A">
        <w:rPr>
          <w:rFonts w:ascii="Arial" w:hAnsi="Arial" w:cs="Arial"/>
          <w:sz w:val="22"/>
          <w:szCs w:val="22"/>
        </w:rPr>
        <w:t>. Available at: https://www.who.int/news-room/fact-sheets/detail/diabetes (Accessed: July 12, 2026).</w:t>
      </w:r>
    </w:p>
    <w:p w14:paraId="7364A9E6" w14:textId="77777777" w:rsidR="009E76F9" w:rsidRPr="0086738A" w:rsidRDefault="009E76F9" w:rsidP="00207813">
      <w:pPr>
        <w:rPr>
          <w:rFonts w:ascii="Arial" w:hAnsi="Arial" w:cs="Arial"/>
          <w:sz w:val="22"/>
          <w:szCs w:val="22"/>
        </w:rPr>
      </w:pPr>
    </w:p>
    <w:p w14:paraId="3AEBCF78" w14:textId="77777777" w:rsidR="00D14D93" w:rsidRPr="0086738A" w:rsidRDefault="00D14D93">
      <w:pPr>
        <w:rPr>
          <w:rFonts w:ascii="Arial" w:hAnsi="Arial" w:cs="Arial"/>
          <w:sz w:val="22"/>
          <w:szCs w:val="22"/>
        </w:rPr>
      </w:pPr>
    </w:p>
    <w:sectPr w:rsidR="00D14D93" w:rsidRPr="0086738A">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26FCF2" w14:textId="77777777" w:rsidR="003B1E1B" w:rsidRDefault="003B1E1B" w:rsidP="005333DC">
      <w:pPr>
        <w:spacing w:after="0" w:line="240" w:lineRule="auto"/>
      </w:pPr>
      <w:r>
        <w:separator/>
      </w:r>
    </w:p>
  </w:endnote>
  <w:endnote w:type="continuationSeparator" w:id="0">
    <w:p w14:paraId="4BD0152A" w14:textId="77777777" w:rsidR="003B1E1B" w:rsidRDefault="003B1E1B" w:rsidP="005333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4326548"/>
      <w:docPartObj>
        <w:docPartGallery w:val="Page Numbers (Bottom of Page)"/>
        <w:docPartUnique/>
      </w:docPartObj>
    </w:sdtPr>
    <w:sdtContent>
      <w:p w14:paraId="7E4B404E" w14:textId="3A86B008" w:rsidR="005333DC" w:rsidRDefault="005333DC">
        <w:pPr>
          <w:pStyle w:val="Footer"/>
          <w:jc w:val="right"/>
        </w:pPr>
        <w:r>
          <w:fldChar w:fldCharType="begin"/>
        </w:r>
        <w:r>
          <w:instrText>PAGE   \* MERGEFORMAT</w:instrText>
        </w:r>
        <w:r>
          <w:fldChar w:fldCharType="separate"/>
        </w:r>
        <w:r>
          <w:t>2</w:t>
        </w:r>
        <w:r>
          <w:fldChar w:fldCharType="end"/>
        </w:r>
      </w:p>
    </w:sdtContent>
  </w:sdt>
  <w:p w14:paraId="042FFAF5" w14:textId="77777777" w:rsidR="005333DC" w:rsidRDefault="005333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4D5B62" w14:textId="77777777" w:rsidR="003B1E1B" w:rsidRDefault="003B1E1B" w:rsidP="005333DC">
      <w:pPr>
        <w:spacing w:after="0" w:line="240" w:lineRule="auto"/>
      </w:pPr>
      <w:r>
        <w:separator/>
      </w:r>
    </w:p>
  </w:footnote>
  <w:footnote w:type="continuationSeparator" w:id="0">
    <w:p w14:paraId="76AB37E3" w14:textId="77777777" w:rsidR="003B1E1B" w:rsidRDefault="003B1E1B" w:rsidP="005333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3C3082"/>
    <w:multiLevelType w:val="hybridMultilevel"/>
    <w:tmpl w:val="6CD46854"/>
    <w:lvl w:ilvl="0" w:tplc="08090001">
      <w:start w:val="1"/>
      <w:numFmt w:val="bullet"/>
      <w:lvlText w:val=""/>
      <w:lvlJc w:val="left"/>
      <w:pPr>
        <w:ind w:left="764" w:hanging="360"/>
      </w:pPr>
      <w:rPr>
        <w:rFonts w:ascii="Symbol" w:hAnsi="Symbol" w:hint="default"/>
      </w:rPr>
    </w:lvl>
    <w:lvl w:ilvl="1" w:tplc="08090003" w:tentative="1">
      <w:start w:val="1"/>
      <w:numFmt w:val="bullet"/>
      <w:lvlText w:val="o"/>
      <w:lvlJc w:val="left"/>
      <w:pPr>
        <w:ind w:left="1484" w:hanging="360"/>
      </w:pPr>
      <w:rPr>
        <w:rFonts w:ascii="Courier New" w:hAnsi="Courier New" w:cs="Courier New" w:hint="default"/>
      </w:rPr>
    </w:lvl>
    <w:lvl w:ilvl="2" w:tplc="08090005" w:tentative="1">
      <w:start w:val="1"/>
      <w:numFmt w:val="bullet"/>
      <w:lvlText w:val=""/>
      <w:lvlJc w:val="left"/>
      <w:pPr>
        <w:ind w:left="2204" w:hanging="360"/>
      </w:pPr>
      <w:rPr>
        <w:rFonts w:ascii="Wingdings" w:hAnsi="Wingdings" w:hint="default"/>
      </w:rPr>
    </w:lvl>
    <w:lvl w:ilvl="3" w:tplc="08090001" w:tentative="1">
      <w:start w:val="1"/>
      <w:numFmt w:val="bullet"/>
      <w:lvlText w:val=""/>
      <w:lvlJc w:val="left"/>
      <w:pPr>
        <w:ind w:left="2924" w:hanging="360"/>
      </w:pPr>
      <w:rPr>
        <w:rFonts w:ascii="Symbol" w:hAnsi="Symbol" w:hint="default"/>
      </w:rPr>
    </w:lvl>
    <w:lvl w:ilvl="4" w:tplc="08090003" w:tentative="1">
      <w:start w:val="1"/>
      <w:numFmt w:val="bullet"/>
      <w:lvlText w:val="o"/>
      <w:lvlJc w:val="left"/>
      <w:pPr>
        <w:ind w:left="3644" w:hanging="360"/>
      </w:pPr>
      <w:rPr>
        <w:rFonts w:ascii="Courier New" w:hAnsi="Courier New" w:cs="Courier New" w:hint="default"/>
      </w:rPr>
    </w:lvl>
    <w:lvl w:ilvl="5" w:tplc="08090005" w:tentative="1">
      <w:start w:val="1"/>
      <w:numFmt w:val="bullet"/>
      <w:lvlText w:val=""/>
      <w:lvlJc w:val="left"/>
      <w:pPr>
        <w:ind w:left="4364" w:hanging="360"/>
      </w:pPr>
      <w:rPr>
        <w:rFonts w:ascii="Wingdings" w:hAnsi="Wingdings" w:hint="default"/>
      </w:rPr>
    </w:lvl>
    <w:lvl w:ilvl="6" w:tplc="08090001" w:tentative="1">
      <w:start w:val="1"/>
      <w:numFmt w:val="bullet"/>
      <w:lvlText w:val=""/>
      <w:lvlJc w:val="left"/>
      <w:pPr>
        <w:ind w:left="5084" w:hanging="360"/>
      </w:pPr>
      <w:rPr>
        <w:rFonts w:ascii="Symbol" w:hAnsi="Symbol" w:hint="default"/>
      </w:rPr>
    </w:lvl>
    <w:lvl w:ilvl="7" w:tplc="08090003" w:tentative="1">
      <w:start w:val="1"/>
      <w:numFmt w:val="bullet"/>
      <w:lvlText w:val="o"/>
      <w:lvlJc w:val="left"/>
      <w:pPr>
        <w:ind w:left="5804" w:hanging="360"/>
      </w:pPr>
      <w:rPr>
        <w:rFonts w:ascii="Courier New" w:hAnsi="Courier New" w:cs="Courier New" w:hint="default"/>
      </w:rPr>
    </w:lvl>
    <w:lvl w:ilvl="8" w:tplc="08090005" w:tentative="1">
      <w:start w:val="1"/>
      <w:numFmt w:val="bullet"/>
      <w:lvlText w:val=""/>
      <w:lvlJc w:val="left"/>
      <w:pPr>
        <w:ind w:left="6524" w:hanging="360"/>
      </w:pPr>
      <w:rPr>
        <w:rFonts w:ascii="Wingdings" w:hAnsi="Wingdings" w:hint="default"/>
      </w:rPr>
    </w:lvl>
  </w:abstractNum>
  <w:num w:numId="1" w16cid:durableId="8366989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4D93"/>
    <w:rsid w:val="0001534D"/>
    <w:rsid w:val="00081A4C"/>
    <w:rsid w:val="000B7134"/>
    <w:rsid w:val="000C059C"/>
    <w:rsid w:val="000C1551"/>
    <w:rsid w:val="000C3C51"/>
    <w:rsid w:val="000F6211"/>
    <w:rsid w:val="001055C0"/>
    <w:rsid w:val="00124271"/>
    <w:rsid w:val="00173CA2"/>
    <w:rsid w:val="001C1B66"/>
    <w:rsid w:val="001E2937"/>
    <w:rsid w:val="001E50FA"/>
    <w:rsid w:val="00201BB5"/>
    <w:rsid w:val="00207813"/>
    <w:rsid w:val="00232DD5"/>
    <w:rsid w:val="0024320E"/>
    <w:rsid w:val="00243953"/>
    <w:rsid w:val="00244E55"/>
    <w:rsid w:val="0025274F"/>
    <w:rsid w:val="002B5E53"/>
    <w:rsid w:val="002C4F26"/>
    <w:rsid w:val="00307035"/>
    <w:rsid w:val="00322DC8"/>
    <w:rsid w:val="00326071"/>
    <w:rsid w:val="003853F2"/>
    <w:rsid w:val="0039597E"/>
    <w:rsid w:val="003B1E1B"/>
    <w:rsid w:val="003C26D6"/>
    <w:rsid w:val="00407533"/>
    <w:rsid w:val="004432BA"/>
    <w:rsid w:val="00494B60"/>
    <w:rsid w:val="004D5B59"/>
    <w:rsid w:val="004E3862"/>
    <w:rsid w:val="005108AD"/>
    <w:rsid w:val="00515EF9"/>
    <w:rsid w:val="0052686F"/>
    <w:rsid w:val="005322A6"/>
    <w:rsid w:val="005333DC"/>
    <w:rsid w:val="0055620A"/>
    <w:rsid w:val="00572630"/>
    <w:rsid w:val="00586EE8"/>
    <w:rsid w:val="00591F82"/>
    <w:rsid w:val="0059331C"/>
    <w:rsid w:val="00594DA4"/>
    <w:rsid w:val="005D5BE2"/>
    <w:rsid w:val="005E05A4"/>
    <w:rsid w:val="00643A03"/>
    <w:rsid w:val="00643D87"/>
    <w:rsid w:val="0068373F"/>
    <w:rsid w:val="006C7719"/>
    <w:rsid w:val="006E3AA8"/>
    <w:rsid w:val="00704FDE"/>
    <w:rsid w:val="00716EE7"/>
    <w:rsid w:val="00812AF5"/>
    <w:rsid w:val="0083769A"/>
    <w:rsid w:val="0085479A"/>
    <w:rsid w:val="0086738A"/>
    <w:rsid w:val="008B41DA"/>
    <w:rsid w:val="008B780E"/>
    <w:rsid w:val="008D3FF0"/>
    <w:rsid w:val="008E7471"/>
    <w:rsid w:val="008F6683"/>
    <w:rsid w:val="008F6756"/>
    <w:rsid w:val="00946990"/>
    <w:rsid w:val="00951ABA"/>
    <w:rsid w:val="00953CE8"/>
    <w:rsid w:val="00975DDE"/>
    <w:rsid w:val="009B718A"/>
    <w:rsid w:val="009C52AF"/>
    <w:rsid w:val="009E76F9"/>
    <w:rsid w:val="00A11E18"/>
    <w:rsid w:val="00A67F3E"/>
    <w:rsid w:val="00AA69BD"/>
    <w:rsid w:val="00AF22A4"/>
    <w:rsid w:val="00AF3E97"/>
    <w:rsid w:val="00AF511F"/>
    <w:rsid w:val="00B35AE4"/>
    <w:rsid w:val="00B42D0F"/>
    <w:rsid w:val="00B53AB8"/>
    <w:rsid w:val="00B743DD"/>
    <w:rsid w:val="00C00A40"/>
    <w:rsid w:val="00C35824"/>
    <w:rsid w:val="00C52748"/>
    <w:rsid w:val="00C65817"/>
    <w:rsid w:val="00C65A46"/>
    <w:rsid w:val="00C80D4F"/>
    <w:rsid w:val="00C954F6"/>
    <w:rsid w:val="00C95B41"/>
    <w:rsid w:val="00CC4D3B"/>
    <w:rsid w:val="00D14D93"/>
    <w:rsid w:val="00D20C71"/>
    <w:rsid w:val="00D449CF"/>
    <w:rsid w:val="00D678D6"/>
    <w:rsid w:val="00DB390F"/>
    <w:rsid w:val="00DC07BE"/>
    <w:rsid w:val="00DE7501"/>
    <w:rsid w:val="00DF6DE9"/>
    <w:rsid w:val="00E25850"/>
    <w:rsid w:val="00E40FAA"/>
    <w:rsid w:val="00E54390"/>
    <w:rsid w:val="00E71840"/>
    <w:rsid w:val="00EA16C0"/>
    <w:rsid w:val="00EC4265"/>
    <w:rsid w:val="00F14D4E"/>
    <w:rsid w:val="00F26681"/>
    <w:rsid w:val="00F43191"/>
    <w:rsid w:val="00F56017"/>
    <w:rsid w:val="00F6104D"/>
    <w:rsid w:val="00F97663"/>
    <w:rsid w:val="00FF54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75C8BD"/>
  <w15:chartTrackingRefBased/>
  <w15:docId w15:val="{130E5CCA-6C1F-40C1-8D8D-C194C86544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14D9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14D9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14D9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14D9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14D9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14D9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14D9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14D9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14D9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4D9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14D9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14D9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14D9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14D9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14D9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14D9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14D9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14D93"/>
    <w:rPr>
      <w:rFonts w:eastAsiaTheme="majorEastAsia" w:cstheme="majorBidi"/>
      <w:color w:val="272727" w:themeColor="text1" w:themeTint="D8"/>
    </w:rPr>
  </w:style>
  <w:style w:type="paragraph" w:styleId="Title">
    <w:name w:val="Title"/>
    <w:basedOn w:val="Normal"/>
    <w:next w:val="Normal"/>
    <w:link w:val="TitleChar"/>
    <w:uiPriority w:val="10"/>
    <w:qFormat/>
    <w:rsid w:val="00D14D9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14D9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14D9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14D9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14D93"/>
    <w:pPr>
      <w:spacing w:before="160"/>
      <w:jc w:val="center"/>
    </w:pPr>
    <w:rPr>
      <w:i/>
      <w:iCs/>
      <w:color w:val="404040" w:themeColor="text1" w:themeTint="BF"/>
    </w:rPr>
  </w:style>
  <w:style w:type="character" w:customStyle="1" w:styleId="QuoteChar">
    <w:name w:val="Quote Char"/>
    <w:basedOn w:val="DefaultParagraphFont"/>
    <w:link w:val="Quote"/>
    <w:uiPriority w:val="29"/>
    <w:rsid w:val="00D14D93"/>
    <w:rPr>
      <w:i/>
      <w:iCs/>
      <w:color w:val="404040" w:themeColor="text1" w:themeTint="BF"/>
    </w:rPr>
  </w:style>
  <w:style w:type="paragraph" w:styleId="ListParagraph">
    <w:name w:val="List Paragraph"/>
    <w:basedOn w:val="Normal"/>
    <w:uiPriority w:val="34"/>
    <w:qFormat/>
    <w:rsid w:val="00D14D93"/>
    <w:pPr>
      <w:ind w:left="720"/>
      <w:contextualSpacing/>
    </w:pPr>
  </w:style>
  <w:style w:type="character" w:styleId="IntenseEmphasis">
    <w:name w:val="Intense Emphasis"/>
    <w:basedOn w:val="DefaultParagraphFont"/>
    <w:uiPriority w:val="21"/>
    <w:qFormat/>
    <w:rsid w:val="00D14D93"/>
    <w:rPr>
      <w:i/>
      <w:iCs/>
      <w:color w:val="0F4761" w:themeColor="accent1" w:themeShade="BF"/>
    </w:rPr>
  </w:style>
  <w:style w:type="paragraph" w:styleId="IntenseQuote">
    <w:name w:val="Intense Quote"/>
    <w:basedOn w:val="Normal"/>
    <w:next w:val="Normal"/>
    <w:link w:val="IntenseQuoteChar"/>
    <w:uiPriority w:val="30"/>
    <w:qFormat/>
    <w:rsid w:val="00D14D9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14D93"/>
    <w:rPr>
      <w:i/>
      <w:iCs/>
      <w:color w:val="0F4761" w:themeColor="accent1" w:themeShade="BF"/>
    </w:rPr>
  </w:style>
  <w:style w:type="character" w:styleId="IntenseReference">
    <w:name w:val="Intense Reference"/>
    <w:basedOn w:val="DefaultParagraphFont"/>
    <w:uiPriority w:val="32"/>
    <w:qFormat/>
    <w:rsid w:val="00D14D93"/>
    <w:rPr>
      <w:b/>
      <w:bCs/>
      <w:smallCaps/>
      <w:color w:val="0F4761" w:themeColor="accent1" w:themeShade="BF"/>
      <w:spacing w:val="5"/>
    </w:rPr>
  </w:style>
  <w:style w:type="character" w:styleId="Hyperlink">
    <w:name w:val="Hyperlink"/>
    <w:basedOn w:val="DefaultParagraphFont"/>
    <w:uiPriority w:val="99"/>
    <w:unhideWhenUsed/>
    <w:rsid w:val="00D14D93"/>
    <w:rPr>
      <w:color w:val="467886" w:themeColor="hyperlink"/>
      <w:u w:val="single"/>
    </w:rPr>
  </w:style>
  <w:style w:type="character" w:styleId="UnresolvedMention">
    <w:name w:val="Unresolved Mention"/>
    <w:basedOn w:val="DefaultParagraphFont"/>
    <w:uiPriority w:val="99"/>
    <w:semiHidden/>
    <w:unhideWhenUsed/>
    <w:rsid w:val="00D14D93"/>
    <w:rPr>
      <w:color w:val="605E5C"/>
      <w:shd w:val="clear" w:color="auto" w:fill="E1DFDD"/>
    </w:rPr>
  </w:style>
  <w:style w:type="paragraph" w:styleId="NormalWeb">
    <w:name w:val="Normal (Web)"/>
    <w:basedOn w:val="Normal"/>
    <w:uiPriority w:val="99"/>
    <w:semiHidden/>
    <w:unhideWhenUsed/>
    <w:rsid w:val="00812AF5"/>
    <w:rPr>
      <w:rFonts w:ascii="Times New Roman" w:hAnsi="Times New Roman" w:cs="Times New Roman"/>
    </w:rPr>
  </w:style>
  <w:style w:type="paragraph" w:styleId="TOCHeading">
    <w:name w:val="TOC Heading"/>
    <w:basedOn w:val="Heading1"/>
    <w:next w:val="Normal"/>
    <w:uiPriority w:val="39"/>
    <w:unhideWhenUsed/>
    <w:qFormat/>
    <w:rsid w:val="005E05A4"/>
    <w:pPr>
      <w:spacing w:before="240" w:after="0" w:line="259" w:lineRule="auto"/>
      <w:outlineLvl w:val="9"/>
    </w:pPr>
    <w:rPr>
      <w:kern w:val="0"/>
      <w:sz w:val="32"/>
      <w:szCs w:val="32"/>
      <w:lang w:eastAsia="en-GB"/>
      <w14:ligatures w14:val="none"/>
    </w:rPr>
  </w:style>
  <w:style w:type="paragraph" w:styleId="TOC2">
    <w:name w:val="toc 2"/>
    <w:basedOn w:val="Normal"/>
    <w:next w:val="Normal"/>
    <w:autoRedefine/>
    <w:uiPriority w:val="39"/>
    <w:unhideWhenUsed/>
    <w:rsid w:val="005E05A4"/>
    <w:pPr>
      <w:spacing w:after="100" w:line="259" w:lineRule="auto"/>
      <w:ind w:left="220"/>
    </w:pPr>
    <w:rPr>
      <w:rFonts w:eastAsiaTheme="minorEastAsia" w:cs="Times New Roman"/>
      <w:kern w:val="0"/>
      <w:sz w:val="22"/>
      <w:szCs w:val="22"/>
      <w:lang w:eastAsia="en-GB"/>
      <w14:ligatures w14:val="none"/>
    </w:rPr>
  </w:style>
  <w:style w:type="paragraph" w:styleId="TOC1">
    <w:name w:val="toc 1"/>
    <w:basedOn w:val="Normal"/>
    <w:next w:val="Normal"/>
    <w:autoRedefine/>
    <w:uiPriority w:val="39"/>
    <w:unhideWhenUsed/>
    <w:rsid w:val="005E05A4"/>
    <w:pPr>
      <w:spacing w:after="100" w:line="259" w:lineRule="auto"/>
    </w:pPr>
    <w:rPr>
      <w:rFonts w:eastAsiaTheme="minorEastAsia" w:cs="Times New Roman"/>
      <w:kern w:val="0"/>
      <w:sz w:val="22"/>
      <w:szCs w:val="22"/>
      <w:lang w:eastAsia="en-GB"/>
      <w14:ligatures w14:val="none"/>
    </w:rPr>
  </w:style>
  <w:style w:type="paragraph" w:styleId="TOC3">
    <w:name w:val="toc 3"/>
    <w:basedOn w:val="Normal"/>
    <w:next w:val="Normal"/>
    <w:autoRedefine/>
    <w:uiPriority w:val="39"/>
    <w:unhideWhenUsed/>
    <w:rsid w:val="005E05A4"/>
    <w:pPr>
      <w:spacing w:after="100" w:line="259" w:lineRule="auto"/>
      <w:ind w:left="440"/>
    </w:pPr>
    <w:rPr>
      <w:rFonts w:eastAsiaTheme="minorEastAsia" w:cs="Times New Roman"/>
      <w:kern w:val="0"/>
      <w:sz w:val="22"/>
      <w:szCs w:val="22"/>
      <w:lang w:eastAsia="en-GB"/>
      <w14:ligatures w14:val="none"/>
    </w:rPr>
  </w:style>
  <w:style w:type="paragraph" w:styleId="Header">
    <w:name w:val="header"/>
    <w:basedOn w:val="Normal"/>
    <w:link w:val="HeaderChar"/>
    <w:uiPriority w:val="99"/>
    <w:unhideWhenUsed/>
    <w:rsid w:val="005333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33DC"/>
  </w:style>
  <w:style w:type="paragraph" w:styleId="Footer">
    <w:name w:val="footer"/>
    <w:basedOn w:val="Normal"/>
    <w:link w:val="FooterChar"/>
    <w:uiPriority w:val="99"/>
    <w:unhideWhenUsed/>
    <w:rsid w:val="005333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33DC"/>
  </w:style>
  <w:style w:type="character" w:styleId="Strong">
    <w:name w:val="Strong"/>
    <w:basedOn w:val="DefaultParagraphFont"/>
    <w:uiPriority w:val="22"/>
    <w:qFormat/>
    <w:rsid w:val="0039597E"/>
    <w:rPr>
      <w:b/>
      <w:bCs/>
    </w:rPr>
  </w:style>
  <w:style w:type="character" w:styleId="Emphasis">
    <w:name w:val="Emphasis"/>
    <w:basedOn w:val="DefaultParagraphFont"/>
    <w:uiPriority w:val="20"/>
    <w:qFormat/>
    <w:rsid w:val="0039597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530/ey.20.11.5" TargetMode="External"/><Relationship Id="rId3" Type="http://schemas.openxmlformats.org/officeDocument/2006/relationships/settings" Target="settings.xml"/><Relationship Id="rId7" Type="http://schemas.openxmlformats.org/officeDocument/2006/relationships/image" Target="media/image1.gi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9</Pages>
  <Words>2214</Words>
  <Characters>12624</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Malaika Hussain</dc:creator>
  <cp:keywords/>
  <dc:description/>
  <cp:lastModifiedBy>Malaika Hussain</cp:lastModifiedBy>
  <cp:revision>2</cp:revision>
  <dcterms:created xsi:type="dcterms:W3CDTF">2026-07-21T02:38:00Z</dcterms:created>
  <dcterms:modified xsi:type="dcterms:W3CDTF">2026-07-21T02:38:00Z</dcterms:modified>
</cp:coreProperties>
</file>