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0EFE9" w14:textId="77777777" w:rsidR="00464987" w:rsidRPr="003E78EC" w:rsidRDefault="00464987" w:rsidP="00464987">
      <w:pPr>
        <w:jc w:val="both"/>
        <w:rPr>
          <w:rFonts w:ascii="Arial" w:hAnsi="Arial" w:cs="Arial"/>
          <w:b/>
          <w:color w:val="0D0D0D" w:themeColor="text1" w:themeTint="F2"/>
          <w:sz w:val="20"/>
          <w:szCs w:val="20"/>
        </w:rPr>
      </w:pPr>
      <w:r>
        <w:rPr>
          <w:rFonts w:ascii="Arial" w:hAnsi="Arial" w:cs="Arial"/>
          <w:b/>
          <w:color w:val="0D0D0D" w:themeColor="text1" w:themeTint="F2"/>
          <w:sz w:val="20"/>
          <w:szCs w:val="20"/>
        </w:rPr>
        <w:t>Question 19 – Working capital &amp; EMH</w:t>
      </w:r>
    </w:p>
    <w:p w14:paraId="4E109C0E" w14:textId="77777777" w:rsidR="00464987" w:rsidRPr="003E78EC" w:rsidRDefault="00464987" w:rsidP="00464987">
      <w:pPr>
        <w:jc w:val="both"/>
        <w:rPr>
          <w:rFonts w:ascii="Arial" w:hAnsi="Arial" w:cs="Arial"/>
          <w:bCs/>
          <w:sz w:val="20"/>
          <w:szCs w:val="20"/>
        </w:rPr>
      </w:pPr>
      <w:r w:rsidRPr="003E78EC">
        <w:rPr>
          <w:rFonts w:ascii="Arial" w:hAnsi="Arial" w:cs="Arial"/>
          <w:bCs/>
          <w:sz w:val="20"/>
          <w:szCs w:val="20"/>
        </w:rPr>
        <w:t>A recent review of the company’s working capital position at 30 June 2015 has prompted the finance director of Mumbles Limited to propose “factoring” some of the company’s debtors.</w:t>
      </w:r>
    </w:p>
    <w:p w14:paraId="6E3F99D4" w14:textId="77777777" w:rsidR="00464987" w:rsidRPr="003E78EC" w:rsidRDefault="00464987" w:rsidP="00464987">
      <w:pPr>
        <w:jc w:val="both"/>
        <w:rPr>
          <w:rFonts w:ascii="Arial" w:hAnsi="Arial" w:cs="Arial"/>
          <w:bCs/>
          <w:sz w:val="20"/>
          <w:szCs w:val="20"/>
        </w:rPr>
      </w:pPr>
      <w:r w:rsidRPr="003E78EC">
        <w:rPr>
          <w:rFonts w:ascii="Arial" w:hAnsi="Arial" w:cs="Arial"/>
          <w:bCs/>
          <w:sz w:val="20"/>
          <w:szCs w:val="20"/>
        </w:rPr>
        <w:t>Total credit sales for the 12 months to 30 June 2015 were £13,375,000 and trade Debtors on 30 June 2015 was £2,229,000.  Mumbles Limited has a cost of finance of 6% per year.</w:t>
      </w:r>
    </w:p>
    <w:p w14:paraId="18FD4491" w14:textId="77777777" w:rsidR="00464987" w:rsidRPr="003E78EC" w:rsidRDefault="00464987" w:rsidP="00464987">
      <w:pPr>
        <w:jc w:val="both"/>
        <w:rPr>
          <w:rFonts w:ascii="Arial" w:hAnsi="Arial" w:cs="Arial"/>
          <w:bCs/>
          <w:sz w:val="20"/>
          <w:szCs w:val="20"/>
        </w:rPr>
      </w:pPr>
      <w:r w:rsidRPr="003E78EC">
        <w:rPr>
          <w:rFonts w:ascii="Arial" w:hAnsi="Arial" w:cs="Arial"/>
          <w:bCs/>
          <w:sz w:val="20"/>
          <w:szCs w:val="20"/>
        </w:rPr>
        <w:t>The terms and conditions agreed with customers require all credit customers to pay outstanding invoices within 40 days, however many customers have been taking longer.  Also, the review found that approximately 1.5% of credit sales turn into bad debts which cannot be recovered.</w:t>
      </w:r>
    </w:p>
    <w:p w14:paraId="473C2D8A" w14:textId="77777777" w:rsidR="00464987" w:rsidRPr="003E78EC" w:rsidRDefault="00464987" w:rsidP="00464987">
      <w:pPr>
        <w:jc w:val="both"/>
        <w:rPr>
          <w:rFonts w:ascii="Arial" w:hAnsi="Arial" w:cs="Arial"/>
          <w:bCs/>
          <w:sz w:val="20"/>
          <w:szCs w:val="20"/>
        </w:rPr>
      </w:pPr>
      <w:r w:rsidRPr="003E78EC">
        <w:rPr>
          <w:rFonts w:ascii="Arial" w:hAnsi="Arial" w:cs="Arial"/>
          <w:bCs/>
          <w:sz w:val="20"/>
          <w:szCs w:val="20"/>
        </w:rPr>
        <w:t xml:space="preserve">The proposed agreement with the factoring company Grabbit Limited, states that </w:t>
      </w:r>
      <w:r w:rsidR="00F024D0">
        <w:rPr>
          <w:rFonts w:ascii="Arial" w:hAnsi="Arial" w:cs="Arial"/>
          <w:bCs/>
          <w:sz w:val="20"/>
          <w:szCs w:val="20"/>
        </w:rPr>
        <w:t xml:space="preserve">the </w:t>
      </w:r>
      <w:r w:rsidRPr="003E78EC">
        <w:rPr>
          <w:rFonts w:ascii="Arial" w:hAnsi="Arial" w:cs="Arial"/>
          <w:bCs/>
          <w:sz w:val="20"/>
          <w:szCs w:val="20"/>
        </w:rPr>
        <w:t>average trade debtor days will be reduced to 30 days, bad debts will be reduced by 40%</w:t>
      </w:r>
      <w:r w:rsidR="00F024D0">
        <w:rPr>
          <w:rFonts w:ascii="Arial" w:hAnsi="Arial" w:cs="Arial"/>
          <w:bCs/>
          <w:sz w:val="20"/>
          <w:szCs w:val="20"/>
        </w:rPr>
        <w:t>,</w:t>
      </w:r>
      <w:r w:rsidRPr="003E78EC">
        <w:rPr>
          <w:rFonts w:ascii="Arial" w:hAnsi="Arial" w:cs="Arial"/>
          <w:bCs/>
          <w:sz w:val="20"/>
          <w:szCs w:val="20"/>
        </w:rPr>
        <w:t xml:space="preserve"> and administration costs will be reduced by £25,000 per year.  </w:t>
      </w:r>
    </w:p>
    <w:p w14:paraId="6AABF02E" w14:textId="77777777" w:rsidR="00464987" w:rsidRPr="003E78EC" w:rsidRDefault="00464987" w:rsidP="00464987">
      <w:pPr>
        <w:jc w:val="both"/>
        <w:rPr>
          <w:rFonts w:ascii="Arial" w:hAnsi="Arial" w:cs="Arial"/>
          <w:bCs/>
          <w:sz w:val="20"/>
          <w:szCs w:val="20"/>
        </w:rPr>
      </w:pPr>
      <w:r w:rsidRPr="003E78EC">
        <w:rPr>
          <w:rFonts w:ascii="Arial" w:hAnsi="Arial" w:cs="Arial"/>
          <w:bCs/>
          <w:sz w:val="20"/>
          <w:szCs w:val="20"/>
        </w:rPr>
        <w:t>A condition of the factoring agreement is that Grabbit Limited would make an up-front payment to Mumbles Limited of 80% of the value of invoices raised, at an interest charge of 8% per year.  Grabbit Limited would charge an annual fee of 0·8% of credit sales.</w:t>
      </w:r>
    </w:p>
    <w:p w14:paraId="612A07E0" w14:textId="77777777" w:rsidR="00464987" w:rsidRPr="003E78EC" w:rsidRDefault="00464987" w:rsidP="00464987">
      <w:pPr>
        <w:rPr>
          <w:rFonts w:ascii="Arial" w:hAnsi="Arial" w:cs="Arial"/>
          <w:b/>
          <w:bCs/>
          <w:sz w:val="20"/>
          <w:szCs w:val="20"/>
        </w:rPr>
      </w:pPr>
      <w:r w:rsidRPr="003E78EC">
        <w:rPr>
          <w:rFonts w:ascii="Arial" w:hAnsi="Arial" w:cs="Arial"/>
          <w:b/>
          <w:bCs/>
          <w:sz w:val="20"/>
          <w:szCs w:val="20"/>
        </w:rPr>
        <w:t>Required:</w:t>
      </w:r>
    </w:p>
    <w:p w14:paraId="247CFD2F" w14:textId="149DDDC6" w:rsidR="00464987" w:rsidRPr="009B4B6A" w:rsidRDefault="00464987" w:rsidP="00464987">
      <w:pPr>
        <w:jc w:val="both"/>
        <w:rPr>
          <w:rFonts w:ascii="Arial" w:hAnsi="Arial" w:cs="Arial"/>
          <w:b/>
          <w:bCs/>
          <w:sz w:val="20"/>
          <w:szCs w:val="20"/>
        </w:rPr>
      </w:pPr>
      <w:r w:rsidRPr="009B4B6A">
        <w:rPr>
          <w:rFonts w:ascii="Arial" w:hAnsi="Arial" w:cs="Arial"/>
          <w:b/>
          <w:bCs/>
          <w:sz w:val="20"/>
          <w:szCs w:val="20"/>
        </w:rPr>
        <w:t>Define the term “Working Capital” and discuss the risks to the business of each element of working capital and how these risks can be mitigated by management actions.</w:t>
      </w:r>
    </w:p>
    <w:p w14:paraId="63072588" w14:textId="77777777" w:rsidR="00375064" w:rsidRDefault="00375064">
      <w:bookmarkStart w:id="0" w:name="_GoBack"/>
      <w:bookmarkEnd w:id="0"/>
    </w:p>
    <w:sectPr w:rsidR="003750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987"/>
    <w:rsid w:val="00375064"/>
    <w:rsid w:val="00464987"/>
    <w:rsid w:val="00F024D0"/>
    <w:rsid w:val="00FF4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4983A"/>
  <w15:docId w15:val="{FB5E1F63-A462-4B20-B9EC-13270BC9D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9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200</Words>
  <Characters>1144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2</cp:revision>
  <dcterms:created xsi:type="dcterms:W3CDTF">2020-03-30T16:00:00Z</dcterms:created>
  <dcterms:modified xsi:type="dcterms:W3CDTF">2020-03-30T16:00:00Z</dcterms:modified>
</cp:coreProperties>
</file>