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02151" w14:textId="77777777" w:rsidR="001515E6" w:rsidRDefault="001515E6" w:rsidP="001515E6">
      <w:pPr>
        <w:spacing w:line="480" w:lineRule="auto"/>
        <w:jc w:val="both"/>
        <w:rPr>
          <w:rFonts w:ascii="Times New Roman" w:hAnsi="Times New Roman" w:cs="Times New Roman"/>
          <w:sz w:val="24"/>
          <w:szCs w:val="24"/>
        </w:rPr>
      </w:pPr>
    </w:p>
    <w:p w14:paraId="010AF0AE" w14:textId="68D89E0A" w:rsidR="001515E6" w:rsidRDefault="001515E6" w:rsidP="001515E6">
      <w:pPr>
        <w:spacing w:line="480" w:lineRule="auto"/>
        <w:jc w:val="center"/>
        <w:rPr>
          <w:rFonts w:ascii="Times New Roman" w:hAnsi="Times New Roman" w:cs="Times New Roman"/>
          <w:b/>
          <w:sz w:val="24"/>
          <w:szCs w:val="24"/>
        </w:rPr>
      </w:pPr>
      <w:r>
        <w:rPr>
          <w:rFonts w:asciiTheme="minorHAnsi" w:hAnsiTheme="minorHAnsi" w:cstheme="minorBidi"/>
          <w:noProof/>
        </w:rPr>
        <w:drawing>
          <wp:anchor distT="0" distB="0" distL="114300" distR="114300" simplePos="0" relativeHeight="251658240" behindDoc="1" locked="0" layoutInCell="1" allowOverlap="1" wp14:anchorId="3EA4D806" wp14:editId="6C5A8CCE">
            <wp:simplePos x="0" y="0"/>
            <wp:positionH relativeFrom="column">
              <wp:posOffset>1022350</wp:posOffset>
            </wp:positionH>
            <wp:positionV relativeFrom="paragraph">
              <wp:posOffset>0</wp:posOffset>
            </wp:positionV>
            <wp:extent cx="3477895" cy="1739900"/>
            <wp:effectExtent l="0" t="0" r="8255" b="0"/>
            <wp:wrapTight wrapText="bothSides">
              <wp:wrapPolygon edited="0">
                <wp:start x="0" y="0"/>
                <wp:lineTo x="0" y="21285"/>
                <wp:lineTo x="21533" y="21285"/>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7895" cy="1739900"/>
                    </a:xfrm>
                    <a:prstGeom prst="rect">
                      <a:avLst/>
                    </a:prstGeom>
                    <a:noFill/>
                  </pic:spPr>
                </pic:pic>
              </a:graphicData>
            </a:graphic>
            <wp14:sizeRelH relativeFrom="margin">
              <wp14:pctWidth>0</wp14:pctWidth>
            </wp14:sizeRelH>
            <wp14:sizeRelV relativeFrom="margin">
              <wp14:pctHeight>0</wp14:pctHeight>
            </wp14:sizeRelV>
          </wp:anchor>
        </w:drawing>
      </w:r>
    </w:p>
    <w:p w14:paraId="1BBFE4EE" w14:textId="77777777" w:rsidR="001515E6" w:rsidRDefault="001515E6" w:rsidP="001515E6">
      <w:pPr>
        <w:spacing w:line="480" w:lineRule="auto"/>
        <w:jc w:val="center"/>
        <w:rPr>
          <w:rFonts w:ascii="Times New Roman" w:hAnsi="Times New Roman" w:cs="Times New Roman"/>
          <w:b/>
          <w:sz w:val="24"/>
          <w:szCs w:val="24"/>
        </w:rPr>
      </w:pPr>
    </w:p>
    <w:p w14:paraId="2BBE4E43" w14:textId="77777777" w:rsidR="001515E6" w:rsidRDefault="001515E6" w:rsidP="001515E6">
      <w:pPr>
        <w:spacing w:line="480" w:lineRule="auto"/>
        <w:jc w:val="center"/>
        <w:rPr>
          <w:rFonts w:ascii="Times New Roman" w:hAnsi="Times New Roman" w:cs="Times New Roman"/>
          <w:b/>
          <w:sz w:val="24"/>
          <w:szCs w:val="24"/>
        </w:rPr>
      </w:pPr>
    </w:p>
    <w:p w14:paraId="3ECD307A" w14:textId="77777777" w:rsidR="001515E6" w:rsidRDefault="001515E6" w:rsidP="001515E6">
      <w:pPr>
        <w:spacing w:line="480" w:lineRule="auto"/>
        <w:jc w:val="center"/>
        <w:rPr>
          <w:rFonts w:ascii="Times New Roman" w:hAnsi="Times New Roman" w:cs="Times New Roman"/>
          <w:color w:val="000000" w:themeColor="text1"/>
          <w:sz w:val="24"/>
          <w:szCs w:val="24"/>
        </w:rPr>
      </w:pPr>
    </w:p>
    <w:p w14:paraId="60C98921" w14:textId="77777777" w:rsidR="001515E6" w:rsidRDefault="001515E6" w:rsidP="001515E6">
      <w:pPr>
        <w:spacing w:line="480" w:lineRule="auto"/>
        <w:rPr>
          <w:rFonts w:ascii="Times New Roman" w:hAnsi="Times New Roman" w:cs="Times New Roman"/>
          <w:color w:val="000000" w:themeColor="text1"/>
          <w:sz w:val="24"/>
          <w:szCs w:val="24"/>
        </w:rPr>
      </w:pPr>
    </w:p>
    <w:p w14:paraId="2E9EA030" w14:textId="77777777" w:rsidR="001515E6" w:rsidRDefault="001515E6" w:rsidP="001515E6">
      <w:pPr>
        <w:spacing w:line="48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Name: Psalmist George Nana Kwasi King.</w:t>
      </w:r>
    </w:p>
    <w:p w14:paraId="16742C2E" w14:textId="77777777" w:rsidR="001515E6" w:rsidRDefault="001515E6" w:rsidP="001515E6">
      <w:pPr>
        <w:spacing w:line="480" w:lineRule="auto"/>
        <w:jc w:val="center"/>
        <w:rPr>
          <w:rFonts w:ascii="Times New Roman" w:hAnsi="Times New Roman" w:cs="Times New Roman"/>
          <w:color w:val="000000" w:themeColor="text1"/>
          <w:sz w:val="32"/>
          <w:szCs w:val="32"/>
        </w:rPr>
      </w:pPr>
    </w:p>
    <w:p w14:paraId="01CF92EB" w14:textId="77777777" w:rsidR="001515E6" w:rsidRDefault="001515E6" w:rsidP="001515E6">
      <w:pPr>
        <w:spacing w:line="48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Student No. 1606028</w:t>
      </w:r>
    </w:p>
    <w:p w14:paraId="1343E950" w14:textId="77777777" w:rsidR="001515E6" w:rsidRDefault="001515E6" w:rsidP="001515E6">
      <w:pPr>
        <w:spacing w:line="480" w:lineRule="auto"/>
        <w:jc w:val="center"/>
        <w:rPr>
          <w:rFonts w:ascii="Times New Roman" w:hAnsi="Times New Roman" w:cs="Times New Roman"/>
          <w:color w:val="000000" w:themeColor="text1"/>
          <w:sz w:val="32"/>
          <w:szCs w:val="32"/>
        </w:rPr>
      </w:pPr>
    </w:p>
    <w:p w14:paraId="2F5A4E6C" w14:textId="7A7CE7EB" w:rsidR="001515E6" w:rsidRDefault="001515E6" w:rsidP="001515E6">
      <w:pPr>
        <w:spacing w:line="48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Lecturer's Name: Jia Miao</w:t>
      </w:r>
    </w:p>
    <w:p w14:paraId="367F6418" w14:textId="77777777" w:rsidR="001515E6" w:rsidRDefault="001515E6" w:rsidP="001515E6">
      <w:pPr>
        <w:spacing w:line="480" w:lineRule="auto"/>
        <w:jc w:val="center"/>
        <w:rPr>
          <w:rFonts w:asciiTheme="minorHAnsi" w:hAnsiTheme="minorHAnsi" w:cstheme="minorBidi"/>
          <w:sz w:val="32"/>
          <w:szCs w:val="32"/>
        </w:rPr>
      </w:pPr>
    </w:p>
    <w:p w14:paraId="502FC4E9" w14:textId="22E5239F" w:rsidR="001515E6" w:rsidRDefault="001515E6" w:rsidP="001515E6">
      <w:pPr>
        <w:spacing w:line="480" w:lineRule="auto"/>
        <w:jc w:val="center"/>
        <w:rPr>
          <w:sz w:val="32"/>
          <w:szCs w:val="32"/>
        </w:rPr>
      </w:pPr>
      <w:r>
        <w:rPr>
          <w:sz w:val="32"/>
          <w:szCs w:val="32"/>
        </w:rPr>
        <w:t xml:space="preserve">Module Title: MBA Financial Management </w:t>
      </w:r>
    </w:p>
    <w:p w14:paraId="53A1F077" w14:textId="77777777" w:rsidR="001515E6" w:rsidRDefault="001515E6" w:rsidP="001515E6">
      <w:pPr>
        <w:spacing w:line="480" w:lineRule="auto"/>
        <w:jc w:val="center"/>
        <w:rPr>
          <w:sz w:val="32"/>
          <w:szCs w:val="32"/>
        </w:rPr>
      </w:pPr>
    </w:p>
    <w:p w14:paraId="0692EC8F" w14:textId="3DA07410" w:rsidR="001515E6" w:rsidRDefault="001515E6" w:rsidP="001515E6">
      <w:pPr>
        <w:spacing w:line="480" w:lineRule="auto"/>
        <w:jc w:val="center"/>
        <w:rPr>
          <w:rFonts w:ascii="Times New Roman" w:hAnsi="Times New Roman" w:cs="Times New Roman"/>
          <w:color w:val="000000" w:themeColor="text1"/>
          <w:sz w:val="32"/>
          <w:szCs w:val="32"/>
        </w:rPr>
      </w:pPr>
      <w:r>
        <w:rPr>
          <w:sz w:val="32"/>
          <w:szCs w:val="32"/>
        </w:rPr>
        <w:t>Module No. LCMB7002</w:t>
      </w:r>
    </w:p>
    <w:p w14:paraId="55947F9E" w14:textId="77777777" w:rsidR="003229A0" w:rsidRDefault="00AB0A4C">
      <w:pPr>
        <w:spacing w:line="480" w:lineRule="auto"/>
        <w:jc w:val="center"/>
        <w:rPr>
          <w:rFonts w:ascii="Times New Roman" w:hAnsi="Times New Roman" w:cs="Times New Roman"/>
          <w:sz w:val="24"/>
          <w:szCs w:val="24"/>
        </w:rPr>
      </w:pPr>
      <w:r>
        <w:rPr>
          <w:rFonts w:ascii="Times New Roman" w:hAnsi="Times New Roman" w:cs="Times New Roman"/>
          <w:sz w:val="24"/>
          <w:szCs w:val="24"/>
        </w:rPr>
        <w:br w:type="page"/>
      </w:r>
    </w:p>
    <w:p w14:paraId="3CF0A18C" w14:textId="77777777" w:rsidR="003229A0" w:rsidRDefault="00AB0A4C">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Coca-Cola Company Financial Performance Evaluation</w:t>
      </w:r>
    </w:p>
    <w:p w14:paraId="767246D5" w14:textId="77777777" w:rsidR="003229A0" w:rsidRDefault="00AB0A4C">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Coca-Cola Company Brief Background</w:t>
      </w:r>
    </w:p>
    <w:p w14:paraId="19144474"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Coca-Cola's background and history are traced back to the late 1800s in Atlanta, America. In 1886, John S Pemberton, a pharmacist, developed a syrup that was sold to a small community in his neighborhood. The drink was mainly sold to small parties and functions even though a significant quantity of the syrup was sold to Asa Chandler, a businessman.  John Pemberton sold the drink per glass when Joseph Biedenham introduced a new method of selling the syrup in glass bottles (Al Tunaji, 2019). A few years later, chandler sold the syrup's rights to a group of three businessmen who then took over the rights of bottling the product. For each bottle, these businessmen were required to pay one dollar. The Coca-Cola syrup at the time of its development was branded as a tonic used to treat various ailments and complications. In its development, Pemberton used a combination of cocaine and extracts from the coca leaf. With time the product increasingly became a lot more popular, and its market demand significantly increased, which saw the business again sold for $ 2300, giving birth to the Coca-Cola incorporation, which then started operating as Coca-Cola Company by 1892 (Anders, 2011). In 1893, the Coca-Cola Company was then registered in the US patent office, which transformed it into a legal operating entity of the United States.  However, not long before its incorporation, Coca-Cola was again sold for a purchase price of 25 million dollars in 1919 by a group of American investors under the leadership of Ernest Woodruff in the state of Atlanta (Pratap, 2017).  In the early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Coca-Cola began to penetrate the global market environment, such as India and East Germany, during 1993.  </w:t>
      </w:r>
    </w:p>
    <w:p w14:paraId="3992DF59"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Coca-Cola's background in the United Kingdom is similarly traced back to the early 1900s when the "son of Coca-Cola" first visited London.  During his first visit to London, Chandler arrived with about five gallons of the product, which he started selling by august 1900 in the United </w:t>
      </w:r>
      <w:r>
        <w:rPr>
          <w:rFonts w:ascii="Times New Roman" w:hAnsi="Times New Roman" w:cs="Times New Roman"/>
          <w:sz w:val="24"/>
          <w:szCs w:val="24"/>
        </w:rPr>
        <w:lastRenderedPageBreak/>
        <w:t>Kingdom. On the contrary, Asa did not make significant sales, and business was very inconsistent up around the 1920s when the product started making its way in the United Kingdom beverage market. Presently, Coca-Cola is known to be owning about six manufacturing plants in the whole of the UK. These centers, among others, include the Milton Keynes manufacturing center, which was built in 1976. The Milton Keynes center produces an estimated number of 60 million cases of Coca-Cola's products per year.  Secondly, the company also owns the Northampton distribution center, which was established in 1993. Currently, Coca-Cola is an established global brand with operations in various regions of the world and countries such as the UK, America, Australia, the Philippines, South Africa, and many other countries.  In all its operations, the global entity produces various products, including energy drinks and beverages such as Zico, coconut water, Fanta, Coca-Cola, minute maid, and sprite, among others.</w:t>
      </w:r>
    </w:p>
    <w:p w14:paraId="528F1E91"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Coca-Cola’s business model   </w:t>
      </w:r>
    </w:p>
    <w:p w14:paraId="57947438"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Coca-Cola Company operates under a broadly differentiated business strategy in which it offers products that are of high quality, packing, alongside promoting branding and brand loyalty.  Coca-Cola also has several other business practices in its business model in which it practices intensive product marketing and rigorous market reach (The Coca-Cola Company, 2018). The Coca-Cola Company has also, for long, been characterized as one of the world's leading quality producers in the highly competitive beverage industry. To ensure such effectiveness and performance, Coca-Cola’s business model is to focus on choice, the customer, and lastly, convenience (The Coca-Cola Company, 2017). The company undertakes several activities and processes, such as the continuous evolution of its business practices that can effectively support customer loyalty, satisfaction, and convenience in the market.  With such a business model and </w:t>
      </w:r>
      <w:r>
        <w:rPr>
          <w:rFonts w:ascii="Times New Roman" w:hAnsi="Times New Roman" w:cs="Times New Roman"/>
          <w:sz w:val="24"/>
          <w:szCs w:val="24"/>
        </w:rPr>
        <w:lastRenderedPageBreak/>
        <w:t>strategy, the multi-national entity has continued to serve all its customers on a global scale satisfactorily.</w:t>
      </w:r>
    </w:p>
    <w:p w14:paraId="753B767C"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Coca-Cola intends to use a multi-faceted business model that will give its customers what they want instead of producing what the company desires (Anders, 2011). In such a way, the company's management is undoubtedly the company's strategic objectives concerning convenience, the customer, and choice are fulfilled.  Therefore, it is a combination of such practices that will ensure that the entity's products will meet customer preferences and the ever-increasing health concerns among its consumers. For example, Coca-Cola has started producing several beverages that have low or no sugar concentrations. Such beverages, among others, include coke zero. Besides the above strategies, Coca-Cola is also applying the use of cost leadership in the market. Since it is an established global entity, Coca-Cola properly understands the different market dynamics, and it is through such an understanding of the market that can determine a leading market price for the products.</w:t>
      </w:r>
    </w:p>
    <w:p w14:paraId="053D73B4"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Coca-Cola’s market place </w:t>
      </w:r>
    </w:p>
    <w:p w14:paraId="218C6F39"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Coca-Cola is a multi-national business entity with operations in more than 200 countries across Africa, Europe, Latin America, and Asia (Coca Cola, 2019). In all its markets and regions of operation, Coca-Cola serves and distributes about 1.9 billion products on average, including soft and energy drinks. To ensure that such objectives are achieved, Coca-Cola employees several regional distributors and partners who reach out to its customers (Coca Cola, 2019). The company's marketplace comprises customers with varying needs, tastes, and preferences with an age bracket of 15 to 35 years. However, the company mostly focuses on non-alcoholic customers and the youths in all its markets (Pratap, 2017).</w:t>
      </w:r>
    </w:p>
    <w:p w14:paraId="2393A557"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Through its local distributors in the various market regions, Coca-Cola can serve customers through retail sellers, wholesale grocery individuals, among others. The company only makes the syrups and the beverages sold to various distributors and bottling agents who then reach out to the market directly (Hartogh, 2007).   </w:t>
      </w:r>
    </w:p>
    <w:p w14:paraId="723AC6F4"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Coca-Cola’s Major competitors</w:t>
      </w:r>
    </w:p>
    <w:p w14:paraId="53EF825D"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global beverage market industry is comprised of several market competitors, including domestic and international beverage manufacturers (The Coca-Cola Company, 2017).  Due to such a large number of market producers, the industry is extremely competitive. However, because Coca-Cola has been in the industry for a significant period, many of these competitors are relatively weak compared to the multi-national business entity. These small and regional competitors have a low level of competitive advantage, which renders them weak. Therefore, in a highly competitive industry, not so many manufacturers can pose significant competition to the entity. Such firms in the beverage industry include PepsiCo, Dr. Pepper Snapple, and nestle, among others. Of these highlighted few competitors, PepsiCo is the primary competitor to Coca-Cola in the global beverage market (Pratap, 2017).</w:t>
      </w:r>
    </w:p>
    <w:p w14:paraId="26691037"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Significant events in Coca-Cola in the past five years</w:t>
      </w:r>
    </w:p>
    <w:p w14:paraId="279FCD12"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response to the increasing market demands for more health consumption habits and the need to uphold its business model, Coca-Cola has taken strategic decisions regarding product modification in the last five years as one of its significant events. By 2017, Coca-Cola announced that it would be introducing new customer-centric products in the market: which will reduce that rate of sugar consumption among its customers. Such a decision, according to the company's governing body, would enhance the strategic approach of focusing on what the consumer wants </w:t>
      </w:r>
      <w:r>
        <w:rPr>
          <w:rFonts w:ascii="Times New Roman" w:hAnsi="Times New Roman" w:cs="Times New Roman"/>
          <w:sz w:val="24"/>
          <w:szCs w:val="24"/>
        </w:rPr>
        <w:lastRenderedPageBreak/>
        <w:t>rather than producing what the company desires (The Coca-Cola Company, 2015). Therefore, Coca-Cola decided to reduce the sugar concentration level in over 500 of its product brands in different market regions.  This decision was reached, and the already existing process, which saw 3900 of the company's products have reduced sugar levels.</w:t>
      </w:r>
    </w:p>
    <w:p w14:paraId="388B0322"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company has also announced its decision to participate in community awareness projects concerning low sugar consumption and the launching of new products with zero sugar percentages (The Coca-Cola Company, 2018).   Coca-Cola has invested significant sums of dollars in these health awareness campaigns in the last five years as part of its significant market events. New company products with no sugar on the market currently include coke zero, Coca-Cola life, diet, and Coca-Cola light, among other products.  </w:t>
      </w:r>
    </w:p>
    <w:p w14:paraId="4803EFCA"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Part B </w:t>
      </w:r>
    </w:p>
    <w:p w14:paraId="5A12FA50"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five-year financial performance analysis of Coca-Cola is conducted using various financial ratios, which are grouped according to different categories. In the analysis, the ratios that will be assessed will involve the liquidity assessment ratios, gearing ratios, profitability ratios, and efficiency ratios. Some of the examples of ratios that will be calculated in these categories will include the quick ratios, return on assets, and return on equity.  Gearing ratios that will be calculated will include the Debt to equity ratio and the company's debt ratio. Each category of the financial performance ratios will be calculated as indicated below in the different tables for the five-year period of Coca-Cola.</w:t>
      </w:r>
    </w:p>
    <w:p w14:paraId="2137E268" w14:textId="77777777" w:rsidR="00825A60" w:rsidRDefault="00825A60">
      <w:pPr>
        <w:spacing w:line="480" w:lineRule="auto"/>
        <w:ind w:firstLine="720"/>
        <w:jc w:val="both"/>
        <w:rPr>
          <w:rFonts w:ascii="Times New Roman" w:hAnsi="Times New Roman" w:cs="Times New Roman"/>
          <w:b/>
          <w:sz w:val="24"/>
          <w:szCs w:val="24"/>
        </w:rPr>
      </w:pPr>
    </w:p>
    <w:p w14:paraId="0B491ECE" w14:textId="77777777" w:rsidR="00825A60" w:rsidRDefault="00825A60">
      <w:pPr>
        <w:spacing w:line="480" w:lineRule="auto"/>
        <w:ind w:firstLine="720"/>
        <w:jc w:val="both"/>
        <w:rPr>
          <w:rFonts w:ascii="Times New Roman" w:hAnsi="Times New Roman" w:cs="Times New Roman"/>
          <w:b/>
          <w:sz w:val="24"/>
          <w:szCs w:val="24"/>
        </w:rPr>
      </w:pPr>
    </w:p>
    <w:p w14:paraId="2D1B903C" w14:textId="77777777" w:rsidR="00825A60" w:rsidRDefault="00825A60">
      <w:pPr>
        <w:spacing w:line="480" w:lineRule="auto"/>
        <w:ind w:firstLine="720"/>
        <w:jc w:val="both"/>
        <w:rPr>
          <w:rFonts w:ascii="Times New Roman" w:hAnsi="Times New Roman" w:cs="Times New Roman"/>
          <w:b/>
          <w:sz w:val="24"/>
          <w:szCs w:val="24"/>
        </w:rPr>
      </w:pPr>
    </w:p>
    <w:p w14:paraId="2519B86A" w14:textId="0F2F855A"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b/>
          <w:sz w:val="24"/>
          <w:szCs w:val="24"/>
        </w:rPr>
        <w:lastRenderedPageBreak/>
        <w:t>PROFITABILITY RATIOS (ROE and ROA</w:t>
      </w:r>
      <w:r>
        <w:rPr>
          <w:rFonts w:ascii="Times New Roman" w:hAnsi="Times New Roman" w:cs="Times New Roman"/>
          <w:sz w:val="24"/>
          <w:szCs w:val="24"/>
        </w:rPr>
        <w:t>)</w:t>
      </w:r>
    </w:p>
    <w:p w14:paraId="66C47CD1"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Return on equity (ROE)</w:t>
      </w:r>
    </w:p>
    <w:p w14:paraId="1AF5549D"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return on equity ratio is a profitability financial ratio mechanism through which an entity's profitability performance is analyzed in relation to its total equity. Therefore, the ratio is used to determine the company's ability to generate profits while using its shareholder's equity. Mathematically, the return on equity is determined by dividing the entity's net income by its total shareholder's equity and multiplied by 100. ROE is therefore denoted as a percentage, and even though the acceptable ROE varies for each industry, it is essential to note that an ROE between 10 to 15percent is always considered essential. The table below shows Coca-Cola's five-year ROE. </w:t>
      </w:r>
    </w:p>
    <w:p w14:paraId="7E0CA90A" w14:textId="77777777" w:rsidR="008A54D0" w:rsidRDefault="008A54D0">
      <w:pPr>
        <w:jc w:val="both"/>
        <w:rPr>
          <w:rFonts w:ascii="Times New Roman" w:hAnsi="Times New Roman" w:cs="Times New Roman"/>
          <w:sz w:val="24"/>
          <w:szCs w:val="24"/>
        </w:rPr>
      </w:pPr>
    </w:p>
    <w:p w14:paraId="50BBDA15" w14:textId="68C8E52C" w:rsidR="003229A0" w:rsidRDefault="00AB0A4C">
      <w:pPr>
        <w:jc w:val="both"/>
        <w:rPr>
          <w:rFonts w:ascii="Times New Roman" w:hAnsi="Times New Roman" w:cs="Times New Roman"/>
          <w:sz w:val="24"/>
          <w:szCs w:val="24"/>
        </w:rPr>
      </w:pPr>
      <w:r>
        <w:rPr>
          <w:rFonts w:ascii="Times New Roman" w:hAnsi="Times New Roman" w:cs="Times New Roman"/>
          <w:sz w:val="24"/>
          <w:szCs w:val="24"/>
        </w:rPr>
        <w:t>Table 1: Coca-Cola’s five-year</w:t>
      </w:r>
    </w:p>
    <w:tbl>
      <w:tblPr>
        <w:tblW w:w="9060" w:type="dxa"/>
        <w:tblInd w:w="-5" w:type="dxa"/>
        <w:tblLook w:val="04A0" w:firstRow="1" w:lastRow="0" w:firstColumn="1" w:lastColumn="0" w:noHBand="0" w:noVBand="1"/>
      </w:tblPr>
      <w:tblGrid>
        <w:gridCol w:w="4012"/>
        <w:gridCol w:w="991"/>
        <w:gridCol w:w="1088"/>
        <w:gridCol w:w="1088"/>
        <w:gridCol w:w="1088"/>
        <w:gridCol w:w="1088"/>
      </w:tblGrid>
      <w:tr w:rsidR="003229A0" w14:paraId="4E1DB5ED" w14:textId="77777777">
        <w:trPr>
          <w:trHeight w:val="300"/>
        </w:trPr>
        <w:tc>
          <w:tcPr>
            <w:tcW w:w="5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AA49AB"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return on equity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CD9107F"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E5A96C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457246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76177873" w14:textId="77777777">
        <w:trPr>
          <w:trHeight w:val="300"/>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64D92BD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480" w:type="dxa"/>
            <w:tcBorders>
              <w:top w:val="nil"/>
              <w:left w:val="nil"/>
              <w:bottom w:val="single" w:sz="4" w:space="0" w:color="auto"/>
              <w:right w:val="single" w:sz="4" w:space="0" w:color="auto"/>
            </w:tcBorders>
            <w:shd w:val="clear" w:color="auto" w:fill="auto"/>
            <w:noWrap/>
            <w:vAlign w:val="bottom"/>
            <w:hideMark/>
          </w:tcPr>
          <w:p w14:paraId="7A73189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480" w:type="dxa"/>
            <w:tcBorders>
              <w:top w:val="nil"/>
              <w:left w:val="nil"/>
              <w:bottom w:val="single" w:sz="4" w:space="0" w:color="auto"/>
              <w:right w:val="single" w:sz="4" w:space="0" w:color="auto"/>
            </w:tcBorders>
            <w:shd w:val="clear" w:color="auto" w:fill="auto"/>
            <w:noWrap/>
            <w:vAlign w:val="bottom"/>
            <w:hideMark/>
          </w:tcPr>
          <w:p w14:paraId="2C842C8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1060" w:type="dxa"/>
            <w:tcBorders>
              <w:top w:val="nil"/>
              <w:left w:val="nil"/>
              <w:bottom w:val="single" w:sz="4" w:space="0" w:color="auto"/>
              <w:right w:val="single" w:sz="4" w:space="0" w:color="auto"/>
            </w:tcBorders>
            <w:shd w:val="clear" w:color="auto" w:fill="auto"/>
            <w:noWrap/>
            <w:vAlign w:val="bottom"/>
            <w:hideMark/>
          </w:tcPr>
          <w:p w14:paraId="65AC393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060" w:type="dxa"/>
            <w:tcBorders>
              <w:top w:val="nil"/>
              <w:left w:val="nil"/>
              <w:bottom w:val="single" w:sz="4" w:space="0" w:color="auto"/>
              <w:right w:val="single" w:sz="4" w:space="0" w:color="auto"/>
            </w:tcBorders>
            <w:shd w:val="clear" w:color="auto" w:fill="auto"/>
            <w:noWrap/>
            <w:vAlign w:val="bottom"/>
            <w:hideMark/>
          </w:tcPr>
          <w:p w14:paraId="1B1CB3F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060" w:type="dxa"/>
            <w:tcBorders>
              <w:top w:val="nil"/>
              <w:left w:val="nil"/>
              <w:bottom w:val="single" w:sz="4" w:space="0" w:color="auto"/>
              <w:right w:val="single" w:sz="4" w:space="0" w:color="auto"/>
            </w:tcBorders>
            <w:shd w:val="clear" w:color="auto" w:fill="auto"/>
            <w:noWrap/>
            <w:vAlign w:val="bottom"/>
            <w:hideMark/>
          </w:tcPr>
          <w:p w14:paraId="373136F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079A3823" w14:textId="77777777">
        <w:trPr>
          <w:trHeight w:val="300"/>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7D74CD3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net income </w:t>
            </w:r>
          </w:p>
        </w:tc>
        <w:tc>
          <w:tcPr>
            <w:tcW w:w="480" w:type="dxa"/>
            <w:tcBorders>
              <w:top w:val="nil"/>
              <w:left w:val="nil"/>
              <w:bottom w:val="single" w:sz="4" w:space="0" w:color="auto"/>
              <w:right w:val="single" w:sz="4" w:space="0" w:color="auto"/>
            </w:tcBorders>
            <w:shd w:val="clear" w:color="auto" w:fill="auto"/>
            <w:noWrap/>
            <w:vAlign w:val="bottom"/>
            <w:hideMark/>
          </w:tcPr>
          <w:p w14:paraId="04F2619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$8,497.00</w:t>
            </w:r>
          </w:p>
        </w:tc>
        <w:tc>
          <w:tcPr>
            <w:tcW w:w="480" w:type="dxa"/>
            <w:tcBorders>
              <w:top w:val="nil"/>
              <w:left w:val="nil"/>
              <w:bottom w:val="single" w:sz="4" w:space="0" w:color="auto"/>
              <w:right w:val="single" w:sz="4" w:space="0" w:color="auto"/>
            </w:tcBorders>
            <w:shd w:val="clear" w:color="auto" w:fill="auto"/>
            <w:noWrap/>
            <w:vAlign w:val="bottom"/>
            <w:hideMark/>
          </w:tcPr>
          <w:p w14:paraId="6195F1B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$6,434.00</w:t>
            </w:r>
          </w:p>
        </w:tc>
        <w:tc>
          <w:tcPr>
            <w:tcW w:w="1060" w:type="dxa"/>
            <w:tcBorders>
              <w:top w:val="nil"/>
              <w:left w:val="nil"/>
              <w:bottom w:val="single" w:sz="4" w:space="0" w:color="auto"/>
              <w:right w:val="single" w:sz="4" w:space="0" w:color="auto"/>
            </w:tcBorders>
            <w:shd w:val="clear" w:color="auto" w:fill="auto"/>
            <w:noWrap/>
            <w:vAlign w:val="bottom"/>
            <w:hideMark/>
          </w:tcPr>
          <w:p w14:paraId="50678F04"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$1,248.00</w:t>
            </w:r>
          </w:p>
        </w:tc>
        <w:tc>
          <w:tcPr>
            <w:tcW w:w="1060" w:type="dxa"/>
            <w:tcBorders>
              <w:top w:val="nil"/>
              <w:left w:val="nil"/>
              <w:bottom w:val="single" w:sz="4" w:space="0" w:color="auto"/>
              <w:right w:val="single" w:sz="4" w:space="0" w:color="auto"/>
            </w:tcBorders>
            <w:shd w:val="clear" w:color="auto" w:fill="auto"/>
            <w:noWrap/>
            <w:vAlign w:val="bottom"/>
            <w:hideMark/>
          </w:tcPr>
          <w:p w14:paraId="2FE65E8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$6,527.00</w:t>
            </w:r>
          </w:p>
        </w:tc>
        <w:tc>
          <w:tcPr>
            <w:tcW w:w="1060" w:type="dxa"/>
            <w:tcBorders>
              <w:top w:val="nil"/>
              <w:left w:val="nil"/>
              <w:bottom w:val="single" w:sz="4" w:space="0" w:color="auto"/>
              <w:right w:val="single" w:sz="4" w:space="0" w:color="auto"/>
            </w:tcBorders>
            <w:shd w:val="clear" w:color="auto" w:fill="auto"/>
            <w:noWrap/>
            <w:vAlign w:val="bottom"/>
            <w:hideMark/>
          </w:tcPr>
          <w:p w14:paraId="33C42A5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$7,351.00</w:t>
            </w:r>
          </w:p>
        </w:tc>
      </w:tr>
      <w:tr w:rsidR="003229A0" w14:paraId="1D88BDDB" w14:textId="77777777">
        <w:trPr>
          <w:trHeight w:val="300"/>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42683DF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shareholder’s equity </w:t>
            </w:r>
          </w:p>
        </w:tc>
        <w:tc>
          <w:tcPr>
            <w:tcW w:w="480" w:type="dxa"/>
            <w:tcBorders>
              <w:top w:val="nil"/>
              <w:left w:val="nil"/>
              <w:bottom w:val="single" w:sz="4" w:space="0" w:color="auto"/>
              <w:right w:val="single" w:sz="4" w:space="0" w:color="auto"/>
            </w:tcBorders>
            <w:shd w:val="clear" w:color="auto" w:fill="auto"/>
            <w:noWrap/>
            <w:vAlign w:val="bottom"/>
            <w:hideMark/>
          </w:tcPr>
          <w:p w14:paraId="341E808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$6,156.00</w:t>
            </w:r>
          </w:p>
        </w:tc>
        <w:tc>
          <w:tcPr>
            <w:tcW w:w="480" w:type="dxa"/>
            <w:tcBorders>
              <w:top w:val="nil"/>
              <w:left w:val="nil"/>
              <w:bottom w:val="single" w:sz="4" w:space="0" w:color="auto"/>
              <w:right w:val="single" w:sz="4" w:space="0" w:color="auto"/>
            </w:tcBorders>
            <w:shd w:val="clear" w:color="auto" w:fill="auto"/>
            <w:noWrap/>
            <w:vAlign w:val="bottom"/>
            <w:hideMark/>
          </w:tcPr>
          <w:p w14:paraId="11368E2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$19,058.00</w:t>
            </w:r>
          </w:p>
        </w:tc>
        <w:tc>
          <w:tcPr>
            <w:tcW w:w="1060" w:type="dxa"/>
            <w:tcBorders>
              <w:top w:val="nil"/>
              <w:left w:val="nil"/>
              <w:bottom w:val="single" w:sz="4" w:space="0" w:color="auto"/>
              <w:right w:val="single" w:sz="4" w:space="0" w:color="auto"/>
            </w:tcBorders>
            <w:shd w:val="clear" w:color="auto" w:fill="auto"/>
            <w:noWrap/>
            <w:vAlign w:val="bottom"/>
            <w:hideMark/>
          </w:tcPr>
          <w:p w14:paraId="74F8E58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$18,977.00</w:t>
            </w:r>
          </w:p>
        </w:tc>
        <w:tc>
          <w:tcPr>
            <w:tcW w:w="1060" w:type="dxa"/>
            <w:tcBorders>
              <w:top w:val="nil"/>
              <w:left w:val="nil"/>
              <w:bottom w:val="single" w:sz="4" w:space="0" w:color="auto"/>
              <w:right w:val="single" w:sz="4" w:space="0" w:color="auto"/>
            </w:tcBorders>
            <w:shd w:val="clear" w:color="auto" w:fill="auto"/>
            <w:noWrap/>
            <w:vAlign w:val="bottom"/>
            <w:hideMark/>
          </w:tcPr>
          <w:p w14:paraId="0B89768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$23,220.00</w:t>
            </w:r>
          </w:p>
        </w:tc>
        <w:tc>
          <w:tcPr>
            <w:tcW w:w="1060" w:type="dxa"/>
            <w:tcBorders>
              <w:top w:val="nil"/>
              <w:left w:val="nil"/>
              <w:bottom w:val="single" w:sz="4" w:space="0" w:color="auto"/>
              <w:right w:val="single" w:sz="4" w:space="0" w:color="auto"/>
            </w:tcBorders>
            <w:shd w:val="clear" w:color="auto" w:fill="auto"/>
            <w:noWrap/>
            <w:vAlign w:val="bottom"/>
            <w:hideMark/>
          </w:tcPr>
          <w:p w14:paraId="3396069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$25,764.00</w:t>
            </w:r>
          </w:p>
        </w:tc>
      </w:tr>
      <w:tr w:rsidR="003229A0" w14:paraId="6E2C6058" w14:textId="77777777">
        <w:trPr>
          <w:trHeight w:val="300"/>
        </w:trPr>
        <w:tc>
          <w:tcPr>
            <w:tcW w:w="4920" w:type="dxa"/>
            <w:tcBorders>
              <w:top w:val="nil"/>
              <w:left w:val="single" w:sz="4" w:space="0" w:color="auto"/>
              <w:bottom w:val="single" w:sz="4" w:space="0" w:color="auto"/>
              <w:right w:val="single" w:sz="4" w:space="0" w:color="auto"/>
            </w:tcBorders>
            <w:shd w:val="clear" w:color="auto" w:fill="auto"/>
            <w:noWrap/>
            <w:vAlign w:val="bottom"/>
            <w:hideMark/>
          </w:tcPr>
          <w:p w14:paraId="21E847F6" w14:textId="77777777" w:rsidR="003229A0" w:rsidRDefault="00AB0A4C">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ROE </w:t>
            </w:r>
          </w:p>
        </w:tc>
        <w:tc>
          <w:tcPr>
            <w:tcW w:w="480" w:type="dxa"/>
            <w:tcBorders>
              <w:top w:val="nil"/>
              <w:left w:val="nil"/>
              <w:bottom w:val="single" w:sz="4" w:space="0" w:color="auto"/>
              <w:right w:val="single" w:sz="4" w:space="0" w:color="auto"/>
            </w:tcBorders>
            <w:shd w:val="clear" w:color="auto" w:fill="auto"/>
            <w:noWrap/>
            <w:vAlign w:val="bottom"/>
            <w:hideMark/>
          </w:tcPr>
          <w:p w14:paraId="671D743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138%</w:t>
            </w:r>
          </w:p>
        </w:tc>
        <w:tc>
          <w:tcPr>
            <w:tcW w:w="480" w:type="dxa"/>
            <w:tcBorders>
              <w:top w:val="nil"/>
              <w:left w:val="nil"/>
              <w:bottom w:val="single" w:sz="4" w:space="0" w:color="auto"/>
              <w:right w:val="single" w:sz="4" w:space="0" w:color="auto"/>
            </w:tcBorders>
            <w:shd w:val="clear" w:color="auto" w:fill="auto"/>
            <w:noWrap/>
            <w:vAlign w:val="bottom"/>
            <w:hideMark/>
          </w:tcPr>
          <w:p w14:paraId="6FFF751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1060" w:type="dxa"/>
            <w:tcBorders>
              <w:top w:val="nil"/>
              <w:left w:val="nil"/>
              <w:bottom w:val="single" w:sz="4" w:space="0" w:color="auto"/>
              <w:right w:val="single" w:sz="4" w:space="0" w:color="auto"/>
            </w:tcBorders>
            <w:shd w:val="clear" w:color="auto" w:fill="auto"/>
            <w:noWrap/>
            <w:vAlign w:val="bottom"/>
            <w:hideMark/>
          </w:tcPr>
          <w:p w14:paraId="363C8FE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060" w:type="dxa"/>
            <w:tcBorders>
              <w:top w:val="nil"/>
              <w:left w:val="nil"/>
              <w:bottom w:val="single" w:sz="4" w:space="0" w:color="auto"/>
              <w:right w:val="single" w:sz="4" w:space="0" w:color="auto"/>
            </w:tcBorders>
            <w:shd w:val="clear" w:color="auto" w:fill="auto"/>
            <w:noWrap/>
            <w:vAlign w:val="bottom"/>
            <w:hideMark/>
          </w:tcPr>
          <w:p w14:paraId="4C6A98D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p>
        </w:tc>
        <w:tc>
          <w:tcPr>
            <w:tcW w:w="1060" w:type="dxa"/>
            <w:tcBorders>
              <w:top w:val="nil"/>
              <w:left w:val="nil"/>
              <w:bottom w:val="single" w:sz="4" w:space="0" w:color="auto"/>
              <w:right w:val="single" w:sz="4" w:space="0" w:color="auto"/>
            </w:tcBorders>
            <w:shd w:val="clear" w:color="auto" w:fill="auto"/>
            <w:noWrap/>
            <w:vAlign w:val="bottom"/>
            <w:hideMark/>
          </w:tcPr>
          <w:p w14:paraId="30775CB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p>
        </w:tc>
      </w:tr>
    </w:tbl>
    <w:p w14:paraId="377912F2" w14:textId="46BDDF97" w:rsidR="003229A0" w:rsidRDefault="003229A0">
      <w:pPr>
        <w:jc w:val="both"/>
        <w:rPr>
          <w:rFonts w:ascii="Times New Roman" w:hAnsi="Times New Roman" w:cs="Times New Roman"/>
          <w:sz w:val="24"/>
          <w:szCs w:val="24"/>
        </w:rPr>
      </w:pPr>
    </w:p>
    <w:p w14:paraId="7D37808A" w14:textId="77777777" w:rsidR="008A54D0" w:rsidRDefault="008A54D0">
      <w:pPr>
        <w:jc w:val="both"/>
        <w:rPr>
          <w:rFonts w:ascii="Times New Roman" w:hAnsi="Times New Roman" w:cs="Times New Roman"/>
          <w:sz w:val="24"/>
          <w:szCs w:val="24"/>
        </w:rPr>
      </w:pPr>
    </w:p>
    <w:p w14:paraId="3AD894DF"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 xml:space="preserve">Table 2:  Coca-Cola’s five-year ROA </w:t>
      </w:r>
    </w:p>
    <w:tbl>
      <w:tblPr>
        <w:tblW w:w="8100" w:type="dxa"/>
        <w:tblInd w:w="-5" w:type="dxa"/>
        <w:tblLook w:val="04A0" w:firstRow="1" w:lastRow="0" w:firstColumn="1" w:lastColumn="0" w:noHBand="0" w:noVBand="1"/>
      </w:tblPr>
      <w:tblGrid>
        <w:gridCol w:w="2340"/>
        <w:gridCol w:w="1520"/>
        <w:gridCol w:w="1296"/>
        <w:gridCol w:w="1296"/>
        <w:gridCol w:w="1296"/>
        <w:gridCol w:w="1296"/>
      </w:tblGrid>
      <w:tr w:rsidR="003229A0" w14:paraId="6F8C469D" w14:textId="77777777">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4096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5E7883F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06B574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0FFE947"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4A5224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E20132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138289AE"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737DE7B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net income </w:t>
            </w:r>
          </w:p>
        </w:tc>
        <w:tc>
          <w:tcPr>
            <w:tcW w:w="1520" w:type="dxa"/>
            <w:tcBorders>
              <w:top w:val="nil"/>
              <w:left w:val="nil"/>
              <w:bottom w:val="single" w:sz="4" w:space="0" w:color="auto"/>
              <w:right w:val="single" w:sz="4" w:space="0" w:color="auto"/>
            </w:tcBorders>
            <w:shd w:val="clear" w:color="auto" w:fill="auto"/>
            <w:noWrap/>
            <w:vAlign w:val="bottom"/>
            <w:hideMark/>
          </w:tcPr>
          <w:p w14:paraId="40308E3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$8,497.00</w:t>
            </w:r>
          </w:p>
        </w:tc>
        <w:tc>
          <w:tcPr>
            <w:tcW w:w="1060" w:type="dxa"/>
            <w:tcBorders>
              <w:top w:val="nil"/>
              <w:left w:val="nil"/>
              <w:bottom w:val="single" w:sz="4" w:space="0" w:color="auto"/>
              <w:right w:val="single" w:sz="4" w:space="0" w:color="auto"/>
            </w:tcBorders>
            <w:shd w:val="clear" w:color="auto" w:fill="auto"/>
            <w:noWrap/>
            <w:vAlign w:val="bottom"/>
            <w:hideMark/>
          </w:tcPr>
          <w:p w14:paraId="21CB8E6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$6,434.00</w:t>
            </w:r>
          </w:p>
        </w:tc>
        <w:tc>
          <w:tcPr>
            <w:tcW w:w="1060" w:type="dxa"/>
            <w:tcBorders>
              <w:top w:val="nil"/>
              <w:left w:val="nil"/>
              <w:bottom w:val="single" w:sz="4" w:space="0" w:color="auto"/>
              <w:right w:val="single" w:sz="4" w:space="0" w:color="auto"/>
            </w:tcBorders>
            <w:shd w:val="clear" w:color="auto" w:fill="auto"/>
            <w:noWrap/>
            <w:vAlign w:val="bottom"/>
            <w:hideMark/>
          </w:tcPr>
          <w:p w14:paraId="1922930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$1,248.00</w:t>
            </w:r>
          </w:p>
        </w:tc>
        <w:tc>
          <w:tcPr>
            <w:tcW w:w="1060" w:type="dxa"/>
            <w:tcBorders>
              <w:top w:val="nil"/>
              <w:left w:val="nil"/>
              <w:bottom w:val="single" w:sz="4" w:space="0" w:color="auto"/>
              <w:right w:val="single" w:sz="4" w:space="0" w:color="auto"/>
            </w:tcBorders>
            <w:shd w:val="clear" w:color="auto" w:fill="auto"/>
            <w:noWrap/>
            <w:vAlign w:val="bottom"/>
            <w:hideMark/>
          </w:tcPr>
          <w:p w14:paraId="5E705C2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$6,527.00</w:t>
            </w:r>
          </w:p>
        </w:tc>
        <w:tc>
          <w:tcPr>
            <w:tcW w:w="1060" w:type="dxa"/>
            <w:tcBorders>
              <w:top w:val="nil"/>
              <w:left w:val="nil"/>
              <w:bottom w:val="single" w:sz="4" w:space="0" w:color="auto"/>
              <w:right w:val="single" w:sz="4" w:space="0" w:color="auto"/>
            </w:tcBorders>
            <w:shd w:val="clear" w:color="auto" w:fill="auto"/>
            <w:noWrap/>
            <w:vAlign w:val="bottom"/>
            <w:hideMark/>
          </w:tcPr>
          <w:p w14:paraId="178CE6E4"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$7,351.00</w:t>
            </w:r>
          </w:p>
        </w:tc>
      </w:tr>
      <w:tr w:rsidR="003229A0" w14:paraId="480FEBBC"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1E88B5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total assets </w:t>
            </w:r>
          </w:p>
        </w:tc>
        <w:tc>
          <w:tcPr>
            <w:tcW w:w="1520" w:type="dxa"/>
            <w:tcBorders>
              <w:top w:val="nil"/>
              <w:left w:val="nil"/>
              <w:bottom w:val="single" w:sz="4" w:space="0" w:color="auto"/>
              <w:right w:val="single" w:sz="4" w:space="0" w:color="auto"/>
            </w:tcBorders>
            <w:shd w:val="clear" w:color="auto" w:fill="auto"/>
            <w:noWrap/>
            <w:vAlign w:val="bottom"/>
            <w:hideMark/>
          </w:tcPr>
          <w:p w14:paraId="2135514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$307,569.00</w:t>
            </w:r>
          </w:p>
        </w:tc>
        <w:tc>
          <w:tcPr>
            <w:tcW w:w="1060" w:type="dxa"/>
            <w:tcBorders>
              <w:top w:val="nil"/>
              <w:left w:val="nil"/>
              <w:bottom w:val="single" w:sz="4" w:space="0" w:color="auto"/>
              <w:right w:val="single" w:sz="4" w:space="0" w:color="auto"/>
            </w:tcBorders>
            <w:shd w:val="clear" w:color="auto" w:fill="auto"/>
            <w:noWrap/>
            <w:vAlign w:val="bottom"/>
            <w:hideMark/>
          </w:tcPr>
          <w:p w14:paraId="157B189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$83,216.00</w:t>
            </w:r>
          </w:p>
        </w:tc>
        <w:tc>
          <w:tcPr>
            <w:tcW w:w="1060" w:type="dxa"/>
            <w:tcBorders>
              <w:top w:val="nil"/>
              <w:left w:val="nil"/>
              <w:bottom w:val="single" w:sz="4" w:space="0" w:color="auto"/>
              <w:right w:val="single" w:sz="4" w:space="0" w:color="auto"/>
            </w:tcBorders>
            <w:shd w:val="clear" w:color="auto" w:fill="auto"/>
            <w:noWrap/>
            <w:vAlign w:val="bottom"/>
            <w:hideMark/>
          </w:tcPr>
          <w:p w14:paraId="2E6BE50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$87,896.00</w:t>
            </w:r>
          </w:p>
        </w:tc>
        <w:tc>
          <w:tcPr>
            <w:tcW w:w="1060" w:type="dxa"/>
            <w:tcBorders>
              <w:top w:val="nil"/>
              <w:left w:val="nil"/>
              <w:bottom w:val="single" w:sz="4" w:space="0" w:color="auto"/>
              <w:right w:val="single" w:sz="4" w:space="0" w:color="auto"/>
            </w:tcBorders>
            <w:shd w:val="clear" w:color="auto" w:fill="auto"/>
            <w:noWrap/>
            <w:vAlign w:val="bottom"/>
            <w:hideMark/>
          </w:tcPr>
          <w:p w14:paraId="7C3DF48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$87,270.00</w:t>
            </w:r>
          </w:p>
        </w:tc>
        <w:tc>
          <w:tcPr>
            <w:tcW w:w="1060" w:type="dxa"/>
            <w:tcBorders>
              <w:top w:val="nil"/>
              <w:left w:val="nil"/>
              <w:bottom w:val="single" w:sz="4" w:space="0" w:color="auto"/>
              <w:right w:val="single" w:sz="4" w:space="0" w:color="auto"/>
            </w:tcBorders>
            <w:shd w:val="clear" w:color="auto" w:fill="auto"/>
            <w:noWrap/>
            <w:vAlign w:val="bottom"/>
            <w:hideMark/>
          </w:tcPr>
          <w:p w14:paraId="6FDB3868"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$90,093.00</w:t>
            </w:r>
          </w:p>
        </w:tc>
      </w:tr>
      <w:tr w:rsidR="003229A0" w14:paraId="36F0D369"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25D3722D" w14:textId="77777777" w:rsidR="003229A0" w:rsidRDefault="00AB0A4C">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ROA </w:t>
            </w:r>
          </w:p>
        </w:tc>
        <w:tc>
          <w:tcPr>
            <w:tcW w:w="1520" w:type="dxa"/>
            <w:tcBorders>
              <w:top w:val="nil"/>
              <w:left w:val="nil"/>
              <w:bottom w:val="single" w:sz="4" w:space="0" w:color="auto"/>
              <w:right w:val="single" w:sz="4" w:space="0" w:color="auto"/>
            </w:tcBorders>
            <w:shd w:val="clear" w:color="auto" w:fill="auto"/>
            <w:noWrap/>
            <w:vAlign w:val="bottom"/>
            <w:hideMark/>
          </w:tcPr>
          <w:p w14:paraId="3BCFEAE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060" w:type="dxa"/>
            <w:tcBorders>
              <w:top w:val="nil"/>
              <w:left w:val="nil"/>
              <w:bottom w:val="single" w:sz="4" w:space="0" w:color="auto"/>
              <w:right w:val="single" w:sz="4" w:space="0" w:color="auto"/>
            </w:tcBorders>
            <w:shd w:val="clear" w:color="auto" w:fill="auto"/>
            <w:noWrap/>
            <w:vAlign w:val="bottom"/>
            <w:hideMark/>
          </w:tcPr>
          <w:p w14:paraId="3272C55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1060" w:type="dxa"/>
            <w:tcBorders>
              <w:top w:val="nil"/>
              <w:left w:val="nil"/>
              <w:bottom w:val="single" w:sz="4" w:space="0" w:color="auto"/>
              <w:right w:val="single" w:sz="4" w:space="0" w:color="auto"/>
            </w:tcBorders>
            <w:shd w:val="clear" w:color="auto" w:fill="auto"/>
            <w:noWrap/>
            <w:vAlign w:val="bottom"/>
            <w:hideMark/>
          </w:tcPr>
          <w:p w14:paraId="7809109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060" w:type="dxa"/>
            <w:tcBorders>
              <w:top w:val="nil"/>
              <w:left w:val="nil"/>
              <w:bottom w:val="single" w:sz="4" w:space="0" w:color="auto"/>
              <w:right w:val="single" w:sz="4" w:space="0" w:color="auto"/>
            </w:tcBorders>
            <w:shd w:val="clear" w:color="auto" w:fill="auto"/>
            <w:noWrap/>
            <w:vAlign w:val="bottom"/>
            <w:hideMark/>
          </w:tcPr>
          <w:p w14:paraId="0ECD577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060" w:type="dxa"/>
            <w:tcBorders>
              <w:top w:val="nil"/>
              <w:left w:val="nil"/>
              <w:bottom w:val="single" w:sz="4" w:space="0" w:color="auto"/>
              <w:right w:val="single" w:sz="4" w:space="0" w:color="auto"/>
            </w:tcBorders>
            <w:shd w:val="clear" w:color="auto" w:fill="auto"/>
            <w:noWrap/>
            <w:vAlign w:val="bottom"/>
            <w:hideMark/>
          </w:tcPr>
          <w:p w14:paraId="76A1C43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r>
    </w:tbl>
    <w:p w14:paraId="4FEB38C9" w14:textId="554B226C" w:rsidR="003229A0" w:rsidRDefault="003229A0">
      <w:pPr>
        <w:jc w:val="both"/>
        <w:rPr>
          <w:rFonts w:ascii="Times New Roman" w:hAnsi="Times New Roman" w:cs="Times New Roman"/>
          <w:sz w:val="24"/>
          <w:szCs w:val="24"/>
        </w:rPr>
      </w:pPr>
    </w:p>
    <w:p w14:paraId="3E745F7A" w14:textId="117FA7C9" w:rsidR="008A54D0" w:rsidRDefault="008A54D0">
      <w:pPr>
        <w:jc w:val="both"/>
        <w:rPr>
          <w:rFonts w:ascii="Times New Roman" w:hAnsi="Times New Roman" w:cs="Times New Roman"/>
          <w:sz w:val="24"/>
          <w:szCs w:val="24"/>
        </w:rPr>
      </w:pPr>
    </w:p>
    <w:p w14:paraId="6954830A" w14:textId="6A33F93C" w:rsidR="008A54D0" w:rsidRDefault="008A54D0">
      <w:pPr>
        <w:jc w:val="both"/>
        <w:rPr>
          <w:rFonts w:ascii="Times New Roman" w:hAnsi="Times New Roman" w:cs="Times New Roman"/>
          <w:sz w:val="24"/>
          <w:szCs w:val="24"/>
        </w:rPr>
      </w:pPr>
    </w:p>
    <w:p w14:paraId="66ED747F" w14:textId="77777777" w:rsidR="008A54D0" w:rsidRDefault="008A54D0">
      <w:pPr>
        <w:jc w:val="both"/>
        <w:rPr>
          <w:rFonts w:ascii="Times New Roman" w:hAnsi="Times New Roman" w:cs="Times New Roman"/>
          <w:sz w:val="24"/>
          <w:szCs w:val="24"/>
        </w:rPr>
      </w:pPr>
    </w:p>
    <w:p w14:paraId="0DEE6877" w14:textId="77777777" w:rsidR="003229A0" w:rsidRDefault="00AB0A4C">
      <w:pPr>
        <w:jc w:val="both"/>
        <w:rPr>
          <w:rFonts w:ascii="Times New Roman" w:hAnsi="Times New Roman" w:cs="Times New Roman"/>
          <w:b/>
          <w:sz w:val="24"/>
          <w:szCs w:val="24"/>
        </w:rPr>
      </w:pPr>
      <w:r>
        <w:rPr>
          <w:rFonts w:ascii="Times New Roman" w:hAnsi="Times New Roman" w:cs="Times New Roman"/>
          <w:b/>
          <w:sz w:val="24"/>
          <w:szCs w:val="24"/>
        </w:rPr>
        <w:lastRenderedPageBreak/>
        <w:t>GEARING RATIOS</w:t>
      </w:r>
    </w:p>
    <w:p w14:paraId="0E2A50DC"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Table 3: Coca-Cola’s five-year Debt to equity ratio</w:t>
      </w:r>
    </w:p>
    <w:tbl>
      <w:tblPr>
        <w:tblW w:w="8580" w:type="dxa"/>
        <w:tblInd w:w="-5" w:type="dxa"/>
        <w:tblLook w:val="04A0" w:firstRow="1" w:lastRow="0" w:firstColumn="1" w:lastColumn="0" w:noHBand="0" w:noVBand="1"/>
      </w:tblPr>
      <w:tblGrid>
        <w:gridCol w:w="3530"/>
        <w:gridCol w:w="1253"/>
        <w:gridCol w:w="1143"/>
        <w:gridCol w:w="1143"/>
        <w:gridCol w:w="1143"/>
        <w:gridCol w:w="1143"/>
      </w:tblGrid>
      <w:tr w:rsidR="003229A0" w14:paraId="0FBA7A3C" w14:textId="77777777">
        <w:trPr>
          <w:trHeight w:val="300"/>
        </w:trPr>
        <w:tc>
          <w:tcPr>
            <w:tcW w:w="4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CC12C"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debt to equity ratio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F3B5FC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3D5D78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DBAB43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EA01E6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3F49C45E" w14:textId="77777777">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FF0012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480" w:type="dxa"/>
            <w:tcBorders>
              <w:top w:val="nil"/>
              <w:left w:val="nil"/>
              <w:bottom w:val="single" w:sz="4" w:space="0" w:color="auto"/>
              <w:right w:val="single" w:sz="4" w:space="0" w:color="auto"/>
            </w:tcBorders>
            <w:shd w:val="clear" w:color="auto" w:fill="auto"/>
            <w:noWrap/>
            <w:vAlign w:val="bottom"/>
            <w:hideMark/>
          </w:tcPr>
          <w:p w14:paraId="3569E9B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1060" w:type="dxa"/>
            <w:tcBorders>
              <w:top w:val="nil"/>
              <w:left w:val="nil"/>
              <w:bottom w:val="single" w:sz="4" w:space="0" w:color="auto"/>
              <w:right w:val="single" w:sz="4" w:space="0" w:color="auto"/>
            </w:tcBorders>
            <w:shd w:val="clear" w:color="auto" w:fill="auto"/>
            <w:noWrap/>
            <w:vAlign w:val="bottom"/>
            <w:hideMark/>
          </w:tcPr>
          <w:p w14:paraId="3B38380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1060" w:type="dxa"/>
            <w:tcBorders>
              <w:top w:val="nil"/>
              <w:left w:val="nil"/>
              <w:bottom w:val="single" w:sz="4" w:space="0" w:color="auto"/>
              <w:right w:val="single" w:sz="4" w:space="0" w:color="auto"/>
            </w:tcBorders>
            <w:shd w:val="clear" w:color="auto" w:fill="auto"/>
            <w:noWrap/>
            <w:vAlign w:val="bottom"/>
            <w:hideMark/>
          </w:tcPr>
          <w:p w14:paraId="76CAF607"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060" w:type="dxa"/>
            <w:tcBorders>
              <w:top w:val="nil"/>
              <w:left w:val="nil"/>
              <w:bottom w:val="single" w:sz="4" w:space="0" w:color="auto"/>
              <w:right w:val="single" w:sz="4" w:space="0" w:color="auto"/>
            </w:tcBorders>
            <w:shd w:val="clear" w:color="auto" w:fill="auto"/>
            <w:noWrap/>
            <w:vAlign w:val="bottom"/>
            <w:hideMark/>
          </w:tcPr>
          <w:p w14:paraId="634D6A4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060" w:type="dxa"/>
            <w:tcBorders>
              <w:top w:val="nil"/>
              <w:left w:val="nil"/>
              <w:bottom w:val="single" w:sz="4" w:space="0" w:color="auto"/>
              <w:right w:val="single" w:sz="4" w:space="0" w:color="auto"/>
            </w:tcBorders>
            <w:shd w:val="clear" w:color="auto" w:fill="auto"/>
            <w:noWrap/>
            <w:vAlign w:val="bottom"/>
            <w:hideMark/>
          </w:tcPr>
          <w:p w14:paraId="2BF3B3E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0FF7F6E3" w14:textId="77777777">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BFF120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total debt amount </w:t>
            </w:r>
          </w:p>
        </w:tc>
        <w:tc>
          <w:tcPr>
            <w:tcW w:w="480" w:type="dxa"/>
            <w:tcBorders>
              <w:top w:val="nil"/>
              <w:left w:val="nil"/>
              <w:bottom w:val="single" w:sz="4" w:space="0" w:color="auto"/>
              <w:right w:val="single" w:sz="4" w:space="0" w:color="auto"/>
            </w:tcBorders>
            <w:shd w:val="clear" w:color="auto" w:fill="auto"/>
            <w:noWrap/>
            <w:vAlign w:val="bottom"/>
            <w:hideMark/>
          </w:tcPr>
          <w:p w14:paraId="5362919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$2,721</w:t>
            </w:r>
          </w:p>
        </w:tc>
        <w:tc>
          <w:tcPr>
            <w:tcW w:w="1060" w:type="dxa"/>
            <w:tcBorders>
              <w:top w:val="nil"/>
              <w:left w:val="nil"/>
              <w:bottom w:val="single" w:sz="4" w:space="0" w:color="auto"/>
              <w:right w:val="single" w:sz="4" w:space="0" w:color="auto"/>
            </w:tcBorders>
            <w:shd w:val="clear" w:color="auto" w:fill="auto"/>
            <w:noWrap/>
            <w:vAlign w:val="bottom"/>
            <w:hideMark/>
          </w:tcPr>
          <w:p w14:paraId="077951C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$64,158</w:t>
            </w:r>
          </w:p>
        </w:tc>
        <w:tc>
          <w:tcPr>
            <w:tcW w:w="1060" w:type="dxa"/>
            <w:tcBorders>
              <w:top w:val="nil"/>
              <w:left w:val="nil"/>
              <w:bottom w:val="single" w:sz="4" w:space="0" w:color="auto"/>
              <w:right w:val="single" w:sz="4" w:space="0" w:color="auto"/>
            </w:tcBorders>
            <w:shd w:val="clear" w:color="auto" w:fill="auto"/>
            <w:noWrap/>
            <w:vAlign w:val="bottom"/>
            <w:hideMark/>
          </w:tcPr>
          <w:p w14:paraId="544266E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$68,919</w:t>
            </w:r>
          </w:p>
        </w:tc>
        <w:tc>
          <w:tcPr>
            <w:tcW w:w="1060" w:type="dxa"/>
            <w:tcBorders>
              <w:top w:val="nil"/>
              <w:left w:val="nil"/>
              <w:bottom w:val="single" w:sz="4" w:space="0" w:color="auto"/>
              <w:right w:val="single" w:sz="4" w:space="0" w:color="auto"/>
            </w:tcBorders>
            <w:shd w:val="clear" w:color="auto" w:fill="auto"/>
            <w:noWrap/>
            <w:vAlign w:val="bottom"/>
            <w:hideMark/>
          </w:tcPr>
          <w:p w14:paraId="127192B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$64,050</w:t>
            </w:r>
          </w:p>
        </w:tc>
        <w:tc>
          <w:tcPr>
            <w:tcW w:w="1060" w:type="dxa"/>
            <w:tcBorders>
              <w:top w:val="nil"/>
              <w:left w:val="nil"/>
              <w:bottom w:val="single" w:sz="4" w:space="0" w:color="auto"/>
              <w:right w:val="single" w:sz="4" w:space="0" w:color="auto"/>
            </w:tcBorders>
            <w:shd w:val="clear" w:color="auto" w:fill="auto"/>
            <w:noWrap/>
            <w:vAlign w:val="bottom"/>
            <w:hideMark/>
          </w:tcPr>
          <w:p w14:paraId="2A1558A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$64,329</w:t>
            </w:r>
          </w:p>
        </w:tc>
      </w:tr>
      <w:tr w:rsidR="003229A0" w14:paraId="0D07BE40" w14:textId="77777777">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6C7169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total equity </w:t>
            </w:r>
          </w:p>
        </w:tc>
        <w:tc>
          <w:tcPr>
            <w:tcW w:w="480" w:type="dxa"/>
            <w:tcBorders>
              <w:top w:val="nil"/>
              <w:left w:val="nil"/>
              <w:bottom w:val="single" w:sz="4" w:space="0" w:color="auto"/>
              <w:right w:val="single" w:sz="4" w:space="0" w:color="auto"/>
            </w:tcBorders>
            <w:shd w:val="clear" w:color="auto" w:fill="auto"/>
            <w:noWrap/>
            <w:vAlign w:val="bottom"/>
            <w:hideMark/>
          </w:tcPr>
          <w:p w14:paraId="0EBB6F1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$6,156</w:t>
            </w:r>
          </w:p>
        </w:tc>
        <w:tc>
          <w:tcPr>
            <w:tcW w:w="1060" w:type="dxa"/>
            <w:tcBorders>
              <w:top w:val="nil"/>
              <w:left w:val="nil"/>
              <w:bottom w:val="single" w:sz="4" w:space="0" w:color="auto"/>
              <w:right w:val="single" w:sz="4" w:space="0" w:color="auto"/>
            </w:tcBorders>
            <w:shd w:val="clear" w:color="auto" w:fill="auto"/>
            <w:noWrap/>
            <w:vAlign w:val="bottom"/>
            <w:hideMark/>
          </w:tcPr>
          <w:p w14:paraId="47A06D1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$19,058</w:t>
            </w:r>
          </w:p>
        </w:tc>
        <w:tc>
          <w:tcPr>
            <w:tcW w:w="1060" w:type="dxa"/>
            <w:tcBorders>
              <w:top w:val="nil"/>
              <w:left w:val="nil"/>
              <w:bottom w:val="single" w:sz="4" w:space="0" w:color="auto"/>
              <w:right w:val="single" w:sz="4" w:space="0" w:color="auto"/>
            </w:tcBorders>
            <w:shd w:val="clear" w:color="auto" w:fill="auto"/>
            <w:noWrap/>
            <w:vAlign w:val="bottom"/>
            <w:hideMark/>
          </w:tcPr>
          <w:p w14:paraId="7086C32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$18,977</w:t>
            </w:r>
          </w:p>
        </w:tc>
        <w:tc>
          <w:tcPr>
            <w:tcW w:w="1060" w:type="dxa"/>
            <w:tcBorders>
              <w:top w:val="nil"/>
              <w:left w:val="nil"/>
              <w:bottom w:val="single" w:sz="4" w:space="0" w:color="auto"/>
              <w:right w:val="single" w:sz="4" w:space="0" w:color="auto"/>
            </w:tcBorders>
            <w:shd w:val="clear" w:color="auto" w:fill="auto"/>
            <w:noWrap/>
            <w:vAlign w:val="bottom"/>
            <w:hideMark/>
          </w:tcPr>
          <w:p w14:paraId="7CF8C1C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$23,220</w:t>
            </w:r>
          </w:p>
        </w:tc>
        <w:tc>
          <w:tcPr>
            <w:tcW w:w="1060" w:type="dxa"/>
            <w:tcBorders>
              <w:top w:val="nil"/>
              <w:left w:val="nil"/>
              <w:bottom w:val="single" w:sz="4" w:space="0" w:color="auto"/>
              <w:right w:val="single" w:sz="4" w:space="0" w:color="auto"/>
            </w:tcBorders>
            <w:shd w:val="clear" w:color="auto" w:fill="auto"/>
            <w:noWrap/>
            <w:vAlign w:val="bottom"/>
            <w:hideMark/>
          </w:tcPr>
          <w:p w14:paraId="6E2E9B4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$25,764</w:t>
            </w:r>
          </w:p>
        </w:tc>
      </w:tr>
      <w:tr w:rsidR="003229A0" w14:paraId="569B02A1" w14:textId="77777777">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D1A4D6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debt to  equity ratio</w:t>
            </w:r>
          </w:p>
        </w:tc>
        <w:tc>
          <w:tcPr>
            <w:tcW w:w="480" w:type="dxa"/>
            <w:tcBorders>
              <w:top w:val="nil"/>
              <w:left w:val="nil"/>
              <w:bottom w:val="single" w:sz="4" w:space="0" w:color="auto"/>
              <w:right w:val="single" w:sz="4" w:space="0" w:color="auto"/>
            </w:tcBorders>
            <w:shd w:val="clear" w:color="auto" w:fill="auto"/>
            <w:noWrap/>
            <w:vAlign w:val="bottom"/>
            <w:hideMark/>
          </w:tcPr>
          <w:p w14:paraId="751946E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0.44205653</w:t>
            </w:r>
          </w:p>
        </w:tc>
        <w:tc>
          <w:tcPr>
            <w:tcW w:w="1060" w:type="dxa"/>
            <w:tcBorders>
              <w:top w:val="nil"/>
              <w:left w:val="nil"/>
              <w:bottom w:val="single" w:sz="4" w:space="0" w:color="auto"/>
              <w:right w:val="single" w:sz="4" w:space="0" w:color="auto"/>
            </w:tcBorders>
            <w:shd w:val="clear" w:color="auto" w:fill="auto"/>
            <w:noWrap/>
            <w:vAlign w:val="bottom"/>
            <w:hideMark/>
          </w:tcPr>
          <w:p w14:paraId="65C30DD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3.3664603</w:t>
            </w:r>
          </w:p>
        </w:tc>
        <w:tc>
          <w:tcPr>
            <w:tcW w:w="1060" w:type="dxa"/>
            <w:tcBorders>
              <w:top w:val="nil"/>
              <w:left w:val="nil"/>
              <w:bottom w:val="single" w:sz="4" w:space="0" w:color="auto"/>
              <w:right w:val="single" w:sz="4" w:space="0" w:color="auto"/>
            </w:tcBorders>
            <w:shd w:val="clear" w:color="auto" w:fill="auto"/>
            <w:noWrap/>
            <w:vAlign w:val="bottom"/>
            <w:hideMark/>
          </w:tcPr>
          <w:p w14:paraId="06F8162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3.6317121</w:t>
            </w:r>
          </w:p>
        </w:tc>
        <w:tc>
          <w:tcPr>
            <w:tcW w:w="1060" w:type="dxa"/>
            <w:tcBorders>
              <w:top w:val="nil"/>
              <w:left w:val="nil"/>
              <w:bottom w:val="single" w:sz="4" w:space="0" w:color="auto"/>
              <w:right w:val="single" w:sz="4" w:space="0" w:color="auto"/>
            </w:tcBorders>
            <w:shd w:val="clear" w:color="auto" w:fill="auto"/>
            <w:noWrap/>
            <w:vAlign w:val="bottom"/>
            <w:hideMark/>
          </w:tcPr>
          <w:p w14:paraId="7675BBF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2.7583979</w:t>
            </w:r>
          </w:p>
        </w:tc>
        <w:tc>
          <w:tcPr>
            <w:tcW w:w="1060" w:type="dxa"/>
            <w:tcBorders>
              <w:top w:val="nil"/>
              <w:left w:val="nil"/>
              <w:bottom w:val="single" w:sz="4" w:space="0" w:color="auto"/>
              <w:right w:val="single" w:sz="4" w:space="0" w:color="auto"/>
            </w:tcBorders>
            <w:shd w:val="clear" w:color="auto" w:fill="auto"/>
            <w:noWrap/>
            <w:vAlign w:val="bottom"/>
            <w:hideMark/>
          </w:tcPr>
          <w:p w14:paraId="1DB8D39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2.4968561</w:t>
            </w:r>
          </w:p>
        </w:tc>
      </w:tr>
    </w:tbl>
    <w:p w14:paraId="13C0B71A" w14:textId="77777777" w:rsidR="003229A0" w:rsidRDefault="003229A0">
      <w:pPr>
        <w:jc w:val="both"/>
        <w:rPr>
          <w:rFonts w:ascii="Times New Roman" w:hAnsi="Times New Roman" w:cs="Times New Roman"/>
          <w:sz w:val="24"/>
          <w:szCs w:val="24"/>
        </w:rPr>
      </w:pPr>
    </w:p>
    <w:p w14:paraId="633D2767" w14:textId="77777777" w:rsidR="003229A0" w:rsidRDefault="003229A0">
      <w:pPr>
        <w:jc w:val="both"/>
        <w:rPr>
          <w:rFonts w:ascii="Times New Roman" w:hAnsi="Times New Roman" w:cs="Times New Roman"/>
          <w:sz w:val="24"/>
          <w:szCs w:val="24"/>
        </w:rPr>
      </w:pPr>
    </w:p>
    <w:p w14:paraId="3C1D74C8"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 xml:space="preserve">Table 4: Coca-Cola’s five-year Debt ratio </w:t>
      </w:r>
    </w:p>
    <w:tbl>
      <w:tblPr>
        <w:tblW w:w="9450" w:type="dxa"/>
        <w:tblInd w:w="-5" w:type="dxa"/>
        <w:tblLook w:val="04A0" w:firstRow="1" w:lastRow="0" w:firstColumn="1" w:lastColumn="0" w:noHBand="0" w:noVBand="1"/>
      </w:tblPr>
      <w:tblGrid>
        <w:gridCol w:w="3500"/>
        <w:gridCol w:w="1476"/>
        <w:gridCol w:w="1236"/>
        <w:gridCol w:w="1236"/>
        <w:gridCol w:w="1236"/>
        <w:gridCol w:w="1236"/>
      </w:tblGrid>
      <w:tr w:rsidR="003229A0" w14:paraId="550443C5" w14:textId="77777777">
        <w:trPr>
          <w:trHeight w:val="300"/>
        </w:trPr>
        <w:tc>
          <w:tcPr>
            <w:tcW w:w="48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5F8BE"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debt ratio </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52F473E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0710425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15CCAA2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223" w:type="dxa"/>
            <w:tcBorders>
              <w:top w:val="single" w:sz="4" w:space="0" w:color="auto"/>
              <w:left w:val="nil"/>
              <w:bottom w:val="single" w:sz="4" w:space="0" w:color="auto"/>
              <w:right w:val="single" w:sz="4" w:space="0" w:color="auto"/>
            </w:tcBorders>
            <w:shd w:val="clear" w:color="auto" w:fill="auto"/>
            <w:noWrap/>
            <w:vAlign w:val="bottom"/>
            <w:hideMark/>
          </w:tcPr>
          <w:p w14:paraId="67A8E27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1A728BAF" w14:textId="77777777">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14:paraId="1FA8CF49"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1343" w:type="dxa"/>
            <w:tcBorders>
              <w:top w:val="nil"/>
              <w:left w:val="nil"/>
              <w:bottom w:val="single" w:sz="4" w:space="0" w:color="auto"/>
              <w:right w:val="single" w:sz="4" w:space="0" w:color="auto"/>
            </w:tcBorders>
            <w:shd w:val="clear" w:color="auto" w:fill="auto"/>
            <w:noWrap/>
            <w:vAlign w:val="bottom"/>
            <w:hideMark/>
          </w:tcPr>
          <w:p w14:paraId="2A24DA8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1128" w:type="dxa"/>
            <w:tcBorders>
              <w:top w:val="nil"/>
              <w:left w:val="nil"/>
              <w:bottom w:val="single" w:sz="4" w:space="0" w:color="auto"/>
              <w:right w:val="single" w:sz="4" w:space="0" w:color="auto"/>
            </w:tcBorders>
            <w:shd w:val="clear" w:color="auto" w:fill="auto"/>
            <w:noWrap/>
            <w:vAlign w:val="bottom"/>
            <w:hideMark/>
          </w:tcPr>
          <w:p w14:paraId="62DFE03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1128" w:type="dxa"/>
            <w:tcBorders>
              <w:top w:val="nil"/>
              <w:left w:val="nil"/>
              <w:bottom w:val="single" w:sz="4" w:space="0" w:color="auto"/>
              <w:right w:val="single" w:sz="4" w:space="0" w:color="auto"/>
            </w:tcBorders>
            <w:shd w:val="clear" w:color="auto" w:fill="auto"/>
            <w:noWrap/>
            <w:vAlign w:val="bottom"/>
            <w:hideMark/>
          </w:tcPr>
          <w:p w14:paraId="41AA0EF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128" w:type="dxa"/>
            <w:tcBorders>
              <w:top w:val="nil"/>
              <w:left w:val="nil"/>
              <w:bottom w:val="single" w:sz="4" w:space="0" w:color="auto"/>
              <w:right w:val="single" w:sz="4" w:space="0" w:color="auto"/>
            </w:tcBorders>
            <w:shd w:val="clear" w:color="auto" w:fill="auto"/>
            <w:noWrap/>
            <w:vAlign w:val="bottom"/>
            <w:hideMark/>
          </w:tcPr>
          <w:p w14:paraId="340C601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223" w:type="dxa"/>
            <w:tcBorders>
              <w:top w:val="nil"/>
              <w:left w:val="nil"/>
              <w:bottom w:val="single" w:sz="4" w:space="0" w:color="auto"/>
              <w:right w:val="single" w:sz="4" w:space="0" w:color="auto"/>
            </w:tcBorders>
            <w:shd w:val="clear" w:color="auto" w:fill="auto"/>
            <w:noWrap/>
            <w:vAlign w:val="bottom"/>
            <w:hideMark/>
          </w:tcPr>
          <w:p w14:paraId="59CFF83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46220B5B" w14:textId="77777777">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14:paraId="37657E6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total  debts </w:t>
            </w:r>
          </w:p>
        </w:tc>
        <w:tc>
          <w:tcPr>
            <w:tcW w:w="1343" w:type="dxa"/>
            <w:tcBorders>
              <w:top w:val="nil"/>
              <w:left w:val="nil"/>
              <w:bottom w:val="single" w:sz="4" w:space="0" w:color="auto"/>
              <w:right w:val="single" w:sz="4" w:space="0" w:color="auto"/>
            </w:tcBorders>
            <w:shd w:val="clear" w:color="auto" w:fill="auto"/>
            <w:noWrap/>
            <w:vAlign w:val="bottom"/>
            <w:hideMark/>
          </w:tcPr>
          <w:p w14:paraId="4BAF40B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$2,721.30</w:t>
            </w:r>
          </w:p>
        </w:tc>
        <w:tc>
          <w:tcPr>
            <w:tcW w:w="1128" w:type="dxa"/>
            <w:tcBorders>
              <w:top w:val="nil"/>
              <w:left w:val="nil"/>
              <w:bottom w:val="single" w:sz="4" w:space="0" w:color="auto"/>
              <w:right w:val="single" w:sz="4" w:space="0" w:color="auto"/>
            </w:tcBorders>
            <w:shd w:val="clear" w:color="auto" w:fill="auto"/>
            <w:noWrap/>
            <w:vAlign w:val="bottom"/>
            <w:hideMark/>
          </w:tcPr>
          <w:p w14:paraId="1D52534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$64,158</w:t>
            </w:r>
          </w:p>
        </w:tc>
        <w:tc>
          <w:tcPr>
            <w:tcW w:w="1128" w:type="dxa"/>
            <w:tcBorders>
              <w:top w:val="nil"/>
              <w:left w:val="nil"/>
              <w:bottom w:val="single" w:sz="4" w:space="0" w:color="auto"/>
              <w:right w:val="single" w:sz="4" w:space="0" w:color="auto"/>
            </w:tcBorders>
            <w:shd w:val="clear" w:color="auto" w:fill="auto"/>
            <w:noWrap/>
            <w:vAlign w:val="bottom"/>
            <w:hideMark/>
          </w:tcPr>
          <w:p w14:paraId="7A524187"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$68,919</w:t>
            </w:r>
          </w:p>
        </w:tc>
        <w:tc>
          <w:tcPr>
            <w:tcW w:w="1128" w:type="dxa"/>
            <w:tcBorders>
              <w:top w:val="nil"/>
              <w:left w:val="nil"/>
              <w:bottom w:val="single" w:sz="4" w:space="0" w:color="auto"/>
              <w:right w:val="single" w:sz="4" w:space="0" w:color="auto"/>
            </w:tcBorders>
            <w:shd w:val="clear" w:color="auto" w:fill="auto"/>
            <w:noWrap/>
            <w:vAlign w:val="bottom"/>
            <w:hideMark/>
          </w:tcPr>
          <w:p w14:paraId="40A8DDB7"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$64,050</w:t>
            </w:r>
          </w:p>
        </w:tc>
        <w:tc>
          <w:tcPr>
            <w:tcW w:w="1223" w:type="dxa"/>
            <w:tcBorders>
              <w:top w:val="nil"/>
              <w:left w:val="nil"/>
              <w:bottom w:val="single" w:sz="4" w:space="0" w:color="auto"/>
              <w:right w:val="single" w:sz="4" w:space="0" w:color="auto"/>
            </w:tcBorders>
            <w:shd w:val="clear" w:color="auto" w:fill="auto"/>
            <w:noWrap/>
            <w:vAlign w:val="bottom"/>
            <w:hideMark/>
          </w:tcPr>
          <w:p w14:paraId="294E911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$64,329</w:t>
            </w:r>
          </w:p>
        </w:tc>
      </w:tr>
      <w:tr w:rsidR="003229A0" w14:paraId="3B97A225" w14:textId="77777777">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14:paraId="231A8BA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total assets </w:t>
            </w:r>
          </w:p>
        </w:tc>
        <w:tc>
          <w:tcPr>
            <w:tcW w:w="1343" w:type="dxa"/>
            <w:tcBorders>
              <w:top w:val="nil"/>
              <w:left w:val="nil"/>
              <w:bottom w:val="single" w:sz="4" w:space="0" w:color="auto"/>
              <w:right w:val="single" w:sz="4" w:space="0" w:color="auto"/>
            </w:tcBorders>
            <w:shd w:val="clear" w:color="auto" w:fill="auto"/>
            <w:noWrap/>
            <w:vAlign w:val="bottom"/>
            <w:hideMark/>
          </w:tcPr>
          <w:p w14:paraId="4C6B9D1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$307,569</w:t>
            </w:r>
          </w:p>
        </w:tc>
        <w:tc>
          <w:tcPr>
            <w:tcW w:w="1128" w:type="dxa"/>
            <w:tcBorders>
              <w:top w:val="nil"/>
              <w:left w:val="nil"/>
              <w:bottom w:val="single" w:sz="4" w:space="0" w:color="auto"/>
              <w:right w:val="single" w:sz="4" w:space="0" w:color="auto"/>
            </w:tcBorders>
            <w:shd w:val="clear" w:color="auto" w:fill="auto"/>
            <w:noWrap/>
            <w:vAlign w:val="bottom"/>
            <w:hideMark/>
          </w:tcPr>
          <w:p w14:paraId="57757F7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$83,216</w:t>
            </w:r>
          </w:p>
        </w:tc>
        <w:tc>
          <w:tcPr>
            <w:tcW w:w="1128" w:type="dxa"/>
            <w:tcBorders>
              <w:top w:val="nil"/>
              <w:left w:val="nil"/>
              <w:bottom w:val="single" w:sz="4" w:space="0" w:color="auto"/>
              <w:right w:val="single" w:sz="4" w:space="0" w:color="auto"/>
            </w:tcBorders>
            <w:shd w:val="clear" w:color="auto" w:fill="auto"/>
            <w:noWrap/>
            <w:vAlign w:val="bottom"/>
            <w:hideMark/>
          </w:tcPr>
          <w:p w14:paraId="51A921A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$87,896</w:t>
            </w:r>
          </w:p>
        </w:tc>
        <w:tc>
          <w:tcPr>
            <w:tcW w:w="1128" w:type="dxa"/>
            <w:tcBorders>
              <w:top w:val="nil"/>
              <w:left w:val="nil"/>
              <w:bottom w:val="single" w:sz="4" w:space="0" w:color="auto"/>
              <w:right w:val="single" w:sz="4" w:space="0" w:color="auto"/>
            </w:tcBorders>
            <w:shd w:val="clear" w:color="auto" w:fill="auto"/>
            <w:noWrap/>
            <w:vAlign w:val="bottom"/>
            <w:hideMark/>
          </w:tcPr>
          <w:p w14:paraId="607DAAF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$87,270</w:t>
            </w:r>
          </w:p>
        </w:tc>
        <w:tc>
          <w:tcPr>
            <w:tcW w:w="1223" w:type="dxa"/>
            <w:tcBorders>
              <w:top w:val="nil"/>
              <w:left w:val="nil"/>
              <w:bottom w:val="single" w:sz="4" w:space="0" w:color="auto"/>
              <w:right w:val="single" w:sz="4" w:space="0" w:color="auto"/>
            </w:tcBorders>
            <w:shd w:val="clear" w:color="auto" w:fill="auto"/>
            <w:noWrap/>
            <w:vAlign w:val="bottom"/>
            <w:hideMark/>
          </w:tcPr>
          <w:p w14:paraId="5014734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$90,093</w:t>
            </w:r>
          </w:p>
        </w:tc>
      </w:tr>
      <w:tr w:rsidR="003229A0" w14:paraId="0938369F" w14:textId="77777777">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14:paraId="43342B2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debt ratio </w:t>
            </w:r>
          </w:p>
        </w:tc>
        <w:tc>
          <w:tcPr>
            <w:tcW w:w="1343" w:type="dxa"/>
            <w:tcBorders>
              <w:top w:val="nil"/>
              <w:left w:val="nil"/>
              <w:bottom w:val="single" w:sz="4" w:space="0" w:color="auto"/>
              <w:right w:val="single" w:sz="4" w:space="0" w:color="auto"/>
            </w:tcBorders>
            <w:shd w:val="clear" w:color="auto" w:fill="auto"/>
            <w:noWrap/>
            <w:vAlign w:val="bottom"/>
            <w:hideMark/>
          </w:tcPr>
          <w:p w14:paraId="4367419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0.008847771</w:t>
            </w:r>
          </w:p>
        </w:tc>
        <w:tc>
          <w:tcPr>
            <w:tcW w:w="1128" w:type="dxa"/>
            <w:tcBorders>
              <w:top w:val="nil"/>
              <w:left w:val="nil"/>
              <w:bottom w:val="single" w:sz="4" w:space="0" w:color="auto"/>
              <w:right w:val="single" w:sz="4" w:space="0" w:color="auto"/>
            </w:tcBorders>
            <w:shd w:val="clear" w:color="auto" w:fill="auto"/>
            <w:noWrap/>
            <w:vAlign w:val="bottom"/>
            <w:hideMark/>
          </w:tcPr>
          <w:p w14:paraId="6B4D1FD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0.7709815</w:t>
            </w:r>
          </w:p>
        </w:tc>
        <w:tc>
          <w:tcPr>
            <w:tcW w:w="1128" w:type="dxa"/>
            <w:tcBorders>
              <w:top w:val="nil"/>
              <w:left w:val="nil"/>
              <w:bottom w:val="single" w:sz="4" w:space="0" w:color="auto"/>
              <w:right w:val="single" w:sz="4" w:space="0" w:color="auto"/>
            </w:tcBorders>
            <w:shd w:val="clear" w:color="auto" w:fill="auto"/>
            <w:noWrap/>
            <w:vAlign w:val="bottom"/>
            <w:hideMark/>
          </w:tcPr>
          <w:p w14:paraId="08CA7177"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0.7840971</w:t>
            </w:r>
          </w:p>
        </w:tc>
        <w:tc>
          <w:tcPr>
            <w:tcW w:w="1128" w:type="dxa"/>
            <w:tcBorders>
              <w:top w:val="nil"/>
              <w:left w:val="nil"/>
              <w:bottom w:val="single" w:sz="4" w:space="0" w:color="auto"/>
              <w:right w:val="single" w:sz="4" w:space="0" w:color="auto"/>
            </w:tcBorders>
            <w:shd w:val="clear" w:color="auto" w:fill="auto"/>
            <w:noWrap/>
            <w:vAlign w:val="bottom"/>
            <w:hideMark/>
          </w:tcPr>
          <w:p w14:paraId="596FA24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0.7339292</w:t>
            </w:r>
          </w:p>
        </w:tc>
        <w:tc>
          <w:tcPr>
            <w:tcW w:w="1223" w:type="dxa"/>
            <w:tcBorders>
              <w:top w:val="nil"/>
              <w:left w:val="nil"/>
              <w:bottom w:val="single" w:sz="4" w:space="0" w:color="auto"/>
              <w:right w:val="single" w:sz="4" w:space="0" w:color="auto"/>
            </w:tcBorders>
            <w:shd w:val="clear" w:color="auto" w:fill="auto"/>
            <w:noWrap/>
            <w:vAlign w:val="bottom"/>
            <w:hideMark/>
          </w:tcPr>
          <w:p w14:paraId="2AB1FCB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0.7140288</w:t>
            </w:r>
          </w:p>
        </w:tc>
      </w:tr>
    </w:tbl>
    <w:p w14:paraId="4C943233" w14:textId="77777777" w:rsidR="003229A0" w:rsidRDefault="003229A0">
      <w:pPr>
        <w:jc w:val="both"/>
        <w:rPr>
          <w:rFonts w:ascii="Times New Roman" w:hAnsi="Times New Roman" w:cs="Times New Roman"/>
          <w:sz w:val="24"/>
          <w:szCs w:val="24"/>
        </w:rPr>
      </w:pPr>
    </w:p>
    <w:p w14:paraId="6C56B075" w14:textId="77777777" w:rsidR="003229A0" w:rsidRDefault="00AB0A4C">
      <w:pPr>
        <w:jc w:val="both"/>
        <w:rPr>
          <w:rFonts w:ascii="Times New Roman" w:hAnsi="Times New Roman" w:cs="Times New Roman"/>
          <w:b/>
          <w:sz w:val="24"/>
          <w:szCs w:val="24"/>
        </w:rPr>
      </w:pPr>
      <w:r>
        <w:rPr>
          <w:rFonts w:ascii="Times New Roman" w:hAnsi="Times New Roman" w:cs="Times New Roman"/>
          <w:b/>
          <w:sz w:val="24"/>
          <w:szCs w:val="24"/>
        </w:rPr>
        <w:t xml:space="preserve">LIQUIDITY RATIOS </w:t>
      </w:r>
    </w:p>
    <w:p w14:paraId="54BC61DA"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Table 5: Coca-Cola’s five-year current ratio</w:t>
      </w:r>
    </w:p>
    <w:tbl>
      <w:tblPr>
        <w:tblW w:w="8100" w:type="dxa"/>
        <w:tblInd w:w="-5" w:type="dxa"/>
        <w:tblLook w:val="04A0" w:firstRow="1" w:lastRow="0" w:firstColumn="1" w:lastColumn="0" w:noHBand="0" w:noVBand="1"/>
      </w:tblPr>
      <w:tblGrid>
        <w:gridCol w:w="2340"/>
        <w:gridCol w:w="1520"/>
        <w:gridCol w:w="1296"/>
        <w:gridCol w:w="1296"/>
        <w:gridCol w:w="1296"/>
        <w:gridCol w:w="1296"/>
      </w:tblGrid>
      <w:tr w:rsidR="003229A0" w14:paraId="56A26A04" w14:textId="77777777">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2D10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9198B14"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3F9451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CDBB65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3EE98D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36A789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7DDDC205"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2FC9F7D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assets</w:t>
            </w:r>
          </w:p>
        </w:tc>
        <w:tc>
          <w:tcPr>
            <w:tcW w:w="1520" w:type="dxa"/>
            <w:tcBorders>
              <w:top w:val="nil"/>
              <w:left w:val="nil"/>
              <w:bottom w:val="single" w:sz="4" w:space="0" w:color="auto"/>
              <w:right w:val="single" w:sz="4" w:space="0" w:color="auto"/>
            </w:tcBorders>
            <w:shd w:val="clear" w:color="auto" w:fill="auto"/>
            <w:noWrap/>
            <w:vAlign w:val="bottom"/>
            <w:hideMark/>
          </w:tcPr>
          <w:p w14:paraId="7235CB8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$808,431.00</w:t>
            </w:r>
          </w:p>
        </w:tc>
        <w:tc>
          <w:tcPr>
            <w:tcW w:w="1060" w:type="dxa"/>
            <w:tcBorders>
              <w:top w:val="nil"/>
              <w:left w:val="nil"/>
              <w:bottom w:val="single" w:sz="4" w:space="0" w:color="auto"/>
              <w:right w:val="single" w:sz="4" w:space="0" w:color="auto"/>
            </w:tcBorders>
            <w:shd w:val="clear" w:color="auto" w:fill="auto"/>
            <w:noWrap/>
            <w:vAlign w:val="bottom"/>
            <w:hideMark/>
          </w:tcPr>
          <w:p w14:paraId="14CD940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$30,634.00</w:t>
            </w:r>
          </w:p>
        </w:tc>
        <w:tc>
          <w:tcPr>
            <w:tcW w:w="1060" w:type="dxa"/>
            <w:tcBorders>
              <w:top w:val="nil"/>
              <w:left w:val="nil"/>
              <w:bottom w:val="single" w:sz="4" w:space="0" w:color="auto"/>
              <w:right w:val="single" w:sz="4" w:space="0" w:color="auto"/>
            </w:tcBorders>
            <w:shd w:val="clear" w:color="auto" w:fill="auto"/>
            <w:noWrap/>
            <w:vAlign w:val="bottom"/>
            <w:hideMark/>
          </w:tcPr>
          <w:p w14:paraId="2DB5450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$36,545.00</w:t>
            </w:r>
          </w:p>
        </w:tc>
        <w:tc>
          <w:tcPr>
            <w:tcW w:w="1060" w:type="dxa"/>
            <w:tcBorders>
              <w:top w:val="nil"/>
              <w:left w:val="nil"/>
              <w:bottom w:val="single" w:sz="4" w:space="0" w:color="auto"/>
              <w:right w:val="single" w:sz="4" w:space="0" w:color="auto"/>
            </w:tcBorders>
            <w:shd w:val="clear" w:color="auto" w:fill="auto"/>
            <w:noWrap/>
            <w:vAlign w:val="bottom"/>
            <w:hideMark/>
          </w:tcPr>
          <w:p w14:paraId="1E26385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$34,010.00</w:t>
            </w:r>
          </w:p>
        </w:tc>
        <w:tc>
          <w:tcPr>
            <w:tcW w:w="1060" w:type="dxa"/>
            <w:tcBorders>
              <w:top w:val="nil"/>
              <w:left w:val="nil"/>
              <w:bottom w:val="single" w:sz="4" w:space="0" w:color="auto"/>
              <w:right w:val="single" w:sz="4" w:space="0" w:color="auto"/>
            </w:tcBorders>
            <w:shd w:val="clear" w:color="auto" w:fill="auto"/>
            <w:noWrap/>
            <w:vAlign w:val="bottom"/>
            <w:hideMark/>
          </w:tcPr>
          <w:p w14:paraId="3B4C6C2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$33,395.00</w:t>
            </w:r>
          </w:p>
        </w:tc>
      </w:tr>
      <w:tr w:rsidR="003229A0" w14:paraId="280C129E"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3F69405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current liabilities </w:t>
            </w:r>
          </w:p>
        </w:tc>
        <w:tc>
          <w:tcPr>
            <w:tcW w:w="1520" w:type="dxa"/>
            <w:tcBorders>
              <w:top w:val="nil"/>
              <w:left w:val="nil"/>
              <w:bottom w:val="single" w:sz="4" w:space="0" w:color="auto"/>
              <w:right w:val="single" w:sz="4" w:space="0" w:color="auto"/>
            </w:tcBorders>
            <w:shd w:val="clear" w:color="auto" w:fill="auto"/>
            <w:noWrap/>
            <w:vAlign w:val="bottom"/>
            <w:hideMark/>
          </w:tcPr>
          <w:p w14:paraId="43D518B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$559,141.00</w:t>
            </w:r>
          </w:p>
        </w:tc>
        <w:tc>
          <w:tcPr>
            <w:tcW w:w="1060" w:type="dxa"/>
            <w:tcBorders>
              <w:top w:val="nil"/>
              <w:left w:val="nil"/>
              <w:bottom w:val="single" w:sz="4" w:space="0" w:color="auto"/>
              <w:right w:val="single" w:sz="4" w:space="0" w:color="auto"/>
            </w:tcBorders>
            <w:shd w:val="clear" w:color="auto" w:fill="auto"/>
            <w:noWrap/>
            <w:vAlign w:val="bottom"/>
            <w:hideMark/>
          </w:tcPr>
          <w:p w14:paraId="61216A7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$29,223.00</w:t>
            </w:r>
          </w:p>
        </w:tc>
        <w:tc>
          <w:tcPr>
            <w:tcW w:w="1060" w:type="dxa"/>
            <w:tcBorders>
              <w:top w:val="nil"/>
              <w:left w:val="nil"/>
              <w:bottom w:val="single" w:sz="4" w:space="0" w:color="auto"/>
              <w:right w:val="single" w:sz="4" w:space="0" w:color="auto"/>
            </w:tcBorders>
            <w:shd w:val="clear" w:color="auto" w:fill="auto"/>
            <w:noWrap/>
            <w:vAlign w:val="bottom"/>
            <w:hideMark/>
          </w:tcPr>
          <w:p w14:paraId="59FF009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$27,194.00</w:t>
            </w:r>
          </w:p>
        </w:tc>
        <w:tc>
          <w:tcPr>
            <w:tcW w:w="1060" w:type="dxa"/>
            <w:tcBorders>
              <w:top w:val="nil"/>
              <w:left w:val="nil"/>
              <w:bottom w:val="single" w:sz="4" w:space="0" w:color="auto"/>
              <w:right w:val="single" w:sz="4" w:space="0" w:color="auto"/>
            </w:tcBorders>
            <w:shd w:val="clear" w:color="auto" w:fill="auto"/>
            <w:noWrap/>
            <w:vAlign w:val="bottom"/>
            <w:hideMark/>
          </w:tcPr>
          <w:p w14:paraId="26C7AAF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$26,532.00</w:t>
            </w:r>
          </w:p>
        </w:tc>
        <w:tc>
          <w:tcPr>
            <w:tcW w:w="1060" w:type="dxa"/>
            <w:tcBorders>
              <w:top w:val="nil"/>
              <w:left w:val="nil"/>
              <w:bottom w:val="single" w:sz="4" w:space="0" w:color="auto"/>
              <w:right w:val="single" w:sz="4" w:space="0" w:color="auto"/>
            </w:tcBorders>
            <w:shd w:val="clear" w:color="auto" w:fill="auto"/>
            <w:noWrap/>
            <w:vAlign w:val="bottom"/>
            <w:hideMark/>
          </w:tcPr>
          <w:p w14:paraId="54F7232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$26,930.00</w:t>
            </w:r>
          </w:p>
        </w:tc>
      </w:tr>
      <w:tr w:rsidR="003229A0" w14:paraId="38C2943C"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7232F88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ratio</w:t>
            </w:r>
          </w:p>
        </w:tc>
        <w:tc>
          <w:tcPr>
            <w:tcW w:w="1520" w:type="dxa"/>
            <w:tcBorders>
              <w:top w:val="nil"/>
              <w:left w:val="nil"/>
              <w:bottom w:val="single" w:sz="4" w:space="0" w:color="auto"/>
              <w:right w:val="single" w:sz="4" w:space="0" w:color="auto"/>
            </w:tcBorders>
            <w:shd w:val="clear" w:color="auto" w:fill="auto"/>
            <w:noWrap/>
            <w:vAlign w:val="bottom"/>
            <w:hideMark/>
          </w:tcPr>
          <w:p w14:paraId="28748D8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1.445844608</w:t>
            </w:r>
          </w:p>
        </w:tc>
        <w:tc>
          <w:tcPr>
            <w:tcW w:w="1060" w:type="dxa"/>
            <w:tcBorders>
              <w:top w:val="nil"/>
              <w:left w:val="nil"/>
              <w:bottom w:val="single" w:sz="4" w:space="0" w:color="auto"/>
              <w:right w:val="single" w:sz="4" w:space="0" w:color="auto"/>
            </w:tcBorders>
            <w:shd w:val="clear" w:color="auto" w:fill="auto"/>
            <w:noWrap/>
            <w:vAlign w:val="bottom"/>
            <w:hideMark/>
          </w:tcPr>
          <w:p w14:paraId="1A659ED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1.0482839</w:t>
            </w:r>
          </w:p>
        </w:tc>
        <w:tc>
          <w:tcPr>
            <w:tcW w:w="1060" w:type="dxa"/>
            <w:tcBorders>
              <w:top w:val="nil"/>
              <w:left w:val="nil"/>
              <w:bottom w:val="single" w:sz="4" w:space="0" w:color="auto"/>
              <w:right w:val="single" w:sz="4" w:space="0" w:color="auto"/>
            </w:tcBorders>
            <w:shd w:val="clear" w:color="auto" w:fill="auto"/>
            <w:noWrap/>
            <w:vAlign w:val="bottom"/>
            <w:hideMark/>
          </w:tcPr>
          <w:p w14:paraId="478BD6E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1.3438626</w:t>
            </w:r>
          </w:p>
        </w:tc>
        <w:tc>
          <w:tcPr>
            <w:tcW w:w="1060" w:type="dxa"/>
            <w:tcBorders>
              <w:top w:val="nil"/>
              <w:left w:val="nil"/>
              <w:bottom w:val="single" w:sz="4" w:space="0" w:color="auto"/>
              <w:right w:val="single" w:sz="4" w:space="0" w:color="auto"/>
            </w:tcBorders>
            <w:shd w:val="clear" w:color="auto" w:fill="auto"/>
            <w:noWrap/>
            <w:vAlign w:val="bottom"/>
            <w:hideMark/>
          </w:tcPr>
          <w:p w14:paraId="5ABF4CB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1.2818483</w:t>
            </w:r>
          </w:p>
        </w:tc>
        <w:tc>
          <w:tcPr>
            <w:tcW w:w="1060" w:type="dxa"/>
            <w:tcBorders>
              <w:top w:val="nil"/>
              <w:left w:val="nil"/>
              <w:bottom w:val="single" w:sz="4" w:space="0" w:color="auto"/>
              <w:right w:val="single" w:sz="4" w:space="0" w:color="auto"/>
            </w:tcBorders>
            <w:shd w:val="clear" w:color="auto" w:fill="auto"/>
            <w:noWrap/>
            <w:vAlign w:val="bottom"/>
            <w:hideMark/>
          </w:tcPr>
          <w:p w14:paraId="77EF775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1.2400668</w:t>
            </w:r>
          </w:p>
        </w:tc>
      </w:tr>
    </w:tbl>
    <w:p w14:paraId="1BBD81DD" w14:textId="77777777" w:rsidR="003229A0" w:rsidRDefault="003229A0">
      <w:pPr>
        <w:jc w:val="both"/>
        <w:rPr>
          <w:rFonts w:ascii="Times New Roman" w:hAnsi="Times New Roman" w:cs="Times New Roman"/>
          <w:sz w:val="24"/>
          <w:szCs w:val="24"/>
        </w:rPr>
      </w:pPr>
    </w:p>
    <w:p w14:paraId="502BBA60" w14:textId="77777777" w:rsidR="003229A0" w:rsidRDefault="003229A0">
      <w:pPr>
        <w:jc w:val="both"/>
        <w:rPr>
          <w:rFonts w:ascii="Times New Roman" w:hAnsi="Times New Roman" w:cs="Times New Roman"/>
          <w:sz w:val="24"/>
          <w:szCs w:val="24"/>
        </w:rPr>
      </w:pPr>
    </w:p>
    <w:p w14:paraId="3899CC78"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 xml:space="preserve">Table 6: Coca-Cola’s five-year Quick ratio </w:t>
      </w:r>
    </w:p>
    <w:tbl>
      <w:tblPr>
        <w:tblW w:w="8780" w:type="dxa"/>
        <w:tblInd w:w="-5" w:type="dxa"/>
        <w:tblLook w:val="04A0" w:firstRow="1" w:lastRow="0" w:firstColumn="1" w:lastColumn="0" w:noHBand="0" w:noVBand="1"/>
      </w:tblPr>
      <w:tblGrid>
        <w:gridCol w:w="4102"/>
        <w:gridCol w:w="1056"/>
        <w:gridCol w:w="944"/>
        <w:gridCol w:w="1153"/>
        <w:gridCol w:w="1134"/>
        <w:gridCol w:w="966"/>
      </w:tblGrid>
      <w:tr w:rsidR="003229A0" w14:paraId="213B4B1F" w14:textId="77777777">
        <w:trPr>
          <w:trHeight w:val="300"/>
        </w:trPr>
        <w:tc>
          <w:tcPr>
            <w:tcW w:w="53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5D807"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quick ratio</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357D8CD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C90D72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B9B55E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00AE3AB0" w14:textId="77777777">
        <w:trPr>
          <w:trHeight w:val="300"/>
        </w:trPr>
        <w:tc>
          <w:tcPr>
            <w:tcW w:w="4380" w:type="dxa"/>
            <w:tcBorders>
              <w:top w:val="nil"/>
              <w:left w:val="single" w:sz="4" w:space="0" w:color="auto"/>
              <w:bottom w:val="single" w:sz="4" w:space="0" w:color="auto"/>
              <w:right w:val="single" w:sz="4" w:space="0" w:color="auto"/>
            </w:tcBorders>
            <w:shd w:val="clear" w:color="auto" w:fill="auto"/>
            <w:noWrap/>
            <w:vAlign w:val="bottom"/>
            <w:hideMark/>
          </w:tcPr>
          <w:p w14:paraId="7ABDB3A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480" w:type="dxa"/>
            <w:tcBorders>
              <w:top w:val="nil"/>
              <w:left w:val="nil"/>
              <w:bottom w:val="single" w:sz="4" w:space="0" w:color="auto"/>
              <w:right w:val="single" w:sz="4" w:space="0" w:color="auto"/>
            </w:tcBorders>
            <w:shd w:val="clear" w:color="auto" w:fill="auto"/>
            <w:noWrap/>
            <w:vAlign w:val="bottom"/>
            <w:hideMark/>
          </w:tcPr>
          <w:p w14:paraId="5AA32F1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480" w:type="dxa"/>
            <w:tcBorders>
              <w:top w:val="nil"/>
              <w:left w:val="nil"/>
              <w:bottom w:val="single" w:sz="4" w:space="0" w:color="auto"/>
              <w:right w:val="single" w:sz="4" w:space="0" w:color="auto"/>
            </w:tcBorders>
            <w:shd w:val="clear" w:color="auto" w:fill="auto"/>
            <w:noWrap/>
            <w:vAlign w:val="bottom"/>
            <w:hideMark/>
          </w:tcPr>
          <w:p w14:paraId="4152829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1220" w:type="dxa"/>
            <w:tcBorders>
              <w:top w:val="nil"/>
              <w:left w:val="nil"/>
              <w:bottom w:val="single" w:sz="4" w:space="0" w:color="auto"/>
              <w:right w:val="single" w:sz="4" w:space="0" w:color="auto"/>
            </w:tcBorders>
            <w:shd w:val="clear" w:color="auto" w:fill="auto"/>
            <w:noWrap/>
            <w:vAlign w:val="bottom"/>
            <w:hideMark/>
          </w:tcPr>
          <w:p w14:paraId="156795C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200" w:type="dxa"/>
            <w:tcBorders>
              <w:top w:val="nil"/>
              <w:left w:val="nil"/>
              <w:bottom w:val="single" w:sz="4" w:space="0" w:color="auto"/>
              <w:right w:val="single" w:sz="4" w:space="0" w:color="auto"/>
            </w:tcBorders>
            <w:shd w:val="clear" w:color="auto" w:fill="auto"/>
            <w:noWrap/>
            <w:vAlign w:val="bottom"/>
            <w:hideMark/>
          </w:tcPr>
          <w:p w14:paraId="41EA718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020" w:type="dxa"/>
            <w:tcBorders>
              <w:top w:val="nil"/>
              <w:left w:val="nil"/>
              <w:bottom w:val="single" w:sz="4" w:space="0" w:color="auto"/>
              <w:right w:val="single" w:sz="4" w:space="0" w:color="auto"/>
            </w:tcBorders>
            <w:shd w:val="clear" w:color="auto" w:fill="auto"/>
            <w:noWrap/>
            <w:vAlign w:val="bottom"/>
            <w:hideMark/>
          </w:tcPr>
          <w:p w14:paraId="5A12074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32E8D0C9" w14:textId="77777777">
        <w:trPr>
          <w:trHeight w:val="300"/>
        </w:trPr>
        <w:tc>
          <w:tcPr>
            <w:tcW w:w="4380" w:type="dxa"/>
            <w:tcBorders>
              <w:top w:val="nil"/>
              <w:left w:val="single" w:sz="4" w:space="0" w:color="auto"/>
              <w:bottom w:val="single" w:sz="4" w:space="0" w:color="auto"/>
              <w:right w:val="single" w:sz="4" w:space="0" w:color="auto"/>
            </w:tcBorders>
            <w:shd w:val="clear" w:color="auto" w:fill="auto"/>
            <w:noWrap/>
            <w:vAlign w:val="bottom"/>
            <w:hideMark/>
          </w:tcPr>
          <w:p w14:paraId="370E2A2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current assets </w:t>
            </w:r>
          </w:p>
        </w:tc>
        <w:tc>
          <w:tcPr>
            <w:tcW w:w="480" w:type="dxa"/>
            <w:tcBorders>
              <w:top w:val="nil"/>
              <w:left w:val="nil"/>
              <w:bottom w:val="single" w:sz="4" w:space="0" w:color="auto"/>
              <w:right w:val="single" w:sz="4" w:space="0" w:color="auto"/>
            </w:tcBorders>
            <w:shd w:val="clear" w:color="auto" w:fill="auto"/>
            <w:noWrap/>
            <w:vAlign w:val="bottom"/>
            <w:hideMark/>
          </w:tcPr>
          <w:p w14:paraId="35733D0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$808,431</w:t>
            </w:r>
          </w:p>
        </w:tc>
        <w:tc>
          <w:tcPr>
            <w:tcW w:w="480" w:type="dxa"/>
            <w:tcBorders>
              <w:top w:val="nil"/>
              <w:left w:val="nil"/>
              <w:bottom w:val="single" w:sz="4" w:space="0" w:color="auto"/>
              <w:right w:val="single" w:sz="4" w:space="0" w:color="auto"/>
            </w:tcBorders>
            <w:shd w:val="clear" w:color="auto" w:fill="auto"/>
            <w:noWrap/>
            <w:vAlign w:val="bottom"/>
            <w:hideMark/>
          </w:tcPr>
          <w:p w14:paraId="20F949A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$30,634</w:t>
            </w:r>
          </w:p>
        </w:tc>
        <w:tc>
          <w:tcPr>
            <w:tcW w:w="1220" w:type="dxa"/>
            <w:tcBorders>
              <w:top w:val="nil"/>
              <w:left w:val="nil"/>
              <w:bottom w:val="single" w:sz="4" w:space="0" w:color="auto"/>
              <w:right w:val="single" w:sz="4" w:space="0" w:color="auto"/>
            </w:tcBorders>
            <w:shd w:val="clear" w:color="auto" w:fill="auto"/>
            <w:noWrap/>
            <w:vAlign w:val="bottom"/>
            <w:hideMark/>
          </w:tcPr>
          <w:p w14:paraId="168C4FA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$36,545</w:t>
            </w:r>
          </w:p>
        </w:tc>
        <w:tc>
          <w:tcPr>
            <w:tcW w:w="1200" w:type="dxa"/>
            <w:tcBorders>
              <w:top w:val="nil"/>
              <w:left w:val="nil"/>
              <w:bottom w:val="single" w:sz="4" w:space="0" w:color="auto"/>
              <w:right w:val="single" w:sz="4" w:space="0" w:color="auto"/>
            </w:tcBorders>
            <w:shd w:val="clear" w:color="auto" w:fill="auto"/>
            <w:noWrap/>
            <w:vAlign w:val="bottom"/>
            <w:hideMark/>
          </w:tcPr>
          <w:p w14:paraId="1FD8C9C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$34,010</w:t>
            </w:r>
          </w:p>
        </w:tc>
        <w:tc>
          <w:tcPr>
            <w:tcW w:w="1020" w:type="dxa"/>
            <w:tcBorders>
              <w:top w:val="nil"/>
              <w:left w:val="nil"/>
              <w:bottom w:val="single" w:sz="4" w:space="0" w:color="auto"/>
              <w:right w:val="single" w:sz="4" w:space="0" w:color="auto"/>
            </w:tcBorders>
            <w:shd w:val="clear" w:color="auto" w:fill="auto"/>
            <w:noWrap/>
            <w:vAlign w:val="bottom"/>
            <w:hideMark/>
          </w:tcPr>
          <w:p w14:paraId="5AC0D64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$33,395</w:t>
            </w:r>
          </w:p>
        </w:tc>
      </w:tr>
      <w:tr w:rsidR="003229A0" w14:paraId="2627D35A" w14:textId="77777777">
        <w:trPr>
          <w:trHeight w:val="300"/>
        </w:trPr>
        <w:tc>
          <w:tcPr>
            <w:tcW w:w="4380" w:type="dxa"/>
            <w:tcBorders>
              <w:top w:val="nil"/>
              <w:left w:val="single" w:sz="4" w:space="0" w:color="auto"/>
              <w:bottom w:val="single" w:sz="4" w:space="0" w:color="auto"/>
              <w:right w:val="single" w:sz="4" w:space="0" w:color="auto"/>
            </w:tcBorders>
            <w:shd w:val="clear" w:color="auto" w:fill="auto"/>
            <w:noWrap/>
            <w:vAlign w:val="bottom"/>
            <w:hideMark/>
          </w:tcPr>
          <w:p w14:paraId="289E7FF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inventories </w:t>
            </w:r>
          </w:p>
        </w:tc>
        <w:tc>
          <w:tcPr>
            <w:tcW w:w="480" w:type="dxa"/>
            <w:tcBorders>
              <w:top w:val="nil"/>
              <w:left w:val="nil"/>
              <w:bottom w:val="single" w:sz="4" w:space="0" w:color="auto"/>
              <w:right w:val="single" w:sz="4" w:space="0" w:color="auto"/>
            </w:tcBorders>
            <w:shd w:val="clear" w:color="auto" w:fill="auto"/>
            <w:noWrap/>
            <w:vAlign w:val="bottom"/>
            <w:hideMark/>
          </w:tcPr>
          <w:p w14:paraId="639F20F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$220,317</w:t>
            </w:r>
          </w:p>
        </w:tc>
        <w:tc>
          <w:tcPr>
            <w:tcW w:w="480" w:type="dxa"/>
            <w:tcBorders>
              <w:top w:val="nil"/>
              <w:left w:val="nil"/>
              <w:bottom w:val="single" w:sz="4" w:space="0" w:color="auto"/>
              <w:right w:val="single" w:sz="4" w:space="0" w:color="auto"/>
            </w:tcBorders>
            <w:shd w:val="clear" w:color="auto" w:fill="auto"/>
            <w:noWrap/>
            <w:vAlign w:val="bottom"/>
            <w:hideMark/>
          </w:tcPr>
          <w:p w14:paraId="6AC1349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$2,766</w:t>
            </w:r>
          </w:p>
        </w:tc>
        <w:tc>
          <w:tcPr>
            <w:tcW w:w="1220" w:type="dxa"/>
            <w:tcBorders>
              <w:top w:val="nil"/>
              <w:left w:val="nil"/>
              <w:bottom w:val="single" w:sz="4" w:space="0" w:color="auto"/>
              <w:right w:val="single" w:sz="4" w:space="0" w:color="auto"/>
            </w:tcBorders>
            <w:shd w:val="clear" w:color="auto" w:fill="auto"/>
            <w:noWrap/>
            <w:vAlign w:val="bottom"/>
            <w:hideMark/>
          </w:tcPr>
          <w:p w14:paraId="110C7FC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$2,655</w:t>
            </w:r>
          </w:p>
        </w:tc>
        <w:tc>
          <w:tcPr>
            <w:tcW w:w="1200" w:type="dxa"/>
            <w:tcBorders>
              <w:top w:val="nil"/>
              <w:left w:val="nil"/>
              <w:bottom w:val="single" w:sz="4" w:space="0" w:color="auto"/>
              <w:right w:val="single" w:sz="4" w:space="0" w:color="auto"/>
            </w:tcBorders>
            <w:shd w:val="clear" w:color="auto" w:fill="auto"/>
            <w:noWrap/>
            <w:vAlign w:val="bottom"/>
            <w:hideMark/>
          </w:tcPr>
          <w:p w14:paraId="278E716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$2,675</w:t>
            </w:r>
          </w:p>
        </w:tc>
        <w:tc>
          <w:tcPr>
            <w:tcW w:w="1020" w:type="dxa"/>
            <w:tcBorders>
              <w:top w:val="nil"/>
              <w:left w:val="nil"/>
              <w:bottom w:val="single" w:sz="4" w:space="0" w:color="auto"/>
              <w:right w:val="single" w:sz="4" w:space="0" w:color="auto"/>
            </w:tcBorders>
            <w:shd w:val="clear" w:color="auto" w:fill="auto"/>
            <w:noWrap/>
            <w:vAlign w:val="bottom"/>
            <w:hideMark/>
          </w:tcPr>
          <w:p w14:paraId="1EA11ED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$2,902</w:t>
            </w:r>
          </w:p>
        </w:tc>
      </w:tr>
      <w:tr w:rsidR="003229A0" w14:paraId="3D404552" w14:textId="77777777">
        <w:trPr>
          <w:trHeight w:val="600"/>
        </w:trPr>
        <w:tc>
          <w:tcPr>
            <w:tcW w:w="4380" w:type="dxa"/>
            <w:tcBorders>
              <w:top w:val="nil"/>
              <w:left w:val="single" w:sz="4" w:space="0" w:color="auto"/>
              <w:bottom w:val="single" w:sz="4" w:space="0" w:color="auto"/>
              <w:right w:val="single" w:sz="4" w:space="0" w:color="auto"/>
            </w:tcBorders>
            <w:shd w:val="clear" w:color="auto" w:fill="auto"/>
            <w:vAlign w:val="bottom"/>
            <w:hideMark/>
          </w:tcPr>
          <w:p w14:paraId="60E3E99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 liabilities</w:t>
            </w:r>
          </w:p>
        </w:tc>
        <w:tc>
          <w:tcPr>
            <w:tcW w:w="480" w:type="dxa"/>
            <w:tcBorders>
              <w:top w:val="nil"/>
              <w:left w:val="nil"/>
              <w:bottom w:val="single" w:sz="4" w:space="0" w:color="auto"/>
              <w:right w:val="single" w:sz="4" w:space="0" w:color="auto"/>
            </w:tcBorders>
            <w:shd w:val="clear" w:color="auto" w:fill="auto"/>
            <w:noWrap/>
            <w:vAlign w:val="bottom"/>
            <w:hideMark/>
          </w:tcPr>
          <w:p w14:paraId="2285A4D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$559,141</w:t>
            </w:r>
          </w:p>
        </w:tc>
        <w:tc>
          <w:tcPr>
            <w:tcW w:w="480" w:type="dxa"/>
            <w:tcBorders>
              <w:top w:val="nil"/>
              <w:left w:val="nil"/>
              <w:bottom w:val="single" w:sz="4" w:space="0" w:color="auto"/>
              <w:right w:val="single" w:sz="4" w:space="0" w:color="auto"/>
            </w:tcBorders>
            <w:shd w:val="clear" w:color="auto" w:fill="auto"/>
            <w:noWrap/>
            <w:vAlign w:val="bottom"/>
            <w:hideMark/>
          </w:tcPr>
          <w:p w14:paraId="7C11BB8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$29,223</w:t>
            </w:r>
          </w:p>
        </w:tc>
        <w:tc>
          <w:tcPr>
            <w:tcW w:w="1220" w:type="dxa"/>
            <w:tcBorders>
              <w:top w:val="nil"/>
              <w:left w:val="nil"/>
              <w:bottom w:val="single" w:sz="4" w:space="0" w:color="auto"/>
              <w:right w:val="single" w:sz="4" w:space="0" w:color="auto"/>
            </w:tcBorders>
            <w:shd w:val="clear" w:color="auto" w:fill="auto"/>
            <w:noWrap/>
            <w:vAlign w:val="bottom"/>
            <w:hideMark/>
          </w:tcPr>
          <w:p w14:paraId="4F53E15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$27,194</w:t>
            </w:r>
          </w:p>
        </w:tc>
        <w:tc>
          <w:tcPr>
            <w:tcW w:w="1200" w:type="dxa"/>
            <w:tcBorders>
              <w:top w:val="nil"/>
              <w:left w:val="nil"/>
              <w:bottom w:val="single" w:sz="4" w:space="0" w:color="auto"/>
              <w:right w:val="single" w:sz="4" w:space="0" w:color="auto"/>
            </w:tcBorders>
            <w:shd w:val="clear" w:color="auto" w:fill="auto"/>
            <w:noWrap/>
            <w:vAlign w:val="bottom"/>
            <w:hideMark/>
          </w:tcPr>
          <w:p w14:paraId="5FF8A28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$26,532</w:t>
            </w:r>
          </w:p>
        </w:tc>
        <w:tc>
          <w:tcPr>
            <w:tcW w:w="1020" w:type="dxa"/>
            <w:tcBorders>
              <w:top w:val="nil"/>
              <w:left w:val="nil"/>
              <w:bottom w:val="single" w:sz="4" w:space="0" w:color="auto"/>
              <w:right w:val="single" w:sz="4" w:space="0" w:color="auto"/>
            </w:tcBorders>
            <w:shd w:val="clear" w:color="auto" w:fill="auto"/>
            <w:noWrap/>
            <w:vAlign w:val="bottom"/>
            <w:hideMark/>
          </w:tcPr>
          <w:p w14:paraId="6080837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$26,930</w:t>
            </w:r>
          </w:p>
        </w:tc>
      </w:tr>
      <w:tr w:rsidR="003229A0" w14:paraId="3238B9A7" w14:textId="77777777">
        <w:trPr>
          <w:trHeight w:val="600"/>
        </w:trPr>
        <w:tc>
          <w:tcPr>
            <w:tcW w:w="4380" w:type="dxa"/>
            <w:tcBorders>
              <w:top w:val="nil"/>
              <w:left w:val="single" w:sz="4" w:space="0" w:color="auto"/>
              <w:bottom w:val="single" w:sz="4" w:space="0" w:color="auto"/>
              <w:right w:val="single" w:sz="4" w:space="0" w:color="auto"/>
            </w:tcBorders>
            <w:shd w:val="clear" w:color="auto" w:fill="auto"/>
            <w:vAlign w:val="bottom"/>
            <w:hideMark/>
          </w:tcPr>
          <w:p w14:paraId="65B0338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current assets - inventories </w:t>
            </w:r>
          </w:p>
        </w:tc>
        <w:tc>
          <w:tcPr>
            <w:tcW w:w="480" w:type="dxa"/>
            <w:tcBorders>
              <w:top w:val="nil"/>
              <w:left w:val="nil"/>
              <w:bottom w:val="single" w:sz="4" w:space="0" w:color="auto"/>
              <w:right w:val="single" w:sz="4" w:space="0" w:color="auto"/>
            </w:tcBorders>
            <w:shd w:val="clear" w:color="auto" w:fill="auto"/>
            <w:noWrap/>
            <w:vAlign w:val="bottom"/>
            <w:hideMark/>
          </w:tcPr>
          <w:p w14:paraId="33B4B81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$588,114</w:t>
            </w:r>
          </w:p>
        </w:tc>
        <w:tc>
          <w:tcPr>
            <w:tcW w:w="480" w:type="dxa"/>
            <w:tcBorders>
              <w:top w:val="nil"/>
              <w:left w:val="nil"/>
              <w:bottom w:val="single" w:sz="4" w:space="0" w:color="auto"/>
              <w:right w:val="single" w:sz="4" w:space="0" w:color="auto"/>
            </w:tcBorders>
            <w:shd w:val="clear" w:color="auto" w:fill="auto"/>
            <w:noWrap/>
            <w:vAlign w:val="bottom"/>
            <w:hideMark/>
          </w:tcPr>
          <w:p w14:paraId="370787E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$27,868</w:t>
            </w:r>
          </w:p>
        </w:tc>
        <w:tc>
          <w:tcPr>
            <w:tcW w:w="1220" w:type="dxa"/>
            <w:tcBorders>
              <w:top w:val="nil"/>
              <w:left w:val="nil"/>
              <w:bottom w:val="single" w:sz="4" w:space="0" w:color="auto"/>
              <w:right w:val="single" w:sz="4" w:space="0" w:color="auto"/>
            </w:tcBorders>
            <w:shd w:val="clear" w:color="auto" w:fill="auto"/>
            <w:noWrap/>
            <w:vAlign w:val="bottom"/>
            <w:hideMark/>
          </w:tcPr>
          <w:p w14:paraId="36F657B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$33,890</w:t>
            </w:r>
          </w:p>
        </w:tc>
        <w:tc>
          <w:tcPr>
            <w:tcW w:w="1200" w:type="dxa"/>
            <w:tcBorders>
              <w:top w:val="nil"/>
              <w:left w:val="nil"/>
              <w:bottom w:val="single" w:sz="4" w:space="0" w:color="auto"/>
              <w:right w:val="single" w:sz="4" w:space="0" w:color="auto"/>
            </w:tcBorders>
            <w:shd w:val="clear" w:color="auto" w:fill="auto"/>
            <w:noWrap/>
            <w:vAlign w:val="bottom"/>
            <w:hideMark/>
          </w:tcPr>
          <w:p w14:paraId="238F6E9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$31,335</w:t>
            </w:r>
          </w:p>
        </w:tc>
        <w:tc>
          <w:tcPr>
            <w:tcW w:w="1020" w:type="dxa"/>
            <w:tcBorders>
              <w:top w:val="nil"/>
              <w:left w:val="nil"/>
              <w:bottom w:val="single" w:sz="4" w:space="0" w:color="auto"/>
              <w:right w:val="single" w:sz="4" w:space="0" w:color="auto"/>
            </w:tcBorders>
            <w:shd w:val="clear" w:color="auto" w:fill="auto"/>
            <w:noWrap/>
            <w:vAlign w:val="bottom"/>
            <w:hideMark/>
          </w:tcPr>
          <w:p w14:paraId="5092FE7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$30,493</w:t>
            </w:r>
          </w:p>
        </w:tc>
      </w:tr>
      <w:tr w:rsidR="003229A0" w14:paraId="6540E7F4" w14:textId="77777777">
        <w:trPr>
          <w:trHeight w:val="300"/>
        </w:trPr>
        <w:tc>
          <w:tcPr>
            <w:tcW w:w="4380" w:type="dxa"/>
            <w:tcBorders>
              <w:top w:val="nil"/>
              <w:left w:val="single" w:sz="4" w:space="0" w:color="auto"/>
              <w:bottom w:val="single" w:sz="4" w:space="0" w:color="auto"/>
              <w:right w:val="single" w:sz="4" w:space="0" w:color="auto"/>
            </w:tcBorders>
            <w:shd w:val="clear" w:color="auto" w:fill="auto"/>
            <w:noWrap/>
            <w:vAlign w:val="bottom"/>
            <w:hideMark/>
          </w:tcPr>
          <w:p w14:paraId="45370BC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quick ratio</w:t>
            </w:r>
          </w:p>
        </w:tc>
        <w:tc>
          <w:tcPr>
            <w:tcW w:w="480" w:type="dxa"/>
            <w:tcBorders>
              <w:top w:val="nil"/>
              <w:left w:val="nil"/>
              <w:bottom w:val="single" w:sz="4" w:space="0" w:color="auto"/>
              <w:right w:val="single" w:sz="4" w:space="0" w:color="auto"/>
            </w:tcBorders>
            <w:shd w:val="clear" w:color="auto" w:fill="auto"/>
            <w:noWrap/>
            <w:vAlign w:val="bottom"/>
            <w:hideMark/>
          </w:tcPr>
          <w:p w14:paraId="6BCB3EB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1.05</w:t>
            </w:r>
          </w:p>
        </w:tc>
        <w:tc>
          <w:tcPr>
            <w:tcW w:w="480" w:type="dxa"/>
            <w:tcBorders>
              <w:top w:val="nil"/>
              <w:left w:val="nil"/>
              <w:bottom w:val="single" w:sz="4" w:space="0" w:color="auto"/>
              <w:right w:val="single" w:sz="4" w:space="0" w:color="auto"/>
            </w:tcBorders>
            <w:shd w:val="clear" w:color="auto" w:fill="auto"/>
            <w:noWrap/>
            <w:vAlign w:val="bottom"/>
            <w:hideMark/>
          </w:tcPr>
          <w:p w14:paraId="6F31A42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0.95</w:t>
            </w:r>
          </w:p>
        </w:tc>
        <w:tc>
          <w:tcPr>
            <w:tcW w:w="1220" w:type="dxa"/>
            <w:tcBorders>
              <w:top w:val="nil"/>
              <w:left w:val="nil"/>
              <w:bottom w:val="single" w:sz="4" w:space="0" w:color="auto"/>
              <w:right w:val="single" w:sz="4" w:space="0" w:color="auto"/>
            </w:tcBorders>
            <w:shd w:val="clear" w:color="auto" w:fill="auto"/>
            <w:noWrap/>
            <w:vAlign w:val="bottom"/>
            <w:hideMark/>
          </w:tcPr>
          <w:p w14:paraId="5E737CD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1.25</w:t>
            </w:r>
          </w:p>
        </w:tc>
        <w:tc>
          <w:tcPr>
            <w:tcW w:w="1200" w:type="dxa"/>
            <w:tcBorders>
              <w:top w:val="nil"/>
              <w:left w:val="nil"/>
              <w:bottom w:val="single" w:sz="4" w:space="0" w:color="auto"/>
              <w:right w:val="single" w:sz="4" w:space="0" w:color="auto"/>
            </w:tcBorders>
            <w:shd w:val="clear" w:color="auto" w:fill="auto"/>
            <w:noWrap/>
            <w:vAlign w:val="bottom"/>
            <w:hideMark/>
          </w:tcPr>
          <w:p w14:paraId="0F89ADC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1.18</w:t>
            </w:r>
          </w:p>
        </w:tc>
        <w:tc>
          <w:tcPr>
            <w:tcW w:w="1020" w:type="dxa"/>
            <w:tcBorders>
              <w:top w:val="nil"/>
              <w:left w:val="nil"/>
              <w:bottom w:val="single" w:sz="4" w:space="0" w:color="auto"/>
              <w:right w:val="single" w:sz="4" w:space="0" w:color="auto"/>
            </w:tcBorders>
            <w:shd w:val="clear" w:color="auto" w:fill="auto"/>
            <w:noWrap/>
            <w:vAlign w:val="bottom"/>
            <w:hideMark/>
          </w:tcPr>
          <w:p w14:paraId="2FDDA64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1.13</w:t>
            </w:r>
          </w:p>
        </w:tc>
      </w:tr>
    </w:tbl>
    <w:p w14:paraId="17E163BE" w14:textId="77777777" w:rsidR="003229A0" w:rsidRDefault="00AB0A4C">
      <w:pPr>
        <w:jc w:val="both"/>
        <w:rPr>
          <w:rFonts w:ascii="Times New Roman" w:hAnsi="Times New Roman" w:cs="Times New Roman"/>
          <w:b/>
          <w:sz w:val="24"/>
          <w:szCs w:val="24"/>
        </w:rPr>
      </w:pPr>
      <w:r>
        <w:rPr>
          <w:rFonts w:ascii="Times New Roman" w:hAnsi="Times New Roman" w:cs="Times New Roman"/>
          <w:b/>
          <w:sz w:val="24"/>
          <w:szCs w:val="24"/>
        </w:rPr>
        <w:lastRenderedPageBreak/>
        <w:t>EFFICIENCY RATIOS</w:t>
      </w:r>
    </w:p>
    <w:p w14:paraId="3CBC3269"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Table 7: Coca-Cola’s five-year fixed turnover ratio</w:t>
      </w:r>
    </w:p>
    <w:tbl>
      <w:tblPr>
        <w:tblW w:w="9060" w:type="dxa"/>
        <w:tblInd w:w="-5" w:type="dxa"/>
        <w:tblLook w:val="04A0" w:firstRow="1" w:lastRow="0" w:firstColumn="1" w:lastColumn="0" w:noHBand="0" w:noVBand="1"/>
      </w:tblPr>
      <w:tblGrid>
        <w:gridCol w:w="2063"/>
        <w:gridCol w:w="3193"/>
        <w:gridCol w:w="1051"/>
        <w:gridCol w:w="946"/>
        <w:gridCol w:w="1051"/>
        <w:gridCol w:w="1051"/>
      </w:tblGrid>
      <w:tr w:rsidR="003229A0" w14:paraId="2A18D4E3" w14:textId="77777777">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6BD7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46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20FE3C9E"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fixed asset turnover ratio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468457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F3D34A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2D77DA64"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5ABDE7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3640" w:type="dxa"/>
            <w:tcBorders>
              <w:top w:val="nil"/>
              <w:left w:val="nil"/>
              <w:bottom w:val="single" w:sz="4" w:space="0" w:color="auto"/>
              <w:right w:val="single" w:sz="4" w:space="0" w:color="auto"/>
            </w:tcBorders>
            <w:shd w:val="clear" w:color="auto" w:fill="auto"/>
            <w:noWrap/>
            <w:vAlign w:val="bottom"/>
            <w:hideMark/>
          </w:tcPr>
          <w:p w14:paraId="7D83029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2019</w:t>
            </w:r>
          </w:p>
        </w:tc>
        <w:tc>
          <w:tcPr>
            <w:tcW w:w="480" w:type="dxa"/>
            <w:tcBorders>
              <w:top w:val="nil"/>
              <w:left w:val="nil"/>
              <w:bottom w:val="single" w:sz="4" w:space="0" w:color="auto"/>
              <w:right w:val="single" w:sz="4" w:space="0" w:color="auto"/>
            </w:tcBorders>
            <w:shd w:val="clear" w:color="auto" w:fill="auto"/>
            <w:noWrap/>
            <w:vAlign w:val="bottom"/>
            <w:hideMark/>
          </w:tcPr>
          <w:p w14:paraId="2607B9B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2018</w:t>
            </w:r>
          </w:p>
        </w:tc>
        <w:tc>
          <w:tcPr>
            <w:tcW w:w="480" w:type="dxa"/>
            <w:tcBorders>
              <w:top w:val="nil"/>
              <w:left w:val="nil"/>
              <w:bottom w:val="single" w:sz="4" w:space="0" w:color="auto"/>
              <w:right w:val="single" w:sz="4" w:space="0" w:color="auto"/>
            </w:tcBorders>
            <w:shd w:val="clear" w:color="auto" w:fill="auto"/>
            <w:noWrap/>
            <w:vAlign w:val="bottom"/>
            <w:hideMark/>
          </w:tcPr>
          <w:p w14:paraId="116B9CE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2017</w:t>
            </w:r>
          </w:p>
        </w:tc>
        <w:tc>
          <w:tcPr>
            <w:tcW w:w="1060" w:type="dxa"/>
            <w:tcBorders>
              <w:top w:val="nil"/>
              <w:left w:val="nil"/>
              <w:bottom w:val="single" w:sz="4" w:space="0" w:color="auto"/>
              <w:right w:val="single" w:sz="4" w:space="0" w:color="auto"/>
            </w:tcBorders>
            <w:shd w:val="clear" w:color="auto" w:fill="auto"/>
            <w:noWrap/>
            <w:vAlign w:val="bottom"/>
            <w:hideMark/>
          </w:tcPr>
          <w:p w14:paraId="68704A4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2016</w:t>
            </w:r>
          </w:p>
        </w:tc>
        <w:tc>
          <w:tcPr>
            <w:tcW w:w="1060" w:type="dxa"/>
            <w:tcBorders>
              <w:top w:val="nil"/>
              <w:left w:val="nil"/>
              <w:bottom w:val="single" w:sz="4" w:space="0" w:color="auto"/>
              <w:right w:val="single" w:sz="4" w:space="0" w:color="auto"/>
            </w:tcBorders>
            <w:shd w:val="clear" w:color="auto" w:fill="auto"/>
            <w:noWrap/>
            <w:vAlign w:val="bottom"/>
            <w:hideMark/>
          </w:tcPr>
          <w:p w14:paraId="36DF3EC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3229A0" w14:paraId="48238556"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6A020B7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net sales </w:t>
            </w:r>
          </w:p>
        </w:tc>
        <w:tc>
          <w:tcPr>
            <w:tcW w:w="3640" w:type="dxa"/>
            <w:tcBorders>
              <w:top w:val="nil"/>
              <w:left w:val="nil"/>
              <w:bottom w:val="single" w:sz="4" w:space="0" w:color="auto"/>
              <w:right w:val="single" w:sz="4" w:space="0" w:color="auto"/>
            </w:tcBorders>
            <w:shd w:val="clear" w:color="auto" w:fill="auto"/>
            <w:noWrap/>
            <w:vAlign w:val="bottom"/>
            <w:hideMark/>
          </w:tcPr>
          <w:p w14:paraId="6B7EA59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$1,102,912</w:t>
            </w:r>
          </w:p>
        </w:tc>
        <w:tc>
          <w:tcPr>
            <w:tcW w:w="480" w:type="dxa"/>
            <w:tcBorders>
              <w:top w:val="nil"/>
              <w:left w:val="nil"/>
              <w:bottom w:val="single" w:sz="4" w:space="0" w:color="auto"/>
              <w:right w:val="single" w:sz="4" w:space="0" w:color="auto"/>
            </w:tcBorders>
            <w:shd w:val="clear" w:color="auto" w:fill="auto"/>
            <w:noWrap/>
            <w:vAlign w:val="bottom"/>
            <w:hideMark/>
          </w:tcPr>
          <w:p w14:paraId="74A3E8D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$6,434.00</w:t>
            </w:r>
          </w:p>
        </w:tc>
        <w:tc>
          <w:tcPr>
            <w:tcW w:w="480" w:type="dxa"/>
            <w:tcBorders>
              <w:top w:val="nil"/>
              <w:left w:val="nil"/>
              <w:bottom w:val="single" w:sz="4" w:space="0" w:color="auto"/>
              <w:right w:val="single" w:sz="4" w:space="0" w:color="auto"/>
            </w:tcBorders>
            <w:shd w:val="clear" w:color="auto" w:fill="auto"/>
            <w:noWrap/>
            <w:vAlign w:val="bottom"/>
            <w:hideMark/>
          </w:tcPr>
          <w:p w14:paraId="4F27C57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$1,248.0</w:t>
            </w:r>
          </w:p>
        </w:tc>
        <w:tc>
          <w:tcPr>
            <w:tcW w:w="1060" w:type="dxa"/>
            <w:tcBorders>
              <w:top w:val="nil"/>
              <w:left w:val="nil"/>
              <w:bottom w:val="single" w:sz="4" w:space="0" w:color="auto"/>
              <w:right w:val="single" w:sz="4" w:space="0" w:color="auto"/>
            </w:tcBorders>
            <w:shd w:val="clear" w:color="auto" w:fill="auto"/>
            <w:noWrap/>
            <w:vAlign w:val="bottom"/>
            <w:hideMark/>
          </w:tcPr>
          <w:p w14:paraId="43CE2AF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$6,527.00</w:t>
            </w:r>
          </w:p>
        </w:tc>
        <w:tc>
          <w:tcPr>
            <w:tcW w:w="1060" w:type="dxa"/>
            <w:tcBorders>
              <w:top w:val="nil"/>
              <w:left w:val="nil"/>
              <w:bottom w:val="single" w:sz="4" w:space="0" w:color="auto"/>
              <w:right w:val="single" w:sz="4" w:space="0" w:color="auto"/>
            </w:tcBorders>
            <w:shd w:val="clear" w:color="auto" w:fill="auto"/>
            <w:noWrap/>
            <w:vAlign w:val="bottom"/>
            <w:hideMark/>
          </w:tcPr>
          <w:p w14:paraId="5753E27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$7,366.00</w:t>
            </w:r>
          </w:p>
        </w:tc>
      </w:tr>
      <w:tr w:rsidR="003229A0" w14:paraId="2B919766"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5BEFE2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average fixed assets </w:t>
            </w:r>
          </w:p>
        </w:tc>
        <w:tc>
          <w:tcPr>
            <w:tcW w:w="3640" w:type="dxa"/>
            <w:tcBorders>
              <w:top w:val="nil"/>
              <w:left w:val="nil"/>
              <w:bottom w:val="single" w:sz="4" w:space="0" w:color="auto"/>
              <w:right w:val="single" w:sz="4" w:space="0" w:color="auto"/>
            </w:tcBorders>
            <w:shd w:val="clear" w:color="auto" w:fill="auto"/>
            <w:noWrap/>
            <w:vAlign w:val="bottom"/>
            <w:hideMark/>
          </w:tcPr>
          <w:p w14:paraId="5B27C8D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$36,371.5</w:t>
            </w:r>
          </w:p>
        </w:tc>
        <w:tc>
          <w:tcPr>
            <w:tcW w:w="480" w:type="dxa"/>
            <w:tcBorders>
              <w:top w:val="nil"/>
              <w:left w:val="nil"/>
              <w:bottom w:val="single" w:sz="4" w:space="0" w:color="auto"/>
              <w:right w:val="single" w:sz="4" w:space="0" w:color="auto"/>
            </w:tcBorders>
            <w:shd w:val="clear" w:color="auto" w:fill="auto"/>
            <w:noWrap/>
            <w:vAlign w:val="bottom"/>
            <w:hideMark/>
          </w:tcPr>
          <w:p w14:paraId="205101A7"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$2,340</w:t>
            </w:r>
          </w:p>
        </w:tc>
        <w:tc>
          <w:tcPr>
            <w:tcW w:w="480" w:type="dxa"/>
            <w:tcBorders>
              <w:top w:val="nil"/>
              <w:left w:val="nil"/>
              <w:bottom w:val="single" w:sz="4" w:space="0" w:color="auto"/>
              <w:right w:val="single" w:sz="4" w:space="0" w:color="auto"/>
            </w:tcBorders>
            <w:shd w:val="clear" w:color="auto" w:fill="auto"/>
            <w:noWrap/>
            <w:vAlign w:val="bottom"/>
            <w:hideMark/>
          </w:tcPr>
          <w:p w14:paraId="5EB92ED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$954.5</w:t>
            </w:r>
          </w:p>
        </w:tc>
        <w:tc>
          <w:tcPr>
            <w:tcW w:w="1060" w:type="dxa"/>
            <w:tcBorders>
              <w:top w:val="nil"/>
              <w:left w:val="nil"/>
              <w:bottom w:val="single" w:sz="4" w:space="0" w:color="auto"/>
              <w:right w:val="single" w:sz="4" w:space="0" w:color="auto"/>
            </w:tcBorders>
            <w:shd w:val="clear" w:color="auto" w:fill="auto"/>
            <w:noWrap/>
            <w:vAlign w:val="bottom"/>
            <w:hideMark/>
          </w:tcPr>
          <w:p w14:paraId="01460F4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$1,719.00</w:t>
            </w:r>
          </w:p>
        </w:tc>
        <w:tc>
          <w:tcPr>
            <w:tcW w:w="1060" w:type="dxa"/>
            <w:tcBorders>
              <w:top w:val="nil"/>
              <w:left w:val="nil"/>
              <w:bottom w:val="single" w:sz="4" w:space="0" w:color="auto"/>
              <w:right w:val="single" w:sz="4" w:space="0" w:color="auto"/>
            </w:tcBorders>
            <w:shd w:val="clear" w:color="auto" w:fill="auto"/>
            <w:noWrap/>
            <w:vAlign w:val="bottom"/>
            <w:hideMark/>
          </w:tcPr>
          <w:p w14:paraId="77C3BF5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$965.00</w:t>
            </w:r>
          </w:p>
        </w:tc>
      </w:tr>
      <w:tr w:rsidR="003229A0" w14:paraId="09A7ADF2" w14:textId="77777777">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0B69FB0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Fixed assets turnover ratio</w:t>
            </w:r>
          </w:p>
        </w:tc>
        <w:tc>
          <w:tcPr>
            <w:tcW w:w="3640" w:type="dxa"/>
            <w:tcBorders>
              <w:top w:val="nil"/>
              <w:left w:val="nil"/>
              <w:bottom w:val="single" w:sz="4" w:space="0" w:color="auto"/>
              <w:right w:val="single" w:sz="4" w:space="0" w:color="auto"/>
            </w:tcBorders>
            <w:shd w:val="clear" w:color="auto" w:fill="auto"/>
            <w:noWrap/>
            <w:vAlign w:val="bottom"/>
            <w:hideMark/>
          </w:tcPr>
          <w:p w14:paraId="7BD0D0C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30.32</w:t>
            </w:r>
          </w:p>
        </w:tc>
        <w:tc>
          <w:tcPr>
            <w:tcW w:w="480" w:type="dxa"/>
            <w:tcBorders>
              <w:top w:val="nil"/>
              <w:left w:val="nil"/>
              <w:bottom w:val="single" w:sz="4" w:space="0" w:color="auto"/>
              <w:right w:val="single" w:sz="4" w:space="0" w:color="auto"/>
            </w:tcBorders>
            <w:shd w:val="clear" w:color="auto" w:fill="auto"/>
            <w:noWrap/>
            <w:vAlign w:val="bottom"/>
            <w:hideMark/>
          </w:tcPr>
          <w:p w14:paraId="14E63ED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2.75</w:t>
            </w:r>
          </w:p>
        </w:tc>
        <w:tc>
          <w:tcPr>
            <w:tcW w:w="480" w:type="dxa"/>
            <w:tcBorders>
              <w:top w:val="nil"/>
              <w:left w:val="nil"/>
              <w:bottom w:val="single" w:sz="4" w:space="0" w:color="auto"/>
              <w:right w:val="single" w:sz="4" w:space="0" w:color="auto"/>
            </w:tcBorders>
            <w:shd w:val="clear" w:color="auto" w:fill="auto"/>
            <w:noWrap/>
            <w:vAlign w:val="bottom"/>
            <w:hideMark/>
          </w:tcPr>
          <w:p w14:paraId="6005317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w:t>
            </w:r>
          </w:p>
        </w:tc>
        <w:tc>
          <w:tcPr>
            <w:tcW w:w="1060" w:type="dxa"/>
            <w:tcBorders>
              <w:top w:val="nil"/>
              <w:left w:val="nil"/>
              <w:bottom w:val="single" w:sz="4" w:space="0" w:color="auto"/>
              <w:right w:val="single" w:sz="4" w:space="0" w:color="auto"/>
            </w:tcBorders>
            <w:shd w:val="clear" w:color="auto" w:fill="auto"/>
            <w:noWrap/>
            <w:vAlign w:val="bottom"/>
            <w:hideMark/>
          </w:tcPr>
          <w:p w14:paraId="4246A18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3.80</w:t>
            </w:r>
          </w:p>
        </w:tc>
        <w:tc>
          <w:tcPr>
            <w:tcW w:w="1060" w:type="dxa"/>
            <w:tcBorders>
              <w:top w:val="nil"/>
              <w:left w:val="nil"/>
              <w:bottom w:val="single" w:sz="4" w:space="0" w:color="auto"/>
              <w:right w:val="single" w:sz="4" w:space="0" w:color="auto"/>
            </w:tcBorders>
            <w:shd w:val="clear" w:color="auto" w:fill="auto"/>
            <w:noWrap/>
            <w:vAlign w:val="bottom"/>
            <w:hideMark/>
          </w:tcPr>
          <w:p w14:paraId="2AAEA97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7.63</w:t>
            </w:r>
          </w:p>
        </w:tc>
      </w:tr>
    </w:tbl>
    <w:p w14:paraId="00C8D87C" w14:textId="77777777" w:rsidR="003229A0" w:rsidRDefault="003229A0">
      <w:pPr>
        <w:jc w:val="both"/>
        <w:rPr>
          <w:rFonts w:ascii="Times New Roman" w:hAnsi="Times New Roman" w:cs="Times New Roman"/>
          <w:sz w:val="24"/>
          <w:szCs w:val="24"/>
        </w:rPr>
      </w:pPr>
    </w:p>
    <w:p w14:paraId="3425D009" w14:textId="77777777" w:rsidR="003229A0" w:rsidRDefault="00AB0A4C">
      <w:pPr>
        <w:spacing w:line="480" w:lineRule="auto"/>
        <w:jc w:val="both"/>
        <w:rPr>
          <w:rFonts w:ascii="Times New Roman" w:hAnsi="Times New Roman" w:cs="Times New Roman"/>
          <w:b/>
          <w:sz w:val="24"/>
          <w:szCs w:val="24"/>
        </w:rPr>
      </w:pPr>
      <w:r>
        <w:rPr>
          <w:rFonts w:ascii="Times New Roman" w:hAnsi="Times New Roman" w:cs="Times New Roman"/>
          <w:b/>
          <w:sz w:val="24"/>
          <w:szCs w:val="24"/>
        </w:rPr>
        <w:t>Analysis of Coca-Cola’s financial ratios</w:t>
      </w:r>
    </w:p>
    <w:p w14:paraId="29AAAB95"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Table 1 of Coca-Cola's financial analysis reflects the company's ROE, indicating its ability to utilize its shareholder's equity to generate revenues. In the last five years, the company has effectively generated income inflows by using its shareholder's equity.  However, in the five-year period, 2017 indicates that its ROE was very low compared to the other periods.  From the ROE analysis of table 1, 20217 generated a Return on Equity of 7%, which is far below the general benchmark of 10 or 15%.  Although the five-year period has been relatively fluctuating, the company has performed above average. For instance, the company as registered percentage returns on equity ranging between 29, 28, and 34% over the past five years is an indication of the company's ability to effectively utilize its shareholder's equity to generate company returns. </w:t>
      </w:r>
    </w:p>
    <w:p w14:paraId="13854EF5"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In the market, Coca-Cola's return on equity is still low compared to its major competitor PepsiCo. Although calculations show that Coca-Cola's values are high, its major competitor is realizing better returns. For example, while Coca-Cola's return on equity is in 2018, and 17 was 34, and 7%, PepsiCo's return on equity was recorded at 108.36 and 39.97% in the same years.  Therefore, such trends are an indication that Coca-Cola's shareholder's equity is less effectively utilized to generate company returns compared to other potential market players such as PepsiCo.</w:t>
      </w:r>
    </w:p>
    <w:p w14:paraId="7C32C456"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The second table shows Coca-Cola's Return on assets ratio (ROA). The ratio measures the degree of efficiency and effectiveness to which an entity's assets are utilized to generate income.  The ratio is calculated by dividing the total assets' value of a company in a given financial year by the net income generated in that particular period. According to the rule of thumb, an effective Return on assets ratio should be at least 5%, implying that an entity's assets should have a minimum contribution to the net income in a given period. In the five-year period, Coca-Cola’s ROA has been relatively positive with a percentage contribution of at least 7% except during the 2019 and 2017 periods where the ratio was 3 and 1% in the respective years.  Therefore, besides 2017 and 2019, Coca-Cola’s ability to utilize its assets in generating income inflows has been above average except during the two years.  </w:t>
      </w:r>
    </w:p>
    <w:p w14:paraId="42A309B2" w14:textId="77777777" w:rsidR="003229A0" w:rsidRDefault="00AB0A4C">
      <w:pPr>
        <w:spacing w:line="480" w:lineRule="auto"/>
        <w:ind w:firstLine="720"/>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Tables 3 and 4 represent the company's gearing ratios, including the Debt to Equity ratio and the debt ratio. A Debt to Equity ratio of a company is a financial measure that is used to analyze the ratio of an entity's equity to its obligations.  It, therefore, measures the level of an entity's leverage ratio in financing an entity. The ratio is, therefore, used to determine how effectively Coca-Cola's equity can be used to pay off its total debt amount.   Mathematically, the D/E ratio is calculated by dividing the periodic total Debt by its totals shareholder's equity.  Although the Debt to equity ratio varies for every industry, a 1.5 ratio is an acceptable debt to equity ratio.  Therefore, if an entity's Debt to equity ratio exceeds 1.5, then the chances are high that a company risks being highly leveraged. The five-year period D/E ratio analysis of The Coca-Cola Company indicates a relatively worrying state of affairs. According to the five-year results, Coca-Cola's equity is relatively insufficient to meet its total Debt.   D/E figures of 3.3, 2.7 among other outcomes in the different periods, indicate t at much of the company's assets are financed by Debt except in 2019, where the figure is low. The </w:t>
      </w:r>
      <w:r>
        <w:rPr>
          <w:rFonts w:ascii="Times New Roman" w:eastAsia="Times New Roman" w:hAnsi="Times New Roman" w:cs="Times New Roman"/>
          <w:color w:val="000000"/>
          <w:sz w:val="24"/>
          <w:szCs w:val="24"/>
        </w:rPr>
        <w:t xml:space="preserve">0.44 and 0.714029 in 2019 and 15 respectively are showing a worrying </w:t>
      </w:r>
      <w:r>
        <w:rPr>
          <w:rFonts w:ascii="Times New Roman" w:eastAsia="Times New Roman" w:hAnsi="Times New Roman" w:cs="Times New Roman"/>
          <w:color w:val="000000"/>
          <w:sz w:val="24"/>
          <w:szCs w:val="24"/>
        </w:rPr>
        <w:lastRenderedPageBreak/>
        <w:t>trend. According to the above two-year rations, the company's equity can only finance about 44% of its total Debt in 2019 and about 71% in 2015.  Therefore, it is clear that Coca-Cola's equity value is continuously declining as its debt amount increases. If such a trend continues, then Coca-Cola risks the threat of being highly leverage soon.</w:t>
      </w:r>
    </w:p>
    <w:p w14:paraId="03B7C9DC" w14:textId="77777777" w:rsidR="003229A0" w:rsidRDefault="00AB0A4C">
      <w:pPr>
        <w:spacing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However, when compared to other potential competitors’ projections, Coca-Cola’s D/E ratio is slightly low and acceptable. Because these ratios tend to vary between industries, it is essential to create comparisons between Coca-Cola’s outcome and other beverage producing entities such as PepsiCo. Therefore, the review carried out in the market shows that PepsiCo has had Debt to equity ratios ranging between 4.85 and 6.7 in the past five years. Such ranges, when compared to Coca-Cola's figures, indicate that the company is still effective in its debt management practices.</w:t>
      </w:r>
    </w:p>
    <w:p w14:paraId="3CC7A861"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On the other hand, the debt ratio indicates the percentage of a company's Debt to its assets. Entities with high debt ratio values are anticipated to have a high debt level compared to their assets. </w:t>
      </w:r>
      <w:r>
        <w:rPr>
          <w:rFonts w:ascii="Times New Roman" w:eastAsia="Times New Roman" w:hAnsi="Times New Roman" w:cs="Times New Roman"/>
          <w:color w:val="000000"/>
          <w:sz w:val="24"/>
          <w:szCs w:val="24"/>
        </w:rPr>
        <w:t>The higher the debt ratio, the higher the percentage of assets financed through Debt.</w:t>
      </w:r>
      <w:r>
        <w:rPr>
          <w:rFonts w:ascii="Times New Roman" w:hAnsi="Times New Roman" w:cs="Times New Roman"/>
          <w:sz w:val="24"/>
          <w:szCs w:val="24"/>
        </w:rPr>
        <w:t xml:space="preserve"> The ratio determines how much of the assets are financed through Debt. According to the results, in 2016, over 70% of Coca-Cola's assets were financed through Debt, and a similar trend continued happening. Therefore, it is evident that Coca-Cola's assets are financed through Debt, which increases the entity's leverage ratio.</w:t>
      </w:r>
    </w:p>
    <w:p w14:paraId="52937890"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other hand, the quick and current ratios, as presented in tables 5 and 6, are liquidity ratios used to evaluate Coca-Cola's ability to pay off its short-term obligations. The quick ratio is a financial measure that is used to determine the company's ability to pay off its short-term obligations while using its most liquid assets such as cash at hand. The current ratio, on the other hand, is a financial measure that is used to evaluate a company's ability to pay off its current </w:t>
      </w:r>
      <w:r>
        <w:rPr>
          <w:rFonts w:ascii="Times New Roman" w:hAnsi="Times New Roman" w:cs="Times New Roman"/>
          <w:sz w:val="24"/>
          <w:szCs w:val="24"/>
        </w:rPr>
        <w:lastRenderedPageBreak/>
        <w:t xml:space="preserve">obligations, especially those within one year. Unlike the quick ratio, the current ratio assesses the ability of a company to meet short-term obligations that are within one year. The quick ratio, on the other hand, focuses on evaluating the ability to meet obligations that are less than a year or those that require immediate attention. An entity is presumed to be having the capacity to pay off its short-term obligations if it has a quick ratio of 1. The current ratio, on the other hand, should at least 1.2 or 2. If any of the company’s liquidity ratios fall below these figures, then there is a high possibility that such a company has high chances of failing to pay off its current liabilities. Looking at the Coca-Cola Company, it is evident that the entity has sufficient current assets to pay off its current obligations because of its significant liquidity values for the past five years. For instance, the company has had its current ratio in the last years ranging between1.04 to 1.44. Such a performance implies that the company has sufficiently been able to meet its short-term obligations in the same period.  When compared against other entities such as PepsiCo, Coca-Cola still has a better ability to meet its current obligations as PepsiCo’s ratio lies between 0.86 and 1.51 in the same period.  The quick ratio, on the other hand, reflects a relatively average outlook for Coca-Cola, with its ratio between 0.95 and 1.31.  PepsiCo’s quick ratio in the same period is recorded to lie between   0.66 and 1.05. The evaluation still shows that Coca-Cola is still outperforming its major market competitor in regards to liquidity. </w:t>
      </w:r>
    </w:p>
    <w:p w14:paraId="7E8518A8"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Table 7 presents the fixed asset turnover ratio of the company in the last five years. Generally, the ratio evaluates the company's operating performance.  The ratio is used to compare the net sales and the average fixed assets in a given period. It is obtained by dividing the net sales by the average fixed assets of a company.  The average fixed assets, on the other hand, are calculated by subtracting the net fixed asset's beginning balance from the ending balance and then dividing by 2. The ratio particularly determines how an entity is effectively utilizing its fixed assets </w:t>
      </w:r>
      <w:r>
        <w:rPr>
          <w:rFonts w:ascii="Times New Roman" w:hAnsi="Times New Roman" w:cs="Times New Roman"/>
          <w:sz w:val="24"/>
          <w:szCs w:val="24"/>
        </w:rPr>
        <w:lastRenderedPageBreak/>
        <w:t>to generate income, and the higher the ratio, the better the performance.  Such an interpretation is because a higher turnover ratio indicates a greater efficiency in managing fixed assets and investments. The rule of thumb describes a turnover asset ratio between 2 and 2.5 as a good asset turnover ratio.  For the Coca-Cola Company, this ratio has been recorded to be around 1.31 to 7.6, which means that the company has been able to generate a good asset turnover ratio in the last five years. A higher turnover ratio indicates a greater efficiency in managing fixed assets and investments. According to the last five-year projection obtained in table 7, Coca-Cola's fixed assets turnover ratio shows that assets are relatively managed to generate revenues for the firm, although still below 10% for most of the periods. It is only in 2019, where the ratio is showing significant results of up to 30%.</w:t>
      </w:r>
    </w:p>
    <w:p w14:paraId="530FD7E5"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Possible Recommendations on how to improve the financial management of a company </w:t>
      </w:r>
    </w:p>
    <w:p w14:paraId="21DA5791"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Overall, the entity’s financial performance is relatively in a stable state. Although Coca-Cola’s gearing ratios seem to be reflecting a worrying state, the margins are still small. Therefore, the company still has sufficient capacity to reverse the situation because its profitability ratios are still indicating a positive outlook </w:t>
      </w:r>
      <w:r>
        <w:rPr>
          <w:rFonts w:ascii="Times New Roman" w:eastAsia="Times New Roman" w:hAnsi="Times New Roman" w:cs="Times New Roman"/>
          <w:color w:val="000000"/>
          <w:sz w:val="24"/>
          <w:szCs w:val="24"/>
        </w:rPr>
        <w:t>(</w:t>
      </w:r>
      <w:r>
        <w:rPr>
          <w:rFonts w:ascii="Times New Roman" w:hAnsi="Times New Roman" w:cs="Times New Roman"/>
          <w:sz w:val="24"/>
          <w:szCs w:val="24"/>
        </w:rPr>
        <w:t xml:space="preserve">Mashkour, 2019). </w:t>
      </w:r>
      <w:r>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However, since Coca-Cola is a publicly listed company, it is recommendable for the company to embrace an equity-based financing system. The company’s management should evaluate obtaining equity capital as an alternative way of reducing the increasing leverage ratio.  In most cases, financing business activities tend to attract more risks, such as interest rate changes, and the monthly or periodic payments can be challenging to meet in some incidences (Drake, n.d).</w:t>
      </w:r>
    </w:p>
    <w:p w14:paraId="505E1451"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financial management of a company can be improved by enhancing efficient inventory management techniques, such as business data analytics.  These are electronic means through </w:t>
      </w:r>
      <w:r>
        <w:rPr>
          <w:rFonts w:ascii="Times New Roman" w:hAnsi="Times New Roman" w:cs="Times New Roman"/>
          <w:sz w:val="24"/>
          <w:szCs w:val="24"/>
        </w:rPr>
        <w:lastRenderedPageBreak/>
        <w:t xml:space="preserve">which an entity can keep track of its inventory and stock in the given period. When an organization has effective ways of maintaining its inventory and stock, the possibilities of incurring unplanned expenses are reduced. In the long run, a company can effectively know when to purchase new stock. An example of these data analytics is a cloud-based system that automatically updates stock levels in an organization.  </w:t>
      </w:r>
    </w:p>
    <w:p w14:paraId="443E3B92"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sz w:val="24"/>
          <w:szCs w:val="24"/>
        </w:rPr>
        <w:t xml:space="preserve">For entities that constantly operate on credit sales, it is essential to establish a reliable customer credit score upon which customers are assessed before being granted a credit. In that way, a company such as Coca-Cola can effectively ensure that its debtors can pay off their debts and reduce the receivables turnover ratio. It is also an essential practice to lengthen the payback period of a company's debts, whereas reducing the receivables period. Through such a practice, a company can ensure that it has a constant cash inflow, which is vital in facilitating a high working capital to run the daily activities.  The other possible recommendation that can enhance effective financial management is through using long term debt agreements with fixed interest rates. In the financial market, long term loan agreements tend to secure an entity from constant interest changes and fluctuations that may affect the financial status of an entity. Because interest rates of such securities are usually low and paid back over long periods, the company is protected from experiencing significant cash outflows that may present financial risks in the long and short-term.  </w:t>
      </w:r>
    </w:p>
    <w:p w14:paraId="2859326E" w14:textId="77777777" w:rsidR="00435158" w:rsidRDefault="00435158">
      <w:pPr>
        <w:jc w:val="both"/>
        <w:rPr>
          <w:rFonts w:ascii="Times New Roman" w:hAnsi="Times New Roman" w:cs="Times New Roman"/>
          <w:b/>
          <w:sz w:val="24"/>
          <w:szCs w:val="24"/>
        </w:rPr>
      </w:pPr>
    </w:p>
    <w:p w14:paraId="240ABCAA" w14:textId="77777777" w:rsidR="00435158" w:rsidRDefault="00435158">
      <w:pPr>
        <w:jc w:val="both"/>
        <w:rPr>
          <w:rFonts w:ascii="Times New Roman" w:hAnsi="Times New Roman" w:cs="Times New Roman"/>
          <w:b/>
          <w:sz w:val="24"/>
          <w:szCs w:val="24"/>
        </w:rPr>
      </w:pPr>
    </w:p>
    <w:p w14:paraId="24E955C7" w14:textId="77777777" w:rsidR="00435158" w:rsidRDefault="00435158">
      <w:pPr>
        <w:jc w:val="both"/>
        <w:rPr>
          <w:rFonts w:ascii="Times New Roman" w:hAnsi="Times New Roman" w:cs="Times New Roman"/>
          <w:b/>
          <w:sz w:val="24"/>
          <w:szCs w:val="24"/>
        </w:rPr>
      </w:pPr>
    </w:p>
    <w:p w14:paraId="737A834C" w14:textId="77777777" w:rsidR="00435158" w:rsidRDefault="00435158">
      <w:pPr>
        <w:jc w:val="both"/>
        <w:rPr>
          <w:rFonts w:ascii="Times New Roman" w:hAnsi="Times New Roman" w:cs="Times New Roman"/>
          <w:b/>
          <w:sz w:val="24"/>
          <w:szCs w:val="24"/>
        </w:rPr>
      </w:pPr>
    </w:p>
    <w:p w14:paraId="690CD87D" w14:textId="77777777" w:rsidR="00435158" w:rsidRDefault="00435158">
      <w:pPr>
        <w:jc w:val="both"/>
        <w:rPr>
          <w:rFonts w:ascii="Times New Roman" w:hAnsi="Times New Roman" w:cs="Times New Roman"/>
          <w:b/>
          <w:sz w:val="24"/>
          <w:szCs w:val="24"/>
        </w:rPr>
      </w:pPr>
    </w:p>
    <w:p w14:paraId="45B3B0FB" w14:textId="77777777" w:rsidR="00435158" w:rsidRDefault="00435158">
      <w:pPr>
        <w:jc w:val="both"/>
        <w:rPr>
          <w:rFonts w:ascii="Times New Roman" w:hAnsi="Times New Roman" w:cs="Times New Roman"/>
          <w:b/>
          <w:sz w:val="24"/>
          <w:szCs w:val="24"/>
        </w:rPr>
      </w:pPr>
    </w:p>
    <w:p w14:paraId="2C96886A" w14:textId="77777777" w:rsidR="00435158" w:rsidRDefault="00435158">
      <w:pPr>
        <w:jc w:val="both"/>
        <w:rPr>
          <w:rFonts w:ascii="Times New Roman" w:hAnsi="Times New Roman" w:cs="Times New Roman"/>
          <w:b/>
          <w:sz w:val="24"/>
          <w:szCs w:val="24"/>
        </w:rPr>
      </w:pPr>
    </w:p>
    <w:p w14:paraId="22802935" w14:textId="25FC154A" w:rsidR="003229A0" w:rsidRDefault="00AB0A4C">
      <w:pPr>
        <w:jc w:val="both"/>
        <w:rPr>
          <w:rFonts w:ascii="Times New Roman" w:hAnsi="Times New Roman" w:cs="Times New Roman"/>
          <w:b/>
          <w:sz w:val="24"/>
          <w:szCs w:val="24"/>
        </w:rPr>
      </w:pPr>
      <w:r>
        <w:rPr>
          <w:rFonts w:ascii="Times New Roman" w:hAnsi="Times New Roman" w:cs="Times New Roman"/>
          <w:b/>
          <w:sz w:val="24"/>
          <w:szCs w:val="24"/>
        </w:rPr>
        <w:lastRenderedPageBreak/>
        <w:t>PART C:</w:t>
      </w:r>
    </w:p>
    <w:p w14:paraId="29B98F93" w14:textId="77777777" w:rsidR="003229A0" w:rsidRDefault="00AB0A4C">
      <w:pPr>
        <w:jc w:val="both"/>
        <w:rPr>
          <w:rFonts w:ascii="Times New Roman" w:hAnsi="Times New Roman" w:cs="Times New Roman"/>
          <w:b/>
          <w:sz w:val="24"/>
          <w:szCs w:val="24"/>
        </w:rPr>
      </w:pPr>
      <w:r>
        <w:rPr>
          <w:rFonts w:ascii="Times New Roman" w:hAnsi="Times New Roman" w:cs="Times New Roman"/>
          <w:b/>
          <w:sz w:val="24"/>
          <w:szCs w:val="24"/>
        </w:rPr>
        <w:t xml:space="preserve">Payback period </w:t>
      </w:r>
    </w:p>
    <w:tbl>
      <w:tblPr>
        <w:tblW w:w="6060" w:type="dxa"/>
        <w:tblInd w:w="-5" w:type="dxa"/>
        <w:tblLook w:val="04A0" w:firstRow="1" w:lastRow="0" w:firstColumn="1" w:lastColumn="0" w:noHBand="0" w:noVBand="1"/>
      </w:tblPr>
      <w:tblGrid>
        <w:gridCol w:w="1940"/>
        <w:gridCol w:w="1840"/>
        <w:gridCol w:w="2280"/>
      </w:tblGrid>
      <w:tr w:rsidR="003229A0" w14:paraId="79199C25" w14:textId="77777777">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5D28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162A032C" w14:textId="77777777" w:rsidR="003229A0" w:rsidRDefault="00AB0A4C">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project A </w:t>
            </w:r>
          </w:p>
        </w:tc>
        <w:tc>
          <w:tcPr>
            <w:tcW w:w="2280" w:type="dxa"/>
            <w:tcBorders>
              <w:top w:val="single" w:sz="4" w:space="0" w:color="auto"/>
              <w:left w:val="nil"/>
              <w:bottom w:val="single" w:sz="4" w:space="0" w:color="auto"/>
              <w:right w:val="single" w:sz="4" w:space="0" w:color="auto"/>
            </w:tcBorders>
            <w:shd w:val="clear" w:color="auto" w:fill="auto"/>
            <w:noWrap/>
            <w:vAlign w:val="bottom"/>
            <w:hideMark/>
          </w:tcPr>
          <w:p w14:paraId="64C8741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1152F78F" w14:textId="77777777">
        <w:trPr>
          <w:trHeight w:val="300"/>
        </w:trPr>
        <w:tc>
          <w:tcPr>
            <w:tcW w:w="60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82DD3"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payback period (GBP millions) </w:t>
            </w:r>
          </w:p>
        </w:tc>
      </w:tr>
      <w:tr w:rsidR="003229A0" w14:paraId="7D266803"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6EFDEC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year </w:t>
            </w:r>
          </w:p>
        </w:tc>
        <w:tc>
          <w:tcPr>
            <w:tcW w:w="1840" w:type="dxa"/>
            <w:tcBorders>
              <w:top w:val="nil"/>
              <w:left w:val="nil"/>
              <w:bottom w:val="single" w:sz="4" w:space="0" w:color="auto"/>
              <w:right w:val="single" w:sz="4" w:space="0" w:color="auto"/>
            </w:tcBorders>
            <w:shd w:val="clear" w:color="auto" w:fill="auto"/>
            <w:noWrap/>
            <w:vAlign w:val="bottom"/>
            <w:hideMark/>
          </w:tcPr>
          <w:p w14:paraId="2B412F4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annual cash flow </w:t>
            </w:r>
          </w:p>
        </w:tc>
        <w:tc>
          <w:tcPr>
            <w:tcW w:w="2280" w:type="dxa"/>
            <w:tcBorders>
              <w:top w:val="nil"/>
              <w:left w:val="nil"/>
              <w:bottom w:val="single" w:sz="4" w:space="0" w:color="auto"/>
              <w:right w:val="single" w:sz="4" w:space="0" w:color="auto"/>
            </w:tcBorders>
            <w:shd w:val="clear" w:color="auto" w:fill="auto"/>
            <w:noWrap/>
            <w:vAlign w:val="bottom"/>
            <w:hideMark/>
          </w:tcPr>
          <w:p w14:paraId="7EBEEA1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cumulative cash  flow </w:t>
            </w:r>
          </w:p>
        </w:tc>
      </w:tr>
      <w:tr w:rsidR="003229A0" w14:paraId="149B900F"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571333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1840" w:type="dxa"/>
            <w:tcBorders>
              <w:top w:val="nil"/>
              <w:left w:val="nil"/>
              <w:bottom w:val="single" w:sz="4" w:space="0" w:color="auto"/>
              <w:right w:val="single" w:sz="4" w:space="0" w:color="auto"/>
            </w:tcBorders>
            <w:shd w:val="clear" w:color="auto" w:fill="auto"/>
            <w:noWrap/>
            <w:vAlign w:val="bottom"/>
            <w:hideMark/>
          </w:tcPr>
          <w:p w14:paraId="22C60BF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£85,000</w:t>
            </w:r>
          </w:p>
        </w:tc>
        <w:tc>
          <w:tcPr>
            <w:tcW w:w="2280" w:type="dxa"/>
            <w:tcBorders>
              <w:top w:val="nil"/>
              <w:left w:val="nil"/>
              <w:bottom w:val="single" w:sz="4" w:space="0" w:color="auto"/>
              <w:right w:val="single" w:sz="4" w:space="0" w:color="auto"/>
            </w:tcBorders>
            <w:shd w:val="clear" w:color="auto" w:fill="auto"/>
            <w:noWrap/>
            <w:vAlign w:val="bottom"/>
            <w:hideMark/>
          </w:tcPr>
          <w:p w14:paraId="22C5AD7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£85,000</w:t>
            </w:r>
          </w:p>
        </w:tc>
      </w:tr>
      <w:tr w:rsidR="003229A0" w14:paraId="767DFC04"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EF25848"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840" w:type="dxa"/>
            <w:tcBorders>
              <w:top w:val="nil"/>
              <w:left w:val="nil"/>
              <w:bottom w:val="single" w:sz="4" w:space="0" w:color="auto"/>
              <w:right w:val="single" w:sz="4" w:space="0" w:color="auto"/>
            </w:tcBorders>
            <w:shd w:val="clear" w:color="auto" w:fill="auto"/>
            <w:noWrap/>
            <w:vAlign w:val="bottom"/>
            <w:hideMark/>
          </w:tcPr>
          <w:p w14:paraId="22318AE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c>
          <w:tcPr>
            <w:tcW w:w="2280" w:type="dxa"/>
            <w:tcBorders>
              <w:top w:val="nil"/>
              <w:left w:val="nil"/>
              <w:bottom w:val="single" w:sz="4" w:space="0" w:color="auto"/>
              <w:right w:val="single" w:sz="4" w:space="0" w:color="auto"/>
            </w:tcBorders>
            <w:shd w:val="clear" w:color="auto" w:fill="auto"/>
            <w:noWrap/>
            <w:vAlign w:val="bottom"/>
            <w:hideMark/>
          </w:tcPr>
          <w:p w14:paraId="61AAF4C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£75,000</w:t>
            </w:r>
          </w:p>
        </w:tc>
      </w:tr>
      <w:tr w:rsidR="003229A0" w14:paraId="726A50EE"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A3A115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840" w:type="dxa"/>
            <w:tcBorders>
              <w:top w:val="nil"/>
              <w:left w:val="nil"/>
              <w:bottom w:val="single" w:sz="4" w:space="0" w:color="auto"/>
              <w:right w:val="single" w:sz="4" w:space="0" w:color="auto"/>
            </w:tcBorders>
            <w:shd w:val="clear" w:color="auto" w:fill="auto"/>
            <w:noWrap/>
            <w:vAlign w:val="bottom"/>
            <w:hideMark/>
          </w:tcPr>
          <w:p w14:paraId="00B872C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w:t>
            </w:r>
          </w:p>
        </w:tc>
        <w:tc>
          <w:tcPr>
            <w:tcW w:w="2280" w:type="dxa"/>
            <w:tcBorders>
              <w:top w:val="nil"/>
              <w:left w:val="nil"/>
              <w:bottom w:val="single" w:sz="4" w:space="0" w:color="auto"/>
              <w:right w:val="single" w:sz="4" w:space="0" w:color="auto"/>
            </w:tcBorders>
            <w:shd w:val="clear" w:color="auto" w:fill="auto"/>
            <w:noWrap/>
            <w:vAlign w:val="bottom"/>
            <w:hideMark/>
          </w:tcPr>
          <w:p w14:paraId="3F170D6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£55,000</w:t>
            </w:r>
          </w:p>
        </w:tc>
      </w:tr>
      <w:tr w:rsidR="003229A0" w14:paraId="5FA146CF"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3AFB35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40" w:type="dxa"/>
            <w:tcBorders>
              <w:top w:val="nil"/>
              <w:left w:val="nil"/>
              <w:bottom w:val="single" w:sz="4" w:space="0" w:color="auto"/>
              <w:right w:val="single" w:sz="4" w:space="0" w:color="auto"/>
            </w:tcBorders>
            <w:shd w:val="clear" w:color="auto" w:fill="auto"/>
            <w:noWrap/>
            <w:vAlign w:val="bottom"/>
            <w:hideMark/>
          </w:tcPr>
          <w:p w14:paraId="367F2A2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w:t>
            </w:r>
          </w:p>
        </w:tc>
        <w:tc>
          <w:tcPr>
            <w:tcW w:w="2280" w:type="dxa"/>
            <w:tcBorders>
              <w:top w:val="nil"/>
              <w:left w:val="nil"/>
              <w:bottom w:val="single" w:sz="4" w:space="0" w:color="auto"/>
              <w:right w:val="single" w:sz="4" w:space="0" w:color="auto"/>
            </w:tcBorders>
            <w:shd w:val="clear" w:color="auto" w:fill="auto"/>
            <w:noWrap/>
            <w:vAlign w:val="bottom"/>
            <w:hideMark/>
          </w:tcPr>
          <w:p w14:paraId="4781F503"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£15,000</w:t>
            </w:r>
          </w:p>
        </w:tc>
      </w:tr>
      <w:tr w:rsidR="003229A0" w14:paraId="286FC3F3"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926616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840" w:type="dxa"/>
            <w:tcBorders>
              <w:top w:val="nil"/>
              <w:left w:val="nil"/>
              <w:bottom w:val="single" w:sz="4" w:space="0" w:color="auto"/>
              <w:right w:val="single" w:sz="4" w:space="0" w:color="auto"/>
            </w:tcBorders>
            <w:shd w:val="clear" w:color="auto" w:fill="auto"/>
            <w:noWrap/>
            <w:vAlign w:val="bottom"/>
            <w:hideMark/>
          </w:tcPr>
          <w:p w14:paraId="6074272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£55,000</w:t>
            </w:r>
          </w:p>
        </w:tc>
        <w:tc>
          <w:tcPr>
            <w:tcW w:w="2280" w:type="dxa"/>
            <w:tcBorders>
              <w:top w:val="nil"/>
              <w:left w:val="nil"/>
              <w:bottom w:val="single" w:sz="4" w:space="0" w:color="auto"/>
              <w:right w:val="single" w:sz="4" w:space="0" w:color="auto"/>
            </w:tcBorders>
            <w:shd w:val="clear" w:color="auto" w:fill="auto"/>
            <w:noWrap/>
            <w:vAlign w:val="bottom"/>
            <w:hideMark/>
          </w:tcPr>
          <w:p w14:paraId="630DEDF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w:t>
            </w:r>
          </w:p>
        </w:tc>
      </w:tr>
      <w:tr w:rsidR="003229A0" w14:paraId="0B825050"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2BD0E3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payback period</w:t>
            </w:r>
          </w:p>
        </w:tc>
        <w:tc>
          <w:tcPr>
            <w:tcW w:w="1840" w:type="dxa"/>
            <w:tcBorders>
              <w:top w:val="nil"/>
              <w:left w:val="nil"/>
              <w:bottom w:val="single" w:sz="4" w:space="0" w:color="auto"/>
              <w:right w:val="single" w:sz="4" w:space="0" w:color="auto"/>
            </w:tcBorders>
            <w:shd w:val="clear" w:color="auto" w:fill="auto"/>
            <w:noWrap/>
            <w:vAlign w:val="bottom"/>
            <w:hideMark/>
          </w:tcPr>
          <w:p w14:paraId="09D7B5D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2280" w:type="dxa"/>
            <w:tcBorders>
              <w:top w:val="nil"/>
              <w:left w:val="nil"/>
              <w:bottom w:val="single" w:sz="4" w:space="0" w:color="auto"/>
              <w:right w:val="single" w:sz="4" w:space="0" w:color="auto"/>
            </w:tcBorders>
            <w:shd w:val="clear" w:color="auto" w:fill="auto"/>
            <w:noWrap/>
            <w:vAlign w:val="bottom"/>
            <w:hideMark/>
          </w:tcPr>
          <w:p w14:paraId="3366D83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2.73</w:t>
            </w:r>
          </w:p>
        </w:tc>
      </w:tr>
    </w:tbl>
    <w:p w14:paraId="214FD0BA" w14:textId="77777777" w:rsidR="003229A0" w:rsidRDefault="003229A0">
      <w:pPr>
        <w:jc w:val="both"/>
        <w:rPr>
          <w:rFonts w:ascii="Times New Roman" w:hAnsi="Times New Roman" w:cs="Times New Roman"/>
          <w:sz w:val="24"/>
          <w:szCs w:val="24"/>
        </w:rPr>
      </w:pPr>
    </w:p>
    <w:tbl>
      <w:tblPr>
        <w:tblW w:w="6060" w:type="dxa"/>
        <w:tblInd w:w="-5" w:type="dxa"/>
        <w:tblLook w:val="04A0" w:firstRow="1" w:lastRow="0" w:firstColumn="1" w:lastColumn="0" w:noHBand="0" w:noVBand="1"/>
      </w:tblPr>
      <w:tblGrid>
        <w:gridCol w:w="1940"/>
        <w:gridCol w:w="1840"/>
        <w:gridCol w:w="2280"/>
      </w:tblGrid>
      <w:tr w:rsidR="003229A0" w14:paraId="46DDBD11" w14:textId="77777777">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0723E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42F7F39C" w14:textId="77777777" w:rsidR="003229A0" w:rsidRDefault="00AB0A4C">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Project B </w:t>
            </w:r>
          </w:p>
        </w:tc>
        <w:tc>
          <w:tcPr>
            <w:tcW w:w="2280" w:type="dxa"/>
            <w:tcBorders>
              <w:top w:val="single" w:sz="4" w:space="0" w:color="auto"/>
              <w:left w:val="nil"/>
              <w:bottom w:val="single" w:sz="4" w:space="0" w:color="auto"/>
              <w:right w:val="single" w:sz="4" w:space="0" w:color="auto"/>
            </w:tcBorders>
            <w:shd w:val="clear" w:color="auto" w:fill="auto"/>
            <w:noWrap/>
            <w:vAlign w:val="bottom"/>
            <w:hideMark/>
          </w:tcPr>
          <w:p w14:paraId="3D497A1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60032F8B"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3AB008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year </w:t>
            </w:r>
          </w:p>
        </w:tc>
        <w:tc>
          <w:tcPr>
            <w:tcW w:w="1840" w:type="dxa"/>
            <w:tcBorders>
              <w:top w:val="nil"/>
              <w:left w:val="nil"/>
              <w:bottom w:val="single" w:sz="4" w:space="0" w:color="auto"/>
              <w:right w:val="single" w:sz="4" w:space="0" w:color="auto"/>
            </w:tcBorders>
            <w:shd w:val="clear" w:color="auto" w:fill="auto"/>
            <w:noWrap/>
            <w:vAlign w:val="bottom"/>
            <w:hideMark/>
          </w:tcPr>
          <w:p w14:paraId="1241171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annual cash flow </w:t>
            </w:r>
          </w:p>
        </w:tc>
        <w:tc>
          <w:tcPr>
            <w:tcW w:w="2280" w:type="dxa"/>
            <w:tcBorders>
              <w:top w:val="nil"/>
              <w:left w:val="nil"/>
              <w:bottom w:val="single" w:sz="4" w:space="0" w:color="auto"/>
              <w:right w:val="single" w:sz="4" w:space="0" w:color="auto"/>
            </w:tcBorders>
            <w:shd w:val="clear" w:color="auto" w:fill="auto"/>
            <w:noWrap/>
            <w:vAlign w:val="bottom"/>
            <w:hideMark/>
          </w:tcPr>
          <w:p w14:paraId="661F761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cumulative cash  flow </w:t>
            </w:r>
          </w:p>
        </w:tc>
      </w:tr>
      <w:tr w:rsidR="003229A0" w14:paraId="3FCC2672"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543CEB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1840" w:type="dxa"/>
            <w:tcBorders>
              <w:top w:val="nil"/>
              <w:left w:val="nil"/>
              <w:bottom w:val="single" w:sz="4" w:space="0" w:color="auto"/>
              <w:right w:val="single" w:sz="4" w:space="0" w:color="auto"/>
            </w:tcBorders>
            <w:shd w:val="clear" w:color="auto" w:fill="auto"/>
            <w:noWrap/>
            <w:vAlign w:val="bottom"/>
            <w:hideMark/>
          </w:tcPr>
          <w:p w14:paraId="455F5AC4"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-£90,000.00</w:t>
            </w:r>
          </w:p>
        </w:tc>
        <w:tc>
          <w:tcPr>
            <w:tcW w:w="2280" w:type="dxa"/>
            <w:tcBorders>
              <w:top w:val="nil"/>
              <w:left w:val="nil"/>
              <w:bottom w:val="single" w:sz="4" w:space="0" w:color="auto"/>
              <w:right w:val="single" w:sz="4" w:space="0" w:color="auto"/>
            </w:tcBorders>
            <w:shd w:val="clear" w:color="auto" w:fill="auto"/>
            <w:noWrap/>
            <w:vAlign w:val="bottom"/>
            <w:hideMark/>
          </w:tcPr>
          <w:p w14:paraId="7629E1E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-£90,000.00</w:t>
            </w:r>
          </w:p>
        </w:tc>
      </w:tr>
      <w:tr w:rsidR="003229A0" w14:paraId="1684BF9B"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5EBC0D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840" w:type="dxa"/>
            <w:tcBorders>
              <w:top w:val="nil"/>
              <w:left w:val="nil"/>
              <w:bottom w:val="single" w:sz="4" w:space="0" w:color="auto"/>
              <w:right w:val="single" w:sz="4" w:space="0" w:color="auto"/>
            </w:tcBorders>
            <w:shd w:val="clear" w:color="auto" w:fill="auto"/>
            <w:noWrap/>
            <w:vAlign w:val="bottom"/>
            <w:hideMark/>
          </w:tcPr>
          <w:p w14:paraId="1052321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£25,000.00</w:t>
            </w:r>
          </w:p>
        </w:tc>
        <w:tc>
          <w:tcPr>
            <w:tcW w:w="2280" w:type="dxa"/>
            <w:tcBorders>
              <w:top w:val="nil"/>
              <w:left w:val="nil"/>
              <w:bottom w:val="single" w:sz="4" w:space="0" w:color="auto"/>
              <w:right w:val="single" w:sz="4" w:space="0" w:color="auto"/>
            </w:tcBorders>
            <w:shd w:val="clear" w:color="auto" w:fill="auto"/>
            <w:noWrap/>
            <w:vAlign w:val="bottom"/>
            <w:hideMark/>
          </w:tcPr>
          <w:p w14:paraId="3C57FCA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-£65,000.00</w:t>
            </w:r>
          </w:p>
        </w:tc>
      </w:tr>
      <w:tr w:rsidR="003229A0" w14:paraId="0223EEDE"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DB7597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840" w:type="dxa"/>
            <w:tcBorders>
              <w:top w:val="nil"/>
              <w:left w:val="nil"/>
              <w:bottom w:val="single" w:sz="4" w:space="0" w:color="auto"/>
              <w:right w:val="single" w:sz="4" w:space="0" w:color="auto"/>
            </w:tcBorders>
            <w:shd w:val="clear" w:color="auto" w:fill="auto"/>
            <w:noWrap/>
            <w:vAlign w:val="bottom"/>
            <w:hideMark/>
          </w:tcPr>
          <w:p w14:paraId="7DF071B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£30,000.00</w:t>
            </w:r>
          </w:p>
        </w:tc>
        <w:tc>
          <w:tcPr>
            <w:tcW w:w="2280" w:type="dxa"/>
            <w:tcBorders>
              <w:top w:val="nil"/>
              <w:left w:val="nil"/>
              <w:bottom w:val="single" w:sz="4" w:space="0" w:color="auto"/>
              <w:right w:val="single" w:sz="4" w:space="0" w:color="auto"/>
            </w:tcBorders>
            <w:shd w:val="clear" w:color="auto" w:fill="auto"/>
            <w:noWrap/>
            <w:vAlign w:val="bottom"/>
            <w:hideMark/>
          </w:tcPr>
          <w:p w14:paraId="0C465B2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-£35,000.00</w:t>
            </w:r>
          </w:p>
        </w:tc>
      </w:tr>
      <w:tr w:rsidR="003229A0" w14:paraId="6F620573"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78F6C4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40" w:type="dxa"/>
            <w:tcBorders>
              <w:top w:val="nil"/>
              <w:left w:val="nil"/>
              <w:bottom w:val="single" w:sz="4" w:space="0" w:color="auto"/>
              <w:right w:val="single" w:sz="4" w:space="0" w:color="auto"/>
            </w:tcBorders>
            <w:shd w:val="clear" w:color="auto" w:fill="auto"/>
            <w:noWrap/>
            <w:vAlign w:val="bottom"/>
            <w:hideMark/>
          </w:tcPr>
          <w:p w14:paraId="1438B68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£35,000.00</w:t>
            </w:r>
          </w:p>
        </w:tc>
        <w:tc>
          <w:tcPr>
            <w:tcW w:w="2280" w:type="dxa"/>
            <w:tcBorders>
              <w:top w:val="nil"/>
              <w:left w:val="nil"/>
              <w:bottom w:val="single" w:sz="4" w:space="0" w:color="auto"/>
              <w:right w:val="single" w:sz="4" w:space="0" w:color="auto"/>
            </w:tcBorders>
            <w:shd w:val="clear" w:color="auto" w:fill="auto"/>
            <w:noWrap/>
            <w:vAlign w:val="bottom"/>
            <w:hideMark/>
          </w:tcPr>
          <w:p w14:paraId="5EBF63B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w:t>
            </w:r>
          </w:p>
        </w:tc>
      </w:tr>
      <w:tr w:rsidR="003229A0" w14:paraId="4810D91F"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E780B0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840" w:type="dxa"/>
            <w:tcBorders>
              <w:top w:val="nil"/>
              <w:left w:val="nil"/>
              <w:bottom w:val="single" w:sz="4" w:space="0" w:color="auto"/>
              <w:right w:val="single" w:sz="4" w:space="0" w:color="auto"/>
            </w:tcBorders>
            <w:shd w:val="clear" w:color="auto" w:fill="auto"/>
            <w:noWrap/>
            <w:vAlign w:val="bottom"/>
            <w:hideMark/>
          </w:tcPr>
          <w:p w14:paraId="7E4C0E4A"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£40,000.00</w:t>
            </w:r>
          </w:p>
        </w:tc>
        <w:tc>
          <w:tcPr>
            <w:tcW w:w="2280" w:type="dxa"/>
            <w:tcBorders>
              <w:top w:val="nil"/>
              <w:left w:val="nil"/>
              <w:bottom w:val="single" w:sz="4" w:space="0" w:color="auto"/>
              <w:right w:val="single" w:sz="4" w:space="0" w:color="auto"/>
            </w:tcBorders>
            <w:shd w:val="clear" w:color="auto" w:fill="auto"/>
            <w:noWrap/>
            <w:vAlign w:val="bottom"/>
            <w:hideMark/>
          </w:tcPr>
          <w:p w14:paraId="46CD2BA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£40,000.00</w:t>
            </w:r>
          </w:p>
        </w:tc>
      </w:tr>
      <w:tr w:rsidR="003229A0" w14:paraId="71C7E326" w14:textId="77777777">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966553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payback period</w:t>
            </w:r>
          </w:p>
        </w:tc>
        <w:tc>
          <w:tcPr>
            <w:tcW w:w="1840" w:type="dxa"/>
            <w:tcBorders>
              <w:top w:val="nil"/>
              <w:left w:val="nil"/>
              <w:bottom w:val="single" w:sz="4" w:space="0" w:color="auto"/>
              <w:right w:val="single" w:sz="4" w:space="0" w:color="auto"/>
            </w:tcBorders>
            <w:shd w:val="clear" w:color="auto" w:fill="auto"/>
            <w:noWrap/>
            <w:vAlign w:val="bottom"/>
            <w:hideMark/>
          </w:tcPr>
          <w:p w14:paraId="75E0592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2280" w:type="dxa"/>
            <w:tcBorders>
              <w:top w:val="nil"/>
              <w:left w:val="nil"/>
              <w:bottom w:val="single" w:sz="4" w:space="0" w:color="auto"/>
              <w:right w:val="single" w:sz="4" w:space="0" w:color="auto"/>
            </w:tcBorders>
            <w:shd w:val="clear" w:color="auto" w:fill="auto"/>
            <w:noWrap/>
            <w:vAlign w:val="bottom"/>
            <w:hideMark/>
          </w:tcPr>
          <w:p w14:paraId="3AC9FBA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r>
    </w:tbl>
    <w:p w14:paraId="1C620C76" w14:textId="77777777" w:rsidR="003229A0" w:rsidRDefault="00AB0A4C">
      <w:pPr>
        <w:jc w:val="both"/>
        <w:rPr>
          <w:rFonts w:ascii="Times New Roman" w:hAnsi="Times New Roman" w:cs="Times New Roman"/>
          <w:sz w:val="24"/>
          <w:szCs w:val="24"/>
        </w:rPr>
      </w:pPr>
      <w:r>
        <w:rPr>
          <w:rFonts w:ascii="Times New Roman" w:hAnsi="Times New Roman" w:cs="Times New Roman"/>
          <w:sz w:val="24"/>
          <w:szCs w:val="24"/>
        </w:rPr>
        <w:t xml:space="preserve"> </w:t>
      </w:r>
    </w:p>
    <w:p w14:paraId="7884D4D1"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payback period is a measure of how long a project will take to recover the total amount invested incurred while undertaking a given project.  Usually, the payback period is measured in days or years, and the project that takes less time to recover the full investment amount is selected. There are majorly two approaches to calculating the payback period of an investment, depending on whether the cash flows are even or uneven. For the even cash flows, the payback period is determined by dividing the initial investment amount by the net cash flow.  For uneven project cash flows, the payback period is determined by using the cumulative method of calculating the payback period.</w:t>
      </w:r>
    </w:p>
    <w:p w14:paraId="1AE560D8" w14:textId="77777777" w:rsidR="003229A0" w:rsidRDefault="00AB0A4C">
      <w:pPr>
        <w:spacing w:line="480" w:lineRule="auto"/>
        <w:ind w:firstLine="720"/>
        <w:jc w:val="both"/>
        <w:rPr>
          <w:rFonts w:ascii="Times New Roman" w:eastAsia="SimSun" w:hAnsi="Times New Roman" w:cs="Times New Roman"/>
          <w:sz w:val="24"/>
          <w:szCs w:val="24"/>
        </w:rPr>
      </w:pPr>
      <w:r>
        <w:rPr>
          <w:rFonts w:ascii="Times New Roman" w:hAnsi="Times New Roman" w:cs="Times New Roman"/>
          <w:sz w:val="24"/>
          <w:szCs w:val="24"/>
        </w:rPr>
        <w:lastRenderedPageBreak/>
        <w:t xml:space="preserve">Because the projects have uneven annual cash flows, it is essential to determine the cumulative cash flows for the projects' different periods. Additionally, the payback period of the projects is determined using the following mathematical system. </w:t>
      </w:r>
      <w:r>
        <w:rPr>
          <w:rFonts w:ascii="Times New Roman" w:hAnsi="Times New Roman" w:cs="Times New Roman"/>
          <w:b/>
          <w:sz w:val="24"/>
          <w:szCs w:val="24"/>
        </w:rPr>
        <w:t>Payback period = A +</w:t>
      </w:r>
      <m:oMath>
        <m:r>
          <m:rPr>
            <m:sty m:val="bi"/>
          </m:rPr>
          <w:rPr>
            <w:rFonts w:ascii="Cambria Math" w:hAnsi="Cambria Math" w:cs="Times New Roman"/>
            <w:sz w:val="24"/>
            <w:szCs w:val="24"/>
          </w:rPr>
          <m:t xml:space="preserve"> </m:t>
        </m:r>
        <m:f>
          <m:fPr>
            <m:ctrlPr>
              <w:rPr>
                <w:rFonts w:ascii="Cambria Math" w:hAnsi="Cambria Math" w:cs="Times New Roman"/>
                <w:b/>
                <w:i/>
                <w:sz w:val="24"/>
                <w:szCs w:val="24"/>
              </w:rPr>
            </m:ctrlPr>
          </m:fPr>
          <m:num>
            <m:r>
              <m:rPr>
                <m:sty m:val="bi"/>
              </m:rPr>
              <w:rPr>
                <w:rFonts w:ascii="Cambria Math" w:hAnsi="Cambria Math" w:cs="Times New Roman"/>
                <w:sz w:val="24"/>
                <w:szCs w:val="24"/>
              </w:rPr>
              <m:t>B</m:t>
            </m:r>
          </m:num>
          <m:den>
            <m:r>
              <m:rPr>
                <m:sty m:val="bi"/>
              </m:rPr>
              <w:rPr>
                <w:rFonts w:ascii="Cambria Math" w:hAnsi="Cambria Math" w:cs="Times New Roman"/>
                <w:sz w:val="24"/>
                <w:szCs w:val="24"/>
              </w:rPr>
              <m:t>C</m:t>
            </m:r>
          </m:den>
        </m:f>
      </m:oMath>
      <w:r>
        <w:rPr>
          <w:rFonts w:ascii="Times New Roman" w:eastAsia="SimSun" w:hAnsi="Times New Roman" w:cs="Times New Roman"/>
          <w:b/>
          <w:sz w:val="24"/>
          <w:szCs w:val="24"/>
        </w:rPr>
        <w:t>.</w:t>
      </w:r>
      <w:r>
        <w:rPr>
          <w:rFonts w:ascii="Times New Roman" w:eastAsia="SimSun" w:hAnsi="Times New Roman" w:cs="Times New Roman"/>
          <w:sz w:val="24"/>
          <w:szCs w:val="24"/>
        </w:rPr>
        <w:t xml:space="preserve">  In the formula, A denotes the last period (year) with a negative cumulative cash flow. On the other hand, B represents the absolute value (the value that is not negative in the cumulative column at the end of period A. C is the cash flow of the period that follows period A.  According to the results, project A has a payback period of 2.73 years, obtained as (3+ (-15,000/55,000).  Project B, however, has a payback period of 1 year, which is generated from the same formula. Therefore, according to the payback method, project B is still a better investment as it pays back the initial amount invested in less time compared to project A. </w:t>
      </w:r>
      <w:r>
        <w:rPr>
          <w:rFonts w:ascii="Times New Roman" w:hAnsi="Times New Roman" w:cs="Times New Roman"/>
          <w:sz w:val="24"/>
          <w:szCs w:val="24"/>
        </w:rPr>
        <w:t>According to projects A and B, it is recommendable to choose project B because it has a shorter recovery period of one year</w:t>
      </w:r>
      <w:r>
        <w:rPr>
          <w:rFonts w:ascii="Times New Roman" w:eastAsia="SimSun" w:hAnsi="Times New Roman" w:cs="Times New Roman"/>
          <w:sz w:val="24"/>
          <w:szCs w:val="24"/>
        </w:rPr>
        <w:t xml:space="preserve">. </w:t>
      </w:r>
      <w:r>
        <w:rPr>
          <w:rFonts w:ascii="Times New Roman" w:hAnsi="Times New Roman" w:cs="Times New Roman"/>
          <w:sz w:val="24"/>
          <w:szCs w:val="24"/>
        </w:rPr>
        <w:t xml:space="preserve"> </w:t>
      </w:r>
    </w:p>
    <w:p w14:paraId="6CC10F50" w14:textId="77777777" w:rsidR="003229A0" w:rsidRDefault="00AB0A4C">
      <w:pPr>
        <w:jc w:val="both"/>
        <w:rPr>
          <w:rFonts w:ascii="Times New Roman" w:hAnsi="Times New Roman" w:cs="Times New Roman"/>
          <w:b/>
          <w:sz w:val="24"/>
          <w:szCs w:val="24"/>
        </w:rPr>
      </w:pPr>
      <w:r>
        <w:rPr>
          <w:rFonts w:ascii="Times New Roman" w:hAnsi="Times New Roman" w:cs="Times New Roman"/>
          <w:b/>
          <w:sz w:val="24"/>
          <w:szCs w:val="24"/>
        </w:rPr>
        <w:t xml:space="preserve">NET PRESENT VALUE  </w:t>
      </w:r>
    </w:p>
    <w:tbl>
      <w:tblPr>
        <w:tblW w:w="9450" w:type="dxa"/>
        <w:tblInd w:w="-5" w:type="dxa"/>
        <w:tblLook w:val="04A0" w:firstRow="1" w:lastRow="0" w:firstColumn="1" w:lastColumn="0" w:noHBand="0" w:noVBand="1"/>
      </w:tblPr>
      <w:tblGrid>
        <w:gridCol w:w="1286"/>
        <w:gridCol w:w="996"/>
        <w:gridCol w:w="3607"/>
        <w:gridCol w:w="996"/>
        <w:gridCol w:w="996"/>
        <w:gridCol w:w="996"/>
        <w:gridCol w:w="1296"/>
      </w:tblGrid>
      <w:tr w:rsidR="003229A0" w14:paraId="0554BDC8" w14:textId="77777777">
        <w:trPr>
          <w:trHeight w:val="300"/>
        </w:trPr>
        <w:tc>
          <w:tcPr>
            <w:tcW w:w="12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56FE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4552532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6106" w:type="dxa"/>
            <w:gridSpan w:val="4"/>
            <w:tcBorders>
              <w:top w:val="single" w:sz="4" w:space="0" w:color="auto"/>
              <w:left w:val="nil"/>
              <w:bottom w:val="single" w:sz="4" w:space="0" w:color="auto"/>
              <w:right w:val="single" w:sz="4" w:space="0" w:color="auto"/>
            </w:tcBorders>
            <w:shd w:val="clear" w:color="auto" w:fill="auto"/>
            <w:noWrap/>
            <w:vAlign w:val="bottom"/>
            <w:hideMark/>
          </w:tcPr>
          <w:p w14:paraId="024D948E" w14:textId="77777777" w:rsidR="003229A0" w:rsidRDefault="00AB0A4C">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project A</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548CFB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1D423D17" w14:textId="77777777">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14:paraId="1F014B3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894" w:type="dxa"/>
            <w:tcBorders>
              <w:top w:val="nil"/>
              <w:left w:val="nil"/>
              <w:bottom w:val="single" w:sz="4" w:space="0" w:color="auto"/>
              <w:right w:val="single" w:sz="4" w:space="0" w:color="auto"/>
            </w:tcBorders>
            <w:shd w:val="clear" w:color="auto" w:fill="auto"/>
            <w:noWrap/>
            <w:vAlign w:val="bottom"/>
            <w:hideMark/>
          </w:tcPr>
          <w:p w14:paraId="0FB05C19"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3607" w:type="dxa"/>
            <w:tcBorders>
              <w:top w:val="nil"/>
              <w:left w:val="nil"/>
              <w:bottom w:val="single" w:sz="4" w:space="0" w:color="auto"/>
              <w:right w:val="single" w:sz="4" w:space="0" w:color="auto"/>
            </w:tcBorders>
            <w:shd w:val="clear" w:color="auto" w:fill="auto"/>
            <w:noWrap/>
            <w:vAlign w:val="bottom"/>
            <w:hideMark/>
          </w:tcPr>
          <w:p w14:paraId="7BC9E50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833" w:type="dxa"/>
            <w:tcBorders>
              <w:top w:val="nil"/>
              <w:left w:val="nil"/>
              <w:bottom w:val="single" w:sz="4" w:space="0" w:color="auto"/>
              <w:right w:val="single" w:sz="4" w:space="0" w:color="auto"/>
            </w:tcBorders>
            <w:shd w:val="clear" w:color="auto" w:fill="auto"/>
            <w:noWrap/>
            <w:vAlign w:val="bottom"/>
            <w:hideMark/>
          </w:tcPr>
          <w:p w14:paraId="0B631A81"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833" w:type="dxa"/>
            <w:tcBorders>
              <w:top w:val="nil"/>
              <w:left w:val="nil"/>
              <w:bottom w:val="single" w:sz="4" w:space="0" w:color="auto"/>
              <w:right w:val="single" w:sz="4" w:space="0" w:color="auto"/>
            </w:tcBorders>
            <w:shd w:val="clear" w:color="auto" w:fill="auto"/>
            <w:noWrap/>
            <w:vAlign w:val="bottom"/>
            <w:hideMark/>
          </w:tcPr>
          <w:p w14:paraId="73FC70BF"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833" w:type="dxa"/>
            <w:tcBorders>
              <w:top w:val="nil"/>
              <w:left w:val="nil"/>
              <w:bottom w:val="single" w:sz="4" w:space="0" w:color="auto"/>
              <w:right w:val="single" w:sz="4" w:space="0" w:color="auto"/>
            </w:tcBorders>
            <w:shd w:val="clear" w:color="auto" w:fill="auto"/>
            <w:noWrap/>
            <w:vAlign w:val="bottom"/>
            <w:hideMark/>
          </w:tcPr>
          <w:p w14:paraId="367E3DD5"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164" w:type="dxa"/>
            <w:tcBorders>
              <w:top w:val="nil"/>
              <w:left w:val="nil"/>
              <w:bottom w:val="single" w:sz="4" w:space="0" w:color="auto"/>
              <w:right w:val="single" w:sz="4" w:space="0" w:color="auto"/>
            </w:tcBorders>
            <w:shd w:val="clear" w:color="auto" w:fill="auto"/>
            <w:noWrap/>
            <w:vAlign w:val="bottom"/>
            <w:hideMark/>
          </w:tcPr>
          <w:p w14:paraId="2416E45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3A1AE128" w14:textId="77777777">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14:paraId="112E554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Initial inv.</w:t>
            </w:r>
          </w:p>
        </w:tc>
        <w:tc>
          <w:tcPr>
            <w:tcW w:w="894" w:type="dxa"/>
            <w:tcBorders>
              <w:top w:val="nil"/>
              <w:left w:val="nil"/>
              <w:bottom w:val="single" w:sz="4" w:space="0" w:color="auto"/>
              <w:right w:val="single" w:sz="4" w:space="0" w:color="auto"/>
            </w:tcBorders>
            <w:shd w:val="clear" w:color="auto" w:fill="auto"/>
            <w:noWrap/>
            <w:vAlign w:val="bottom"/>
            <w:hideMark/>
          </w:tcPr>
          <w:p w14:paraId="398A47E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-£85,000</w:t>
            </w:r>
          </w:p>
        </w:tc>
        <w:tc>
          <w:tcPr>
            <w:tcW w:w="3607" w:type="dxa"/>
            <w:tcBorders>
              <w:top w:val="nil"/>
              <w:left w:val="nil"/>
              <w:bottom w:val="single" w:sz="4" w:space="0" w:color="auto"/>
              <w:right w:val="single" w:sz="4" w:space="0" w:color="auto"/>
            </w:tcBorders>
            <w:shd w:val="clear" w:color="auto" w:fill="auto"/>
            <w:noWrap/>
            <w:vAlign w:val="bottom"/>
            <w:hideMark/>
          </w:tcPr>
          <w:p w14:paraId="08F645B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6ADD1F3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4002B75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433FD63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64" w:type="dxa"/>
            <w:tcBorders>
              <w:top w:val="nil"/>
              <w:left w:val="nil"/>
              <w:bottom w:val="single" w:sz="4" w:space="0" w:color="auto"/>
              <w:right w:val="single" w:sz="4" w:space="0" w:color="auto"/>
            </w:tcBorders>
            <w:shd w:val="clear" w:color="auto" w:fill="auto"/>
            <w:noWrap/>
            <w:vAlign w:val="bottom"/>
            <w:hideMark/>
          </w:tcPr>
          <w:p w14:paraId="030A383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549C97D9" w14:textId="77777777">
        <w:trPr>
          <w:trHeight w:val="525"/>
        </w:trPr>
        <w:tc>
          <w:tcPr>
            <w:tcW w:w="1286" w:type="dxa"/>
            <w:tcBorders>
              <w:top w:val="nil"/>
              <w:left w:val="single" w:sz="4" w:space="0" w:color="auto"/>
              <w:bottom w:val="single" w:sz="4" w:space="0" w:color="auto"/>
              <w:right w:val="single" w:sz="4" w:space="0" w:color="auto"/>
            </w:tcBorders>
            <w:shd w:val="clear" w:color="auto" w:fill="auto"/>
            <w:vAlign w:val="bottom"/>
            <w:hideMark/>
          </w:tcPr>
          <w:p w14:paraId="343C933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cash  flows</w:t>
            </w:r>
          </w:p>
        </w:tc>
        <w:tc>
          <w:tcPr>
            <w:tcW w:w="894" w:type="dxa"/>
            <w:tcBorders>
              <w:top w:val="nil"/>
              <w:left w:val="nil"/>
              <w:bottom w:val="single" w:sz="4" w:space="0" w:color="auto"/>
              <w:right w:val="single" w:sz="4" w:space="0" w:color="auto"/>
            </w:tcBorders>
            <w:shd w:val="clear" w:color="auto" w:fill="auto"/>
            <w:noWrap/>
            <w:vAlign w:val="bottom"/>
            <w:hideMark/>
          </w:tcPr>
          <w:p w14:paraId="12E7E9F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607" w:type="dxa"/>
            <w:tcBorders>
              <w:top w:val="nil"/>
              <w:left w:val="nil"/>
              <w:bottom w:val="single" w:sz="4" w:space="0" w:color="auto"/>
              <w:right w:val="single" w:sz="4" w:space="0" w:color="auto"/>
            </w:tcBorders>
            <w:shd w:val="clear" w:color="auto" w:fill="auto"/>
            <w:noWrap/>
            <w:vAlign w:val="bottom"/>
            <w:hideMark/>
          </w:tcPr>
          <w:p w14:paraId="660670E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c>
          <w:tcPr>
            <w:tcW w:w="833" w:type="dxa"/>
            <w:tcBorders>
              <w:top w:val="nil"/>
              <w:left w:val="nil"/>
              <w:bottom w:val="single" w:sz="4" w:space="0" w:color="auto"/>
              <w:right w:val="single" w:sz="4" w:space="0" w:color="auto"/>
            </w:tcBorders>
            <w:shd w:val="clear" w:color="auto" w:fill="auto"/>
            <w:noWrap/>
            <w:vAlign w:val="bottom"/>
            <w:hideMark/>
          </w:tcPr>
          <w:p w14:paraId="2027450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w:t>
            </w:r>
          </w:p>
        </w:tc>
        <w:tc>
          <w:tcPr>
            <w:tcW w:w="833" w:type="dxa"/>
            <w:tcBorders>
              <w:top w:val="nil"/>
              <w:left w:val="nil"/>
              <w:bottom w:val="single" w:sz="4" w:space="0" w:color="auto"/>
              <w:right w:val="single" w:sz="4" w:space="0" w:color="auto"/>
            </w:tcBorders>
            <w:shd w:val="clear" w:color="auto" w:fill="auto"/>
            <w:noWrap/>
            <w:vAlign w:val="bottom"/>
            <w:hideMark/>
          </w:tcPr>
          <w:p w14:paraId="1D8F42C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w:t>
            </w:r>
          </w:p>
        </w:tc>
        <w:tc>
          <w:tcPr>
            <w:tcW w:w="833" w:type="dxa"/>
            <w:tcBorders>
              <w:top w:val="nil"/>
              <w:left w:val="nil"/>
              <w:bottom w:val="single" w:sz="4" w:space="0" w:color="auto"/>
              <w:right w:val="single" w:sz="4" w:space="0" w:color="auto"/>
            </w:tcBorders>
            <w:shd w:val="clear" w:color="auto" w:fill="auto"/>
            <w:noWrap/>
            <w:vAlign w:val="bottom"/>
            <w:hideMark/>
          </w:tcPr>
          <w:p w14:paraId="1C02B3F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£55,000</w:t>
            </w:r>
          </w:p>
        </w:tc>
        <w:tc>
          <w:tcPr>
            <w:tcW w:w="1164" w:type="dxa"/>
            <w:tcBorders>
              <w:top w:val="nil"/>
              <w:left w:val="nil"/>
              <w:bottom w:val="single" w:sz="4" w:space="0" w:color="auto"/>
              <w:right w:val="single" w:sz="4" w:space="0" w:color="auto"/>
            </w:tcBorders>
            <w:shd w:val="clear" w:color="auto" w:fill="auto"/>
            <w:noWrap/>
            <w:vAlign w:val="bottom"/>
            <w:hideMark/>
          </w:tcPr>
          <w:p w14:paraId="2EBE465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3A58D531" w14:textId="77777777">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14:paraId="167A346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DCF </w:t>
            </w:r>
            <w:r>
              <w:rPr>
                <w:rFonts w:ascii="Times New Roman" w:eastAsia="Times New Roman" w:hAnsi="Times New Roman" w:cs="Times New Roman"/>
                <w:b/>
                <w:bCs/>
                <w:color w:val="000000"/>
                <w:sz w:val="24"/>
                <w:szCs w:val="24"/>
              </w:rPr>
              <w:t>@ 10.5%</w:t>
            </w:r>
          </w:p>
        </w:tc>
        <w:tc>
          <w:tcPr>
            <w:tcW w:w="894" w:type="dxa"/>
            <w:tcBorders>
              <w:top w:val="nil"/>
              <w:left w:val="nil"/>
              <w:bottom w:val="single" w:sz="4" w:space="0" w:color="auto"/>
              <w:right w:val="single" w:sz="4" w:space="0" w:color="auto"/>
            </w:tcBorders>
            <w:shd w:val="clear" w:color="auto" w:fill="auto"/>
            <w:noWrap/>
            <w:vAlign w:val="bottom"/>
            <w:hideMark/>
          </w:tcPr>
          <w:p w14:paraId="693A163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3607" w:type="dxa"/>
            <w:tcBorders>
              <w:top w:val="nil"/>
              <w:left w:val="nil"/>
              <w:bottom w:val="single" w:sz="4" w:space="0" w:color="auto"/>
              <w:right w:val="single" w:sz="4" w:space="0" w:color="auto"/>
            </w:tcBorders>
            <w:shd w:val="clear" w:color="auto" w:fill="auto"/>
            <w:noWrap/>
            <w:vAlign w:val="bottom"/>
            <w:hideMark/>
          </w:tcPr>
          <w:p w14:paraId="7472DC9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0.90</w:t>
            </w:r>
          </w:p>
        </w:tc>
        <w:tc>
          <w:tcPr>
            <w:tcW w:w="833" w:type="dxa"/>
            <w:tcBorders>
              <w:top w:val="nil"/>
              <w:left w:val="nil"/>
              <w:bottom w:val="single" w:sz="4" w:space="0" w:color="auto"/>
              <w:right w:val="single" w:sz="4" w:space="0" w:color="auto"/>
            </w:tcBorders>
            <w:shd w:val="clear" w:color="auto" w:fill="auto"/>
            <w:noWrap/>
            <w:vAlign w:val="bottom"/>
            <w:hideMark/>
          </w:tcPr>
          <w:p w14:paraId="7584CDC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0.82</w:t>
            </w:r>
          </w:p>
        </w:tc>
        <w:tc>
          <w:tcPr>
            <w:tcW w:w="833" w:type="dxa"/>
            <w:tcBorders>
              <w:top w:val="nil"/>
              <w:left w:val="nil"/>
              <w:bottom w:val="single" w:sz="4" w:space="0" w:color="auto"/>
              <w:right w:val="single" w:sz="4" w:space="0" w:color="auto"/>
            </w:tcBorders>
            <w:shd w:val="clear" w:color="auto" w:fill="auto"/>
            <w:noWrap/>
            <w:vAlign w:val="bottom"/>
            <w:hideMark/>
          </w:tcPr>
          <w:p w14:paraId="02D6B47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0.74</w:t>
            </w:r>
          </w:p>
        </w:tc>
        <w:tc>
          <w:tcPr>
            <w:tcW w:w="833" w:type="dxa"/>
            <w:tcBorders>
              <w:top w:val="nil"/>
              <w:left w:val="nil"/>
              <w:bottom w:val="single" w:sz="4" w:space="0" w:color="auto"/>
              <w:right w:val="single" w:sz="4" w:space="0" w:color="auto"/>
            </w:tcBorders>
            <w:shd w:val="clear" w:color="auto" w:fill="auto"/>
            <w:noWrap/>
            <w:vAlign w:val="bottom"/>
            <w:hideMark/>
          </w:tcPr>
          <w:p w14:paraId="01D51D9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0.67</w:t>
            </w:r>
          </w:p>
        </w:tc>
        <w:tc>
          <w:tcPr>
            <w:tcW w:w="1164" w:type="dxa"/>
            <w:tcBorders>
              <w:top w:val="nil"/>
              <w:left w:val="nil"/>
              <w:bottom w:val="single" w:sz="4" w:space="0" w:color="auto"/>
              <w:right w:val="single" w:sz="4" w:space="0" w:color="auto"/>
            </w:tcBorders>
            <w:shd w:val="clear" w:color="auto" w:fill="auto"/>
            <w:noWrap/>
            <w:vAlign w:val="bottom"/>
            <w:hideMark/>
          </w:tcPr>
          <w:p w14:paraId="67DD92E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0CF30840" w14:textId="77777777">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14:paraId="7CF79CF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PVS </w:t>
            </w:r>
          </w:p>
        </w:tc>
        <w:tc>
          <w:tcPr>
            <w:tcW w:w="894" w:type="dxa"/>
            <w:tcBorders>
              <w:top w:val="nil"/>
              <w:left w:val="nil"/>
              <w:bottom w:val="single" w:sz="4" w:space="0" w:color="auto"/>
              <w:right w:val="single" w:sz="4" w:space="0" w:color="auto"/>
            </w:tcBorders>
            <w:shd w:val="clear" w:color="auto" w:fill="auto"/>
            <w:noWrap/>
            <w:vAlign w:val="bottom"/>
            <w:hideMark/>
          </w:tcPr>
          <w:p w14:paraId="424E1D6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-£85,000</w:t>
            </w:r>
          </w:p>
        </w:tc>
        <w:tc>
          <w:tcPr>
            <w:tcW w:w="3607" w:type="dxa"/>
            <w:tcBorders>
              <w:top w:val="nil"/>
              <w:left w:val="nil"/>
              <w:bottom w:val="single" w:sz="4" w:space="0" w:color="auto"/>
              <w:right w:val="single" w:sz="4" w:space="0" w:color="auto"/>
            </w:tcBorders>
            <w:shd w:val="clear" w:color="auto" w:fill="auto"/>
            <w:noWrap/>
            <w:vAlign w:val="bottom"/>
            <w:hideMark/>
          </w:tcPr>
          <w:p w14:paraId="49CAD88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£9,050</w:t>
            </w:r>
          </w:p>
        </w:tc>
        <w:tc>
          <w:tcPr>
            <w:tcW w:w="833" w:type="dxa"/>
            <w:tcBorders>
              <w:top w:val="nil"/>
              <w:left w:val="nil"/>
              <w:bottom w:val="single" w:sz="4" w:space="0" w:color="auto"/>
              <w:right w:val="single" w:sz="4" w:space="0" w:color="auto"/>
            </w:tcBorders>
            <w:shd w:val="clear" w:color="auto" w:fill="auto"/>
            <w:noWrap/>
            <w:vAlign w:val="bottom"/>
            <w:hideMark/>
          </w:tcPr>
          <w:p w14:paraId="05E274C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£16,380</w:t>
            </w:r>
          </w:p>
        </w:tc>
        <w:tc>
          <w:tcPr>
            <w:tcW w:w="833" w:type="dxa"/>
            <w:tcBorders>
              <w:top w:val="nil"/>
              <w:left w:val="nil"/>
              <w:bottom w:val="single" w:sz="4" w:space="0" w:color="auto"/>
              <w:right w:val="single" w:sz="4" w:space="0" w:color="auto"/>
            </w:tcBorders>
            <w:shd w:val="clear" w:color="auto" w:fill="auto"/>
            <w:noWrap/>
            <w:vAlign w:val="bottom"/>
            <w:hideMark/>
          </w:tcPr>
          <w:p w14:paraId="5BA71B8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£29,646</w:t>
            </w:r>
          </w:p>
        </w:tc>
        <w:tc>
          <w:tcPr>
            <w:tcW w:w="833" w:type="dxa"/>
            <w:tcBorders>
              <w:top w:val="nil"/>
              <w:left w:val="nil"/>
              <w:bottom w:val="single" w:sz="4" w:space="0" w:color="auto"/>
              <w:right w:val="single" w:sz="4" w:space="0" w:color="auto"/>
            </w:tcBorders>
            <w:shd w:val="clear" w:color="auto" w:fill="auto"/>
            <w:noWrap/>
            <w:vAlign w:val="bottom"/>
            <w:hideMark/>
          </w:tcPr>
          <w:p w14:paraId="34D737E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£36,890</w:t>
            </w:r>
          </w:p>
        </w:tc>
        <w:tc>
          <w:tcPr>
            <w:tcW w:w="1164" w:type="dxa"/>
            <w:tcBorders>
              <w:top w:val="nil"/>
              <w:left w:val="nil"/>
              <w:bottom w:val="single" w:sz="4" w:space="0" w:color="auto"/>
              <w:right w:val="single" w:sz="4" w:space="0" w:color="auto"/>
            </w:tcBorders>
            <w:shd w:val="clear" w:color="auto" w:fill="auto"/>
            <w:noWrap/>
            <w:vAlign w:val="bottom"/>
            <w:hideMark/>
          </w:tcPr>
          <w:p w14:paraId="3F892F9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655C5B70" w14:textId="77777777">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14:paraId="62903DA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PVs</w:t>
            </w:r>
          </w:p>
        </w:tc>
        <w:tc>
          <w:tcPr>
            <w:tcW w:w="894" w:type="dxa"/>
            <w:tcBorders>
              <w:top w:val="nil"/>
              <w:left w:val="nil"/>
              <w:bottom w:val="single" w:sz="4" w:space="0" w:color="auto"/>
              <w:right w:val="single" w:sz="4" w:space="0" w:color="auto"/>
            </w:tcBorders>
            <w:shd w:val="clear" w:color="auto" w:fill="auto"/>
            <w:noWrap/>
            <w:vAlign w:val="bottom"/>
            <w:hideMark/>
          </w:tcPr>
          <w:p w14:paraId="529A885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607" w:type="dxa"/>
            <w:tcBorders>
              <w:top w:val="nil"/>
              <w:left w:val="nil"/>
              <w:bottom w:val="single" w:sz="4" w:space="0" w:color="auto"/>
              <w:right w:val="single" w:sz="4" w:space="0" w:color="auto"/>
            </w:tcBorders>
            <w:shd w:val="clear" w:color="auto" w:fill="auto"/>
            <w:noWrap/>
            <w:vAlign w:val="bottom"/>
            <w:hideMark/>
          </w:tcPr>
          <w:p w14:paraId="0D6E16F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537346D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0871626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00D9AB8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64" w:type="dxa"/>
            <w:tcBorders>
              <w:top w:val="nil"/>
              <w:left w:val="nil"/>
              <w:bottom w:val="single" w:sz="4" w:space="0" w:color="auto"/>
              <w:right w:val="single" w:sz="4" w:space="0" w:color="auto"/>
            </w:tcBorders>
            <w:shd w:val="clear" w:color="auto" w:fill="auto"/>
            <w:noWrap/>
            <w:vAlign w:val="bottom"/>
            <w:hideMark/>
          </w:tcPr>
          <w:p w14:paraId="3996B2F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£91,966.35</w:t>
            </w:r>
          </w:p>
        </w:tc>
      </w:tr>
      <w:tr w:rsidR="003229A0" w14:paraId="1C73D5FF" w14:textId="77777777">
        <w:trPr>
          <w:trHeight w:val="300"/>
        </w:trPr>
        <w:tc>
          <w:tcPr>
            <w:tcW w:w="1286" w:type="dxa"/>
            <w:tcBorders>
              <w:top w:val="nil"/>
              <w:left w:val="single" w:sz="4" w:space="0" w:color="auto"/>
              <w:bottom w:val="single" w:sz="4" w:space="0" w:color="auto"/>
              <w:right w:val="single" w:sz="4" w:space="0" w:color="auto"/>
            </w:tcBorders>
            <w:shd w:val="clear" w:color="auto" w:fill="auto"/>
            <w:noWrap/>
            <w:vAlign w:val="bottom"/>
            <w:hideMark/>
          </w:tcPr>
          <w:p w14:paraId="232CB55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NPV </w:t>
            </w:r>
          </w:p>
        </w:tc>
        <w:tc>
          <w:tcPr>
            <w:tcW w:w="894" w:type="dxa"/>
            <w:tcBorders>
              <w:top w:val="nil"/>
              <w:left w:val="nil"/>
              <w:bottom w:val="single" w:sz="4" w:space="0" w:color="auto"/>
              <w:right w:val="single" w:sz="4" w:space="0" w:color="auto"/>
            </w:tcBorders>
            <w:shd w:val="clear" w:color="auto" w:fill="auto"/>
            <w:noWrap/>
            <w:vAlign w:val="bottom"/>
            <w:hideMark/>
          </w:tcPr>
          <w:p w14:paraId="0535F32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607" w:type="dxa"/>
            <w:tcBorders>
              <w:top w:val="nil"/>
              <w:left w:val="nil"/>
              <w:bottom w:val="single" w:sz="4" w:space="0" w:color="auto"/>
              <w:right w:val="single" w:sz="4" w:space="0" w:color="auto"/>
            </w:tcBorders>
            <w:shd w:val="clear" w:color="auto" w:fill="auto"/>
            <w:noWrap/>
            <w:vAlign w:val="bottom"/>
            <w:hideMark/>
          </w:tcPr>
          <w:p w14:paraId="01BCB34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3F37259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41A976B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33" w:type="dxa"/>
            <w:tcBorders>
              <w:top w:val="nil"/>
              <w:left w:val="nil"/>
              <w:bottom w:val="single" w:sz="4" w:space="0" w:color="auto"/>
              <w:right w:val="single" w:sz="4" w:space="0" w:color="auto"/>
            </w:tcBorders>
            <w:shd w:val="clear" w:color="auto" w:fill="auto"/>
            <w:noWrap/>
            <w:vAlign w:val="bottom"/>
            <w:hideMark/>
          </w:tcPr>
          <w:p w14:paraId="1D3CDE3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64" w:type="dxa"/>
            <w:tcBorders>
              <w:top w:val="nil"/>
              <w:left w:val="nil"/>
              <w:bottom w:val="single" w:sz="4" w:space="0" w:color="auto"/>
              <w:right w:val="single" w:sz="4" w:space="0" w:color="auto"/>
            </w:tcBorders>
            <w:shd w:val="clear" w:color="auto" w:fill="auto"/>
            <w:noWrap/>
            <w:vAlign w:val="bottom"/>
            <w:hideMark/>
          </w:tcPr>
          <w:p w14:paraId="4325CE9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£6,966.35</w:t>
            </w:r>
          </w:p>
        </w:tc>
      </w:tr>
    </w:tbl>
    <w:p w14:paraId="22E54844" w14:textId="77777777" w:rsidR="003229A0" w:rsidRDefault="003229A0">
      <w:pPr>
        <w:jc w:val="both"/>
        <w:rPr>
          <w:rFonts w:ascii="Times New Roman" w:hAnsi="Times New Roman" w:cs="Times New Roman"/>
          <w:sz w:val="24"/>
          <w:szCs w:val="24"/>
        </w:rPr>
      </w:pPr>
    </w:p>
    <w:p w14:paraId="51122E1F" w14:textId="3F2E6CD0" w:rsidR="003229A0" w:rsidRDefault="003229A0">
      <w:pPr>
        <w:jc w:val="both"/>
        <w:rPr>
          <w:rFonts w:ascii="Times New Roman" w:hAnsi="Times New Roman" w:cs="Times New Roman"/>
          <w:sz w:val="24"/>
          <w:szCs w:val="24"/>
        </w:rPr>
      </w:pPr>
    </w:p>
    <w:p w14:paraId="73114AEA" w14:textId="7973EDAA" w:rsidR="00F56284" w:rsidRDefault="00F56284">
      <w:pPr>
        <w:jc w:val="both"/>
        <w:rPr>
          <w:rFonts w:ascii="Times New Roman" w:hAnsi="Times New Roman" w:cs="Times New Roman"/>
          <w:sz w:val="24"/>
          <w:szCs w:val="24"/>
        </w:rPr>
      </w:pPr>
    </w:p>
    <w:p w14:paraId="6F7179EE" w14:textId="77777777" w:rsidR="00F56284" w:rsidRDefault="00F56284">
      <w:pPr>
        <w:jc w:val="both"/>
        <w:rPr>
          <w:rFonts w:ascii="Times New Roman" w:hAnsi="Times New Roman" w:cs="Times New Roman"/>
          <w:sz w:val="24"/>
          <w:szCs w:val="24"/>
        </w:rPr>
      </w:pPr>
    </w:p>
    <w:p w14:paraId="418037CC" w14:textId="77777777" w:rsidR="003229A0" w:rsidRDefault="003229A0">
      <w:pPr>
        <w:jc w:val="both"/>
        <w:rPr>
          <w:rFonts w:ascii="Times New Roman" w:hAnsi="Times New Roman" w:cs="Times New Roman"/>
          <w:sz w:val="24"/>
          <w:szCs w:val="24"/>
        </w:rPr>
      </w:pPr>
    </w:p>
    <w:p w14:paraId="6EE97375" w14:textId="77777777" w:rsidR="003229A0" w:rsidRDefault="003229A0">
      <w:pPr>
        <w:jc w:val="both"/>
        <w:rPr>
          <w:rFonts w:ascii="Times New Roman" w:hAnsi="Times New Roman" w:cs="Times New Roman"/>
          <w:sz w:val="24"/>
          <w:szCs w:val="24"/>
        </w:rPr>
      </w:pPr>
    </w:p>
    <w:tbl>
      <w:tblPr>
        <w:tblW w:w="9450" w:type="dxa"/>
        <w:tblInd w:w="-5" w:type="dxa"/>
        <w:tblLook w:val="04A0" w:firstRow="1" w:lastRow="0" w:firstColumn="1" w:lastColumn="0" w:noHBand="0" w:noVBand="1"/>
      </w:tblPr>
      <w:tblGrid>
        <w:gridCol w:w="1135"/>
        <w:gridCol w:w="1038"/>
        <w:gridCol w:w="3318"/>
        <w:gridCol w:w="1356"/>
        <w:gridCol w:w="1116"/>
        <w:gridCol w:w="1116"/>
        <w:gridCol w:w="1296"/>
      </w:tblGrid>
      <w:tr w:rsidR="003229A0" w14:paraId="5D36AD8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F545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w:t>
            </w:r>
          </w:p>
        </w:tc>
        <w:tc>
          <w:tcPr>
            <w:tcW w:w="1038" w:type="dxa"/>
            <w:tcBorders>
              <w:top w:val="single" w:sz="4" w:space="0" w:color="auto"/>
              <w:left w:val="nil"/>
              <w:bottom w:val="single" w:sz="4" w:space="0" w:color="auto"/>
              <w:right w:val="single" w:sz="4" w:space="0" w:color="auto"/>
            </w:tcBorders>
            <w:shd w:val="clear" w:color="auto" w:fill="auto"/>
            <w:noWrap/>
            <w:vAlign w:val="bottom"/>
            <w:hideMark/>
          </w:tcPr>
          <w:p w14:paraId="3A53DC7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6161" w:type="dxa"/>
            <w:gridSpan w:val="4"/>
            <w:tcBorders>
              <w:top w:val="single" w:sz="4" w:space="0" w:color="auto"/>
              <w:left w:val="nil"/>
              <w:bottom w:val="single" w:sz="4" w:space="0" w:color="auto"/>
              <w:right w:val="single" w:sz="4" w:space="0" w:color="auto"/>
            </w:tcBorders>
            <w:shd w:val="clear" w:color="auto" w:fill="auto"/>
            <w:noWrap/>
            <w:vAlign w:val="bottom"/>
            <w:hideMark/>
          </w:tcPr>
          <w:p w14:paraId="3E3E4814" w14:textId="77777777" w:rsidR="003229A0" w:rsidRDefault="00AB0A4C">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project B </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14:paraId="7660089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7710E00F" w14:textId="7777777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5ACB74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period </w:t>
            </w:r>
          </w:p>
        </w:tc>
        <w:tc>
          <w:tcPr>
            <w:tcW w:w="1038" w:type="dxa"/>
            <w:tcBorders>
              <w:top w:val="nil"/>
              <w:left w:val="nil"/>
              <w:bottom w:val="single" w:sz="4" w:space="0" w:color="auto"/>
              <w:right w:val="single" w:sz="4" w:space="0" w:color="auto"/>
            </w:tcBorders>
            <w:shd w:val="clear" w:color="auto" w:fill="auto"/>
            <w:noWrap/>
            <w:vAlign w:val="bottom"/>
            <w:hideMark/>
          </w:tcPr>
          <w:p w14:paraId="1E006D2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3318" w:type="dxa"/>
            <w:tcBorders>
              <w:top w:val="nil"/>
              <w:left w:val="nil"/>
              <w:bottom w:val="single" w:sz="4" w:space="0" w:color="auto"/>
              <w:right w:val="single" w:sz="4" w:space="0" w:color="auto"/>
            </w:tcBorders>
            <w:shd w:val="clear" w:color="auto" w:fill="auto"/>
            <w:noWrap/>
            <w:vAlign w:val="bottom"/>
            <w:hideMark/>
          </w:tcPr>
          <w:p w14:paraId="1168076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067" w:type="dxa"/>
            <w:tcBorders>
              <w:top w:val="nil"/>
              <w:left w:val="nil"/>
              <w:bottom w:val="single" w:sz="4" w:space="0" w:color="auto"/>
              <w:right w:val="single" w:sz="4" w:space="0" w:color="auto"/>
            </w:tcBorders>
            <w:shd w:val="clear" w:color="auto" w:fill="auto"/>
            <w:noWrap/>
            <w:vAlign w:val="bottom"/>
            <w:hideMark/>
          </w:tcPr>
          <w:p w14:paraId="5EF1920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888" w:type="dxa"/>
            <w:tcBorders>
              <w:top w:val="nil"/>
              <w:left w:val="nil"/>
              <w:bottom w:val="single" w:sz="4" w:space="0" w:color="auto"/>
              <w:right w:val="single" w:sz="4" w:space="0" w:color="auto"/>
            </w:tcBorders>
            <w:shd w:val="clear" w:color="auto" w:fill="auto"/>
            <w:noWrap/>
            <w:vAlign w:val="bottom"/>
            <w:hideMark/>
          </w:tcPr>
          <w:p w14:paraId="747CD21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888" w:type="dxa"/>
            <w:tcBorders>
              <w:top w:val="nil"/>
              <w:left w:val="nil"/>
              <w:bottom w:val="single" w:sz="4" w:space="0" w:color="auto"/>
              <w:right w:val="single" w:sz="4" w:space="0" w:color="auto"/>
            </w:tcBorders>
            <w:shd w:val="clear" w:color="auto" w:fill="auto"/>
            <w:noWrap/>
            <w:vAlign w:val="bottom"/>
            <w:hideMark/>
          </w:tcPr>
          <w:p w14:paraId="7393ABB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116" w:type="dxa"/>
            <w:tcBorders>
              <w:top w:val="nil"/>
              <w:left w:val="nil"/>
              <w:bottom w:val="single" w:sz="4" w:space="0" w:color="auto"/>
              <w:right w:val="single" w:sz="4" w:space="0" w:color="auto"/>
            </w:tcBorders>
            <w:shd w:val="clear" w:color="auto" w:fill="auto"/>
            <w:noWrap/>
            <w:vAlign w:val="bottom"/>
            <w:hideMark/>
          </w:tcPr>
          <w:p w14:paraId="033082A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7ED9DF8A" w14:textId="7777777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5D70A3C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Initial inv.</w:t>
            </w:r>
          </w:p>
        </w:tc>
        <w:tc>
          <w:tcPr>
            <w:tcW w:w="1038" w:type="dxa"/>
            <w:tcBorders>
              <w:top w:val="nil"/>
              <w:left w:val="nil"/>
              <w:bottom w:val="single" w:sz="4" w:space="0" w:color="auto"/>
              <w:right w:val="single" w:sz="4" w:space="0" w:color="auto"/>
            </w:tcBorders>
            <w:shd w:val="clear" w:color="auto" w:fill="auto"/>
            <w:noWrap/>
            <w:vAlign w:val="bottom"/>
            <w:hideMark/>
          </w:tcPr>
          <w:p w14:paraId="4547CB4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-£90,000</w:t>
            </w:r>
          </w:p>
        </w:tc>
        <w:tc>
          <w:tcPr>
            <w:tcW w:w="3318" w:type="dxa"/>
            <w:tcBorders>
              <w:top w:val="nil"/>
              <w:left w:val="nil"/>
              <w:bottom w:val="single" w:sz="4" w:space="0" w:color="auto"/>
              <w:right w:val="single" w:sz="4" w:space="0" w:color="auto"/>
            </w:tcBorders>
            <w:shd w:val="clear" w:color="auto" w:fill="auto"/>
            <w:noWrap/>
            <w:vAlign w:val="bottom"/>
            <w:hideMark/>
          </w:tcPr>
          <w:p w14:paraId="6E4F4A2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7" w:type="dxa"/>
            <w:tcBorders>
              <w:top w:val="nil"/>
              <w:left w:val="nil"/>
              <w:bottom w:val="single" w:sz="4" w:space="0" w:color="auto"/>
              <w:right w:val="single" w:sz="4" w:space="0" w:color="auto"/>
            </w:tcBorders>
            <w:shd w:val="clear" w:color="auto" w:fill="auto"/>
            <w:noWrap/>
            <w:vAlign w:val="bottom"/>
            <w:hideMark/>
          </w:tcPr>
          <w:p w14:paraId="72DC735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88" w:type="dxa"/>
            <w:tcBorders>
              <w:top w:val="nil"/>
              <w:left w:val="nil"/>
              <w:bottom w:val="single" w:sz="4" w:space="0" w:color="auto"/>
              <w:right w:val="single" w:sz="4" w:space="0" w:color="auto"/>
            </w:tcBorders>
            <w:shd w:val="clear" w:color="auto" w:fill="auto"/>
            <w:noWrap/>
            <w:vAlign w:val="bottom"/>
            <w:hideMark/>
          </w:tcPr>
          <w:p w14:paraId="0E419AD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88" w:type="dxa"/>
            <w:tcBorders>
              <w:top w:val="nil"/>
              <w:left w:val="nil"/>
              <w:bottom w:val="single" w:sz="4" w:space="0" w:color="auto"/>
              <w:right w:val="single" w:sz="4" w:space="0" w:color="auto"/>
            </w:tcBorders>
            <w:shd w:val="clear" w:color="auto" w:fill="auto"/>
            <w:noWrap/>
            <w:vAlign w:val="bottom"/>
            <w:hideMark/>
          </w:tcPr>
          <w:p w14:paraId="05DEC41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16" w:type="dxa"/>
            <w:tcBorders>
              <w:top w:val="nil"/>
              <w:left w:val="nil"/>
              <w:bottom w:val="single" w:sz="4" w:space="0" w:color="auto"/>
              <w:right w:val="single" w:sz="4" w:space="0" w:color="auto"/>
            </w:tcBorders>
            <w:shd w:val="clear" w:color="auto" w:fill="auto"/>
            <w:noWrap/>
            <w:vAlign w:val="bottom"/>
            <w:hideMark/>
          </w:tcPr>
          <w:p w14:paraId="4E1460F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766912D7" w14:textId="77777777">
        <w:trPr>
          <w:trHeight w:val="600"/>
        </w:trPr>
        <w:tc>
          <w:tcPr>
            <w:tcW w:w="1135" w:type="dxa"/>
            <w:tcBorders>
              <w:top w:val="nil"/>
              <w:left w:val="single" w:sz="4" w:space="0" w:color="auto"/>
              <w:bottom w:val="single" w:sz="4" w:space="0" w:color="auto"/>
              <w:right w:val="single" w:sz="4" w:space="0" w:color="auto"/>
            </w:tcBorders>
            <w:shd w:val="clear" w:color="auto" w:fill="auto"/>
            <w:vAlign w:val="bottom"/>
            <w:hideMark/>
          </w:tcPr>
          <w:p w14:paraId="0761A73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cash   flows</w:t>
            </w:r>
          </w:p>
        </w:tc>
        <w:tc>
          <w:tcPr>
            <w:tcW w:w="1038" w:type="dxa"/>
            <w:tcBorders>
              <w:top w:val="nil"/>
              <w:left w:val="nil"/>
              <w:bottom w:val="single" w:sz="4" w:space="0" w:color="auto"/>
              <w:right w:val="single" w:sz="4" w:space="0" w:color="auto"/>
            </w:tcBorders>
            <w:shd w:val="clear" w:color="auto" w:fill="auto"/>
            <w:noWrap/>
            <w:vAlign w:val="bottom"/>
            <w:hideMark/>
          </w:tcPr>
          <w:p w14:paraId="4858F35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318" w:type="dxa"/>
            <w:tcBorders>
              <w:top w:val="nil"/>
              <w:left w:val="nil"/>
              <w:bottom w:val="single" w:sz="4" w:space="0" w:color="auto"/>
              <w:right w:val="single" w:sz="4" w:space="0" w:color="auto"/>
            </w:tcBorders>
            <w:shd w:val="clear" w:color="auto" w:fill="auto"/>
            <w:noWrap/>
            <w:vAlign w:val="bottom"/>
            <w:hideMark/>
          </w:tcPr>
          <w:p w14:paraId="177D702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£25,000</w:t>
            </w:r>
          </w:p>
        </w:tc>
        <w:tc>
          <w:tcPr>
            <w:tcW w:w="1067" w:type="dxa"/>
            <w:tcBorders>
              <w:top w:val="nil"/>
              <w:left w:val="nil"/>
              <w:bottom w:val="single" w:sz="4" w:space="0" w:color="auto"/>
              <w:right w:val="single" w:sz="4" w:space="0" w:color="auto"/>
            </w:tcBorders>
            <w:shd w:val="clear" w:color="auto" w:fill="auto"/>
            <w:noWrap/>
            <w:vAlign w:val="bottom"/>
            <w:hideMark/>
          </w:tcPr>
          <w:p w14:paraId="424496E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£30,000</w:t>
            </w:r>
          </w:p>
        </w:tc>
        <w:tc>
          <w:tcPr>
            <w:tcW w:w="888" w:type="dxa"/>
            <w:tcBorders>
              <w:top w:val="nil"/>
              <w:left w:val="nil"/>
              <w:bottom w:val="single" w:sz="4" w:space="0" w:color="auto"/>
              <w:right w:val="single" w:sz="4" w:space="0" w:color="auto"/>
            </w:tcBorders>
            <w:shd w:val="clear" w:color="auto" w:fill="auto"/>
            <w:noWrap/>
            <w:vAlign w:val="bottom"/>
            <w:hideMark/>
          </w:tcPr>
          <w:p w14:paraId="5C5E1D1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w:t>
            </w:r>
          </w:p>
        </w:tc>
        <w:tc>
          <w:tcPr>
            <w:tcW w:w="888" w:type="dxa"/>
            <w:tcBorders>
              <w:top w:val="nil"/>
              <w:left w:val="nil"/>
              <w:bottom w:val="single" w:sz="4" w:space="0" w:color="auto"/>
              <w:right w:val="single" w:sz="4" w:space="0" w:color="auto"/>
            </w:tcBorders>
            <w:shd w:val="clear" w:color="auto" w:fill="auto"/>
            <w:noWrap/>
            <w:vAlign w:val="bottom"/>
            <w:hideMark/>
          </w:tcPr>
          <w:p w14:paraId="218F014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w:t>
            </w:r>
          </w:p>
        </w:tc>
        <w:tc>
          <w:tcPr>
            <w:tcW w:w="1116" w:type="dxa"/>
            <w:tcBorders>
              <w:top w:val="nil"/>
              <w:left w:val="nil"/>
              <w:bottom w:val="single" w:sz="4" w:space="0" w:color="auto"/>
              <w:right w:val="single" w:sz="4" w:space="0" w:color="auto"/>
            </w:tcBorders>
            <w:shd w:val="clear" w:color="auto" w:fill="auto"/>
            <w:noWrap/>
            <w:vAlign w:val="bottom"/>
            <w:hideMark/>
          </w:tcPr>
          <w:p w14:paraId="062FE4C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1237A1F5" w14:textId="7777777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3804ACC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DCF </w:t>
            </w:r>
            <w:r>
              <w:rPr>
                <w:rFonts w:ascii="Times New Roman" w:eastAsia="Times New Roman" w:hAnsi="Times New Roman" w:cs="Times New Roman"/>
                <w:b/>
                <w:bCs/>
                <w:color w:val="000000"/>
                <w:sz w:val="24"/>
                <w:szCs w:val="24"/>
              </w:rPr>
              <w:t>@ 10.5%</w:t>
            </w:r>
          </w:p>
        </w:tc>
        <w:tc>
          <w:tcPr>
            <w:tcW w:w="1038" w:type="dxa"/>
            <w:tcBorders>
              <w:top w:val="nil"/>
              <w:left w:val="nil"/>
              <w:bottom w:val="single" w:sz="4" w:space="0" w:color="auto"/>
              <w:right w:val="single" w:sz="4" w:space="0" w:color="auto"/>
            </w:tcBorders>
            <w:shd w:val="clear" w:color="auto" w:fill="auto"/>
            <w:noWrap/>
            <w:vAlign w:val="bottom"/>
            <w:hideMark/>
          </w:tcPr>
          <w:p w14:paraId="2666277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3318" w:type="dxa"/>
            <w:tcBorders>
              <w:top w:val="nil"/>
              <w:left w:val="nil"/>
              <w:bottom w:val="single" w:sz="4" w:space="0" w:color="auto"/>
              <w:right w:val="single" w:sz="4" w:space="0" w:color="auto"/>
            </w:tcBorders>
            <w:shd w:val="clear" w:color="auto" w:fill="auto"/>
            <w:noWrap/>
            <w:vAlign w:val="bottom"/>
            <w:hideMark/>
          </w:tcPr>
          <w:p w14:paraId="3805B94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0.9049774</w:t>
            </w:r>
          </w:p>
        </w:tc>
        <w:tc>
          <w:tcPr>
            <w:tcW w:w="1067" w:type="dxa"/>
            <w:tcBorders>
              <w:top w:val="nil"/>
              <w:left w:val="nil"/>
              <w:bottom w:val="single" w:sz="4" w:space="0" w:color="auto"/>
              <w:right w:val="single" w:sz="4" w:space="0" w:color="auto"/>
            </w:tcBorders>
            <w:shd w:val="clear" w:color="auto" w:fill="auto"/>
            <w:noWrap/>
            <w:vAlign w:val="bottom"/>
            <w:hideMark/>
          </w:tcPr>
          <w:p w14:paraId="4EA1D4F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0.81898405</w:t>
            </w:r>
          </w:p>
        </w:tc>
        <w:tc>
          <w:tcPr>
            <w:tcW w:w="888" w:type="dxa"/>
            <w:tcBorders>
              <w:top w:val="nil"/>
              <w:left w:val="nil"/>
              <w:bottom w:val="single" w:sz="4" w:space="0" w:color="auto"/>
              <w:right w:val="single" w:sz="4" w:space="0" w:color="auto"/>
            </w:tcBorders>
            <w:shd w:val="clear" w:color="auto" w:fill="auto"/>
            <w:noWrap/>
            <w:vAlign w:val="bottom"/>
            <w:hideMark/>
          </w:tcPr>
          <w:p w14:paraId="3173474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0.741162</w:t>
            </w:r>
          </w:p>
        </w:tc>
        <w:tc>
          <w:tcPr>
            <w:tcW w:w="888" w:type="dxa"/>
            <w:tcBorders>
              <w:top w:val="nil"/>
              <w:left w:val="nil"/>
              <w:bottom w:val="single" w:sz="4" w:space="0" w:color="auto"/>
              <w:right w:val="single" w:sz="4" w:space="0" w:color="auto"/>
            </w:tcBorders>
            <w:shd w:val="clear" w:color="auto" w:fill="auto"/>
            <w:noWrap/>
            <w:vAlign w:val="bottom"/>
            <w:hideMark/>
          </w:tcPr>
          <w:p w14:paraId="2E82D9F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0.670735</w:t>
            </w:r>
          </w:p>
        </w:tc>
        <w:tc>
          <w:tcPr>
            <w:tcW w:w="1116" w:type="dxa"/>
            <w:tcBorders>
              <w:top w:val="nil"/>
              <w:left w:val="nil"/>
              <w:bottom w:val="single" w:sz="4" w:space="0" w:color="auto"/>
              <w:right w:val="single" w:sz="4" w:space="0" w:color="auto"/>
            </w:tcBorders>
            <w:shd w:val="clear" w:color="auto" w:fill="auto"/>
            <w:noWrap/>
            <w:vAlign w:val="bottom"/>
            <w:hideMark/>
          </w:tcPr>
          <w:p w14:paraId="6CF1C5A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6563081E" w14:textId="7777777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7B4D003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PVS </w:t>
            </w:r>
          </w:p>
        </w:tc>
        <w:tc>
          <w:tcPr>
            <w:tcW w:w="1038" w:type="dxa"/>
            <w:tcBorders>
              <w:top w:val="nil"/>
              <w:left w:val="nil"/>
              <w:bottom w:val="single" w:sz="4" w:space="0" w:color="auto"/>
              <w:right w:val="single" w:sz="4" w:space="0" w:color="auto"/>
            </w:tcBorders>
            <w:shd w:val="clear" w:color="auto" w:fill="auto"/>
            <w:noWrap/>
            <w:vAlign w:val="bottom"/>
            <w:hideMark/>
          </w:tcPr>
          <w:p w14:paraId="540DC0AD"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-£90,000</w:t>
            </w:r>
          </w:p>
        </w:tc>
        <w:tc>
          <w:tcPr>
            <w:tcW w:w="3318" w:type="dxa"/>
            <w:tcBorders>
              <w:top w:val="nil"/>
              <w:left w:val="nil"/>
              <w:bottom w:val="single" w:sz="4" w:space="0" w:color="auto"/>
              <w:right w:val="single" w:sz="4" w:space="0" w:color="auto"/>
            </w:tcBorders>
            <w:shd w:val="clear" w:color="auto" w:fill="auto"/>
            <w:noWrap/>
            <w:vAlign w:val="bottom"/>
            <w:hideMark/>
          </w:tcPr>
          <w:p w14:paraId="2EA59B5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£22,624</w:t>
            </w:r>
          </w:p>
        </w:tc>
        <w:tc>
          <w:tcPr>
            <w:tcW w:w="1067" w:type="dxa"/>
            <w:tcBorders>
              <w:top w:val="nil"/>
              <w:left w:val="nil"/>
              <w:bottom w:val="single" w:sz="4" w:space="0" w:color="auto"/>
              <w:right w:val="single" w:sz="4" w:space="0" w:color="auto"/>
            </w:tcBorders>
            <w:shd w:val="clear" w:color="auto" w:fill="auto"/>
            <w:noWrap/>
            <w:vAlign w:val="bottom"/>
            <w:hideMark/>
          </w:tcPr>
          <w:p w14:paraId="22463BE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£24,570</w:t>
            </w:r>
          </w:p>
        </w:tc>
        <w:tc>
          <w:tcPr>
            <w:tcW w:w="888" w:type="dxa"/>
            <w:tcBorders>
              <w:top w:val="nil"/>
              <w:left w:val="nil"/>
              <w:bottom w:val="single" w:sz="4" w:space="0" w:color="auto"/>
              <w:right w:val="single" w:sz="4" w:space="0" w:color="auto"/>
            </w:tcBorders>
            <w:shd w:val="clear" w:color="auto" w:fill="auto"/>
            <w:noWrap/>
            <w:vAlign w:val="bottom"/>
            <w:hideMark/>
          </w:tcPr>
          <w:p w14:paraId="7B7566E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£25,941</w:t>
            </w:r>
          </w:p>
        </w:tc>
        <w:tc>
          <w:tcPr>
            <w:tcW w:w="888" w:type="dxa"/>
            <w:tcBorders>
              <w:top w:val="nil"/>
              <w:left w:val="nil"/>
              <w:bottom w:val="single" w:sz="4" w:space="0" w:color="auto"/>
              <w:right w:val="single" w:sz="4" w:space="0" w:color="auto"/>
            </w:tcBorders>
            <w:shd w:val="clear" w:color="auto" w:fill="auto"/>
            <w:noWrap/>
            <w:vAlign w:val="bottom"/>
            <w:hideMark/>
          </w:tcPr>
          <w:p w14:paraId="61F8D50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£26,829</w:t>
            </w:r>
          </w:p>
        </w:tc>
        <w:tc>
          <w:tcPr>
            <w:tcW w:w="1116" w:type="dxa"/>
            <w:tcBorders>
              <w:top w:val="nil"/>
              <w:left w:val="nil"/>
              <w:bottom w:val="single" w:sz="4" w:space="0" w:color="auto"/>
              <w:right w:val="single" w:sz="4" w:space="0" w:color="auto"/>
            </w:tcBorders>
            <w:shd w:val="clear" w:color="auto" w:fill="auto"/>
            <w:noWrap/>
            <w:vAlign w:val="bottom"/>
            <w:hideMark/>
          </w:tcPr>
          <w:p w14:paraId="2210463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44F91FEB" w14:textId="7777777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33B5A1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total PVs</w:t>
            </w:r>
          </w:p>
        </w:tc>
        <w:tc>
          <w:tcPr>
            <w:tcW w:w="1038" w:type="dxa"/>
            <w:tcBorders>
              <w:top w:val="nil"/>
              <w:left w:val="nil"/>
              <w:bottom w:val="single" w:sz="4" w:space="0" w:color="auto"/>
              <w:right w:val="single" w:sz="4" w:space="0" w:color="auto"/>
            </w:tcBorders>
            <w:shd w:val="clear" w:color="auto" w:fill="auto"/>
            <w:noWrap/>
            <w:vAlign w:val="bottom"/>
            <w:hideMark/>
          </w:tcPr>
          <w:p w14:paraId="36FAF89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318" w:type="dxa"/>
            <w:tcBorders>
              <w:top w:val="nil"/>
              <w:left w:val="nil"/>
              <w:bottom w:val="single" w:sz="4" w:space="0" w:color="auto"/>
              <w:right w:val="single" w:sz="4" w:space="0" w:color="auto"/>
            </w:tcBorders>
            <w:shd w:val="clear" w:color="auto" w:fill="auto"/>
            <w:noWrap/>
            <w:vAlign w:val="bottom"/>
            <w:hideMark/>
          </w:tcPr>
          <w:p w14:paraId="5520B950"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7" w:type="dxa"/>
            <w:tcBorders>
              <w:top w:val="nil"/>
              <w:left w:val="nil"/>
              <w:bottom w:val="single" w:sz="4" w:space="0" w:color="auto"/>
              <w:right w:val="single" w:sz="4" w:space="0" w:color="auto"/>
            </w:tcBorders>
            <w:shd w:val="clear" w:color="auto" w:fill="auto"/>
            <w:noWrap/>
            <w:vAlign w:val="bottom"/>
            <w:hideMark/>
          </w:tcPr>
          <w:p w14:paraId="63720BD3"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88" w:type="dxa"/>
            <w:tcBorders>
              <w:top w:val="nil"/>
              <w:left w:val="nil"/>
              <w:bottom w:val="single" w:sz="4" w:space="0" w:color="auto"/>
              <w:right w:val="single" w:sz="4" w:space="0" w:color="auto"/>
            </w:tcBorders>
            <w:shd w:val="clear" w:color="auto" w:fill="auto"/>
            <w:noWrap/>
            <w:vAlign w:val="bottom"/>
            <w:hideMark/>
          </w:tcPr>
          <w:p w14:paraId="293C8EB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88" w:type="dxa"/>
            <w:tcBorders>
              <w:top w:val="nil"/>
              <w:left w:val="nil"/>
              <w:bottom w:val="single" w:sz="4" w:space="0" w:color="auto"/>
              <w:right w:val="single" w:sz="4" w:space="0" w:color="auto"/>
            </w:tcBorders>
            <w:shd w:val="clear" w:color="auto" w:fill="auto"/>
            <w:noWrap/>
            <w:vAlign w:val="bottom"/>
            <w:hideMark/>
          </w:tcPr>
          <w:p w14:paraId="133C065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16" w:type="dxa"/>
            <w:tcBorders>
              <w:top w:val="nil"/>
              <w:left w:val="nil"/>
              <w:bottom w:val="single" w:sz="4" w:space="0" w:color="auto"/>
              <w:right w:val="single" w:sz="4" w:space="0" w:color="auto"/>
            </w:tcBorders>
            <w:shd w:val="clear" w:color="auto" w:fill="auto"/>
            <w:noWrap/>
            <w:vAlign w:val="bottom"/>
            <w:hideMark/>
          </w:tcPr>
          <w:p w14:paraId="00CC9EE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£99,964.02</w:t>
            </w:r>
          </w:p>
        </w:tc>
      </w:tr>
      <w:tr w:rsidR="003229A0" w14:paraId="77EF628B" w14:textId="7777777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44A5AF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NPV </w:t>
            </w:r>
          </w:p>
        </w:tc>
        <w:tc>
          <w:tcPr>
            <w:tcW w:w="1038" w:type="dxa"/>
            <w:tcBorders>
              <w:top w:val="nil"/>
              <w:left w:val="nil"/>
              <w:bottom w:val="single" w:sz="4" w:space="0" w:color="auto"/>
              <w:right w:val="single" w:sz="4" w:space="0" w:color="auto"/>
            </w:tcBorders>
            <w:shd w:val="clear" w:color="auto" w:fill="auto"/>
            <w:noWrap/>
            <w:vAlign w:val="bottom"/>
            <w:hideMark/>
          </w:tcPr>
          <w:p w14:paraId="53902D1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318" w:type="dxa"/>
            <w:tcBorders>
              <w:top w:val="nil"/>
              <w:left w:val="nil"/>
              <w:bottom w:val="single" w:sz="4" w:space="0" w:color="auto"/>
              <w:right w:val="single" w:sz="4" w:space="0" w:color="auto"/>
            </w:tcBorders>
            <w:shd w:val="clear" w:color="auto" w:fill="auto"/>
            <w:noWrap/>
            <w:vAlign w:val="bottom"/>
            <w:hideMark/>
          </w:tcPr>
          <w:p w14:paraId="5D1F8FA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67" w:type="dxa"/>
            <w:tcBorders>
              <w:top w:val="nil"/>
              <w:left w:val="nil"/>
              <w:bottom w:val="single" w:sz="4" w:space="0" w:color="auto"/>
              <w:right w:val="single" w:sz="4" w:space="0" w:color="auto"/>
            </w:tcBorders>
            <w:shd w:val="clear" w:color="auto" w:fill="auto"/>
            <w:noWrap/>
            <w:vAlign w:val="bottom"/>
            <w:hideMark/>
          </w:tcPr>
          <w:p w14:paraId="1ED68C2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88" w:type="dxa"/>
            <w:tcBorders>
              <w:top w:val="nil"/>
              <w:left w:val="nil"/>
              <w:bottom w:val="single" w:sz="4" w:space="0" w:color="auto"/>
              <w:right w:val="single" w:sz="4" w:space="0" w:color="auto"/>
            </w:tcBorders>
            <w:shd w:val="clear" w:color="auto" w:fill="auto"/>
            <w:noWrap/>
            <w:vAlign w:val="bottom"/>
            <w:hideMark/>
          </w:tcPr>
          <w:p w14:paraId="27CC6F0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88" w:type="dxa"/>
            <w:tcBorders>
              <w:top w:val="nil"/>
              <w:left w:val="nil"/>
              <w:bottom w:val="single" w:sz="4" w:space="0" w:color="auto"/>
              <w:right w:val="single" w:sz="4" w:space="0" w:color="auto"/>
            </w:tcBorders>
            <w:shd w:val="clear" w:color="auto" w:fill="auto"/>
            <w:noWrap/>
            <w:vAlign w:val="bottom"/>
            <w:hideMark/>
          </w:tcPr>
          <w:p w14:paraId="68CBD00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16" w:type="dxa"/>
            <w:tcBorders>
              <w:top w:val="nil"/>
              <w:left w:val="nil"/>
              <w:bottom w:val="single" w:sz="4" w:space="0" w:color="auto"/>
              <w:right w:val="single" w:sz="4" w:space="0" w:color="auto"/>
            </w:tcBorders>
            <w:shd w:val="clear" w:color="auto" w:fill="auto"/>
            <w:noWrap/>
            <w:vAlign w:val="bottom"/>
            <w:hideMark/>
          </w:tcPr>
          <w:p w14:paraId="6DF8AC1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£9,964.02</w:t>
            </w:r>
          </w:p>
        </w:tc>
      </w:tr>
    </w:tbl>
    <w:p w14:paraId="35A46D80" w14:textId="77777777" w:rsidR="003229A0" w:rsidRDefault="003229A0">
      <w:pPr>
        <w:rPr>
          <w:rFonts w:ascii="Times New Roman" w:hAnsi="Times New Roman" w:cs="Times New Roman"/>
          <w:sz w:val="24"/>
          <w:szCs w:val="24"/>
        </w:rPr>
      </w:pPr>
    </w:p>
    <w:p w14:paraId="00099CD9"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net present value (NPV) is a financial analysis approach that uses the principle of discounting down future investment returns to their present value. While applying the approach in project evaluation, the net present value requires that an investor or project should discount future project inflows to their current value.  In doing such, an investor or project analyst is able to determine the current value of future expected cash inflows of the project. The NPV system of project evaluation is used to account for the time value of money of investments at a given discount factor. Investments with a positive NPV are usually deemed viable projects, and those with a negative NPV usually are regarded as non-profitable investments. According to the outcomes obtained from conducting the NPV analysis of projects A and B, both projects appear financially viable.  Therefore, each of the two projects has the potential to generate positive returns in the predetermined period. However, project B is a more viable investment that Coca-Cola should consider as the priority because of its ability to generate a higher NPV than project A.  </w:t>
      </w:r>
    </w:p>
    <w:p w14:paraId="432F467D" w14:textId="77777777" w:rsidR="00F56284" w:rsidRDefault="00F56284">
      <w:pPr>
        <w:spacing w:line="480" w:lineRule="auto"/>
        <w:ind w:firstLine="720"/>
        <w:rPr>
          <w:rFonts w:ascii="Times New Roman" w:hAnsi="Times New Roman" w:cs="Times New Roman"/>
          <w:sz w:val="24"/>
          <w:szCs w:val="24"/>
        </w:rPr>
      </w:pPr>
    </w:p>
    <w:p w14:paraId="03AAE042" w14:textId="77777777" w:rsidR="00F56284" w:rsidRDefault="00F56284">
      <w:pPr>
        <w:spacing w:line="480" w:lineRule="auto"/>
        <w:ind w:firstLine="720"/>
        <w:rPr>
          <w:rFonts w:ascii="Times New Roman" w:hAnsi="Times New Roman" w:cs="Times New Roman"/>
          <w:sz w:val="24"/>
          <w:szCs w:val="24"/>
        </w:rPr>
      </w:pPr>
    </w:p>
    <w:p w14:paraId="7460F928" w14:textId="77777777" w:rsidR="00F56284" w:rsidRDefault="00F56284">
      <w:pPr>
        <w:spacing w:line="480" w:lineRule="auto"/>
        <w:ind w:firstLine="720"/>
        <w:rPr>
          <w:rFonts w:ascii="Times New Roman" w:hAnsi="Times New Roman" w:cs="Times New Roman"/>
          <w:sz w:val="24"/>
          <w:szCs w:val="24"/>
        </w:rPr>
      </w:pPr>
    </w:p>
    <w:p w14:paraId="0BD2E00A" w14:textId="4D69F175" w:rsidR="003229A0" w:rsidRDefault="00AB0A4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ACCOUNTING RATE OF RETURN</w:t>
      </w:r>
    </w:p>
    <w:tbl>
      <w:tblPr>
        <w:tblW w:w="9720" w:type="dxa"/>
        <w:tblInd w:w="-5" w:type="dxa"/>
        <w:tblLook w:val="04A0" w:firstRow="1" w:lastRow="0" w:firstColumn="1" w:lastColumn="0" w:noHBand="0" w:noVBand="1"/>
      </w:tblPr>
      <w:tblGrid>
        <w:gridCol w:w="1299"/>
        <w:gridCol w:w="1581"/>
        <w:gridCol w:w="2987"/>
        <w:gridCol w:w="1176"/>
        <w:gridCol w:w="1176"/>
        <w:gridCol w:w="1501"/>
      </w:tblGrid>
      <w:tr w:rsidR="003229A0" w14:paraId="2AB2EF08" w14:textId="77777777">
        <w:trPr>
          <w:trHeight w:val="300"/>
        </w:trPr>
        <w:tc>
          <w:tcPr>
            <w:tcW w:w="12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E9A3B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581" w:type="dxa"/>
            <w:tcBorders>
              <w:top w:val="single" w:sz="4" w:space="0" w:color="auto"/>
              <w:left w:val="nil"/>
              <w:bottom w:val="single" w:sz="4" w:space="0" w:color="auto"/>
              <w:right w:val="single" w:sz="4" w:space="0" w:color="auto"/>
            </w:tcBorders>
            <w:shd w:val="clear" w:color="auto" w:fill="auto"/>
            <w:noWrap/>
            <w:vAlign w:val="bottom"/>
            <w:hideMark/>
          </w:tcPr>
          <w:p w14:paraId="253B9BC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5339" w:type="dxa"/>
            <w:gridSpan w:val="3"/>
            <w:tcBorders>
              <w:top w:val="single" w:sz="4" w:space="0" w:color="auto"/>
              <w:left w:val="nil"/>
              <w:bottom w:val="single" w:sz="4" w:space="0" w:color="auto"/>
              <w:right w:val="single" w:sz="4" w:space="0" w:color="auto"/>
            </w:tcBorders>
            <w:shd w:val="clear" w:color="auto" w:fill="auto"/>
            <w:noWrap/>
            <w:vAlign w:val="bottom"/>
            <w:hideMark/>
          </w:tcPr>
          <w:p w14:paraId="7AD46DFE"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project A </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14:paraId="428CB2C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40F94601" w14:textId="77777777">
        <w:trPr>
          <w:trHeight w:val="300"/>
        </w:trPr>
        <w:tc>
          <w:tcPr>
            <w:tcW w:w="1299" w:type="dxa"/>
            <w:tcBorders>
              <w:top w:val="nil"/>
              <w:left w:val="single" w:sz="4" w:space="0" w:color="auto"/>
              <w:bottom w:val="single" w:sz="4" w:space="0" w:color="auto"/>
              <w:right w:val="single" w:sz="4" w:space="0" w:color="auto"/>
            </w:tcBorders>
            <w:shd w:val="clear" w:color="auto" w:fill="auto"/>
            <w:noWrap/>
            <w:vAlign w:val="bottom"/>
            <w:hideMark/>
          </w:tcPr>
          <w:p w14:paraId="2D88D9F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year </w:t>
            </w:r>
          </w:p>
        </w:tc>
        <w:tc>
          <w:tcPr>
            <w:tcW w:w="1581" w:type="dxa"/>
            <w:tcBorders>
              <w:top w:val="nil"/>
              <w:left w:val="nil"/>
              <w:bottom w:val="single" w:sz="4" w:space="0" w:color="auto"/>
              <w:right w:val="single" w:sz="4" w:space="0" w:color="auto"/>
            </w:tcBorders>
            <w:shd w:val="clear" w:color="auto" w:fill="auto"/>
            <w:noWrap/>
            <w:vAlign w:val="bottom"/>
            <w:hideMark/>
          </w:tcPr>
          <w:p w14:paraId="761F1E0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2987" w:type="dxa"/>
            <w:tcBorders>
              <w:top w:val="nil"/>
              <w:left w:val="nil"/>
              <w:bottom w:val="single" w:sz="4" w:space="0" w:color="auto"/>
              <w:right w:val="single" w:sz="4" w:space="0" w:color="auto"/>
            </w:tcBorders>
            <w:shd w:val="clear" w:color="auto" w:fill="auto"/>
            <w:noWrap/>
            <w:vAlign w:val="bottom"/>
            <w:hideMark/>
          </w:tcPr>
          <w:p w14:paraId="22CF634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76" w:type="dxa"/>
            <w:tcBorders>
              <w:top w:val="nil"/>
              <w:left w:val="nil"/>
              <w:bottom w:val="single" w:sz="4" w:space="0" w:color="auto"/>
              <w:right w:val="single" w:sz="4" w:space="0" w:color="auto"/>
            </w:tcBorders>
            <w:shd w:val="clear" w:color="auto" w:fill="auto"/>
            <w:noWrap/>
            <w:vAlign w:val="bottom"/>
            <w:hideMark/>
          </w:tcPr>
          <w:p w14:paraId="091FB2B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176" w:type="dxa"/>
            <w:tcBorders>
              <w:top w:val="nil"/>
              <w:left w:val="nil"/>
              <w:bottom w:val="single" w:sz="4" w:space="0" w:color="auto"/>
              <w:right w:val="single" w:sz="4" w:space="0" w:color="auto"/>
            </w:tcBorders>
            <w:shd w:val="clear" w:color="auto" w:fill="auto"/>
            <w:noWrap/>
            <w:vAlign w:val="bottom"/>
            <w:hideMark/>
          </w:tcPr>
          <w:p w14:paraId="20180B3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501" w:type="dxa"/>
            <w:tcBorders>
              <w:top w:val="nil"/>
              <w:left w:val="nil"/>
              <w:bottom w:val="single" w:sz="4" w:space="0" w:color="auto"/>
              <w:right w:val="single" w:sz="4" w:space="0" w:color="auto"/>
            </w:tcBorders>
            <w:shd w:val="clear" w:color="auto" w:fill="auto"/>
            <w:noWrap/>
            <w:vAlign w:val="bottom"/>
            <w:hideMark/>
          </w:tcPr>
          <w:p w14:paraId="55733D0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r>
      <w:tr w:rsidR="003229A0" w14:paraId="2CC11B8A" w14:textId="77777777">
        <w:trPr>
          <w:trHeight w:val="300"/>
        </w:trPr>
        <w:tc>
          <w:tcPr>
            <w:tcW w:w="1299" w:type="dxa"/>
            <w:tcBorders>
              <w:top w:val="nil"/>
              <w:left w:val="single" w:sz="4" w:space="0" w:color="auto"/>
              <w:bottom w:val="single" w:sz="4" w:space="0" w:color="auto"/>
              <w:right w:val="single" w:sz="4" w:space="0" w:color="auto"/>
            </w:tcBorders>
            <w:shd w:val="clear" w:color="auto" w:fill="auto"/>
            <w:noWrap/>
            <w:vAlign w:val="bottom"/>
            <w:hideMark/>
          </w:tcPr>
          <w:p w14:paraId="35FF75F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net income </w:t>
            </w:r>
          </w:p>
        </w:tc>
        <w:tc>
          <w:tcPr>
            <w:tcW w:w="1581" w:type="dxa"/>
            <w:tcBorders>
              <w:top w:val="nil"/>
              <w:left w:val="nil"/>
              <w:bottom w:val="single" w:sz="4" w:space="0" w:color="auto"/>
              <w:right w:val="single" w:sz="4" w:space="0" w:color="auto"/>
            </w:tcBorders>
            <w:shd w:val="clear" w:color="auto" w:fill="auto"/>
            <w:noWrap/>
            <w:vAlign w:val="bottom"/>
            <w:hideMark/>
          </w:tcPr>
          <w:p w14:paraId="245E851D"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2987" w:type="dxa"/>
            <w:tcBorders>
              <w:top w:val="nil"/>
              <w:left w:val="nil"/>
              <w:bottom w:val="single" w:sz="4" w:space="0" w:color="auto"/>
              <w:right w:val="single" w:sz="4" w:space="0" w:color="auto"/>
            </w:tcBorders>
            <w:shd w:val="clear" w:color="auto" w:fill="auto"/>
            <w:noWrap/>
            <w:vAlign w:val="bottom"/>
            <w:hideMark/>
          </w:tcPr>
          <w:p w14:paraId="59257C5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10,000.00 </w:t>
            </w:r>
          </w:p>
        </w:tc>
        <w:tc>
          <w:tcPr>
            <w:tcW w:w="1176" w:type="dxa"/>
            <w:tcBorders>
              <w:top w:val="nil"/>
              <w:left w:val="nil"/>
              <w:bottom w:val="single" w:sz="4" w:space="0" w:color="auto"/>
              <w:right w:val="single" w:sz="4" w:space="0" w:color="auto"/>
            </w:tcBorders>
            <w:shd w:val="clear" w:color="auto" w:fill="auto"/>
            <w:noWrap/>
            <w:vAlign w:val="bottom"/>
            <w:hideMark/>
          </w:tcPr>
          <w:p w14:paraId="0E1F97B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20,000.00 </w:t>
            </w:r>
          </w:p>
        </w:tc>
        <w:tc>
          <w:tcPr>
            <w:tcW w:w="1176" w:type="dxa"/>
            <w:tcBorders>
              <w:top w:val="nil"/>
              <w:left w:val="nil"/>
              <w:bottom w:val="single" w:sz="4" w:space="0" w:color="auto"/>
              <w:right w:val="single" w:sz="4" w:space="0" w:color="auto"/>
            </w:tcBorders>
            <w:shd w:val="clear" w:color="auto" w:fill="auto"/>
            <w:noWrap/>
            <w:vAlign w:val="bottom"/>
            <w:hideMark/>
          </w:tcPr>
          <w:p w14:paraId="6D0BB186"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40,000.00 </w:t>
            </w:r>
          </w:p>
        </w:tc>
        <w:tc>
          <w:tcPr>
            <w:tcW w:w="1501" w:type="dxa"/>
            <w:tcBorders>
              <w:top w:val="nil"/>
              <w:left w:val="nil"/>
              <w:bottom w:val="single" w:sz="4" w:space="0" w:color="auto"/>
              <w:right w:val="single" w:sz="4" w:space="0" w:color="auto"/>
            </w:tcBorders>
            <w:shd w:val="clear" w:color="auto" w:fill="auto"/>
            <w:noWrap/>
            <w:vAlign w:val="bottom"/>
            <w:hideMark/>
          </w:tcPr>
          <w:p w14:paraId="74A6596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55,000.00 </w:t>
            </w:r>
          </w:p>
        </w:tc>
      </w:tr>
      <w:tr w:rsidR="003229A0" w14:paraId="6309AE8D" w14:textId="77777777">
        <w:trPr>
          <w:trHeight w:val="600"/>
        </w:trPr>
        <w:tc>
          <w:tcPr>
            <w:tcW w:w="1299" w:type="dxa"/>
            <w:tcBorders>
              <w:top w:val="nil"/>
              <w:left w:val="single" w:sz="4" w:space="0" w:color="auto"/>
              <w:bottom w:val="single" w:sz="4" w:space="0" w:color="auto"/>
              <w:right w:val="single" w:sz="4" w:space="0" w:color="auto"/>
            </w:tcBorders>
            <w:shd w:val="clear" w:color="auto" w:fill="auto"/>
            <w:vAlign w:val="bottom"/>
            <w:hideMark/>
          </w:tcPr>
          <w:p w14:paraId="074A437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initial investment </w:t>
            </w:r>
          </w:p>
        </w:tc>
        <w:tc>
          <w:tcPr>
            <w:tcW w:w="1581" w:type="dxa"/>
            <w:tcBorders>
              <w:top w:val="nil"/>
              <w:left w:val="nil"/>
              <w:bottom w:val="single" w:sz="4" w:space="0" w:color="auto"/>
              <w:right w:val="single" w:sz="4" w:space="0" w:color="auto"/>
            </w:tcBorders>
            <w:shd w:val="clear" w:color="auto" w:fill="auto"/>
            <w:noWrap/>
            <w:vAlign w:val="bottom"/>
            <w:hideMark/>
          </w:tcPr>
          <w:p w14:paraId="470C01C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-£ 85,000.00 </w:t>
            </w:r>
          </w:p>
        </w:tc>
        <w:tc>
          <w:tcPr>
            <w:tcW w:w="2987" w:type="dxa"/>
            <w:tcBorders>
              <w:top w:val="nil"/>
              <w:left w:val="nil"/>
              <w:bottom w:val="single" w:sz="4" w:space="0" w:color="auto"/>
              <w:right w:val="single" w:sz="4" w:space="0" w:color="auto"/>
            </w:tcBorders>
            <w:shd w:val="clear" w:color="auto" w:fill="auto"/>
            <w:noWrap/>
            <w:vAlign w:val="bottom"/>
            <w:hideMark/>
          </w:tcPr>
          <w:p w14:paraId="32AC1FC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76" w:type="dxa"/>
            <w:tcBorders>
              <w:top w:val="nil"/>
              <w:left w:val="nil"/>
              <w:bottom w:val="single" w:sz="4" w:space="0" w:color="auto"/>
              <w:right w:val="single" w:sz="4" w:space="0" w:color="auto"/>
            </w:tcBorders>
            <w:shd w:val="clear" w:color="auto" w:fill="auto"/>
            <w:noWrap/>
            <w:vAlign w:val="bottom"/>
            <w:hideMark/>
          </w:tcPr>
          <w:p w14:paraId="104D01B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76" w:type="dxa"/>
            <w:tcBorders>
              <w:top w:val="nil"/>
              <w:left w:val="nil"/>
              <w:bottom w:val="single" w:sz="4" w:space="0" w:color="auto"/>
              <w:right w:val="single" w:sz="4" w:space="0" w:color="auto"/>
            </w:tcBorders>
            <w:shd w:val="clear" w:color="auto" w:fill="auto"/>
            <w:noWrap/>
            <w:vAlign w:val="bottom"/>
            <w:hideMark/>
          </w:tcPr>
          <w:p w14:paraId="7548C30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501" w:type="dxa"/>
            <w:tcBorders>
              <w:top w:val="nil"/>
              <w:left w:val="nil"/>
              <w:bottom w:val="single" w:sz="4" w:space="0" w:color="auto"/>
              <w:right w:val="single" w:sz="4" w:space="0" w:color="auto"/>
            </w:tcBorders>
            <w:shd w:val="clear" w:color="auto" w:fill="auto"/>
            <w:noWrap/>
            <w:vAlign w:val="bottom"/>
            <w:hideMark/>
          </w:tcPr>
          <w:p w14:paraId="036F61D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36323F23" w14:textId="77777777">
        <w:trPr>
          <w:trHeight w:val="300"/>
        </w:trPr>
        <w:tc>
          <w:tcPr>
            <w:tcW w:w="1299" w:type="dxa"/>
            <w:tcBorders>
              <w:top w:val="nil"/>
              <w:left w:val="single" w:sz="4" w:space="0" w:color="auto"/>
              <w:bottom w:val="single" w:sz="4" w:space="0" w:color="auto"/>
              <w:right w:val="single" w:sz="4" w:space="0" w:color="auto"/>
            </w:tcBorders>
            <w:shd w:val="clear" w:color="auto" w:fill="auto"/>
            <w:noWrap/>
            <w:vAlign w:val="bottom"/>
            <w:hideMark/>
          </w:tcPr>
          <w:p w14:paraId="057A469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AAR</w:t>
            </w:r>
          </w:p>
        </w:tc>
        <w:tc>
          <w:tcPr>
            <w:tcW w:w="1581" w:type="dxa"/>
            <w:tcBorders>
              <w:top w:val="nil"/>
              <w:left w:val="nil"/>
              <w:bottom w:val="single" w:sz="4" w:space="0" w:color="auto"/>
              <w:right w:val="single" w:sz="4" w:space="0" w:color="auto"/>
            </w:tcBorders>
            <w:shd w:val="clear" w:color="auto" w:fill="auto"/>
            <w:noWrap/>
            <w:vAlign w:val="bottom"/>
            <w:hideMark/>
          </w:tcPr>
          <w:p w14:paraId="3EF1FF5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-36.76%</w:t>
            </w:r>
          </w:p>
        </w:tc>
        <w:tc>
          <w:tcPr>
            <w:tcW w:w="2987" w:type="dxa"/>
            <w:tcBorders>
              <w:top w:val="nil"/>
              <w:left w:val="nil"/>
              <w:bottom w:val="single" w:sz="4" w:space="0" w:color="auto"/>
              <w:right w:val="single" w:sz="4" w:space="0" w:color="auto"/>
            </w:tcBorders>
            <w:shd w:val="clear" w:color="auto" w:fill="auto"/>
            <w:noWrap/>
            <w:vAlign w:val="bottom"/>
            <w:hideMark/>
          </w:tcPr>
          <w:p w14:paraId="64DE990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76" w:type="dxa"/>
            <w:tcBorders>
              <w:top w:val="nil"/>
              <w:left w:val="nil"/>
              <w:bottom w:val="single" w:sz="4" w:space="0" w:color="auto"/>
              <w:right w:val="single" w:sz="4" w:space="0" w:color="auto"/>
            </w:tcBorders>
            <w:shd w:val="clear" w:color="auto" w:fill="auto"/>
            <w:noWrap/>
            <w:vAlign w:val="bottom"/>
            <w:hideMark/>
          </w:tcPr>
          <w:p w14:paraId="4AA29B1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176" w:type="dxa"/>
            <w:tcBorders>
              <w:top w:val="nil"/>
              <w:left w:val="nil"/>
              <w:bottom w:val="single" w:sz="4" w:space="0" w:color="auto"/>
              <w:right w:val="single" w:sz="4" w:space="0" w:color="auto"/>
            </w:tcBorders>
            <w:shd w:val="clear" w:color="auto" w:fill="auto"/>
            <w:noWrap/>
            <w:vAlign w:val="bottom"/>
            <w:hideMark/>
          </w:tcPr>
          <w:p w14:paraId="5B253FA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501" w:type="dxa"/>
            <w:tcBorders>
              <w:top w:val="nil"/>
              <w:left w:val="nil"/>
              <w:bottom w:val="single" w:sz="4" w:space="0" w:color="auto"/>
              <w:right w:val="single" w:sz="4" w:space="0" w:color="auto"/>
            </w:tcBorders>
            <w:shd w:val="clear" w:color="auto" w:fill="auto"/>
            <w:noWrap/>
            <w:vAlign w:val="bottom"/>
            <w:hideMark/>
          </w:tcPr>
          <w:p w14:paraId="3F0822F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bl>
    <w:p w14:paraId="40AD00A6" w14:textId="77777777" w:rsidR="003229A0" w:rsidRDefault="003229A0">
      <w:pPr>
        <w:rPr>
          <w:rFonts w:ascii="Times New Roman" w:hAnsi="Times New Roman" w:cs="Times New Roman"/>
          <w:sz w:val="24"/>
          <w:szCs w:val="24"/>
        </w:rPr>
      </w:pPr>
    </w:p>
    <w:tbl>
      <w:tblPr>
        <w:tblW w:w="9810" w:type="dxa"/>
        <w:tblInd w:w="-5" w:type="dxa"/>
        <w:tblLook w:val="04A0" w:firstRow="1" w:lastRow="0" w:firstColumn="1" w:lastColumn="0" w:noHBand="0" w:noVBand="1"/>
      </w:tblPr>
      <w:tblGrid>
        <w:gridCol w:w="1315"/>
        <w:gridCol w:w="1475"/>
        <w:gridCol w:w="3060"/>
        <w:gridCol w:w="1350"/>
        <w:gridCol w:w="1080"/>
        <w:gridCol w:w="1530"/>
      </w:tblGrid>
      <w:tr w:rsidR="003229A0" w14:paraId="09EAE51B" w14:textId="77777777">
        <w:trPr>
          <w:trHeight w:val="300"/>
        </w:trPr>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FEBF77"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475" w:type="dxa"/>
            <w:tcBorders>
              <w:top w:val="single" w:sz="4" w:space="0" w:color="auto"/>
              <w:left w:val="nil"/>
              <w:bottom w:val="single" w:sz="4" w:space="0" w:color="auto"/>
              <w:right w:val="single" w:sz="4" w:space="0" w:color="auto"/>
            </w:tcBorders>
            <w:shd w:val="clear" w:color="auto" w:fill="auto"/>
            <w:noWrap/>
            <w:vAlign w:val="bottom"/>
            <w:hideMark/>
          </w:tcPr>
          <w:p w14:paraId="130405EF"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5490" w:type="dxa"/>
            <w:gridSpan w:val="3"/>
            <w:tcBorders>
              <w:top w:val="single" w:sz="4" w:space="0" w:color="auto"/>
              <w:left w:val="nil"/>
              <w:bottom w:val="single" w:sz="4" w:space="0" w:color="auto"/>
              <w:right w:val="single" w:sz="4" w:space="0" w:color="auto"/>
            </w:tcBorders>
            <w:shd w:val="clear" w:color="auto" w:fill="auto"/>
            <w:noWrap/>
            <w:vAlign w:val="bottom"/>
            <w:hideMark/>
          </w:tcPr>
          <w:p w14:paraId="1C64632A" w14:textId="77777777" w:rsidR="003229A0" w:rsidRDefault="00AB0A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project B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14:paraId="523D04B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53F3C76D" w14:textId="77777777">
        <w:trPr>
          <w:trHeight w:val="300"/>
        </w:trPr>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1364039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year </w:t>
            </w:r>
          </w:p>
        </w:tc>
        <w:tc>
          <w:tcPr>
            <w:tcW w:w="1475" w:type="dxa"/>
            <w:tcBorders>
              <w:top w:val="nil"/>
              <w:left w:val="nil"/>
              <w:bottom w:val="single" w:sz="4" w:space="0" w:color="auto"/>
              <w:right w:val="single" w:sz="4" w:space="0" w:color="auto"/>
            </w:tcBorders>
            <w:shd w:val="clear" w:color="auto" w:fill="auto"/>
            <w:noWrap/>
            <w:vAlign w:val="bottom"/>
            <w:hideMark/>
          </w:tcPr>
          <w:p w14:paraId="7EEB90D2"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3060" w:type="dxa"/>
            <w:tcBorders>
              <w:top w:val="nil"/>
              <w:left w:val="nil"/>
              <w:bottom w:val="single" w:sz="4" w:space="0" w:color="auto"/>
              <w:right w:val="single" w:sz="4" w:space="0" w:color="auto"/>
            </w:tcBorders>
            <w:shd w:val="clear" w:color="auto" w:fill="auto"/>
            <w:noWrap/>
            <w:vAlign w:val="bottom"/>
            <w:hideMark/>
          </w:tcPr>
          <w:p w14:paraId="2E1FD2FC"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350" w:type="dxa"/>
            <w:tcBorders>
              <w:top w:val="nil"/>
              <w:left w:val="nil"/>
              <w:bottom w:val="single" w:sz="4" w:space="0" w:color="auto"/>
              <w:right w:val="single" w:sz="4" w:space="0" w:color="auto"/>
            </w:tcBorders>
            <w:shd w:val="clear" w:color="auto" w:fill="auto"/>
            <w:noWrap/>
            <w:vAlign w:val="bottom"/>
            <w:hideMark/>
          </w:tcPr>
          <w:p w14:paraId="15EDC96B"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080" w:type="dxa"/>
            <w:tcBorders>
              <w:top w:val="nil"/>
              <w:left w:val="nil"/>
              <w:bottom w:val="single" w:sz="4" w:space="0" w:color="auto"/>
              <w:right w:val="single" w:sz="4" w:space="0" w:color="auto"/>
            </w:tcBorders>
            <w:shd w:val="clear" w:color="auto" w:fill="auto"/>
            <w:noWrap/>
            <w:vAlign w:val="bottom"/>
            <w:hideMark/>
          </w:tcPr>
          <w:p w14:paraId="5E54C65E"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530" w:type="dxa"/>
            <w:tcBorders>
              <w:top w:val="nil"/>
              <w:left w:val="nil"/>
              <w:bottom w:val="single" w:sz="4" w:space="0" w:color="auto"/>
              <w:right w:val="single" w:sz="4" w:space="0" w:color="auto"/>
            </w:tcBorders>
            <w:shd w:val="clear" w:color="auto" w:fill="auto"/>
            <w:noWrap/>
            <w:vAlign w:val="bottom"/>
            <w:hideMark/>
          </w:tcPr>
          <w:p w14:paraId="754ADC56"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r>
      <w:tr w:rsidR="003229A0" w14:paraId="156718FD" w14:textId="77777777">
        <w:trPr>
          <w:trHeight w:val="300"/>
        </w:trPr>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4A3687E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net cash flows  </w:t>
            </w:r>
          </w:p>
        </w:tc>
        <w:tc>
          <w:tcPr>
            <w:tcW w:w="1475" w:type="dxa"/>
            <w:tcBorders>
              <w:top w:val="nil"/>
              <w:left w:val="nil"/>
              <w:bottom w:val="single" w:sz="4" w:space="0" w:color="auto"/>
              <w:right w:val="single" w:sz="4" w:space="0" w:color="auto"/>
            </w:tcBorders>
            <w:shd w:val="clear" w:color="auto" w:fill="auto"/>
            <w:noWrap/>
            <w:vAlign w:val="bottom"/>
            <w:hideMark/>
          </w:tcPr>
          <w:p w14:paraId="2909551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3060" w:type="dxa"/>
            <w:tcBorders>
              <w:top w:val="nil"/>
              <w:left w:val="nil"/>
              <w:bottom w:val="single" w:sz="4" w:space="0" w:color="auto"/>
              <w:right w:val="single" w:sz="4" w:space="0" w:color="auto"/>
            </w:tcBorders>
            <w:shd w:val="clear" w:color="auto" w:fill="auto"/>
            <w:noWrap/>
            <w:vAlign w:val="bottom"/>
            <w:hideMark/>
          </w:tcPr>
          <w:p w14:paraId="6611D32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25,000.00 </w:t>
            </w:r>
          </w:p>
        </w:tc>
        <w:tc>
          <w:tcPr>
            <w:tcW w:w="1350" w:type="dxa"/>
            <w:tcBorders>
              <w:top w:val="nil"/>
              <w:left w:val="nil"/>
              <w:bottom w:val="single" w:sz="4" w:space="0" w:color="auto"/>
              <w:right w:val="single" w:sz="4" w:space="0" w:color="auto"/>
            </w:tcBorders>
            <w:shd w:val="clear" w:color="auto" w:fill="auto"/>
            <w:noWrap/>
            <w:vAlign w:val="bottom"/>
            <w:hideMark/>
          </w:tcPr>
          <w:p w14:paraId="54DD8449"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30,000 </w:t>
            </w:r>
          </w:p>
        </w:tc>
        <w:tc>
          <w:tcPr>
            <w:tcW w:w="1080" w:type="dxa"/>
            <w:tcBorders>
              <w:top w:val="nil"/>
              <w:left w:val="nil"/>
              <w:bottom w:val="single" w:sz="4" w:space="0" w:color="auto"/>
              <w:right w:val="single" w:sz="4" w:space="0" w:color="auto"/>
            </w:tcBorders>
            <w:shd w:val="clear" w:color="auto" w:fill="auto"/>
            <w:noWrap/>
            <w:vAlign w:val="bottom"/>
            <w:hideMark/>
          </w:tcPr>
          <w:p w14:paraId="5128C28E"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35,000 </w:t>
            </w:r>
          </w:p>
        </w:tc>
        <w:tc>
          <w:tcPr>
            <w:tcW w:w="1530" w:type="dxa"/>
            <w:tcBorders>
              <w:top w:val="nil"/>
              <w:left w:val="nil"/>
              <w:bottom w:val="single" w:sz="4" w:space="0" w:color="auto"/>
              <w:right w:val="single" w:sz="4" w:space="0" w:color="auto"/>
            </w:tcBorders>
            <w:shd w:val="clear" w:color="auto" w:fill="auto"/>
            <w:noWrap/>
            <w:vAlign w:val="bottom"/>
            <w:hideMark/>
          </w:tcPr>
          <w:p w14:paraId="23BC99DB"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40,000.00 </w:t>
            </w:r>
          </w:p>
        </w:tc>
      </w:tr>
      <w:tr w:rsidR="003229A0" w14:paraId="48CA6E6F" w14:textId="77777777">
        <w:trPr>
          <w:trHeight w:val="600"/>
        </w:trPr>
        <w:tc>
          <w:tcPr>
            <w:tcW w:w="1315" w:type="dxa"/>
            <w:tcBorders>
              <w:top w:val="nil"/>
              <w:left w:val="single" w:sz="4" w:space="0" w:color="auto"/>
              <w:bottom w:val="single" w:sz="4" w:space="0" w:color="auto"/>
              <w:right w:val="single" w:sz="4" w:space="0" w:color="auto"/>
            </w:tcBorders>
            <w:shd w:val="clear" w:color="auto" w:fill="auto"/>
            <w:vAlign w:val="bottom"/>
            <w:hideMark/>
          </w:tcPr>
          <w:p w14:paraId="2F365EC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initial investment </w:t>
            </w:r>
          </w:p>
        </w:tc>
        <w:tc>
          <w:tcPr>
            <w:tcW w:w="1475" w:type="dxa"/>
            <w:tcBorders>
              <w:top w:val="nil"/>
              <w:left w:val="nil"/>
              <w:bottom w:val="single" w:sz="4" w:space="0" w:color="auto"/>
              <w:right w:val="single" w:sz="4" w:space="0" w:color="auto"/>
            </w:tcBorders>
            <w:shd w:val="clear" w:color="auto" w:fill="auto"/>
            <w:noWrap/>
            <w:vAlign w:val="bottom"/>
            <w:hideMark/>
          </w:tcPr>
          <w:p w14:paraId="53DDD878"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-£ 90,000.00 </w:t>
            </w:r>
          </w:p>
        </w:tc>
        <w:tc>
          <w:tcPr>
            <w:tcW w:w="3060" w:type="dxa"/>
            <w:tcBorders>
              <w:top w:val="nil"/>
              <w:left w:val="nil"/>
              <w:bottom w:val="single" w:sz="4" w:space="0" w:color="auto"/>
              <w:right w:val="single" w:sz="4" w:space="0" w:color="auto"/>
            </w:tcBorders>
            <w:shd w:val="clear" w:color="auto" w:fill="auto"/>
            <w:noWrap/>
            <w:vAlign w:val="bottom"/>
            <w:hideMark/>
          </w:tcPr>
          <w:p w14:paraId="00C662F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55CE67E1"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80" w:type="dxa"/>
            <w:tcBorders>
              <w:top w:val="nil"/>
              <w:left w:val="nil"/>
              <w:bottom w:val="single" w:sz="4" w:space="0" w:color="auto"/>
              <w:right w:val="single" w:sz="4" w:space="0" w:color="auto"/>
            </w:tcBorders>
            <w:shd w:val="clear" w:color="auto" w:fill="auto"/>
            <w:noWrap/>
            <w:vAlign w:val="bottom"/>
            <w:hideMark/>
          </w:tcPr>
          <w:p w14:paraId="6A7402A5"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7F966C6C"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3229A0" w14:paraId="4672D0E3" w14:textId="77777777">
        <w:trPr>
          <w:trHeight w:val="300"/>
        </w:trPr>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18FB7444"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AAR</w:t>
            </w:r>
          </w:p>
        </w:tc>
        <w:tc>
          <w:tcPr>
            <w:tcW w:w="1475" w:type="dxa"/>
            <w:tcBorders>
              <w:top w:val="nil"/>
              <w:left w:val="nil"/>
              <w:bottom w:val="single" w:sz="4" w:space="0" w:color="auto"/>
              <w:right w:val="single" w:sz="4" w:space="0" w:color="auto"/>
            </w:tcBorders>
            <w:shd w:val="clear" w:color="auto" w:fill="auto"/>
            <w:noWrap/>
            <w:vAlign w:val="bottom"/>
            <w:hideMark/>
          </w:tcPr>
          <w:p w14:paraId="01A80350" w14:textId="77777777" w:rsidR="003229A0" w:rsidRDefault="00AB0A4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-36.11%</w:t>
            </w:r>
          </w:p>
        </w:tc>
        <w:tc>
          <w:tcPr>
            <w:tcW w:w="3060" w:type="dxa"/>
            <w:tcBorders>
              <w:top w:val="nil"/>
              <w:left w:val="nil"/>
              <w:bottom w:val="single" w:sz="4" w:space="0" w:color="auto"/>
              <w:right w:val="single" w:sz="4" w:space="0" w:color="auto"/>
            </w:tcBorders>
            <w:shd w:val="clear" w:color="auto" w:fill="auto"/>
            <w:noWrap/>
            <w:vAlign w:val="bottom"/>
            <w:hideMark/>
          </w:tcPr>
          <w:p w14:paraId="2593C6C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313E0C1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80" w:type="dxa"/>
            <w:tcBorders>
              <w:top w:val="nil"/>
              <w:left w:val="nil"/>
              <w:bottom w:val="single" w:sz="4" w:space="0" w:color="auto"/>
              <w:right w:val="single" w:sz="4" w:space="0" w:color="auto"/>
            </w:tcBorders>
            <w:shd w:val="clear" w:color="auto" w:fill="auto"/>
            <w:noWrap/>
            <w:vAlign w:val="bottom"/>
            <w:hideMark/>
          </w:tcPr>
          <w:p w14:paraId="346302D2"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530" w:type="dxa"/>
            <w:tcBorders>
              <w:top w:val="nil"/>
              <w:left w:val="nil"/>
              <w:bottom w:val="single" w:sz="4" w:space="0" w:color="auto"/>
              <w:right w:val="single" w:sz="4" w:space="0" w:color="auto"/>
            </w:tcBorders>
            <w:shd w:val="clear" w:color="auto" w:fill="auto"/>
            <w:noWrap/>
            <w:vAlign w:val="bottom"/>
            <w:hideMark/>
          </w:tcPr>
          <w:p w14:paraId="55700B6A" w14:textId="77777777" w:rsidR="003229A0" w:rsidRDefault="00AB0A4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bl>
    <w:p w14:paraId="3DC481DC" w14:textId="77777777" w:rsidR="003229A0" w:rsidRDefault="003229A0">
      <w:pPr>
        <w:spacing w:line="480" w:lineRule="auto"/>
        <w:jc w:val="both"/>
        <w:rPr>
          <w:rFonts w:ascii="Times New Roman" w:hAnsi="Times New Roman" w:cs="Times New Roman"/>
          <w:sz w:val="24"/>
          <w:szCs w:val="24"/>
        </w:rPr>
      </w:pPr>
    </w:p>
    <w:p w14:paraId="36B6B641"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Unlike the other two methods, the ARR approach determines the rate of return of a given project.  Occasionally, investors are more interested in allocating their funds in projects that have a positive ARR, and the higher the ARR rate, the more attractive an investment. Concerning the two projects A and B, both projects have a negative outcome, which implies that none of the two is a good investment. However, since project B has a better payback period and a higher NPV, and yet its ARR is slightly better than that of Project A, it is recommendable to choose project B instead of A.</w:t>
      </w:r>
    </w:p>
    <w:p w14:paraId="1A7AB395"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Advantages and disadvantages of the methods</w:t>
      </w:r>
    </w:p>
    <w:p w14:paraId="7048180B"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PBP advantages and disadvantages </w:t>
      </w:r>
    </w:p>
    <w:p w14:paraId="18CF51B0"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advantages of the payback period is that it is easy to use, interpret, and calculate. Secondly, the method is a good way of raking different projects in terms of payback periods. Most investors are interested in building investment portfolios that can generate quick returns within the </w:t>
      </w:r>
      <w:r>
        <w:rPr>
          <w:rFonts w:ascii="Times New Roman" w:hAnsi="Times New Roman" w:cs="Times New Roman"/>
          <w:sz w:val="24"/>
          <w:szCs w:val="24"/>
        </w:rPr>
        <w:lastRenderedPageBreak/>
        <w:t xml:space="preserve">shortest period.  Therefore, through using the payback period system of project evaluation, an investor can easily tell and choose the most effective investment given any available options. </w:t>
      </w:r>
    </w:p>
    <w:p w14:paraId="647D91CB"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disadvantage of using PBP is that it neglects the time value of money, and it is also limited by coverage as it focuses on only the selected period of interest. In some instances, the performance of a project is not only determined by the time it takes to pay back its initial investment. Factors such as inflation and changes in interest change significantly affect the project's performance, which requires the analyst or investor to factor in macro-economic factors of inflation and market return.  Secondly, some investments are developed with a primary objective of delivering qualitative outcomes such as healthcare provision, and hence their performance cannot be assessed over monetary returns and cost recovery.  </w:t>
      </w:r>
    </w:p>
    <w:p w14:paraId="404F162D"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NPV advantages and disadvantages </w:t>
      </w:r>
    </w:p>
    <w:p w14:paraId="351298BC"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NPV system is a suitable method of evaluating an investment because it considers the time value of money, and it also recognizes the cost of capital of investment. Unlike the payback period approach, net present value evaluates a broad range of factors that have a significant impact on a project's performance. By analyzing and discounting down the future project cash inflows, the method provides a more reliable way of project evaluation than the payback period system.  The NPV system incorporates the relationship between the future and current financial periods, which ultimately provides an informed procedure for selecting an investment option.    </w:t>
      </w:r>
    </w:p>
    <w:p w14:paraId="257A3CB7"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disadvantage of using NPV is that the system operates on assumptions and guesswork in some instances. Secondly, NPV is not an effective way of creating comparisons between multiple projects of varying sizes. In the financial market, strategic investment decisions are not entirely based on assumptions.  Unfortunately, the NPV system of evaluating investments places </w:t>
      </w:r>
      <w:r>
        <w:rPr>
          <w:rFonts w:ascii="Times New Roman" w:hAnsi="Times New Roman" w:cs="Times New Roman"/>
          <w:sz w:val="24"/>
          <w:szCs w:val="24"/>
        </w:rPr>
        <w:lastRenderedPageBreak/>
        <w:t xml:space="preserve">a significant percentage of its assertions, procedures, and conclusions on assumptions. Such assumptions are always misleading, which results in poor decisions that consequently affect the investors and analysts, especially when they are not cautiously applied.  The NPV's inability to create a comparison between various projects also makes it unreliable, especially for investors who deal in mutually existing projects. In some scenarios, the performance of a given project significantly depends on another.  Therefore, both investments in such scenarios need to be evaluated concurrently. However, for such projects, NPV is deemed inefficient and limited in its application for various types of projects.  </w:t>
      </w:r>
    </w:p>
    <w:p w14:paraId="5D77F8D8" w14:textId="77777777" w:rsidR="003229A0" w:rsidRDefault="00AB0A4C">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ARR advantages and disadvantages</w:t>
      </w:r>
    </w:p>
    <w:p w14:paraId="5E92516E" w14:textId="77777777" w:rsidR="003229A0" w:rsidRDefault="00AB0A4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ARR approach is easily calculated since it is concise and brief. Secondly, ARR also pays attention to the net earnings of a project, its depreciation, and many other factors that can significantly impact the performance of a project.  On the other hand, ARR is limited by differing results, mostly when people use ROI and ARR on the same project.  Additionally, ARR makes it hard to determine a fair project value hence misleading outcomes and guidelines. It also does not pay attention to the time value of an investment. </w:t>
      </w:r>
    </w:p>
    <w:p w14:paraId="2E4AD66F" w14:textId="77777777" w:rsidR="003229A0" w:rsidRDefault="003229A0">
      <w:pPr>
        <w:ind w:firstLine="720"/>
        <w:rPr>
          <w:rFonts w:ascii="Times New Roman" w:hAnsi="Times New Roman" w:cs="Times New Roman"/>
          <w:sz w:val="24"/>
          <w:szCs w:val="24"/>
        </w:rPr>
      </w:pPr>
    </w:p>
    <w:p w14:paraId="08112244" w14:textId="77777777" w:rsidR="003229A0" w:rsidRDefault="00AB0A4C">
      <w:pPr>
        <w:rPr>
          <w:rFonts w:ascii="Times New Roman" w:hAnsi="Times New Roman" w:cs="Times New Roman"/>
          <w:sz w:val="24"/>
          <w:szCs w:val="24"/>
        </w:rPr>
      </w:pPr>
      <w:r>
        <w:rPr>
          <w:rFonts w:ascii="Times New Roman" w:hAnsi="Times New Roman" w:cs="Times New Roman"/>
          <w:sz w:val="24"/>
          <w:szCs w:val="24"/>
        </w:rPr>
        <w:br w:type="page"/>
      </w:r>
    </w:p>
    <w:p w14:paraId="145C3830" w14:textId="77777777" w:rsidR="003229A0" w:rsidRDefault="00AB0A4C">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 and Bibliography</w:t>
      </w:r>
    </w:p>
    <w:p w14:paraId="30E446BB" w14:textId="77777777" w:rsidR="003229A0" w:rsidRDefault="00AB0A4C">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Al Tunaji, N. (2019). </w:t>
      </w:r>
      <w:r>
        <w:rPr>
          <w:rFonts w:ascii="Times New Roman" w:hAnsi="Times New Roman" w:cs="Times New Roman"/>
          <w:i/>
          <w:sz w:val="24"/>
          <w:szCs w:val="24"/>
        </w:rPr>
        <w:t>Coca Cola Strategy Project: Thesis for Master of Business Administration Project: Coca-Cola Company Strategy Project</w:t>
      </w:r>
      <w:r>
        <w:rPr>
          <w:rFonts w:ascii="Times New Roman" w:hAnsi="Times New Roman" w:cs="Times New Roman"/>
          <w:sz w:val="24"/>
          <w:szCs w:val="24"/>
        </w:rPr>
        <w:t xml:space="preserve">. Retrieved from </w:t>
      </w:r>
      <w:hyperlink r:id="rId8" w:history="1">
        <w:r>
          <w:rPr>
            <w:rStyle w:val="Hyperlink"/>
            <w:rFonts w:ascii="Times New Roman" w:hAnsi="Times New Roman" w:cs="Times New Roman"/>
            <w:sz w:val="24"/>
            <w:szCs w:val="24"/>
          </w:rPr>
          <w:t>https://www.researchgate.net/deref/http%3A%2F%2Fdx.doi.org%2F10.13140%2FRG.2.2.14307.50727</w:t>
        </w:r>
      </w:hyperlink>
    </w:p>
    <w:p w14:paraId="407A3DBD" w14:textId="77777777" w:rsidR="003229A0" w:rsidRDefault="00AB0A4C">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Anders, J. (2011). </w:t>
      </w:r>
      <w:r>
        <w:rPr>
          <w:rFonts w:ascii="Times New Roman" w:hAnsi="Times New Roman" w:cs="Times New Roman"/>
          <w:i/>
          <w:sz w:val="24"/>
          <w:szCs w:val="24"/>
        </w:rPr>
        <w:t>Coca-Cola's Marketing Strategy: An Analysis of Price, Product, and Communication</w:t>
      </w:r>
      <w:r>
        <w:rPr>
          <w:rFonts w:ascii="Times New Roman" w:hAnsi="Times New Roman" w:cs="Times New Roman"/>
          <w:sz w:val="24"/>
          <w:szCs w:val="24"/>
        </w:rPr>
        <w:t xml:space="preserve">. Retrieved from </w:t>
      </w:r>
      <w:hyperlink r:id="rId9" w:history="1">
        <w:r>
          <w:rPr>
            <w:rStyle w:val="Hyperlink"/>
            <w:rFonts w:ascii="Times New Roman" w:hAnsi="Times New Roman" w:cs="Times New Roman"/>
            <w:sz w:val="24"/>
            <w:szCs w:val="24"/>
          </w:rPr>
          <w:t>https://www.grin.com/document/232661</w:t>
        </w:r>
      </w:hyperlink>
    </w:p>
    <w:p w14:paraId="2C9F5247" w14:textId="77777777" w:rsidR="003229A0" w:rsidRDefault="00AB0A4C">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Coca Cola (2019).  </w:t>
      </w:r>
      <w:r>
        <w:rPr>
          <w:rFonts w:ascii="Times New Roman" w:hAnsi="Times New Roman" w:cs="Times New Roman"/>
          <w:i/>
          <w:sz w:val="24"/>
          <w:szCs w:val="24"/>
        </w:rPr>
        <w:t>Coca-Cola Consolidated Reports First Quarter 201 Results.</w:t>
      </w:r>
      <w:r>
        <w:rPr>
          <w:rFonts w:ascii="Times New Roman" w:hAnsi="Times New Roman" w:cs="Times New Roman"/>
          <w:sz w:val="24"/>
          <w:szCs w:val="24"/>
        </w:rPr>
        <w:t xml:space="preserve">  Retrieved from </w:t>
      </w:r>
      <w:hyperlink r:id="rId10" w:history="1">
        <w:r>
          <w:rPr>
            <w:rStyle w:val="Hyperlink"/>
            <w:rFonts w:ascii="Times New Roman" w:hAnsi="Times New Roman" w:cs="Times New Roman"/>
            <w:sz w:val="24"/>
            <w:szCs w:val="24"/>
          </w:rPr>
          <w:t>https://ml.globenewswire.com/Resource/Download/f53ba814-f0af-49d6-b6ed-9cbae6de0c19</w:t>
        </w:r>
      </w:hyperlink>
    </w:p>
    <w:p w14:paraId="772446BB" w14:textId="77777777" w:rsidR="003229A0" w:rsidRDefault="00AB0A4C">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Drake, P., P. (n.d). </w:t>
      </w:r>
      <w:r>
        <w:rPr>
          <w:rFonts w:ascii="Times New Roman" w:hAnsi="Times New Roman" w:cs="Times New Roman"/>
          <w:i/>
          <w:sz w:val="24"/>
          <w:szCs w:val="24"/>
        </w:rPr>
        <w:t>Financial Ratio Analysis</w:t>
      </w:r>
      <w:r>
        <w:rPr>
          <w:rFonts w:ascii="Times New Roman" w:hAnsi="Times New Roman" w:cs="Times New Roman"/>
          <w:sz w:val="24"/>
          <w:szCs w:val="24"/>
        </w:rPr>
        <w:t xml:space="preserve">. Retrieved from </w:t>
      </w:r>
      <w:hyperlink r:id="rId11" w:history="1">
        <w:r>
          <w:rPr>
            <w:rStyle w:val="Hyperlink"/>
            <w:rFonts w:ascii="Times New Roman" w:hAnsi="Times New Roman" w:cs="Times New Roman"/>
            <w:sz w:val="24"/>
            <w:szCs w:val="24"/>
          </w:rPr>
          <w:t>http://educ.jmu.edu/~drakepp/principles/module2/fin_rat.pdf</w:t>
        </w:r>
      </w:hyperlink>
    </w:p>
    <w:p w14:paraId="45BA6513" w14:textId="77777777" w:rsidR="003229A0" w:rsidRDefault="00AB0A4C">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Hartogh. M. (2007). </w:t>
      </w:r>
      <w:r>
        <w:rPr>
          <w:rFonts w:ascii="Times New Roman" w:hAnsi="Times New Roman" w:cs="Times New Roman"/>
          <w:i/>
          <w:sz w:val="24"/>
          <w:szCs w:val="24"/>
        </w:rPr>
        <w:t>The real thing: a profile of the coca-cola company.</w:t>
      </w:r>
      <w:r>
        <w:rPr>
          <w:rFonts w:ascii="Times New Roman" w:hAnsi="Times New Roman" w:cs="Times New Roman"/>
          <w:sz w:val="24"/>
          <w:szCs w:val="24"/>
        </w:rPr>
        <w:t xml:space="preserve"> Retrieved from </w:t>
      </w:r>
      <w:hyperlink r:id="rId12" w:history="1">
        <w:r>
          <w:rPr>
            <w:rStyle w:val="Hyperlink"/>
            <w:rFonts w:ascii="Times New Roman" w:hAnsi="Times New Roman" w:cs="Times New Roman"/>
            <w:sz w:val="24"/>
            <w:szCs w:val="24"/>
          </w:rPr>
          <w:t>https://core.ac.uk/download/pdf/213893226.pdf</w:t>
        </w:r>
      </w:hyperlink>
    </w:p>
    <w:p w14:paraId="1AC46E89" w14:textId="77777777" w:rsidR="003229A0" w:rsidRDefault="00AB0A4C">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Mashkour, S., C. (2019). </w:t>
      </w:r>
      <w:r>
        <w:rPr>
          <w:rFonts w:ascii="Times New Roman" w:hAnsi="Times New Roman" w:cs="Times New Roman"/>
          <w:i/>
          <w:sz w:val="24"/>
          <w:szCs w:val="24"/>
        </w:rPr>
        <w:t>Chapter (8): Financial Ratios Analysis.</w:t>
      </w:r>
      <w:r>
        <w:rPr>
          <w:rFonts w:ascii="Times New Roman" w:hAnsi="Times New Roman" w:cs="Times New Roman"/>
          <w:sz w:val="24"/>
          <w:szCs w:val="24"/>
        </w:rPr>
        <w:t xml:space="preserve"> Retrieved from https://www.researchgate.net/publication/330872853_Chapter8_Financial_Ratios_Analysis</w:t>
      </w:r>
    </w:p>
    <w:p w14:paraId="7CD12F12" w14:textId="77777777" w:rsidR="003229A0" w:rsidRDefault="00AB0A4C">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Pratap, A. (2017). </w:t>
      </w:r>
      <w:r>
        <w:rPr>
          <w:rFonts w:ascii="Times New Roman" w:hAnsi="Times New Roman" w:cs="Times New Roman"/>
          <w:i/>
          <w:sz w:val="24"/>
          <w:szCs w:val="24"/>
        </w:rPr>
        <w:t>Coca Cola Marketing Mix.</w:t>
      </w:r>
      <w:r>
        <w:rPr>
          <w:rFonts w:ascii="Times New Roman" w:hAnsi="Times New Roman" w:cs="Times New Roman"/>
          <w:sz w:val="24"/>
          <w:szCs w:val="24"/>
        </w:rPr>
        <w:t xml:space="preserve"> Retrieved from </w:t>
      </w:r>
      <w:hyperlink r:id="rId13" w:history="1">
        <w:r>
          <w:rPr>
            <w:rStyle w:val="Hyperlink"/>
            <w:rFonts w:ascii="Times New Roman" w:hAnsi="Times New Roman" w:cs="Times New Roman"/>
            <w:sz w:val="24"/>
            <w:szCs w:val="24"/>
          </w:rPr>
          <w:t>https://notesmatic.com/2017/03/coca-cola-marketing-mix/</w:t>
        </w:r>
      </w:hyperlink>
    </w:p>
    <w:p w14:paraId="0007B350" w14:textId="77777777" w:rsidR="003229A0" w:rsidRDefault="00AB0A4C">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The Coca-Cola Company (2015).  </w:t>
      </w:r>
      <w:r>
        <w:rPr>
          <w:rFonts w:ascii="Times New Roman" w:hAnsi="Times New Roman" w:cs="Times New Roman"/>
          <w:i/>
          <w:sz w:val="24"/>
          <w:szCs w:val="24"/>
        </w:rPr>
        <w:t>Annual Report Form 10-K.</w:t>
      </w:r>
      <w:r>
        <w:rPr>
          <w:rFonts w:ascii="Times New Roman" w:hAnsi="Times New Roman" w:cs="Times New Roman"/>
          <w:sz w:val="24"/>
          <w:szCs w:val="24"/>
        </w:rPr>
        <w:t xml:space="preserve"> retrieved from </w:t>
      </w:r>
      <w:hyperlink r:id="rId14" w:history="1">
        <w:r>
          <w:rPr>
            <w:rStyle w:val="Hyperlink"/>
            <w:rFonts w:ascii="Times New Roman" w:hAnsi="Times New Roman" w:cs="Times New Roman"/>
            <w:sz w:val="24"/>
            <w:szCs w:val="24"/>
          </w:rPr>
          <w:t>file:///C:/Users/eco/Desktop/edited%20work/Annual-Report.pdf</w:t>
        </w:r>
      </w:hyperlink>
    </w:p>
    <w:p w14:paraId="4276BB96" w14:textId="77777777" w:rsidR="003229A0" w:rsidRDefault="00AB0A4C">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 Coca-Cola Company (2017).  </w:t>
      </w:r>
      <w:r>
        <w:rPr>
          <w:rFonts w:ascii="Times New Roman" w:hAnsi="Times New Roman" w:cs="Times New Roman"/>
          <w:i/>
          <w:sz w:val="24"/>
          <w:szCs w:val="24"/>
        </w:rPr>
        <w:t>Annual Report 2017: Transition Report Pursuant To Section 13 or 15(D) Of the Securities Exchange Act of 1934.</w:t>
      </w:r>
      <w:r>
        <w:rPr>
          <w:rFonts w:ascii="Times New Roman" w:hAnsi="Times New Roman" w:cs="Times New Roman"/>
          <w:sz w:val="24"/>
          <w:szCs w:val="24"/>
        </w:rPr>
        <w:t xml:space="preserve">  Retrieved from </w:t>
      </w:r>
      <w:hyperlink r:id="rId15" w:history="1">
        <w:r>
          <w:rPr>
            <w:rStyle w:val="Hyperlink"/>
            <w:rFonts w:ascii="Times New Roman" w:hAnsi="Times New Roman" w:cs="Times New Roman"/>
            <w:sz w:val="24"/>
            <w:szCs w:val="24"/>
          </w:rPr>
          <w:t>https://www.annualreports.com/HostedData/AnnualReportArchive/c/NYSE_KO_2017.pdf</w:t>
        </w:r>
      </w:hyperlink>
    </w:p>
    <w:p w14:paraId="600733D2" w14:textId="77777777" w:rsidR="003229A0" w:rsidRDefault="00AB0A4C">
      <w:pPr>
        <w:spacing w:line="480" w:lineRule="auto"/>
        <w:ind w:left="720" w:hanging="720"/>
        <w:jc w:val="both"/>
        <w:rPr>
          <w:rStyle w:val="Hyperlink"/>
          <w:rFonts w:ascii="Times New Roman" w:hAnsi="Times New Roman" w:cs="Times New Roman"/>
          <w:sz w:val="24"/>
          <w:szCs w:val="24"/>
        </w:rPr>
      </w:pPr>
      <w:r>
        <w:rPr>
          <w:rFonts w:ascii="Times New Roman" w:hAnsi="Times New Roman" w:cs="Times New Roman"/>
          <w:sz w:val="24"/>
          <w:szCs w:val="24"/>
        </w:rPr>
        <w:t xml:space="preserve">The Coca-Cola Company (2018).  </w:t>
      </w:r>
      <w:r>
        <w:rPr>
          <w:rFonts w:ascii="Times New Roman" w:hAnsi="Times New Roman" w:cs="Times New Roman"/>
          <w:i/>
          <w:sz w:val="24"/>
          <w:szCs w:val="24"/>
        </w:rPr>
        <w:t>Annual Report 2018: Transition Report Pursuant To Section 13 or 15(D) Of the Securities Exchange Act of 1934.</w:t>
      </w:r>
      <w:r>
        <w:rPr>
          <w:rFonts w:ascii="Times New Roman" w:hAnsi="Times New Roman" w:cs="Times New Roman"/>
          <w:sz w:val="24"/>
          <w:szCs w:val="24"/>
        </w:rPr>
        <w:t xml:space="preserve"> Retrieved from </w:t>
      </w:r>
      <w:hyperlink r:id="rId16" w:history="1">
        <w:r>
          <w:rPr>
            <w:rStyle w:val="Hyperlink"/>
            <w:rFonts w:ascii="Times New Roman" w:hAnsi="Times New Roman" w:cs="Times New Roman"/>
            <w:sz w:val="24"/>
            <w:szCs w:val="24"/>
          </w:rPr>
          <w:t>https://www.annualreports.com/HostedData/AnnualReportArchive/c/NYSE_KO_2018.pdf</w:t>
        </w:r>
      </w:hyperlink>
    </w:p>
    <w:p w14:paraId="0F5BEDF6" w14:textId="77777777" w:rsidR="003229A0" w:rsidRDefault="003229A0">
      <w:pPr>
        <w:rPr>
          <w:rFonts w:ascii="Times New Roman" w:hAnsi="Times New Roman" w:cs="Times New Roman"/>
          <w:sz w:val="24"/>
          <w:szCs w:val="24"/>
        </w:rPr>
      </w:pPr>
    </w:p>
    <w:p w14:paraId="54C4B4B5" w14:textId="77777777" w:rsidR="003229A0" w:rsidRDefault="003229A0">
      <w:pPr>
        <w:rPr>
          <w:rFonts w:ascii="Times New Roman" w:hAnsi="Times New Roman" w:cs="Times New Roman"/>
          <w:sz w:val="24"/>
          <w:szCs w:val="24"/>
        </w:rPr>
      </w:pPr>
    </w:p>
    <w:p w14:paraId="19556264" w14:textId="77777777" w:rsidR="003229A0" w:rsidRDefault="00AB0A4C">
      <w:pPr>
        <w:rPr>
          <w:rFonts w:ascii="Times New Roman" w:hAnsi="Times New Roman" w:cs="Times New Roman"/>
          <w:sz w:val="24"/>
          <w:szCs w:val="24"/>
        </w:rPr>
      </w:pPr>
      <w:r>
        <w:rPr>
          <w:rFonts w:ascii="Times New Roman" w:hAnsi="Times New Roman" w:cs="Times New Roman"/>
          <w:sz w:val="24"/>
          <w:szCs w:val="24"/>
        </w:rPr>
        <w:t xml:space="preserve"> </w:t>
      </w:r>
    </w:p>
    <w:p w14:paraId="7BAC599C" w14:textId="77777777" w:rsidR="003229A0" w:rsidRDefault="00AB0A4C">
      <w:pPr>
        <w:rPr>
          <w:rFonts w:ascii="Times New Roman" w:hAnsi="Times New Roman" w:cs="Times New Roman"/>
          <w:sz w:val="24"/>
          <w:szCs w:val="24"/>
        </w:rPr>
      </w:pPr>
      <w:r>
        <w:rPr>
          <w:rFonts w:ascii="Times New Roman" w:hAnsi="Times New Roman" w:cs="Times New Roman"/>
          <w:sz w:val="24"/>
          <w:szCs w:val="24"/>
        </w:rPr>
        <w:t xml:space="preserve">  </w:t>
      </w:r>
    </w:p>
    <w:p w14:paraId="1DF6BA39" w14:textId="77777777" w:rsidR="003229A0" w:rsidRDefault="00AB0A4C">
      <w:pPr>
        <w:tabs>
          <w:tab w:val="left" w:pos="8370"/>
        </w:tabs>
        <w:rPr>
          <w:rFonts w:ascii="Times New Roman" w:hAnsi="Times New Roman" w:cs="Times New Roman"/>
          <w:sz w:val="24"/>
          <w:szCs w:val="24"/>
        </w:rPr>
      </w:pPr>
      <w:r>
        <w:rPr>
          <w:rFonts w:ascii="Times New Roman" w:hAnsi="Times New Roman" w:cs="Times New Roman"/>
          <w:sz w:val="24"/>
          <w:szCs w:val="24"/>
        </w:rPr>
        <w:tab/>
      </w:r>
    </w:p>
    <w:sectPr w:rsidR="003229A0">
      <w:headerReference w:type="default" r:id="rId17"/>
      <w:footerReference w:type="default" r:id="rId18"/>
      <w:head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D5C44" w14:textId="77777777" w:rsidR="004D46BB" w:rsidRDefault="004D46BB">
      <w:pPr>
        <w:spacing w:after="0" w:line="240" w:lineRule="auto"/>
      </w:pPr>
      <w:r>
        <w:separator/>
      </w:r>
    </w:p>
  </w:endnote>
  <w:endnote w:type="continuationSeparator" w:id="0">
    <w:p w14:paraId="25012AE9" w14:textId="77777777" w:rsidR="004D46BB" w:rsidRDefault="004D4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D490E" w14:textId="585AF7D0" w:rsidR="001B6A48" w:rsidRDefault="001B6A48">
    <w:pPr>
      <w:pStyle w:val="Footer"/>
    </w:pPr>
    <w:r>
      <w:t>Psalmist G. N. K. King (1606028)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22159" w14:textId="77777777" w:rsidR="004D46BB" w:rsidRDefault="004D46BB">
      <w:pPr>
        <w:spacing w:after="0" w:line="240" w:lineRule="auto"/>
      </w:pPr>
      <w:r>
        <w:separator/>
      </w:r>
    </w:p>
  </w:footnote>
  <w:footnote w:type="continuationSeparator" w:id="0">
    <w:p w14:paraId="1D819938" w14:textId="77777777" w:rsidR="004D46BB" w:rsidRDefault="004D4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B5C6D" w14:textId="372BEC6C" w:rsidR="001B6A48" w:rsidRPr="001515E6" w:rsidRDefault="001B6A48">
    <w:pPr>
      <w:pStyle w:val="Header"/>
      <w:jc w:val="right"/>
      <w:rPr>
        <w:rFonts w:ascii="Times New Roman" w:hAnsi="Times New Roman" w:cs="Times New Roman"/>
        <w:color w:val="000000" w:themeColor="text1"/>
        <w:sz w:val="24"/>
        <w14:textOutline w14:w="9525" w14:cap="flat" w14:cmpd="sng" w14:algn="ctr">
          <w14:solidFill>
            <w14:schemeClr w14:val="bg1">
              <w14:lumMod w14:val="75000"/>
            </w14:schemeClr>
          </w14:solidFill>
          <w14:prstDash w14:val="solid"/>
          <w14:round/>
        </w14:textOutline>
      </w:rPr>
    </w:pPr>
    <w:r>
      <w:rPr>
        <w:rFonts w:ascii="Times New Roman" w:hAnsi="Times New Roman" w:cs="Times New Roman"/>
        <w:color w:val="000000" w:themeColor="text1"/>
        <w:sz w:val="24"/>
        <w14:textOutline w14:w="9525" w14:cap="flat" w14:cmpd="sng" w14:algn="ctr">
          <w14:solidFill>
            <w14:schemeClr w14:val="bg1">
              <w14:lumMod w14:val="75000"/>
            </w14:schemeClr>
          </w14:solidFill>
          <w14:prstDash w14:val="solid"/>
          <w14:round/>
        </w14:textOutline>
      </w:rPr>
      <w:t xml:space="preserve">MBA </w:t>
    </w:r>
    <w:r w:rsidRPr="001515E6">
      <w:rPr>
        <w:rFonts w:ascii="Times New Roman" w:hAnsi="Times New Roman" w:cs="Times New Roman"/>
        <w:color w:val="000000" w:themeColor="text1"/>
        <w:sz w:val="24"/>
        <w14:textOutline w14:w="9525" w14:cap="flat" w14:cmpd="sng" w14:algn="ctr">
          <w14:solidFill>
            <w14:schemeClr w14:val="bg1">
              <w14:lumMod w14:val="75000"/>
            </w14:schemeClr>
          </w14:solidFill>
          <w14:prstDash w14:val="solid"/>
          <w14:round/>
        </w14:textOutline>
      </w:rPr>
      <w:t>Financial Management</w:t>
    </w:r>
  </w:p>
  <w:p w14:paraId="77F57A8A" w14:textId="77777777" w:rsidR="001B6A48" w:rsidRDefault="001B6A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DB1E2" w14:textId="77777777" w:rsidR="001B6A48" w:rsidRDefault="001B6A48">
    <w:pPr>
      <w:pStyle w:val="Header"/>
      <w:jc w:val="right"/>
      <w:rPr>
        <w:rFonts w:ascii="Times New Roman" w:hAnsi="Times New Roman" w:cs="Times New Roman"/>
        <w:sz w:val="24"/>
      </w:rPr>
    </w:pPr>
    <w:r>
      <w:rPr>
        <w:rFonts w:ascii="Times New Roman" w:hAnsi="Times New Roman" w:cs="Times New Roman"/>
        <w:sz w:val="24"/>
      </w:rPr>
      <w:t>Financial Management</w:t>
    </w:r>
  </w:p>
  <w:p w14:paraId="44DE1BA5" w14:textId="77777777" w:rsidR="001B6A48" w:rsidRDefault="001B6A48">
    <w:pPr>
      <w:pStyle w:val="Header"/>
      <w:rPr>
        <w:rFonts w:ascii="Times New Roman" w:hAnsi="Times New Roman" w:cs="Times New Roman"/>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9A0"/>
    <w:rsid w:val="001515E6"/>
    <w:rsid w:val="001B6A48"/>
    <w:rsid w:val="003229A0"/>
    <w:rsid w:val="00435158"/>
    <w:rsid w:val="004D46BB"/>
    <w:rsid w:val="00825A60"/>
    <w:rsid w:val="008A54D0"/>
    <w:rsid w:val="00AB0A4C"/>
    <w:rsid w:val="00B565F8"/>
    <w:rsid w:val="00CF148A"/>
    <w:rsid w:val="00E35938"/>
    <w:rsid w:val="00F56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23742"/>
  <w15:docId w15:val="{D6455C35-65DB-46FD-B51D-B3ADC725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3834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deref/http%3A%2F%2Fdx.doi.org%2F10.13140%2FRG.2.2.14307.50727" TargetMode="External"/><Relationship Id="rId13" Type="http://schemas.openxmlformats.org/officeDocument/2006/relationships/hyperlink" Target="https://notesmatic.com/2017/03/coca-cola-marketing-mix/"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core.ac.uk/download/pdf/213893226.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annualreports.com/HostedData/AnnualReportArchive/c/NYSE_KO_20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duc.jmu.edu/~drakepp/principles/module2/fin_rat.pdf" TargetMode="External"/><Relationship Id="rId5" Type="http://schemas.openxmlformats.org/officeDocument/2006/relationships/footnotes" Target="footnotes.xml"/><Relationship Id="rId15" Type="http://schemas.openxmlformats.org/officeDocument/2006/relationships/hyperlink" Target="https://www.annualreports.com/HostedData/AnnualReportArchive/c/NYSE_KO_2017.pdf" TargetMode="External"/><Relationship Id="rId10" Type="http://schemas.openxmlformats.org/officeDocument/2006/relationships/hyperlink" Target="https://ml.globenewswire.com/Resource/Download/f53ba814-f0af-49d6-b6ed-9cbae6de0c19"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grin.com/document/232661" TargetMode="External"/><Relationship Id="rId14" Type="http://schemas.openxmlformats.org/officeDocument/2006/relationships/hyperlink" Target="file:/C:/Users/eco/Desktop/edited%20work/Annua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9F8C23-603B-4144-A89A-6810555EA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22</Pages>
  <Words>5194</Words>
  <Characters>29610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PSALMIST KING</cp:lastModifiedBy>
  <cp:revision>26</cp:revision>
  <dcterms:created xsi:type="dcterms:W3CDTF">2020-11-28T13:59:00Z</dcterms:created>
  <dcterms:modified xsi:type="dcterms:W3CDTF">2021-01-07T01:55:00Z</dcterms:modified>
</cp:coreProperties>
</file>