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>
          <w:rFonts w:ascii="Libre Baskerville" w:cs="Libre Baskerville" w:eastAsia="Libre Baskerville" w:hAnsi="Libre Baskerville"/>
        </w:rPr>
      </w:pPr>
      <w:r w:rsidDel="00000000" w:rsidR="00000000" w:rsidRPr="00000000">
        <w:rPr>
          <w:rFonts w:ascii="Libre Baskerville" w:cs="Libre Baskerville" w:eastAsia="Libre Baskerville" w:hAnsi="Libre Baskerville"/>
          <w:rtl w:val="0"/>
        </w:rPr>
        <w:t xml:space="preserve">Throughout the course of this module I have learnt a lot about the role of a stage manager, a position I hadn’t really thought about before the year started, and how important their role is. I have enjoyed learning about how to cast moulds, create prop drinks and fake blood within this module as I tend to enjoy anything with practical elements, with few exceptions. If and when I ever need to make consumables or other things like blood for the stage I now know to consider a variety of variables, such as allergies, washability and more. </w:t>
      </w:r>
    </w:p>
    <w:p w:rsidR="00000000" w:rsidDel="00000000" w:rsidP="00000000" w:rsidRDefault="00000000" w:rsidRPr="00000000" w14:paraId="00000002">
      <w:pPr>
        <w:rPr>
          <w:rFonts w:ascii="Libre Baskerville" w:cs="Libre Baskerville" w:eastAsia="Libre Baskerville" w:hAnsi="Libre Baskervil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>
          <w:rFonts w:ascii="Libre Baskerville" w:cs="Libre Baskerville" w:eastAsia="Libre Baskerville" w:hAnsi="Libre Baskerville"/>
        </w:rPr>
      </w:pPr>
      <w:r w:rsidDel="00000000" w:rsidR="00000000" w:rsidRPr="00000000">
        <w:rPr>
          <w:rFonts w:ascii="Libre Baskerville" w:cs="Libre Baskerville" w:eastAsia="Libre Baskerville" w:hAnsi="Libre Baskerville"/>
          <w:rtl w:val="0"/>
        </w:rPr>
        <w:t xml:space="preserve">However, I didn’t quite enjoy many aspects of this module, likely because a lot of it relies on organisation, memory and needing to communicate with all departments of a theatre or set. When I had the opportunity to act as a DSM to cue two pages of a script, I had initially struggled remembering the correct way to cue due to nervousness. In the future, if I had that opportunity again, I would choose not to act as a DSM as I believe I’m much too nervous and I found it to be quite </w:t>
      </w:r>
      <w:r w:rsidDel="00000000" w:rsidR="00000000" w:rsidRPr="00000000">
        <w:rPr>
          <w:rFonts w:ascii="Libre Baskerville" w:cs="Libre Baskerville" w:eastAsia="Libre Baskerville" w:hAnsi="Libre Baskerville"/>
          <w:rtl w:val="0"/>
        </w:rPr>
        <w:t xml:space="preserve">stressful</w:t>
      </w:r>
      <w:r w:rsidDel="00000000" w:rsidR="00000000" w:rsidRPr="00000000">
        <w:rPr>
          <w:rFonts w:ascii="Libre Baskerville" w:cs="Libre Baskerville" w:eastAsia="Libre Baskerville" w:hAnsi="Libre Baskerville"/>
          <w:rtl w:val="0"/>
        </w:rPr>
        <w:t xml:space="preserve">. </w:t>
      </w:r>
    </w:p>
    <w:p w:rsidR="00000000" w:rsidDel="00000000" w:rsidP="00000000" w:rsidRDefault="00000000" w:rsidRPr="00000000" w14:paraId="00000004">
      <w:pPr>
        <w:rPr>
          <w:rFonts w:ascii="Libre Baskerville" w:cs="Libre Baskerville" w:eastAsia="Libre Baskerville" w:hAnsi="Libre Baskerville"/>
        </w:rPr>
      </w:pP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  <w:font w:name="Libre Baskerville">
    <w:embedRegular w:fontKey="{00000000-0000-0000-0000-000000000000}" r:id="rId1" w:subsetted="0"/>
    <w:embedBold w:fontKey="{00000000-0000-0000-0000-000000000000}" r:id="rId2" w:subsetted="0"/>
    <w:embedItalic w:fontKey="{00000000-0000-0000-0000-000000000000}" r:id="rId3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LibreBaskerville-regular.ttf"/><Relationship Id="rId2" Type="http://schemas.openxmlformats.org/officeDocument/2006/relationships/font" Target="fonts/LibreBaskerville-bold.ttf"/><Relationship Id="rId3" Type="http://schemas.openxmlformats.org/officeDocument/2006/relationships/font" Target="fonts/LibreBaskerville-italic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