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8BB36" w14:textId="77777777" w:rsidR="0015431E" w:rsidRPr="00FA1AF6" w:rsidRDefault="0015431E" w:rsidP="0015431E">
      <w:pPr>
        <w:tabs>
          <w:tab w:val="left" w:pos="3168"/>
        </w:tabs>
        <w:jc w:val="center"/>
        <w:rPr>
          <w:rFonts w:cs="Arial"/>
          <w:szCs w:val="24"/>
        </w:rPr>
      </w:pPr>
      <w:bookmarkStart w:id="0" w:name="_Hlk204267940"/>
      <w:bookmarkEnd w:id="0"/>
      <w:r w:rsidRPr="00FA1AF6">
        <w:rPr>
          <w:rFonts w:cs="Arial"/>
          <w:noProof/>
          <w:szCs w:val="24"/>
        </w:rPr>
        <w:drawing>
          <wp:inline distT="0" distB="0" distL="0" distR="0" wp14:anchorId="39A7D5DE" wp14:editId="76C4834E">
            <wp:extent cx="4122420" cy="1367269"/>
            <wp:effectExtent l="0" t="0" r="0" b="444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0069" cy="1373122"/>
                    </a:xfrm>
                    <a:prstGeom prst="rect">
                      <a:avLst/>
                    </a:prstGeom>
                    <a:noFill/>
                  </pic:spPr>
                </pic:pic>
              </a:graphicData>
            </a:graphic>
          </wp:inline>
        </w:drawing>
      </w:r>
    </w:p>
    <w:p w14:paraId="5102CF26" w14:textId="77777777" w:rsidR="0015431E" w:rsidRDefault="0015431E" w:rsidP="0015431E">
      <w:pPr>
        <w:jc w:val="center"/>
        <w:rPr>
          <w:rFonts w:cs="Arial"/>
          <w:b/>
          <w:bCs/>
          <w:szCs w:val="24"/>
        </w:rPr>
      </w:pPr>
      <w:r w:rsidRPr="00FA1AF6">
        <w:rPr>
          <w:rFonts w:cs="Arial"/>
          <w:b/>
          <w:bCs/>
          <w:szCs w:val="24"/>
        </w:rPr>
        <w:t>BA (Hons) Business Management</w:t>
      </w:r>
    </w:p>
    <w:p w14:paraId="73D1B80C" w14:textId="0AB600B0" w:rsidR="0015431E" w:rsidRDefault="0015431E" w:rsidP="0015431E">
      <w:pPr>
        <w:jc w:val="center"/>
        <w:rPr>
          <w:rFonts w:cs="Arial"/>
          <w:b/>
          <w:bCs/>
          <w:szCs w:val="24"/>
        </w:rPr>
      </w:pPr>
      <w:r w:rsidRPr="0015431E">
        <w:rPr>
          <w:rFonts w:cs="Arial"/>
          <w:b/>
          <w:bCs/>
          <w:szCs w:val="24"/>
        </w:rPr>
        <w:t>Entrepreneurship</w:t>
      </w:r>
      <w:r>
        <w:rPr>
          <w:rFonts w:cs="Arial"/>
          <w:b/>
          <w:bCs/>
          <w:szCs w:val="24"/>
        </w:rPr>
        <w:t xml:space="preserve"> </w:t>
      </w:r>
      <w:r w:rsidRPr="0015431E">
        <w:rPr>
          <w:rFonts w:cs="Arial"/>
          <w:b/>
          <w:bCs/>
          <w:szCs w:val="24"/>
        </w:rPr>
        <w:t>LCBB5013</w:t>
      </w:r>
    </w:p>
    <w:p w14:paraId="37C90929" w14:textId="033F7698" w:rsidR="0015431E" w:rsidRDefault="0015431E" w:rsidP="0015431E">
      <w:pPr>
        <w:jc w:val="center"/>
        <w:rPr>
          <w:b/>
          <w:bCs/>
          <w:lang w:val="en-GB"/>
        </w:rPr>
      </w:pPr>
      <w:r w:rsidRPr="00695050">
        <w:rPr>
          <w:b/>
          <w:bCs/>
          <w:lang w:val="en-GB"/>
        </w:rPr>
        <w:t>The Magyar Quill – A Hungarian Literary Pub</w:t>
      </w:r>
    </w:p>
    <w:p w14:paraId="2ABF85DC" w14:textId="500AF1A7" w:rsidR="0015431E" w:rsidRPr="00695050" w:rsidRDefault="0015431E" w:rsidP="0015431E">
      <w:pPr>
        <w:jc w:val="center"/>
        <w:rPr>
          <w:lang w:val="en-GB"/>
        </w:rPr>
      </w:pPr>
      <w:r>
        <w:rPr>
          <w:b/>
          <w:bCs/>
          <w:lang w:val="en-GB"/>
        </w:rPr>
        <w:t>(Business Plan Development)</w:t>
      </w:r>
    </w:p>
    <w:p w14:paraId="2D29A733" w14:textId="77777777" w:rsidR="0015431E" w:rsidRPr="00FA1AF6" w:rsidRDefault="0015431E" w:rsidP="0015431E">
      <w:pPr>
        <w:jc w:val="center"/>
        <w:rPr>
          <w:rFonts w:cs="Arial"/>
          <w:b/>
          <w:bCs/>
          <w:szCs w:val="24"/>
        </w:rPr>
      </w:pPr>
    </w:p>
    <w:p w14:paraId="32000AB9" w14:textId="77777777" w:rsidR="0015431E" w:rsidRDefault="0015431E" w:rsidP="0015431E">
      <w:pPr>
        <w:rPr>
          <w:rFonts w:cs="Arial"/>
          <w:b/>
          <w:bCs/>
          <w:szCs w:val="24"/>
        </w:rPr>
      </w:pPr>
    </w:p>
    <w:p w14:paraId="46A821B7" w14:textId="77777777" w:rsidR="0015431E" w:rsidRDefault="0015431E" w:rsidP="0015431E">
      <w:pPr>
        <w:rPr>
          <w:rFonts w:cs="Arial"/>
          <w:b/>
          <w:bCs/>
          <w:szCs w:val="24"/>
        </w:rPr>
      </w:pPr>
    </w:p>
    <w:p w14:paraId="3B224066" w14:textId="77777777" w:rsidR="0015431E" w:rsidRDefault="0015431E" w:rsidP="0015431E">
      <w:pPr>
        <w:rPr>
          <w:rFonts w:cs="Arial"/>
          <w:b/>
          <w:bCs/>
          <w:szCs w:val="24"/>
        </w:rPr>
      </w:pPr>
    </w:p>
    <w:p w14:paraId="2C0D5782" w14:textId="77777777" w:rsidR="0015431E" w:rsidRDefault="0015431E" w:rsidP="0015431E">
      <w:pPr>
        <w:rPr>
          <w:rFonts w:cs="Arial"/>
          <w:b/>
          <w:bCs/>
          <w:szCs w:val="24"/>
        </w:rPr>
      </w:pPr>
    </w:p>
    <w:p w14:paraId="16E2D086" w14:textId="77777777" w:rsidR="0015431E" w:rsidRDefault="0015431E" w:rsidP="0015431E">
      <w:pPr>
        <w:rPr>
          <w:rFonts w:cs="Arial"/>
          <w:b/>
          <w:bCs/>
          <w:szCs w:val="24"/>
        </w:rPr>
      </w:pPr>
    </w:p>
    <w:p w14:paraId="1666644C" w14:textId="77777777" w:rsidR="0015431E" w:rsidRPr="00FA1AF6" w:rsidRDefault="0015431E" w:rsidP="0015431E">
      <w:pPr>
        <w:rPr>
          <w:rFonts w:cs="Arial"/>
          <w:b/>
          <w:bCs/>
          <w:szCs w:val="24"/>
        </w:rPr>
      </w:pPr>
    </w:p>
    <w:p w14:paraId="71227340" w14:textId="77777777" w:rsidR="0015431E" w:rsidRDefault="0015431E" w:rsidP="0015431E">
      <w:pPr>
        <w:rPr>
          <w:rFonts w:cs="Arial"/>
          <w:b/>
          <w:bCs/>
          <w:szCs w:val="24"/>
        </w:rPr>
      </w:pPr>
    </w:p>
    <w:p w14:paraId="51AC4E91" w14:textId="77777777" w:rsidR="0015431E" w:rsidRDefault="0015431E" w:rsidP="0015431E">
      <w:pPr>
        <w:rPr>
          <w:rFonts w:cs="Arial"/>
          <w:b/>
          <w:bCs/>
          <w:szCs w:val="24"/>
        </w:rPr>
      </w:pPr>
      <w:r w:rsidRPr="00FA1AF6">
        <w:rPr>
          <w:rFonts w:cs="Arial"/>
          <w:b/>
          <w:bCs/>
          <w:szCs w:val="24"/>
        </w:rPr>
        <w:t xml:space="preserve">Student Name: </w:t>
      </w:r>
      <w:r w:rsidRPr="00DB07AD">
        <w:rPr>
          <w:rFonts w:cs="Arial"/>
          <w:szCs w:val="24"/>
        </w:rPr>
        <w:t>Erika Beke</w:t>
      </w:r>
    </w:p>
    <w:p w14:paraId="5A4EF54E" w14:textId="77777777" w:rsidR="0015431E" w:rsidRPr="00FA1AF6" w:rsidRDefault="0015431E" w:rsidP="0015431E">
      <w:pPr>
        <w:rPr>
          <w:rFonts w:cs="Arial"/>
          <w:b/>
          <w:bCs/>
          <w:szCs w:val="24"/>
        </w:rPr>
      </w:pPr>
      <w:r w:rsidRPr="00FA1AF6">
        <w:rPr>
          <w:rFonts w:cs="Arial"/>
          <w:b/>
          <w:bCs/>
          <w:szCs w:val="24"/>
        </w:rPr>
        <w:t>Student Number:</w:t>
      </w:r>
      <w:r>
        <w:rPr>
          <w:rFonts w:cs="Arial"/>
          <w:b/>
          <w:bCs/>
          <w:szCs w:val="24"/>
        </w:rPr>
        <w:t xml:space="preserve"> </w:t>
      </w:r>
      <w:r w:rsidRPr="00DB07AD">
        <w:rPr>
          <w:rFonts w:cs="Arial"/>
          <w:szCs w:val="24"/>
        </w:rPr>
        <w:t>2011318</w:t>
      </w:r>
    </w:p>
    <w:p w14:paraId="22258901" w14:textId="496050CD" w:rsidR="0015431E" w:rsidRPr="00903F51" w:rsidRDefault="0015431E" w:rsidP="0015431E">
      <w:pPr>
        <w:rPr>
          <w:rFonts w:cs="Arial"/>
          <w:szCs w:val="24"/>
        </w:rPr>
      </w:pPr>
      <w:r w:rsidRPr="00FA1AF6">
        <w:rPr>
          <w:rFonts w:cs="Arial"/>
          <w:b/>
          <w:bCs/>
          <w:szCs w:val="24"/>
        </w:rPr>
        <w:t xml:space="preserve">Lecturer Name: </w:t>
      </w:r>
      <w:r w:rsidRPr="00903F51">
        <w:rPr>
          <w:rFonts w:cs="Arial"/>
          <w:szCs w:val="24"/>
        </w:rPr>
        <w:t xml:space="preserve">Dr </w:t>
      </w:r>
      <w:r>
        <w:rPr>
          <w:rFonts w:cs="Arial"/>
          <w:szCs w:val="24"/>
        </w:rPr>
        <w:t>Amer Kareem</w:t>
      </w:r>
    </w:p>
    <w:p w14:paraId="1505B2C6" w14:textId="77777777" w:rsidR="0015431E" w:rsidRDefault="0015431E" w:rsidP="0015431E">
      <w:pPr>
        <w:rPr>
          <w:rFonts w:cs="Arial"/>
          <w:b/>
          <w:bCs/>
          <w:szCs w:val="24"/>
        </w:rPr>
      </w:pPr>
    </w:p>
    <w:p w14:paraId="16A80D61" w14:textId="77777777" w:rsidR="0015431E" w:rsidRDefault="0015431E" w:rsidP="0015431E">
      <w:pPr>
        <w:rPr>
          <w:rFonts w:cs="Arial"/>
          <w:b/>
          <w:bCs/>
          <w:szCs w:val="24"/>
        </w:rPr>
      </w:pPr>
    </w:p>
    <w:p w14:paraId="48160599" w14:textId="77777777" w:rsidR="0015431E" w:rsidRDefault="0015431E" w:rsidP="0015431E">
      <w:pPr>
        <w:rPr>
          <w:rFonts w:cs="Arial"/>
          <w:b/>
          <w:bCs/>
          <w:szCs w:val="24"/>
        </w:rPr>
      </w:pPr>
    </w:p>
    <w:p w14:paraId="0FE1A3BD" w14:textId="77777777" w:rsidR="0015431E" w:rsidRDefault="0015431E" w:rsidP="0015431E">
      <w:pPr>
        <w:rPr>
          <w:rFonts w:cs="Arial"/>
          <w:b/>
          <w:bCs/>
          <w:szCs w:val="24"/>
        </w:rPr>
      </w:pPr>
    </w:p>
    <w:p w14:paraId="5E534560" w14:textId="77777777" w:rsidR="0015431E" w:rsidRDefault="0015431E" w:rsidP="0015431E">
      <w:pPr>
        <w:rPr>
          <w:rFonts w:cs="Arial"/>
          <w:b/>
          <w:bCs/>
          <w:szCs w:val="24"/>
        </w:rPr>
      </w:pPr>
    </w:p>
    <w:p w14:paraId="3B996B29" w14:textId="77777777" w:rsidR="0015431E" w:rsidRDefault="0015431E" w:rsidP="0015431E">
      <w:pPr>
        <w:rPr>
          <w:rFonts w:cs="Arial"/>
          <w:b/>
          <w:bCs/>
          <w:szCs w:val="24"/>
        </w:rPr>
      </w:pPr>
    </w:p>
    <w:p w14:paraId="28343B97" w14:textId="77777777" w:rsidR="0015431E" w:rsidRDefault="0015431E" w:rsidP="0015431E">
      <w:pPr>
        <w:rPr>
          <w:rFonts w:cs="Arial"/>
          <w:b/>
          <w:bCs/>
          <w:szCs w:val="24"/>
        </w:rPr>
      </w:pPr>
    </w:p>
    <w:p w14:paraId="0DBA01A8" w14:textId="5DDD8A83" w:rsidR="0015431E" w:rsidRDefault="0015431E" w:rsidP="0015431E">
      <w:pPr>
        <w:jc w:val="center"/>
        <w:rPr>
          <w:rFonts w:cs="Arial"/>
          <w:szCs w:val="24"/>
        </w:rPr>
      </w:pPr>
      <w:r w:rsidRPr="00FA1AF6">
        <w:rPr>
          <w:rFonts w:cs="Arial"/>
          <w:b/>
          <w:bCs/>
          <w:szCs w:val="24"/>
        </w:rPr>
        <w:t>Session</w:t>
      </w:r>
      <w:r w:rsidRPr="00FA1AF6">
        <w:rPr>
          <w:rFonts w:cs="Arial"/>
          <w:szCs w:val="24"/>
        </w:rPr>
        <w:t xml:space="preserve">: </w:t>
      </w:r>
      <w:r>
        <w:rPr>
          <w:rFonts w:cs="Arial"/>
          <w:szCs w:val="24"/>
        </w:rPr>
        <w:t>October</w:t>
      </w:r>
      <w:r w:rsidRPr="00FA1AF6">
        <w:rPr>
          <w:rFonts w:cs="Arial"/>
          <w:szCs w:val="24"/>
        </w:rPr>
        <w:t xml:space="preserve"> 2025 Term</w:t>
      </w:r>
      <w:r>
        <w:rPr>
          <w:rFonts w:cs="Arial"/>
          <w:szCs w:val="24"/>
        </w:rPr>
        <w:t xml:space="preserve"> 2</w:t>
      </w:r>
    </w:p>
    <w:sdt>
      <w:sdtPr>
        <w:rPr>
          <w:rFonts w:ascii="Arial" w:eastAsia="Times New Roman" w:hAnsi="Arial" w:cstheme="minorBidi"/>
          <w:color w:val="auto"/>
          <w:sz w:val="24"/>
          <w:szCs w:val="22"/>
        </w:rPr>
        <w:id w:val="1821999681"/>
        <w:docPartObj>
          <w:docPartGallery w:val="Table of Contents"/>
          <w:docPartUnique/>
        </w:docPartObj>
      </w:sdtPr>
      <w:sdtEndPr>
        <w:rPr>
          <w:b/>
          <w:bCs/>
          <w:noProof/>
        </w:rPr>
      </w:sdtEndPr>
      <w:sdtContent>
        <w:p w14:paraId="192DEAB1" w14:textId="77777777" w:rsidR="00ED5E37" w:rsidRDefault="00ED5E37" w:rsidP="00ED5E37">
          <w:pPr>
            <w:pStyle w:val="TOCHeading"/>
            <w:jc w:val="center"/>
          </w:pPr>
        </w:p>
        <w:p w14:paraId="54F0D942" w14:textId="150919C2" w:rsidR="00ED5E37" w:rsidRPr="00ED5E37" w:rsidRDefault="00ED5E37" w:rsidP="00ED5E37">
          <w:pPr>
            <w:pStyle w:val="TOCHeading"/>
            <w:jc w:val="center"/>
            <w:rPr>
              <w:b/>
              <w:bCs/>
              <w:color w:val="auto"/>
            </w:rPr>
          </w:pPr>
          <w:r w:rsidRPr="00ED5E37">
            <w:rPr>
              <w:b/>
              <w:bCs/>
              <w:color w:val="auto"/>
            </w:rPr>
            <w:t>Contents</w:t>
          </w:r>
        </w:p>
        <w:p w14:paraId="327FFDB6" w14:textId="77777777" w:rsidR="00ED5E37" w:rsidRPr="00ED5E37" w:rsidRDefault="00ED5E37" w:rsidP="00ED5E37"/>
        <w:p w14:paraId="722092DA" w14:textId="1760FD4D" w:rsidR="004310A9" w:rsidRDefault="00ED5E37">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15392765" w:history="1">
            <w:r w:rsidR="004310A9" w:rsidRPr="00CE6EFA">
              <w:rPr>
                <w:rStyle w:val="Hyperlink"/>
                <w:noProof/>
              </w:rPr>
              <w:t>1. Business Idea, Products/Services, Objectives and USP</w:t>
            </w:r>
            <w:r w:rsidR="004310A9">
              <w:rPr>
                <w:noProof/>
                <w:webHidden/>
              </w:rPr>
              <w:tab/>
            </w:r>
            <w:r w:rsidR="004310A9">
              <w:rPr>
                <w:noProof/>
                <w:webHidden/>
              </w:rPr>
              <w:fldChar w:fldCharType="begin"/>
            </w:r>
            <w:r w:rsidR="004310A9">
              <w:rPr>
                <w:noProof/>
                <w:webHidden/>
              </w:rPr>
              <w:instrText xml:space="preserve"> PAGEREF _Toc215392765 \h </w:instrText>
            </w:r>
            <w:r w:rsidR="004310A9">
              <w:rPr>
                <w:noProof/>
                <w:webHidden/>
              </w:rPr>
            </w:r>
            <w:r w:rsidR="004310A9">
              <w:rPr>
                <w:noProof/>
                <w:webHidden/>
              </w:rPr>
              <w:fldChar w:fldCharType="separate"/>
            </w:r>
            <w:r w:rsidR="004310A9">
              <w:rPr>
                <w:noProof/>
                <w:webHidden/>
              </w:rPr>
              <w:t>3</w:t>
            </w:r>
            <w:r w:rsidR="004310A9">
              <w:rPr>
                <w:noProof/>
                <w:webHidden/>
              </w:rPr>
              <w:fldChar w:fldCharType="end"/>
            </w:r>
          </w:hyperlink>
        </w:p>
        <w:p w14:paraId="66AEA2BD" w14:textId="482B75F2" w:rsidR="004310A9" w:rsidRDefault="004310A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5392766" w:history="1">
            <w:r w:rsidRPr="00CE6EFA">
              <w:rPr>
                <w:rStyle w:val="Hyperlink"/>
                <w:noProof/>
              </w:rPr>
              <w:t>2. Business Environment &amp; Competitor Analysis</w:t>
            </w:r>
            <w:r>
              <w:rPr>
                <w:noProof/>
                <w:webHidden/>
              </w:rPr>
              <w:tab/>
            </w:r>
            <w:r>
              <w:rPr>
                <w:noProof/>
                <w:webHidden/>
              </w:rPr>
              <w:fldChar w:fldCharType="begin"/>
            </w:r>
            <w:r>
              <w:rPr>
                <w:noProof/>
                <w:webHidden/>
              </w:rPr>
              <w:instrText xml:space="preserve"> PAGEREF _Toc215392766 \h </w:instrText>
            </w:r>
            <w:r>
              <w:rPr>
                <w:noProof/>
                <w:webHidden/>
              </w:rPr>
            </w:r>
            <w:r>
              <w:rPr>
                <w:noProof/>
                <w:webHidden/>
              </w:rPr>
              <w:fldChar w:fldCharType="separate"/>
            </w:r>
            <w:r>
              <w:rPr>
                <w:noProof/>
                <w:webHidden/>
              </w:rPr>
              <w:t>5</w:t>
            </w:r>
            <w:r>
              <w:rPr>
                <w:noProof/>
                <w:webHidden/>
              </w:rPr>
              <w:fldChar w:fldCharType="end"/>
            </w:r>
          </w:hyperlink>
        </w:p>
        <w:p w14:paraId="54A61C14" w14:textId="4FDDAEA6" w:rsidR="004310A9" w:rsidRDefault="004310A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5392767" w:history="1">
            <w:r w:rsidRPr="00CE6EFA">
              <w:rPr>
                <w:rStyle w:val="Hyperlink"/>
                <w:noProof/>
              </w:rPr>
              <w:t>3. Market Segmentation, 4Ps and Marketing Strategies</w:t>
            </w:r>
            <w:r>
              <w:rPr>
                <w:noProof/>
                <w:webHidden/>
              </w:rPr>
              <w:tab/>
            </w:r>
            <w:r>
              <w:rPr>
                <w:noProof/>
                <w:webHidden/>
              </w:rPr>
              <w:fldChar w:fldCharType="begin"/>
            </w:r>
            <w:r>
              <w:rPr>
                <w:noProof/>
                <w:webHidden/>
              </w:rPr>
              <w:instrText xml:space="preserve"> PAGEREF _Toc215392767 \h </w:instrText>
            </w:r>
            <w:r>
              <w:rPr>
                <w:noProof/>
                <w:webHidden/>
              </w:rPr>
            </w:r>
            <w:r>
              <w:rPr>
                <w:noProof/>
                <w:webHidden/>
              </w:rPr>
              <w:fldChar w:fldCharType="separate"/>
            </w:r>
            <w:r>
              <w:rPr>
                <w:noProof/>
                <w:webHidden/>
              </w:rPr>
              <w:t>10</w:t>
            </w:r>
            <w:r>
              <w:rPr>
                <w:noProof/>
                <w:webHidden/>
              </w:rPr>
              <w:fldChar w:fldCharType="end"/>
            </w:r>
          </w:hyperlink>
        </w:p>
        <w:p w14:paraId="039008EE" w14:textId="41F7CC56" w:rsidR="004310A9" w:rsidRDefault="004310A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5392768" w:history="1">
            <w:r w:rsidRPr="00CE6EFA">
              <w:rPr>
                <w:rStyle w:val="Hyperlink"/>
                <w:noProof/>
              </w:rPr>
              <w:t>4. Legal, Management and Financial Planning</w:t>
            </w:r>
            <w:r>
              <w:rPr>
                <w:noProof/>
                <w:webHidden/>
              </w:rPr>
              <w:tab/>
            </w:r>
            <w:r>
              <w:rPr>
                <w:noProof/>
                <w:webHidden/>
              </w:rPr>
              <w:fldChar w:fldCharType="begin"/>
            </w:r>
            <w:r>
              <w:rPr>
                <w:noProof/>
                <w:webHidden/>
              </w:rPr>
              <w:instrText xml:space="preserve"> PAGEREF _Toc215392768 \h </w:instrText>
            </w:r>
            <w:r>
              <w:rPr>
                <w:noProof/>
                <w:webHidden/>
              </w:rPr>
            </w:r>
            <w:r>
              <w:rPr>
                <w:noProof/>
                <w:webHidden/>
              </w:rPr>
              <w:fldChar w:fldCharType="separate"/>
            </w:r>
            <w:r>
              <w:rPr>
                <w:noProof/>
                <w:webHidden/>
              </w:rPr>
              <w:t>14</w:t>
            </w:r>
            <w:r>
              <w:rPr>
                <w:noProof/>
                <w:webHidden/>
              </w:rPr>
              <w:fldChar w:fldCharType="end"/>
            </w:r>
          </w:hyperlink>
        </w:p>
        <w:p w14:paraId="47B347E2" w14:textId="389CB58A" w:rsidR="004310A9" w:rsidRDefault="004310A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5392769" w:history="1">
            <w:r w:rsidRPr="00CE6EFA">
              <w:rPr>
                <w:rStyle w:val="Hyperlink"/>
                <w:noProof/>
              </w:rPr>
              <w:t>Summary</w:t>
            </w:r>
            <w:r>
              <w:rPr>
                <w:noProof/>
                <w:webHidden/>
              </w:rPr>
              <w:tab/>
            </w:r>
            <w:r>
              <w:rPr>
                <w:noProof/>
                <w:webHidden/>
              </w:rPr>
              <w:fldChar w:fldCharType="begin"/>
            </w:r>
            <w:r>
              <w:rPr>
                <w:noProof/>
                <w:webHidden/>
              </w:rPr>
              <w:instrText xml:space="preserve"> PAGEREF _Toc215392769 \h </w:instrText>
            </w:r>
            <w:r>
              <w:rPr>
                <w:noProof/>
                <w:webHidden/>
              </w:rPr>
            </w:r>
            <w:r>
              <w:rPr>
                <w:noProof/>
                <w:webHidden/>
              </w:rPr>
              <w:fldChar w:fldCharType="separate"/>
            </w:r>
            <w:r>
              <w:rPr>
                <w:noProof/>
                <w:webHidden/>
              </w:rPr>
              <w:t>16</w:t>
            </w:r>
            <w:r>
              <w:rPr>
                <w:noProof/>
                <w:webHidden/>
              </w:rPr>
              <w:fldChar w:fldCharType="end"/>
            </w:r>
          </w:hyperlink>
        </w:p>
        <w:p w14:paraId="43D9967F" w14:textId="208E04B3" w:rsidR="004310A9" w:rsidRDefault="004310A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5392770" w:history="1">
            <w:r w:rsidRPr="00CE6EFA">
              <w:rPr>
                <w:rStyle w:val="Hyperlink"/>
                <w:noProof/>
              </w:rPr>
              <w:t>Reference List</w:t>
            </w:r>
            <w:r>
              <w:rPr>
                <w:noProof/>
                <w:webHidden/>
              </w:rPr>
              <w:tab/>
            </w:r>
            <w:r>
              <w:rPr>
                <w:noProof/>
                <w:webHidden/>
              </w:rPr>
              <w:fldChar w:fldCharType="begin"/>
            </w:r>
            <w:r>
              <w:rPr>
                <w:noProof/>
                <w:webHidden/>
              </w:rPr>
              <w:instrText xml:space="preserve"> PAGEREF _Toc215392770 \h </w:instrText>
            </w:r>
            <w:r>
              <w:rPr>
                <w:noProof/>
                <w:webHidden/>
              </w:rPr>
            </w:r>
            <w:r>
              <w:rPr>
                <w:noProof/>
                <w:webHidden/>
              </w:rPr>
              <w:fldChar w:fldCharType="separate"/>
            </w:r>
            <w:r>
              <w:rPr>
                <w:noProof/>
                <w:webHidden/>
              </w:rPr>
              <w:t>17</w:t>
            </w:r>
            <w:r>
              <w:rPr>
                <w:noProof/>
                <w:webHidden/>
              </w:rPr>
              <w:fldChar w:fldCharType="end"/>
            </w:r>
          </w:hyperlink>
        </w:p>
        <w:p w14:paraId="36CBA04E" w14:textId="0D6F6779" w:rsidR="00ED5E37" w:rsidRDefault="00ED5E37">
          <w:r>
            <w:rPr>
              <w:b/>
              <w:bCs/>
              <w:noProof/>
            </w:rPr>
            <w:fldChar w:fldCharType="end"/>
          </w:r>
        </w:p>
      </w:sdtContent>
    </w:sdt>
    <w:p w14:paraId="33DE4BD2" w14:textId="77777777" w:rsidR="0015431E" w:rsidRDefault="0015431E" w:rsidP="0015431E">
      <w:pPr>
        <w:jc w:val="center"/>
        <w:rPr>
          <w:rFonts w:cs="Arial"/>
          <w:szCs w:val="24"/>
        </w:rPr>
      </w:pPr>
    </w:p>
    <w:p w14:paraId="720F7D32" w14:textId="77777777" w:rsidR="0015431E" w:rsidRDefault="0015431E" w:rsidP="0015431E">
      <w:pPr>
        <w:jc w:val="center"/>
        <w:rPr>
          <w:rFonts w:cs="Arial"/>
          <w:szCs w:val="24"/>
        </w:rPr>
      </w:pPr>
    </w:p>
    <w:p w14:paraId="5742D30F" w14:textId="77777777" w:rsidR="0015431E" w:rsidRDefault="0015431E" w:rsidP="0015431E">
      <w:pPr>
        <w:jc w:val="center"/>
        <w:rPr>
          <w:rFonts w:cs="Arial"/>
          <w:szCs w:val="24"/>
        </w:rPr>
      </w:pPr>
    </w:p>
    <w:p w14:paraId="046266D0" w14:textId="77777777" w:rsidR="0015431E" w:rsidRDefault="0015431E" w:rsidP="00F549AD">
      <w:pPr>
        <w:jc w:val="left"/>
        <w:rPr>
          <w:lang w:val="en-GB"/>
        </w:rPr>
      </w:pPr>
    </w:p>
    <w:p w14:paraId="1381843F" w14:textId="4795E1E3" w:rsidR="00695050" w:rsidRPr="007B3A77" w:rsidRDefault="0015431E" w:rsidP="007B3A77">
      <w:pPr>
        <w:spacing w:after="0"/>
        <w:rPr>
          <w:lang w:val="en-GB"/>
        </w:rPr>
      </w:pPr>
      <w:r>
        <w:rPr>
          <w:lang w:val="en-GB"/>
        </w:rPr>
        <w:br w:type="page"/>
      </w:r>
    </w:p>
    <w:p w14:paraId="4923E9D2" w14:textId="50C03764" w:rsidR="002B75F5" w:rsidRPr="002B75F5" w:rsidRDefault="00695050" w:rsidP="0015431E">
      <w:pPr>
        <w:pStyle w:val="Heading1"/>
      </w:pPr>
      <w:bookmarkStart w:id="1" w:name="_Toc215392765"/>
      <w:r w:rsidRPr="00695050">
        <w:lastRenderedPageBreak/>
        <w:t>1</w:t>
      </w:r>
      <w:r w:rsidR="002B75F5">
        <w:t>.</w:t>
      </w:r>
      <w:r w:rsidRPr="00695050">
        <w:t xml:space="preserve"> </w:t>
      </w:r>
      <w:r w:rsidR="002B75F5" w:rsidRPr="002B75F5">
        <w:t>Business Idea, Products/Services, Objectives and USP</w:t>
      </w:r>
      <w:bookmarkEnd w:id="1"/>
    </w:p>
    <w:p w14:paraId="01CE05F8" w14:textId="7B714E3C" w:rsidR="002B75F5" w:rsidRPr="002B75F5" w:rsidRDefault="002B75F5" w:rsidP="002B75F5">
      <w:pPr>
        <w:rPr>
          <w:rFonts w:cs="Arial"/>
          <w:lang w:val="en-GB"/>
        </w:rPr>
      </w:pPr>
      <w:r w:rsidRPr="002B75F5">
        <w:rPr>
          <w:rFonts w:cs="Arial"/>
          <w:lang w:val="en-GB"/>
        </w:rPr>
        <w:t xml:space="preserve">The proposed </w:t>
      </w:r>
      <w:r w:rsidR="00E22E18" w:rsidRPr="002B75F5">
        <w:rPr>
          <w:rFonts w:cs="Arial"/>
          <w:lang w:val="en-GB"/>
        </w:rPr>
        <w:t>project</w:t>
      </w:r>
      <w:r w:rsidRPr="002B75F5">
        <w:rPr>
          <w:rFonts w:cs="Arial"/>
          <w:lang w:val="en-GB"/>
        </w:rPr>
        <w:t xml:space="preserve">, The Magyar Quill, is </w:t>
      </w:r>
      <w:r w:rsidR="00E22E18" w:rsidRPr="002B75F5">
        <w:rPr>
          <w:rFonts w:cs="Arial"/>
          <w:lang w:val="en-GB"/>
        </w:rPr>
        <w:t>planned</w:t>
      </w:r>
      <w:r w:rsidRPr="002B75F5">
        <w:rPr>
          <w:rFonts w:cs="Arial"/>
          <w:lang w:val="en-GB"/>
        </w:rPr>
        <w:t xml:space="preserve"> as a Hungarian</w:t>
      </w:r>
      <w:r w:rsidRPr="002B75F5">
        <w:rPr>
          <w:rFonts w:ascii="Cambria Math" w:hAnsi="Cambria Math" w:cs="Cambria Math"/>
          <w:lang w:val="en-GB"/>
        </w:rPr>
        <w:t>‑</w:t>
      </w:r>
      <w:r w:rsidRPr="002B75F5">
        <w:rPr>
          <w:rFonts w:cs="Arial"/>
          <w:lang w:val="en-GB"/>
        </w:rPr>
        <w:t xml:space="preserve">themed literary pub located in the cultural heart of Tunbridge Wells, Kent. </w:t>
      </w:r>
      <w:r w:rsidR="00E22E18">
        <w:rPr>
          <w:rFonts w:cs="Arial"/>
          <w:lang w:val="en-GB"/>
        </w:rPr>
        <w:t>This concept offers Hungarian food, craft drinks, and art to appeal to a sophisticated audience</w:t>
      </w:r>
      <w:r w:rsidRPr="002B75F5">
        <w:rPr>
          <w:rFonts w:cs="Arial"/>
          <w:lang w:val="en-GB"/>
        </w:rPr>
        <w:t xml:space="preserve"> (Kovács, 2021). The </w:t>
      </w:r>
      <w:r w:rsidR="00E22E18" w:rsidRPr="002B75F5">
        <w:rPr>
          <w:rFonts w:cs="Arial"/>
          <w:lang w:val="en-GB"/>
        </w:rPr>
        <w:t>place</w:t>
      </w:r>
      <w:r w:rsidRPr="002B75F5">
        <w:rPr>
          <w:rFonts w:cs="Arial"/>
          <w:lang w:val="en-GB"/>
        </w:rPr>
        <w:t xml:space="preserve"> will combine rustic Eastern European </w:t>
      </w:r>
      <w:r w:rsidR="00E22E18" w:rsidRPr="002B75F5">
        <w:rPr>
          <w:rFonts w:cs="Arial"/>
          <w:lang w:val="en-GB"/>
        </w:rPr>
        <w:t>interior decoration</w:t>
      </w:r>
      <w:r w:rsidRPr="002B75F5">
        <w:rPr>
          <w:rFonts w:cs="Arial"/>
          <w:lang w:val="en-GB"/>
        </w:rPr>
        <w:t>, including exposed brick walls, mismatched furniture, vintage books, and typewriters, with modern comforts such as Wi</w:t>
      </w:r>
      <w:r w:rsidRPr="002B75F5">
        <w:rPr>
          <w:rFonts w:ascii="Cambria Math" w:hAnsi="Cambria Math" w:cs="Cambria Math"/>
          <w:lang w:val="en-GB"/>
        </w:rPr>
        <w:t>‑</w:t>
      </w:r>
      <w:r w:rsidRPr="002B75F5">
        <w:rPr>
          <w:rFonts w:cs="Arial"/>
          <w:lang w:val="en-GB"/>
        </w:rPr>
        <w:t>Fi, live readings, and cultural events. In this way, The Magyar Quill will serve as a hub for book lovers, writers, and cultural enthusiasts, while simultaneously offering a distinctive culinary and social experience.</w:t>
      </w:r>
    </w:p>
    <w:p w14:paraId="2113D924" w14:textId="1E6739A3" w:rsidR="002B75F5" w:rsidRPr="002B75F5" w:rsidRDefault="00E22E18" w:rsidP="002B75F5">
      <w:pPr>
        <w:rPr>
          <w:rFonts w:cs="Arial"/>
          <w:lang w:val="en-GB"/>
        </w:rPr>
      </w:pPr>
      <w:r>
        <w:rPr>
          <w:rFonts w:cs="Arial"/>
          <w:lang w:val="en-GB"/>
        </w:rPr>
        <w:t xml:space="preserve">The Magyar Quill will </w:t>
      </w:r>
      <w:r w:rsidR="00D20ECC">
        <w:rPr>
          <w:rFonts w:cs="Arial"/>
          <w:lang w:val="en-GB"/>
        </w:rPr>
        <w:t>specialise</w:t>
      </w:r>
      <w:r>
        <w:rPr>
          <w:rFonts w:cs="Arial"/>
          <w:lang w:val="en-GB"/>
        </w:rPr>
        <w:t xml:space="preserve"> in authentic Hungarian dishes and drinks.</w:t>
      </w:r>
      <w:r w:rsidR="002B75F5" w:rsidRPr="002B75F5">
        <w:rPr>
          <w:rFonts w:cs="Arial"/>
          <w:lang w:val="en-GB"/>
        </w:rPr>
        <w:t xml:space="preserve"> Traditional Hungarian </w:t>
      </w:r>
      <w:r w:rsidR="002B75F5">
        <w:rPr>
          <w:rFonts w:cs="Arial"/>
          <w:lang w:val="en-GB"/>
        </w:rPr>
        <w:t xml:space="preserve">dishes such as goulash soup, chicken paprikash, and chimney cake (kürtőskalács) will form the core of the menu, reflecting Hungary's culinary heritage </w:t>
      </w:r>
      <w:r w:rsidR="002B75F5" w:rsidRPr="002B75F5">
        <w:rPr>
          <w:rFonts w:cs="Arial"/>
          <w:lang w:val="en-GB"/>
        </w:rPr>
        <w:t>(Fazekas, 2020). To appeal to local tastes and broaden accessibility, fusion items such as Hungarian</w:t>
      </w:r>
      <w:r w:rsidR="002B75F5" w:rsidRPr="002B75F5">
        <w:rPr>
          <w:rFonts w:ascii="Cambria Math" w:hAnsi="Cambria Math" w:cs="Cambria Math"/>
          <w:lang w:val="en-GB"/>
        </w:rPr>
        <w:t>‑</w:t>
      </w:r>
      <w:r w:rsidR="002B75F5" w:rsidRPr="002B75F5">
        <w:rPr>
          <w:rFonts w:cs="Arial"/>
          <w:lang w:val="en-GB"/>
        </w:rPr>
        <w:t>spiced burgers and paprika fries will be introduced. The drinks menu will be carefully curated to include Hungarian wines, notably Tokaji and Egri Bikavér</w:t>
      </w:r>
      <w:r>
        <w:rPr>
          <w:rFonts w:cs="Arial"/>
          <w:lang w:val="en-GB"/>
        </w:rPr>
        <w:t>. They</w:t>
      </w:r>
      <w:r w:rsidR="002B75F5" w:rsidRPr="002B75F5">
        <w:rPr>
          <w:rFonts w:cs="Arial"/>
          <w:lang w:val="en-GB"/>
        </w:rPr>
        <w:t xml:space="preserve"> are internationally recognised for their quality and cultural significance (Johnson and Robinson, 2013). In addition, themed cocktails inspired by literature, such as “The Kafka Mule” and “Tokaji Tales”</w:t>
      </w:r>
      <w:r>
        <w:rPr>
          <w:rFonts w:cs="Arial"/>
          <w:lang w:val="en-GB"/>
        </w:rPr>
        <w:t>.</w:t>
      </w:r>
      <w:r w:rsidR="002B75F5" w:rsidRPr="002B75F5">
        <w:rPr>
          <w:rFonts w:cs="Arial"/>
          <w:lang w:val="en-GB"/>
        </w:rPr>
        <w:t xml:space="preserve"> </w:t>
      </w:r>
      <w:r>
        <w:rPr>
          <w:rFonts w:cs="Arial"/>
          <w:lang w:val="en-GB"/>
        </w:rPr>
        <w:t xml:space="preserve">This </w:t>
      </w:r>
      <w:r w:rsidR="002B75F5" w:rsidRPr="002B75F5">
        <w:rPr>
          <w:rFonts w:cs="Arial"/>
          <w:lang w:val="en-GB"/>
        </w:rPr>
        <w:t xml:space="preserve">will reinforce the </w:t>
      </w:r>
      <w:r w:rsidR="002B75F5">
        <w:rPr>
          <w:rFonts w:cs="Arial"/>
          <w:lang w:val="en-GB"/>
        </w:rPr>
        <w:t xml:space="preserve">brand's intellectual identity </w:t>
      </w:r>
      <w:r w:rsidR="002B75F5" w:rsidRPr="002B75F5">
        <w:rPr>
          <w:rFonts w:cs="Arial"/>
          <w:lang w:val="en-GB"/>
        </w:rPr>
        <w:t>and align with the experiential consumption model described by Pine and Gilmore (1999). Beyond food and drink, the cultural and literary offerings will include weekly book readings, open</w:t>
      </w:r>
      <w:r w:rsidR="002B75F5" w:rsidRPr="002B75F5">
        <w:rPr>
          <w:rFonts w:ascii="Cambria Math" w:hAnsi="Cambria Math" w:cs="Cambria Math"/>
          <w:lang w:val="en-GB"/>
        </w:rPr>
        <w:t>‑</w:t>
      </w:r>
      <w:r w:rsidR="002B75F5" w:rsidRPr="002B75F5">
        <w:rPr>
          <w:rFonts w:cs="Arial"/>
          <w:lang w:val="en-GB"/>
        </w:rPr>
        <w:t xml:space="preserve">mic poetry nights, and Hungarian film screenings. A Book Exchange Wall will encourage customers to trade books, thereby fostering repeat visits and community engagement. Writing workshops and collaborations with local universities and literary societies will further embed the pub within the cultural fabric of Tunbridge Wells. </w:t>
      </w:r>
      <w:r w:rsidR="003B25FF">
        <w:rPr>
          <w:rFonts w:cs="Arial"/>
          <w:lang w:val="en-GB"/>
        </w:rPr>
        <w:t>The pub will serve as a cultural hub for private events, book clubs, and small exhibitions. It will feature digital services like online booking, event calendars, and a loyalty program called “The Quill Club” for customer rewards. Merchandise, including mugs, tote bags, and limited-edition books, will enhance the brand’s identity beyond the venue.</w:t>
      </w:r>
    </w:p>
    <w:p w14:paraId="5BE959F8" w14:textId="43461D24" w:rsidR="00CF1D48" w:rsidRDefault="00CF1D48" w:rsidP="002B75F5">
      <w:pPr>
        <w:rPr>
          <w:rFonts w:cs="Arial"/>
        </w:rPr>
      </w:pPr>
      <w:r w:rsidRPr="00CF1D48">
        <w:rPr>
          <w:rFonts w:cs="Arial"/>
        </w:rPr>
        <w:t xml:space="preserve">Short-term objectives include launching successfully, securing consistent weekly footfall, and building partnerships with at least a few local organisations or universities. </w:t>
      </w:r>
      <w:r>
        <w:rPr>
          <w:rFonts w:cs="Arial"/>
        </w:rPr>
        <w:t>Long-term</w:t>
      </w:r>
      <w:r w:rsidRPr="00CF1D48">
        <w:rPr>
          <w:rFonts w:cs="Arial"/>
        </w:rPr>
        <w:t xml:space="preserve">, I’d like to host an annual Hungarian Cultural Week and expand into culturally active towns such as Brighton. The USP lies in combining Hungarian cultural </w:t>
      </w:r>
      <w:r w:rsidRPr="00CF1D48">
        <w:rPr>
          <w:rFonts w:cs="Arial"/>
        </w:rPr>
        <w:lastRenderedPageBreak/>
        <w:t>authenticity with a relaxed literary setting. While some pubs host events, few integrate a whole cultural identity into their food, atmosphere, and programming. Porter’s (1985) differentiation theory strongly supports this approach, as it gives customers something meaningful and memorable rather than another standard gastropub option.</w:t>
      </w:r>
    </w:p>
    <w:p w14:paraId="00908261" w14:textId="40ABF103" w:rsidR="0081500A" w:rsidRDefault="005B1872" w:rsidP="002B75F5">
      <w:pPr>
        <w:rPr>
          <w:rFonts w:cs="Arial"/>
          <w:lang w:val="en-GB"/>
        </w:rPr>
      </w:pPr>
      <w:r>
        <w:rPr>
          <w:rFonts w:cs="Arial"/>
          <w:lang w:val="en-GB"/>
        </w:rPr>
        <w:t xml:space="preserve">The Magyar Quill stands out by combining Hungarian cultural authenticity with a community-driven pub experience. </w:t>
      </w:r>
      <w:r w:rsidR="003B25FF">
        <w:rPr>
          <w:rFonts w:cs="Arial"/>
          <w:lang w:val="en-GB"/>
        </w:rPr>
        <w:t>This venue stands out from traditional pubs by focusing on Hungarian heritage and literature, and by offering authentic cuisine featuring imported ingredients. It serves as a café, book lounge, and event space, creating a nostalgic and intellectually engaging atmosphere that attracts mature audiences seeking meaningful leisure.</w:t>
      </w:r>
      <w:r w:rsidR="002B75F5" w:rsidRPr="002B75F5">
        <w:rPr>
          <w:rFonts w:cs="Arial"/>
          <w:lang w:val="en-GB"/>
        </w:rPr>
        <w:t xml:space="preserve"> </w:t>
      </w:r>
      <w:r w:rsidR="003B25FF">
        <w:rPr>
          <w:rFonts w:cs="Arial"/>
          <w:lang w:val="en-GB"/>
        </w:rPr>
        <w:t>Porter’s (1985) framework on competitive advantage highlights the significance of differentiation in saturated markets. The Magyar Quill combines ethnic cuisine, storytelling ambience, and cultural interaction, creating a unique emotional bond with customers that mainstream competitors struggle to match.</w:t>
      </w:r>
      <w:r w:rsidR="002B75F5" w:rsidRPr="002B75F5">
        <w:rPr>
          <w:rFonts w:cs="Arial"/>
          <w:lang w:val="en-GB"/>
        </w:rPr>
        <w:t xml:space="preserve"> By aligning Hungarian cuisine and literary culture with entrepreneurial objectives, the business positions itself to attract </w:t>
      </w:r>
      <w:r w:rsidR="002B75F5">
        <w:rPr>
          <w:rFonts w:cs="Arial"/>
          <w:lang w:val="en-GB"/>
        </w:rPr>
        <w:t>a niche yet loyal audience</w:t>
      </w:r>
      <w:r w:rsidR="002B75F5" w:rsidRPr="002B75F5">
        <w:rPr>
          <w:rFonts w:cs="Arial"/>
          <w:lang w:val="en-GB"/>
        </w:rPr>
        <w:t>. This reflects the broader argument that cultural authenticity can be strategically leveraged to achieve sustainable differentiation in competitive hospitality markets (Burns, 2016).</w:t>
      </w:r>
    </w:p>
    <w:p w14:paraId="5FBF381E" w14:textId="2A7EC4D6" w:rsidR="00FD6D1D" w:rsidRPr="007B3A77" w:rsidRDefault="003B25FF" w:rsidP="00695050">
      <w:pPr>
        <w:rPr>
          <w:rFonts w:cs="Arial"/>
          <w:lang w:val="en-GB"/>
        </w:rPr>
      </w:pPr>
      <w:r>
        <w:rPr>
          <w:rFonts w:cs="Arial"/>
          <w:lang w:val="en-GB"/>
        </w:rPr>
        <w:t>The Magyar Quill demonstrates how entrepreneurial ventures can merge cultural heritage, experiential consumption, and community engagement to create a unique market offering</w:t>
      </w:r>
      <w:r w:rsidR="002B75F5" w:rsidRPr="002B75F5">
        <w:rPr>
          <w:rFonts w:cs="Arial"/>
          <w:lang w:val="en-GB"/>
        </w:rPr>
        <w:t>. The deliberate focus on authenticity, combined with a clear set of short</w:t>
      </w:r>
      <w:r w:rsidR="002B75F5" w:rsidRPr="002B75F5">
        <w:rPr>
          <w:rFonts w:ascii="Cambria Math" w:hAnsi="Cambria Math" w:cs="Cambria Math"/>
          <w:lang w:val="en-GB"/>
        </w:rPr>
        <w:t>‑</w:t>
      </w:r>
      <w:r w:rsidR="002B75F5" w:rsidRPr="002B75F5">
        <w:rPr>
          <w:rFonts w:cs="Arial"/>
          <w:lang w:val="en-GB"/>
        </w:rPr>
        <w:t xml:space="preserve"> and long</w:t>
      </w:r>
      <w:r w:rsidR="002B75F5" w:rsidRPr="002B75F5">
        <w:rPr>
          <w:rFonts w:ascii="Cambria Math" w:hAnsi="Cambria Math" w:cs="Cambria Math"/>
          <w:lang w:val="en-GB"/>
        </w:rPr>
        <w:t>‑</w:t>
      </w:r>
      <w:r w:rsidR="002B75F5" w:rsidRPr="002B75F5">
        <w:rPr>
          <w:rFonts w:cs="Arial"/>
          <w:lang w:val="en-GB"/>
        </w:rPr>
        <w:t xml:space="preserve">term objectives, provides a coherent strategy for both immediate success and future expansion. </w:t>
      </w:r>
      <w:r w:rsidR="00FE372F">
        <w:rPr>
          <w:rFonts w:cs="Arial"/>
          <w:lang w:val="en-GB"/>
        </w:rPr>
        <w:t>The plan demonstrates how theoretical frameworks like Porter’s competitive advantage and Pine and Gilmore’s experience economy can inform practical entrepreneurship. The Magyar Quill aims to be both a hospitality venue and a cultural institution, enhancing Tunbridge Wells' vibrancy while providing a sustainable, unique business model.</w:t>
      </w:r>
    </w:p>
    <w:p w14:paraId="57B8D3C8" w14:textId="3A3A0ADB" w:rsidR="00695050" w:rsidRDefault="00695050" w:rsidP="0015431E">
      <w:pPr>
        <w:pStyle w:val="Heading1"/>
      </w:pPr>
      <w:bookmarkStart w:id="2" w:name="_Toc215392766"/>
      <w:r w:rsidRPr="00695050">
        <w:t>2</w:t>
      </w:r>
      <w:r w:rsidR="0081500A">
        <w:t>.</w:t>
      </w:r>
      <w:r w:rsidRPr="00695050">
        <w:t xml:space="preserve"> Business Environment &amp; Competitor Analysis</w:t>
      </w:r>
      <w:bookmarkEnd w:id="2"/>
    </w:p>
    <w:p w14:paraId="346A57F0" w14:textId="1F5F596D" w:rsidR="00C92BE5" w:rsidRPr="00C92BE5" w:rsidRDefault="00C92BE5" w:rsidP="00C92BE5">
      <w:pPr>
        <w:rPr>
          <w:rFonts w:cs="Arial"/>
          <w:lang w:val="en-GB"/>
        </w:rPr>
      </w:pPr>
      <w:r w:rsidRPr="00C92BE5">
        <w:rPr>
          <w:rFonts w:cs="Arial"/>
          <w:lang w:val="en-GB"/>
        </w:rPr>
        <w:t xml:space="preserve">A critical evaluation of the external environment is essential for assessing the viability of The Magyar Quill. </w:t>
      </w:r>
      <w:r w:rsidR="00CF1D48" w:rsidRPr="00CF1D48">
        <w:rPr>
          <w:rFonts w:cs="Arial"/>
        </w:rPr>
        <w:t>A PESTEL analysis shows that the UK is generally supportive of small businesses</w:t>
      </w:r>
      <w:r w:rsidR="00CF1D48">
        <w:rPr>
          <w:rFonts w:cs="Arial"/>
        </w:rPr>
        <w:t>. Still, hospitality</w:t>
      </w:r>
      <w:r w:rsidR="00CF1D48" w:rsidRPr="00CF1D48">
        <w:rPr>
          <w:rFonts w:cs="Arial"/>
        </w:rPr>
        <w:t xml:space="preserve"> </w:t>
      </w:r>
      <w:r w:rsidR="00CF1D48">
        <w:rPr>
          <w:rFonts w:cs="Arial"/>
        </w:rPr>
        <w:t>is always subject to</w:t>
      </w:r>
      <w:r w:rsidR="00CF1D48" w:rsidRPr="00CF1D48">
        <w:rPr>
          <w:rFonts w:cs="Arial"/>
        </w:rPr>
        <w:t xml:space="preserve"> regulatory pressures</w:t>
      </w:r>
      <w:r w:rsidR="00CF1D48">
        <w:rPr>
          <w:rFonts w:cs="Arial"/>
        </w:rPr>
        <w:t xml:space="preserve">, </w:t>
      </w:r>
      <w:r w:rsidR="00CF1D48" w:rsidRPr="00CF1D48">
        <w:rPr>
          <w:rFonts w:cs="Arial"/>
        </w:rPr>
        <w:t xml:space="preserve">alcohol licensing, health standards, and, after Brexit, more paperwork for importing certain </w:t>
      </w:r>
      <w:r w:rsidR="00CF1D48" w:rsidRPr="00CF1D48">
        <w:rPr>
          <w:rFonts w:cs="Arial"/>
        </w:rPr>
        <w:lastRenderedPageBreak/>
        <w:t>goods. Economically, rising costs</w:t>
      </w:r>
      <w:r w:rsidR="00CF1D48">
        <w:rPr>
          <w:rFonts w:cs="Arial"/>
        </w:rPr>
        <w:t xml:space="preserve"> in energy, ingredients and rent </w:t>
      </w:r>
      <w:r w:rsidR="00CF1D48" w:rsidRPr="00CF1D48">
        <w:rPr>
          <w:rFonts w:cs="Arial"/>
        </w:rPr>
        <w:t xml:space="preserve">remain a concern. Tunbridge Wells, however, attracts residents and visitors who often spend more on cultural and “experience-based” venues, which works in </w:t>
      </w:r>
      <w:r w:rsidR="00CF1D48">
        <w:rPr>
          <w:rFonts w:cs="Arial"/>
        </w:rPr>
        <w:t>favour</w:t>
      </w:r>
      <w:r w:rsidR="00CF1D48" w:rsidRPr="00CF1D48">
        <w:rPr>
          <w:rFonts w:cs="Arial"/>
        </w:rPr>
        <w:t xml:space="preserve"> of this concept.</w:t>
      </w:r>
      <w:r w:rsidR="00CF1D48">
        <w:rPr>
          <w:rFonts w:cs="Arial"/>
        </w:rPr>
        <w:t xml:space="preserve"> </w:t>
      </w:r>
      <w:r w:rsidRPr="00C92BE5">
        <w:rPr>
          <w:rFonts w:cs="Arial"/>
          <w:lang w:val="en-GB"/>
        </w:rPr>
        <w:t xml:space="preserve">(UK Hospitality, 2023). </w:t>
      </w:r>
      <w:r>
        <w:rPr>
          <w:rFonts w:cs="Arial"/>
          <w:lang w:val="en-GB"/>
        </w:rPr>
        <w:t>Post-Brexit, import processes for Hungarian goods, such as wines and spices,</w:t>
      </w:r>
      <w:r w:rsidRPr="00C92BE5">
        <w:rPr>
          <w:rFonts w:cs="Arial"/>
          <w:lang w:val="en-GB"/>
        </w:rPr>
        <w:t xml:space="preserve"> may require additional paperwork, potentially increasing costs and administrative burdens. </w:t>
      </w:r>
      <w:r w:rsidR="00FE372F">
        <w:rPr>
          <w:rFonts w:cs="Arial"/>
          <w:lang w:val="en-GB"/>
        </w:rPr>
        <w:t>Trade within the EU remains accessible, with Tunbridge Wells' local councils supporting cultural and small-business initiatives, including grants for independent venues.</w:t>
      </w:r>
      <w:r w:rsidRPr="00C92BE5">
        <w:rPr>
          <w:rFonts w:cs="Arial"/>
          <w:lang w:val="en-GB"/>
        </w:rPr>
        <w:t xml:space="preserve"> </w:t>
      </w:r>
      <w:r w:rsidR="00FE372F">
        <w:rPr>
          <w:rFonts w:cs="Arial"/>
          <w:lang w:val="en-GB"/>
        </w:rPr>
        <w:t>The hospitality industry faces inflationary pressures on food, energy, and rent, which can erode margins. However, Tunbridge Wells has an affluent demographic willing to invest in premium cultural experiences.</w:t>
      </w:r>
      <w:r w:rsidRPr="00C92BE5">
        <w:rPr>
          <w:rFonts w:cs="Arial"/>
          <w:lang w:val="en-GB"/>
        </w:rPr>
        <w:t xml:space="preserve"> </w:t>
      </w:r>
      <w:r>
        <w:rPr>
          <w:rFonts w:cs="Arial"/>
          <w:lang w:val="en-GB"/>
        </w:rPr>
        <w:t>Post-pandemic consumer behaviour has shifted towards “experience-driven</w:t>
      </w:r>
      <w:r w:rsidRPr="00C92BE5">
        <w:rPr>
          <w:rFonts w:cs="Arial"/>
          <w:lang w:val="en-GB"/>
        </w:rPr>
        <w:t xml:space="preserve">” spending, favouring establishments that combine leisure with cultural enrichment (Mintel, 2024). </w:t>
      </w:r>
      <w:r w:rsidR="004975A1" w:rsidRPr="004975A1">
        <w:rPr>
          <w:rFonts w:cs="Arial"/>
        </w:rPr>
        <w:t xml:space="preserve">Social trends are probably one of the strongest supports for </w:t>
      </w:r>
      <w:r w:rsidR="004975A1" w:rsidRPr="00EE13C6">
        <w:rPr>
          <w:rFonts w:cs="Arial"/>
        </w:rPr>
        <w:t>The Magyar Quill</w:t>
      </w:r>
      <w:r w:rsidR="004975A1" w:rsidRPr="004975A1">
        <w:rPr>
          <w:rFonts w:cs="Arial"/>
        </w:rPr>
        <w:t xml:space="preserve">. </w:t>
      </w:r>
      <w:r w:rsidR="00FE372F">
        <w:rPr>
          <w:rFonts w:cs="Arial"/>
        </w:rPr>
        <w:t>There's a growing demand for authentic experiences and international cuisines, which aligns well with the town's artistic community.</w:t>
      </w:r>
      <w:r w:rsidR="004975A1" w:rsidRPr="004975A1">
        <w:rPr>
          <w:rFonts w:cs="Arial"/>
        </w:rPr>
        <w:t xml:space="preserve"> Technologically, customers now expect digital booking systems and reliable online engagement. Environmental policies also </w:t>
      </w:r>
      <w:r w:rsidR="00EE13C6" w:rsidRPr="004975A1">
        <w:rPr>
          <w:rFonts w:cs="Arial"/>
        </w:rPr>
        <w:t>matter</w:t>
      </w:r>
      <w:r w:rsidR="00EE13C6">
        <w:rPr>
          <w:rFonts w:cs="Arial"/>
        </w:rPr>
        <w:t>; people want to see sustainable practices, and I would need to demonstrate a genuine commitment to that</w:t>
      </w:r>
      <w:r w:rsidR="004975A1" w:rsidRPr="004975A1">
        <w:rPr>
          <w:rFonts w:cs="Arial"/>
        </w:rPr>
        <w:t>. Legally and ethically, compliance and fair work policies are essential</w:t>
      </w:r>
      <w:r w:rsidR="00EE13C6">
        <w:rPr>
          <w:rFonts w:cs="Arial"/>
        </w:rPr>
        <w:t xml:space="preserve"> not only for regulatory compliance but also for building</w:t>
      </w:r>
      <w:r w:rsidR="004975A1" w:rsidRPr="004975A1">
        <w:rPr>
          <w:rFonts w:cs="Arial"/>
        </w:rPr>
        <w:t xml:space="preserve"> trust</w:t>
      </w:r>
      <w:r w:rsidR="00EE13C6">
        <w:rPr>
          <w:rFonts w:cs="Arial"/>
        </w:rPr>
        <w:t xml:space="preserve"> </w:t>
      </w:r>
      <w:r w:rsidRPr="00C92BE5">
        <w:rPr>
          <w:rFonts w:cs="Arial"/>
          <w:lang w:val="en-GB"/>
        </w:rPr>
        <w:t xml:space="preserve">(Pine and Gilmore, 1999; Smith, 2019). Technological developments are equally critical. </w:t>
      </w:r>
      <w:r w:rsidR="00FE372F">
        <w:rPr>
          <w:rFonts w:cs="Arial"/>
          <w:lang w:val="en-GB"/>
        </w:rPr>
        <w:t>Online reservations, social media marketing, and digital loyalty programs are now standard, with technology supporting efficient stock control and contactless payments</w:t>
      </w:r>
      <w:r w:rsidRPr="00C92BE5">
        <w:rPr>
          <w:rFonts w:cs="Arial"/>
          <w:lang w:val="en-GB"/>
        </w:rPr>
        <w:t xml:space="preserve"> (Chaffey and Ellis</w:t>
      </w:r>
      <w:r w:rsidRPr="00C92BE5">
        <w:rPr>
          <w:rFonts w:cs="Arial"/>
          <w:lang w:val="en-GB"/>
        </w:rPr>
        <w:noBreakHyphen/>
        <w:t xml:space="preserve">Chadwick, 2019). Environmental concerns are increasingly salient, with sustainability valued by consumers. The Magyar Quill will therefore emphasise </w:t>
      </w:r>
      <w:r>
        <w:rPr>
          <w:rFonts w:cs="Arial"/>
          <w:lang w:val="en-GB"/>
        </w:rPr>
        <w:t>eco-friendly packaging, local suppliers of produce, and energy-efficient</w:t>
      </w:r>
      <w:r w:rsidRPr="00C92BE5">
        <w:rPr>
          <w:rFonts w:cs="Arial"/>
          <w:lang w:val="en-GB"/>
        </w:rPr>
        <w:t xml:space="preserve"> operations (DEFRA, 2023). Legally, compliance with UK hospitality laws</w:t>
      </w:r>
      <w:r>
        <w:rPr>
          <w:rFonts w:cs="Arial"/>
          <w:lang w:val="en-GB"/>
        </w:rPr>
        <w:t xml:space="preserve">, </w:t>
      </w:r>
      <w:r w:rsidRPr="00C92BE5">
        <w:rPr>
          <w:rFonts w:cs="Arial"/>
          <w:lang w:val="en-GB"/>
        </w:rPr>
        <w:t>including food hygiene, alcohol licensing, and health and safety</w:t>
      </w:r>
      <w:r>
        <w:rPr>
          <w:rFonts w:cs="Arial"/>
          <w:lang w:val="en-GB"/>
        </w:rPr>
        <w:t xml:space="preserve">, </w:t>
      </w:r>
      <w:r w:rsidRPr="00C92BE5">
        <w:rPr>
          <w:rFonts w:cs="Arial"/>
          <w:lang w:val="en-GB"/>
        </w:rPr>
        <w:t>is mandatory, while GDPR compliance for online customer data is crucial (HM Government, 2022</w:t>
      </w:r>
      <w:r w:rsidR="00FE372F">
        <w:rPr>
          <w:rFonts w:cs="Arial"/>
          <w:lang w:val="en-GB"/>
        </w:rPr>
        <w:t>). Ethical considerations include fair employment, community engagement, and transparent sourcing of food and beverages to build trust and legitimacy.</w:t>
      </w:r>
      <w:r w:rsidR="007B3A77">
        <w:rPr>
          <w:rFonts w:cs="Arial"/>
          <w:lang w:val="en-GB"/>
        </w:rPr>
        <w:t xml:space="preserve"> </w:t>
      </w:r>
      <w:r w:rsidRPr="00C92BE5">
        <w:rPr>
          <w:rFonts w:cs="Arial"/>
          <w:lang w:val="en-GB"/>
        </w:rPr>
        <w:t>The PESTEL analysis is summarised in Table 1, which integrates the key points and supporting sources.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0"/>
        <w:gridCol w:w="5200"/>
        <w:gridCol w:w="2186"/>
      </w:tblGrid>
      <w:tr w:rsidR="00C92BE5" w:rsidRPr="00C92BE5" w14:paraId="49A7E3AE" w14:textId="77777777" w:rsidTr="007B3A77">
        <w:trPr>
          <w:tblHeader/>
          <w:tblCellSpacing w:w="15" w:type="dxa"/>
        </w:trPr>
        <w:tc>
          <w:tcPr>
            <w:tcW w:w="0" w:type="auto"/>
            <w:vAlign w:val="center"/>
            <w:hideMark/>
          </w:tcPr>
          <w:p w14:paraId="6EBC5BD7" w14:textId="77777777" w:rsidR="00C92BE5" w:rsidRPr="00C92BE5" w:rsidRDefault="00C92BE5" w:rsidP="00ED5E37">
            <w:pPr>
              <w:jc w:val="center"/>
              <w:rPr>
                <w:rFonts w:cs="Arial"/>
                <w:b/>
                <w:bCs/>
                <w:lang w:val="en-GB"/>
              </w:rPr>
            </w:pPr>
            <w:r w:rsidRPr="00C92BE5">
              <w:rPr>
                <w:rFonts w:cs="Arial"/>
                <w:b/>
                <w:bCs/>
                <w:lang w:val="en-GB"/>
              </w:rPr>
              <w:lastRenderedPageBreak/>
              <w:t>Factor</w:t>
            </w:r>
          </w:p>
        </w:tc>
        <w:tc>
          <w:tcPr>
            <w:tcW w:w="0" w:type="auto"/>
            <w:vAlign w:val="center"/>
            <w:hideMark/>
          </w:tcPr>
          <w:p w14:paraId="4B1C3626" w14:textId="77777777" w:rsidR="00C92BE5" w:rsidRPr="00C92BE5" w:rsidRDefault="00C92BE5" w:rsidP="00ED5E37">
            <w:pPr>
              <w:jc w:val="center"/>
              <w:rPr>
                <w:rFonts w:cs="Arial"/>
                <w:b/>
                <w:bCs/>
                <w:lang w:val="en-GB"/>
              </w:rPr>
            </w:pPr>
            <w:r w:rsidRPr="00C92BE5">
              <w:rPr>
                <w:rFonts w:cs="Arial"/>
                <w:b/>
                <w:bCs/>
                <w:lang w:val="en-GB"/>
              </w:rPr>
              <w:t>Key Points</w:t>
            </w:r>
          </w:p>
        </w:tc>
        <w:tc>
          <w:tcPr>
            <w:tcW w:w="0" w:type="auto"/>
            <w:vAlign w:val="center"/>
            <w:hideMark/>
          </w:tcPr>
          <w:p w14:paraId="14563124" w14:textId="77777777" w:rsidR="00C92BE5" w:rsidRPr="00C92BE5" w:rsidRDefault="00C92BE5" w:rsidP="00ED5E37">
            <w:pPr>
              <w:jc w:val="center"/>
              <w:rPr>
                <w:rFonts w:cs="Arial"/>
                <w:b/>
                <w:bCs/>
                <w:lang w:val="en-GB"/>
              </w:rPr>
            </w:pPr>
            <w:r w:rsidRPr="00C92BE5">
              <w:rPr>
                <w:rFonts w:cs="Arial"/>
                <w:b/>
                <w:bCs/>
                <w:lang w:val="en-GB"/>
              </w:rPr>
              <w:t>Supporting Source</w:t>
            </w:r>
          </w:p>
        </w:tc>
      </w:tr>
      <w:tr w:rsidR="00C92BE5" w:rsidRPr="00C92BE5" w14:paraId="72CDD166" w14:textId="77777777" w:rsidTr="007B3A77">
        <w:trPr>
          <w:tblCellSpacing w:w="15" w:type="dxa"/>
        </w:trPr>
        <w:tc>
          <w:tcPr>
            <w:tcW w:w="0" w:type="auto"/>
            <w:vAlign w:val="center"/>
            <w:hideMark/>
          </w:tcPr>
          <w:p w14:paraId="48D66D7E" w14:textId="77777777" w:rsidR="00C92BE5" w:rsidRPr="00C92BE5" w:rsidRDefault="00C92BE5" w:rsidP="007B3A77">
            <w:pPr>
              <w:jc w:val="left"/>
              <w:rPr>
                <w:rFonts w:cs="Arial"/>
                <w:lang w:val="en-GB"/>
              </w:rPr>
            </w:pPr>
            <w:r w:rsidRPr="00C92BE5">
              <w:rPr>
                <w:rFonts w:cs="Arial"/>
                <w:lang w:val="en-GB"/>
              </w:rPr>
              <w:t>Political</w:t>
            </w:r>
          </w:p>
        </w:tc>
        <w:tc>
          <w:tcPr>
            <w:tcW w:w="0" w:type="auto"/>
            <w:vAlign w:val="center"/>
            <w:hideMark/>
          </w:tcPr>
          <w:p w14:paraId="57605616" w14:textId="256F3D52" w:rsidR="00FE372F" w:rsidRDefault="00BB7B6F" w:rsidP="007B3A77">
            <w:pPr>
              <w:jc w:val="left"/>
              <w:rPr>
                <w:rFonts w:cs="Arial"/>
                <w:lang w:val="en-GB"/>
              </w:rPr>
            </w:pPr>
            <w:r>
              <w:rPr>
                <w:rFonts w:cs="Arial"/>
                <w:lang w:val="en-GB"/>
              </w:rPr>
              <w:t>A stable</w:t>
            </w:r>
            <w:r w:rsidR="00C92BE5" w:rsidRPr="00C92BE5">
              <w:rPr>
                <w:rFonts w:cs="Arial"/>
                <w:lang w:val="en-GB"/>
              </w:rPr>
              <w:t xml:space="preserve"> UK environment supports SMEs</w:t>
            </w:r>
            <w:r>
              <w:rPr>
                <w:rFonts w:cs="Arial"/>
                <w:lang w:val="en-GB"/>
              </w:rPr>
              <w:t>.</w:t>
            </w:r>
            <w:r w:rsidR="00C92BE5" w:rsidRPr="00C92BE5">
              <w:rPr>
                <w:rFonts w:cs="Arial"/>
                <w:lang w:val="en-GB"/>
              </w:rPr>
              <w:t xml:space="preserve"> </w:t>
            </w:r>
          </w:p>
          <w:p w14:paraId="17BF0593" w14:textId="063EFAF7" w:rsidR="00BB7B6F" w:rsidRDefault="00BB7B6F" w:rsidP="007B3A77">
            <w:pPr>
              <w:jc w:val="left"/>
              <w:rPr>
                <w:rFonts w:cs="Arial"/>
                <w:lang w:val="en-GB"/>
              </w:rPr>
            </w:pPr>
            <w:r>
              <w:rPr>
                <w:rFonts w:cs="Arial"/>
                <w:lang w:val="en-GB"/>
              </w:rPr>
              <w:t>Post-Brexit</w:t>
            </w:r>
            <w:r w:rsidR="00C92BE5" w:rsidRPr="00C92BE5">
              <w:rPr>
                <w:rFonts w:cs="Arial"/>
                <w:lang w:val="en-GB"/>
              </w:rPr>
              <w:t xml:space="preserve"> import paperwork for Hungarian goods may increase costs</w:t>
            </w:r>
            <w:r>
              <w:rPr>
                <w:rFonts w:cs="Arial"/>
                <w:lang w:val="en-GB"/>
              </w:rPr>
              <w:t>.</w:t>
            </w:r>
            <w:r w:rsidR="00C92BE5" w:rsidRPr="00C92BE5">
              <w:rPr>
                <w:rFonts w:cs="Arial"/>
                <w:lang w:val="en-GB"/>
              </w:rPr>
              <w:t xml:space="preserve"> </w:t>
            </w:r>
          </w:p>
          <w:p w14:paraId="65334819" w14:textId="17B8FA60" w:rsidR="00C92BE5" w:rsidRPr="00C92BE5" w:rsidRDefault="00BB7B6F" w:rsidP="007B3A77">
            <w:pPr>
              <w:jc w:val="left"/>
              <w:rPr>
                <w:rFonts w:cs="Arial"/>
                <w:lang w:val="en-GB"/>
              </w:rPr>
            </w:pPr>
            <w:r>
              <w:rPr>
                <w:rFonts w:cs="Arial"/>
                <w:lang w:val="en-GB"/>
              </w:rPr>
              <w:t>Local</w:t>
            </w:r>
            <w:r w:rsidR="00C92BE5" w:rsidRPr="00C92BE5">
              <w:rPr>
                <w:rFonts w:cs="Arial"/>
                <w:lang w:val="en-GB"/>
              </w:rPr>
              <w:t xml:space="preserve"> councils encourage cultural venues.</w:t>
            </w:r>
          </w:p>
        </w:tc>
        <w:tc>
          <w:tcPr>
            <w:tcW w:w="0" w:type="auto"/>
            <w:vAlign w:val="center"/>
            <w:hideMark/>
          </w:tcPr>
          <w:p w14:paraId="7B61D24D" w14:textId="77777777" w:rsidR="00C92BE5" w:rsidRPr="00C92BE5" w:rsidRDefault="00C92BE5" w:rsidP="007B3A77">
            <w:pPr>
              <w:jc w:val="left"/>
              <w:rPr>
                <w:rFonts w:cs="Arial"/>
                <w:lang w:val="en-GB"/>
              </w:rPr>
            </w:pPr>
            <w:r w:rsidRPr="00C92BE5">
              <w:rPr>
                <w:rFonts w:cs="Arial"/>
                <w:lang w:val="en-GB"/>
              </w:rPr>
              <w:t>UK Hospitality (2023)</w:t>
            </w:r>
          </w:p>
        </w:tc>
      </w:tr>
      <w:tr w:rsidR="00C92BE5" w:rsidRPr="00C92BE5" w14:paraId="7E7C8C13" w14:textId="77777777" w:rsidTr="007B3A77">
        <w:trPr>
          <w:tblCellSpacing w:w="15" w:type="dxa"/>
        </w:trPr>
        <w:tc>
          <w:tcPr>
            <w:tcW w:w="0" w:type="auto"/>
            <w:vAlign w:val="center"/>
            <w:hideMark/>
          </w:tcPr>
          <w:p w14:paraId="5CE738F4" w14:textId="77777777" w:rsidR="00C92BE5" w:rsidRPr="00C92BE5" w:rsidRDefault="00C92BE5" w:rsidP="007B3A77">
            <w:pPr>
              <w:jc w:val="left"/>
              <w:rPr>
                <w:rFonts w:cs="Arial"/>
                <w:lang w:val="en-GB"/>
              </w:rPr>
            </w:pPr>
            <w:r w:rsidRPr="00C92BE5">
              <w:rPr>
                <w:rFonts w:cs="Arial"/>
                <w:lang w:val="en-GB"/>
              </w:rPr>
              <w:t>Economic</w:t>
            </w:r>
          </w:p>
        </w:tc>
        <w:tc>
          <w:tcPr>
            <w:tcW w:w="0" w:type="auto"/>
            <w:vAlign w:val="center"/>
            <w:hideMark/>
          </w:tcPr>
          <w:p w14:paraId="2D80CF12" w14:textId="5642A478" w:rsidR="00C92BE5" w:rsidRPr="00C92BE5" w:rsidRDefault="00C92BE5" w:rsidP="007B3A77">
            <w:pPr>
              <w:jc w:val="left"/>
              <w:rPr>
                <w:rFonts w:cs="Arial"/>
                <w:lang w:val="en-GB"/>
              </w:rPr>
            </w:pPr>
            <w:r w:rsidRPr="00C92BE5">
              <w:rPr>
                <w:rFonts w:cs="Arial"/>
                <w:lang w:val="en-GB"/>
              </w:rPr>
              <w:t xml:space="preserve">Inflation pressures on food/energy; affluent Tunbridge Wells demographic willing to pay for premium cultural experiences; </w:t>
            </w:r>
            <w:r>
              <w:rPr>
                <w:rFonts w:cs="Arial"/>
                <w:lang w:val="en-GB"/>
              </w:rPr>
              <w:t>post-pandemic</w:t>
            </w:r>
            <w:r w:rsidRPr="00C92BE5">
              <w:rPr>
                <w:rFonts w:cs="Arial"/>
                <w:lang w:val="en-GB"/>
              </w:rPr>
              <w:t xml:space="preserve"> “experience spending” trend.</w:t>
            </w:r>
          </w:p>
        </w:tc>
        <w:tc>
          <w:tcPr>
            <w:tcW w:w="0" w:type="auto"/>
            <w:vAlign w:val="center"/>
            <w:hideMark/>
          </w:tcPr>
          <w:p w14:paraId="4194A4A1" w14:textId="77777777" w:rsidR="00C92BE5" w:rsidRPr="00C92BE5" w:rsidRDefault="00C92BE5" w:rsidP="007B3A77">
            <w:pPr>
              <w:jc w:val="left"/>
              <w:rPr>
                <w:rFonts w:cs="Arial"/>
                <w:lang w:val="en-GB"/>
              </w:rPr>
            </w:pPr>
            <w:r w:rsidRPr="00C92BE5">
              <w:rPr>
                <w:rFonts w:cs="Arial"/>
                <w:lang w:val="en-GB"/>
              </w:rPr>
              <w:t>Mintel (2024)</w:t>
            </w:r>
          </w:p>
        </w:tc>
      </w:tr>
      <w:tr w:rsidR="00C92BE5" w:rsidRPr="00C92BE5" w14:paraId="0EEF1036" w14:textId="77777777" w:rsidTr="007B3A77">
        <w:trPr>
          <w:tblCellSpacing w:w="15" w:type="dxa"/>
        </w:trPr>
        <w:tc>
          <w:tcPr>
            <w:tcW w:w="0" w:type="auto"/>
            <w:vAlign w:val="center"/>
            <w:hideMark/>
          </w:tcPr>
          <w:p w14:paraId="0B16C212" w14:textId="77777777" w:rsidR="00C92BE5" w:rsidRPr="00C92BE5" w:rsidRDefault="00C92BE5" w:rsidP="007B3A77">
            <w:pPr>
              <w:jc w:val="left"/>
              <w:rPr>
                <w:rFonts w:cs="Arial"/>
                <w:lang w:val="en-GB"/>
              </w:rPr>
            </w:pPr>
            <w:r w:rsidRPr="00C92BE5">
              <w:rPr>
                <w:rFonts w:cs="Arial"/>
                <w:lang w:val="en-GB"/>
              </w:rPr>
              <w:t>Social</w:t>
            </w:r>
          </w:p>
        </w:tc>
        <w:tc>
          <w:tcPr>
            <w:tcW w:w="0" w:type="auto"/>
            <w:vAlign w:val="center"/>
            <w:hideMark/>
          </w:tcPr>
          <w:p w14:paraId="031FE81C" w14:textId="204EE811" w:rsidR="00C92BE5" w:rsidRPr="00C92BE5" w:rsidRDefault="00C92BE5" w:rsidP="007B3A77">
            <w:pPr>
              <w:jc w:val="left"/>
              <w:rPr>
                <w:rFonts w:cs="Arial"/>
                <w:lang w:val="en-GB"/>
              </w:rPr>
            </w:pPr>
            <w:r>
              <w:rPr>
                <w:rFonts w:cs="Arial"/>
                <w:lang w:val="en-GB"/>
              </w:rPr>
              <w:t xml:space="preserve">The rising demand for authentic, experiential leisure, literary heritage, and the student population provides a </w:t>
            </w:r>
            <w:r w:rsidRPr="00C92BE5">
              <w:rPr>
                <w:rFonts w:cs="Arial"/>
                <w:lang w:val="en-GB"/>
              </w:rPr>
              <w:t>receptive market.</w:t>
            </w:r>
          </w:p>
        </w:tc>
        <w:tc>
          <w:tcPr>
            <w:tcW w:w="0" w:type="auto"/>
            <w:vAlign w:val="center"/>
            <w:hideMark/>
          </w:tcPr>
          <w:p w14:paraId="7A183D28" w14:textId="77777777" w:rsidR="00C92BE5" w:rsidRPr="00C92BE5" w:rsidRDefault="00C92BE5" w:rsidP="007B3A77">
            <w:pPr>
              <w:jc w:val="left"/>
              <w:rPr>
                <w:rFonts w:cs="Arial"/>
                <w:lang w:val="en-GB"/>
              </w:rPr>
            </w:pPr>
            <w:r w:rsidRPr="00C92BE5">
              <w:rPr>
                <w:rFonts w:cs="Arial"/>
                <w:lang w:val="en-GB"/>
              </w:rPr>
              <w:t>Pine &amp; Gilmore (1999); Smith (2019)</w:t>
            </w:r>
          </w:p>
        </w:tc>
      </w:tr>
      <w:tr w:rsidR="00C92BE5" w:rsidRPr="00C92BE5" w14:paraId="534C6791" w14:textId="77777777" w:rsidTr="007B3A77">
        <w:trPr>
          <w:tblCellSpacing w:w="15" w:type="dxa"/>
        </w:trPr>
        <w:tc>
          <w:tcPr>
            <w:tcW w:w="0" w:type="auto"/>
            <w:vAlign w:val="center"/>
            <w:hideMark/>
          </w:tcPr>
          <w:p w14:paraId="044DA896" w14:textId="77777777" w:rsidR="00C92BE5" w:rsidRPr="00C92BE5" w:rsidRDefault="00C92BE5" w:rsidP="007B3A77">
            <w:pPr>
              <w:jc w:val="left"/>
              <w:rPr>
                <w:rFonts w:cs="Arial"/>
                <w:lang w:val="en-GB"/>
              </w:rPr>
            </w:pPr>
            <w:r w:rsidRPr="00C92BE5">
              <w:rPr>
                <w:rFonts w:cs="Arial"/>
                <w:lang w:val="en-GB"/>
              </w:rPr>
              <w:t>Technological</w:t>
            </w:r>
          </w:p>
        </w:tc>
        <w:tc>
          <w:tcPr>
            <w:tcW w:w="0" w:type="auto"/>
            <w:vAlign w:val="center"/>
            <w:hideMark/>
          </w:tcPr>
          <w:p w14:paraId="3249221D" w14:textId="5D3E47A3" w:rsidR="00C92BE5" w:rsidRPr="00C92BE5" w:rsidRDefault="00C92BE5" w:rsidP="007B3A77">
            <w:pPr>
              <w:jc w:val="left"/>
              <w:rPr>
                <w:rFonts w:cs="Arial"/>
                <w:lang w:val="en-GB"/>
              </w:rPr>
            </w:pPr>
            <w:r w:rsidRPr="00C92BE5">
              <w:rPr>
                <w:rFonts w:cs="Arial"/>
                <w:lang w:val="en-GB"/>
              </w:rPr>
              <w:t>Online reservations, loyalty apps, social media marketing</w:t>
            </w:r>
            <w:r>
              <w:rPr>
                <w:rFonts w:cs="Arial"/>
                <w:lang w:val="en-GB"/>
              </w:rPr>
              <w:t xml:space="preserve">, and </w:t>
            </w:r>
            <w:r w:rsidRPr="00C92BE5">
              <w:rPr>
                <w:rFonts w:cs="Arial"/>
                <w:lang w:val="en-GB"/>
              </w:rPr>
              <w:t>digital tools for stock control and payments.</w:t>
            </w:r>
          </w:p>
        </w:tc>
        <w:tc>
          <w:tcPr>
            <w:tcW w:w="0" w:type="auto"/>
            <w:vAlign w:val="center"/>
            <w:hideMark/>
          </w:tcPr>
          <w:p w14:paraId="3AAE7F0A" w14:textId="77777777" w:rsidR="00C92BE5" w:rsidRPr="00C92BE5" w:rsidRDefault="00C92BE5" w:rsidP="007B3A77">
            <w:pPr>
              <w:jc w:val="left"/>
              <w:rPr>
                <w:rFonts w:cs="Arial"/>
                <w:lang w:val="en-GB"/>
              </w:rPr>
            </w:pPr>
            <w:r w:rsidRPr="00C92BE5">
              <w:rPr>
                <w:rFonts w:cs="Arial"/>
                <w:lang w:val="en-GB"/>
              </w:rPr>
              <w:t>Chaffey &amp; Ellis</w:t>
            </w:r>
            <w:r w:rsidRPr="00C92BE5">
              <w:rPr>
                <w:rFonts w:cs="Arial"/>
                <w:lang w:val="en-GB"/>
              </w:rPr>
              <w:noBreakHyphen/>
              <w:t>Chadwick (2019)</w:t>
            </w:r>
          </w:p>
        </w:tc>
      </w:tr>
      <w:tr w:rsidR="00C92BE5" w:rsidRPr="00C92BE5" w14:paraId="522FE488" w14:textId="77777777" w:rsidTr="007B3A77">
        <w:trPr>
          <w:tblCellSpacing w:w="15" w:type="dxa"/>
        </w:trPr>
        <w:tc>
          <w:tcPr>
            <w:tcW w:w="0" w:type="auto"/>
            <w:vAlign w:val="center"/>
            <w:hideMark/>
          </w:tcPr>
          <w:p w14:paraId="352E03B6" w14:textId="77777777" w:rsidR="00C92BE5" w:rsidRPr="00C92BE5" w:rsidRDefault="00C92BE5" w:rsidP="007B3A77">
            <w:pPr>
              <w:jc w:val="left"/>
              <w:rPr>
                <w:rFonts w:cs="Arial"/>
                <w:lang w:val="en-GB"/>
              </w:rPr>
            </w:pPr>
            <w:r w:rsidRPr="00C92BE5">
              <w:rPr>
                <w:rFonts w:cs="Arial"/>
                <w:lang w:val="en-GB"/>
              </w:rPr>
              <w:t>Environmental</w:t>
            </w:r>
          </w:p>
        </w:tc>
        <w:tc>
          <w:tcPr>
            <w:tcW w:w="0" w:type="auto"/>
            <w:vAlign w:val="center"/>
            <w:hideMark/>
          </w:tcPr>
          <w:p w14:paraId="41513562" w14:textId="74B3F33A" w:rsidR="00C92BE5" w:rsidRPr="00C92BE5" w:rsidRDefault="00C92BE5" w:rsidP="007B3A77">
            <w:pPr>
              <w:jc w:val="left"/>
              <w:rPr>
                <w:rFonts w:cs="Arial"/>
                <w:lang w:val="en-GB"/>
              </w:rPr>
            </w:pPr>
            <w:r w:rsidRPr="00C92BE5">
              <w:rPr>
                <w:rFonts w:cs="Arial"/>
                <w:lang w:val="en-GB"/>
              </w:rPr>
              <w:t xml:space="preserve">Sustainability valued; </w:t>
            </w:r>
            <w:r>
              <w:rPr>
                <w:rFonts w:cs="Arial"/>
                <w:lang w:val="en-GB"/>
              </w:rPr>
              <w:t>eco-friendly packaging, local produce, energy-efficient</w:t>
            </w:r>
            <w:r w:rsidRPr="00C92BE5">
              <w:rPr>
                <w:rFonts w:cs="Arial"/>
                <w:lang w:val="en-GB"/>
              </w:rPr>
              <w:t xml:space="preserve"> operations.</w:t>
            </w:r>
          </w:p>
        </w:tc>
        <w:tc>
          <w:tcPr>
            <w:tcW w:w="0" w:type="auto"/>
            <w:vAlign w:val="center"/>
            <w:hideMark/>
          </w:tcPr>
          <w:p w14:paraId="6379C964" w14:textId="77777777" w:rsidR="00C92BE5" w:rsidRPr="00C92BE5" w:rsidRDefault="00C92BE5" w:rsidP="007B3A77">
            <w:pPr>
              <w:jc w:val="left"/>
              <w:rPr>
                <w:rFonts w:cs="Arial"/>
                <w:lang w:val="en-GB"/>
              </w:rPr>
            </w:pPr>
            <w:r w:rsidRPr="00C92BE5">
              <w:rPr>
                <w:rFonts w:cs="Arial"/>
                <w:lang w:val="en-GB"/>
              </w:rPr>
              <w:t>DEFRA (2023)</w:t>
            </w:r>
          </w:p>
        </w:tc>
      </w:tr>
      <w:tr w:rsidR="00C92BE5" w:rsidRPr="00C92BE5" w14:paraId="39FDB2EE" w14:textId="77777777" w:rsidTr="007B3A77">
        <w:trPr>
          <w:tblCellSpacing w:w="15" w:type="dxa"/>
        </w:trPr>
        <w:tc>
          <w:tcPr>
            <w:tcW w:w="0" w:type="auto"/>
            <w:vAlign w:val="center"/>
            <w:hideMark/>
          </w:tcPr>
          <w:p w14:paraId="125F2221" w14:textId="77777777" w:rsidR="00C92BE5" w:rsidRPr="00C92BE5" w:rsidRDefault="00C92BE5" w:rsidP="007B3A77">
            <w:pPr>
              <w:jc w:val="left"/>
              <w:rPr>
                <w:rFonts w:cs="Arial"/>
                <w:lang w:val="en-GB"/>
              </w:rPr>
            </w:pPr>
            <w:r w:rsidRPr="00C92BE5">
              <w:rPr>
                <w:rFonts w:cs="Arial"/>
                <w:lang w:val="en-GB"/>
              </w:rPr>
              <w:t>Legal/Ethical</w:t>
            </w:r>
          </w:p>
        </w:tc>
        <w:tc>
          <w:tcPr>
            <w:tcW w:w="0" w:type="auto"/>
            <w:vAlign w:val="center"/>
            <w:hideMark/>
          </w:tcPr>
          <w:p w14:paraId="66AD14F7" w14:textId="3E34CC2B" w:rsidR="00C92BE5" w:rsidRPr="00C92BE5" w:rsidRDefault="00C92BE5" w:rsidP="007B3A77">
            <w:pPr>
              <w:jc w:val="left"/>
              <w:rPr>
                <w:rFonts w:cs="Arial"/>
                <w:lang w:val="en-GB"/>
              </w:rPr>
            </w:pPr>
            <w:r w:rsidRPr="00C92BE5">
              <w:rPr>
                <w:rFonts w:cs="Arial"/>
                <w:lang w:val="en-GB"/>
              </w:rPr>
              <w:t>Compliance with licensing, food hygiene, GDPR</w:t>
            </w:r>
            <w:r>
              <w:rPr>
                <w:rFonts w:cs="Arial"/>
                <w:lang w:val="en-GB"/>
              </w:rPr>
              <w:t>,</w:t>
            </w:r>
            <w:r w:rsidRPr="00C92BE5">
              <w:rPr>
                <w:rFonts w:cs="Arial"/>
                <w:lang w:val="en-GB"/>
              </w:rPr>
              <w:t xml:space="preserve"> fair employment and transparent sourcing.</w:t>
            </w:r>
          </w:p>
        </w:tc>
        <w:tc>
          <w:tcPr>
            <w:tcW w:w="0" w:type="auto"/>
            <w:vAlign w:val="center"/>
            <w:hideMark/>
          </w:tcPr>
          <w:p w14:paraId="190A44CA" w14:textId="77777777" w:rsidR="00C92BE5" w:rsidRPr="00C92BE5" w:rsidRDefault="00C92BE5" w:rsidP="007B3A77">
            <w:pPr>
              <w:jc w:val="left"/>
              <w:rPr>
                <w:rFonts w:cs="Arial"/>
                <w:lang w:val="en-GB"/>
              </w:rPr>
            </w:pPr>
            <w:r w:rsidRPr="00C92BE5">
              <w:rPr>
                <w:rFonts w:cs="Arial"/>
                <w:lang w:val="en-GB"/>
              </w:rPr>
              <w:t>HM Government (2022)</w:t>
            </w:r>
          </w:p>
        </w:tc>
      </w:tr>
    </w:tbl>
    <w:p w14:paraId="34A7E16A" w14:textId="5EBB7095" w:rsidR="007B3A77" w:rsidRDefault="007B3A77" w:rsidP="007B3A77">
      <w:pPr>
        <w:jc w:val="center"/>
        <w:rPr>
          <w:rFonts w:cs="Arial"/>
          <w:lang w:val="en-GB"/>
        </w:rPr>
      </w:pPr>
      <w:r w:rsidRPr="00C92BE5">
        <w:rPr>
          <w:rFonts w:cs="Arial"/>
          <w:sz w:val="22"/>
          <w:lang w:val="en-GB"/>
        </w:rPr>
        <w:t>Table 1: PESTEL Analysis of The Magyar Quill</w:t>
      </w:r>
    </w:p>
    <w:p w14:paraId="54C61B1E" w14:textId="6FE16335" w:rsidR="00C92BE5" w:rsidRPr="00C92BE5" w:rsidRDefault="00C92BE5" w:rsidP="00C92BE5">
      <w:pPr>
        <w:rPr>
          <w:rFonts w:cs="Arial"/>
          <w:lang w:val="en-GB"/>
        </w:rPr>
      </w:pPr>
      <w:r w:rsidRPr="00C92BE5">
        <w:rPr>
          <w:rFonts w:cs="Arial"/>
          <w:lang w:val="en-GB"/>
        </w:rPr>
        <w:t xml:space="preserve">While the PESTEL analysis identifies favourable conditions, it also highlights vulnerabilities. Inflationary pressures and </w:t>
      </w:r>
      <w:r>
        <w:rPr>
          <w:rFonts w:cs="Arial"/>
          <w:lang w:val="en-GB"/>
        </w:rPr>
        <w:t>Brexit-related</w:t>
      </w:r>
      <w:r w:rsidRPr="00C92BE5">
        <w:rPr>
          <w:rFonts w:cs="Arial"/>
          <w:lang w:val="en-GB"/>
        </w:rPr>
        <w:t xml:space="preserve"> import complexities may undermine profitability, while sustainability commitments could increase costs in the short term. Nevertheless, the alignment between social trends and the pub’s cultural positioning suggests strong </w:t>
      </w:r>
      <w:r>
        <w:rPr>
          <w:rFonts w:cs="Arial"/>
          <w:lang w:val="en-GB"/>
        </w:rPr>
        <w:t>differentiation potential</w:t>
      </w:r>
      <w:r w:rsidRPr="00C92BE5">
        <w:rPr>
          <w:rFonts w:cs="Arial"/>
          <w:lang w:val="en-GB"/>
        </w:rPr>
        <w:t>.</w:t>
      </w:r>
    </w:p>
    <w:p w14:paraId="699F8B34" w14:textId="5ED3696C" w:rsidR="007B3A77" w:rsidRDefault="00EE13C6" w:rsidP="00C92BE5">
      <w:pPr>
        <w:rPr>
          <w:rFonts w:cs="Arial"/>
          <w:lang w:val="en-GB"/>
        </w:rPr>
      </w:pPr>
      <w:r w:rsidRPr="00EE13C6">
        <w:rPr>
          <w:rFonts w:cs="Arial"/>
          <w:lang w:val="en-GB"/>
        </w:rPr>
        <w:t xml:space="preserve">The SWOT analysis highlights that the concept’s uniqueness is both its strength and potential weakness. Its appeal is niche, which can be limiting if not managed carefully. Imported ingredients can increase costs, but authentic flavours also boost credibility. </w:t>
      </w:r>
      <w:r w:rsidRPr="00EE13C6">
        <w:rPr>
          <w:rFonts w:cs="Arial"/>
          <w:lang w:val="en-GB"/>
        </w:rPr>
        <w:lastRenderedPageBreak/>
        <w:t xml:space="preserve">Opportunities include cultural partnerships, while threats include </w:t>
      </w:r>
      <w:r>
        <w:rPr>
          <w:rFonts w:cs="Arial"/>
          <w:lang w:val="en-GB"/>
        </w:rPr>
        <w:t>intense</w:t>
      </w:r>
      <w:r w:rsidRPr="00EE13C6">
        <w:rPr>
          <w:rFonts w:cs="Arial"/>
          <w:lang w:val="en-GB"/>
        </w:rPr>
        <w:t xml:space="preserve"> local competition and unpredictable economic conditions. Porter’s Five Forces suggests that rivalry is </w:t>
      </w:r>
      <w:r>
        <w:rPr>
          <w:rFonts w:cs="Arial"/>
          <w:lang w:val="en-GB"/>
        </w:rPr>
        <w:t>intense</w:t>
      </w:r>
      <w:r w:rsidRPr="00EE13C6">
        <w:rPr>
          <w:rFonts w:cs="Arial"/>
          <w:lang w:val="en-GB"/>
        </w:rPr>
        <w:t xml:space="preserve">, buyer power is strong, and substitutes are </w:t>
      </w:r>
      <w:r>
        <w:rPr>
          <w:rFonts w:cs="Arial"/>
          <w:lang w:val="en-GB"/>
        </w:rPr>
        <w:t>readily</w:t>
      </w:r>
      <w:r w:rsidRPr="00EE13C6">
        <w:rPr>
          <w:rFonts w:cs="Arial"/>
          <w:lang w:val="en-GB"/>
        </w:rPr>
        <w:t xml:space="preserve"> available. This means the business must rely on loyalty, atmosphere, and consistent cultural value</w:t>
      </w:r>
      <w:r>
        <w:rPr>
          <w:rFonts w:cs="Arial"/>
          <w:lang w:val="en-GB"/>
        </w:rPr>
        <w:t xml:space="preserve">, </w:t>
      </w:r>
      <w:r w:rsidRPr="00EE13C6">
        <w:rPr>
          <w:rFonts w:cs="Arial"/>
          <w:lang w:val="en-GB"/>
        </w:rPr>
        <w:t>not just food and drink</w:t>
      </w:r>
      <w:r>
        <w:rPr>
          <w:rFonts w:cs="Arial"/>
          <w:lang w:val="en-GB"/>
        </w:rPr>
        <w:t xml:space="preserve">, </w:t>
      </w:r>
      <w:r w:rsidRPr="00EE13C6">
        <w:rPr>
          <w:rFonts w:cs="Arial"/>
          <w:lang w:val="en-GB"/>
        </w:rPr>
        <w:t>to stand out</w:t>
      </w:r>
      <w:r>
        <w:rPr>
          <w:rFonts w:cs="Arial"/>
          <w:lang w:val="en-GB"/>
        </w:rPr>
        <w:t xml:space="preserve"> </w:t>
      </w:r>
      <w:r w:rsidR="00C92BE5" w:rsidRPr="00C92BE5">
        <w:rPr>
          <w:rFonts w:cs="Arial"/>
          <w:lang w:val="en-GB"/>
        </w:rPr>
        <w:t xml:space="preserve">(Fazekas, 2020; Kovács, 2021). However, weaknesses include the </w:t>
      </w:r>
      <w:r w:rsidR="00C92BE5">
        <w:rPr>
          <w:rFonts w:cs="Arial"/>
          <w:lang w:val="en-GB"/>
        </w:rPr>
        <w:t>concept's niche appeal, which may limit mass-market</w:t>
      </w:r>
      <w:r w:rsidR="00C92BE5" w:rsidRPr="00C92BE5">
        <w:rPr>
          <w:rFonts w:cs="Arial"/>
          <w:lang w:val="en-GB"/>
        </w:rPr>
        <w:t xml:space="preserve"> reach, and higher initial import costs for Hungarian ingredients. Reliance on consistent event programming also poses risks, as lapses in cultural offerings could reduce footfall. Opportunities are evident in partnerships with universities, authors, and book festivals, as well as in the growing popularity of Eastern European cuisine in the UK (Evans, 2022). An online presence and branded merchandise </w:t>
      </w:r>
      <w:r w:rsidR="001B6115">
        <w:rPr>
          <w:rFonts w:cs="Arial"/>
          <w:lang w:val="en-GB"/>
        </w:rPr>
        <w:t>can generate additional revenue</w:t>
      </w:r>
      <w:r w:rsidR="00C92BE5" w:rsidRPr="00C92BE5">
        <w:rPr>
          <w:rFonts w:cs="Arial"/>
          <w:lang w:val="en-GB"/>
        </w:rPr>
        <w:t>. Yet threats remain significant: competition from established pubs and chains such as The George and The Mount Edgcumbe, economic downturns that reduce discretionary spending, and rising utility costs that impact profitability (Kotler and Keller, 2016; Mintel, 2024).</w:t>
      </w:r>
    </w:p>
    <w:p w14:paraId="72B202C3" w14:textId="77777777" w:rsidR="007B3A77" w:rsidRPr="00C92BE5" w:rsidRDefault="007B3A77" w:rsidP="00C92BE5">
      <w:pPr>
        <w:rPr>
          <w:rFonts w:cs="Arial"/>
          <w:lang w:val="en-GB"/>
        </w:rPr>
      </w:pPr>
    </w:p>
    <w:p w14:paraId="7BA6DC51" w14:textId="55A140FA" w:rsidR="00C92BE5" w:rsidRPr="00C92BE5" w:rsidRDefault="00C92BE5" w:rsidP="00C92BE5">
      <w:pPr>
        <w:rPr>
          <w:rFonts w:cs="Arial"/>
          <w:sz w:val="22"/>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65"/>
        <w:gridCol w:w="5051"/>
      </w:tblGrid>
      <w:tr w:rsidR="00C92BE5" w:rsidRPr="00C92BE5" w14:paraId="01E8763F" w14:textId="77777777" w:rsidTr="001E445C">
        <w:trPr>
          <w:tblHeader/>
          <w:tblCellSpacing w:w="15" w:type="dxa"/>
        </w:trPr>
        <w:tc>
          <w:tcPr>
            <w:tcW w:w="3924" w:type="dxa"/>
            <w:vAlign w:val="center"/>
            <w:hideMark/>
          </w:tcPr>
          <w:p w14:paraId="4B5F1732" w14:textId="77777777" w:rsidR="00C92BE5" w:rsidRPr="00C92BE5" w:rsidRDefault="00C92BE5" w:rsidP="001E445C">
            <w:pPr>
              <w:jc w:val="left"/>
              <w:rPr>
                <w:rFonts w:cs="Arial"/>
                <w:b/>
                <w:bCs/>
                <w:lang w:val="en-GB"/>
              </w:rPr>
            </w:pPr>
            <w:r w:rsidRPr="00C92BE5">
              <w:rPr>
                <w:rFonts w:cs="Arial"/>
                <w:b/>
                <w:bCs/>
                <w:lang w:val="en-GB"/>
              </w:rPr>
              <w:t>Strengths</w:t>
            </w:r>
          </w:p>
        </w:tc>
        <w:tc>
          <w:tcPr>
            <w:tcW w:w="5012" w:type="dxa"/>
            <w:vAlign w:val="center"/>
            <w:hideMark/>
          </w:tcPr>
          <w:p w14:paraId="1A09B81A" w14:textId="77777777" w:rsidR="00C92BE5" w:rsidRPr="00C92BE5" w:rsidRDefault="00C92BE5" w:rsidP="001E445C">
            <w:pPr>
              <w:jc w:val="left"/>
              <w:rPr>
                <w:rFonts w:cs="Arial"/>
                <w:b/>
                <w:bCs/>
                <w:lang w:val="en-GB"/>
              </w:rPr>
            </w:pPr>
            <w:r w:rsidRPr="00C92BE5">
              <w:rPr>
                <w:rFonts w:cs="Arial"/>
                <w:b/>
                <w:bCs/>
                <w:lang w:val="en-GB"/>
              </w:rPr>
              <w:t>Weaknesses</w:t>
            </w:r>
          </w:p>
        </w:tc>
      </w:tr>
      <w:tr w:rsidR="00C92BE5" w:rsidRPr="00C92BE5" w14:paraId="049E259D" w14:textId="77777777" w:rsidTr="001E445C">
        <w:trPr>
          <w:tblCellSpacing w:w="15" w:type="dxa"/>
        </w:trPr>
        <w:tc>
          <w:tcPr>
            <w:tcW w:w="3924" w:type="dxa"/>
            <w:vAlign w:val="center"/>
            <w:hideMark/>
          </w:tcPr>
          <w:p w14:paraId="4E0CF639" w14:textId="77777777" w:rsidR="00C92BE5" w:rsidRPr="00C92BE5" w:rsidRDefault="00C92BE5" w:rsidP="001E445C">
            <w:pPr>
              <w:jc w:val="left"/>
              <w:rPr>
                <w:rFonts w:cs="Arial"/>
                <w:lang w:val="en-GB"/>
              </w:rPr>
            </w:pPr>
            <w:r w:rsidRPr="00C92BE5">
              <w:rPr>
                <w:rFonts w:cs="Arial"/>
                <w:lang w:val="en-GB"/>
              </w:rPr>
              <w:t>Distinctive Hungarian literary theme (Kovács, 2021).</w:t>
            </w:r>
          </w:p>
        </w:tc>
        <w:tc>
          <w:tcPr>
            <w:tcW w:w="5012" w:type="dxa"/>
            <w:vAlign w:val="center"/>
            <w:hideMark/>
          </w:tcPr>
          <w:p w14:paraId="624ED069" w14:textId="349896CC" w:rsidR="00C92BE5" w:rsidRPr="00C92BE5" w:rsidRDefault="00C92BE5" w:rsidP="001E445C">
            <w:pPr>
              <w:jc w:val="left"/>
              <w:rPr>
                <w:rFonts w:cs="Arial"/>
                <w:lang w:val="en-GB"/>
              </w:rPr>
            </w:pPr>
            <w:r w:rsidRPr="00C92BE5">
              <w:rPr>
                <w:rFonts w:cs="Arial"/>
                <w:lang w:val="en-GB"/>
              </w:rPr>
              <w:t xml:space="preserve">Niche appeal may limit </w:t>
            </w:r>
            <w:r>
              <w:rPr>
                <w:rFonts w:cs="Arial"/>
                <w:lang w:val="en-GB"/>
              </w:rPr>
              <w:t xml:space="preserve">its appeal to the </w:t>
            </w:r>
            <w:r w:rsidRPr="00C92BE5">
              <w:rPr>
                <w:rFonts w:cs="Arial"/>
                <w:lang w:val="en-GB"/>
              </w:rPr>
              <w:t>mass audience (Kotler &amp; Keller, 2016).</w:t>
            </w:r>
          </w:p>
        </w:tc>
      </w:tr>
      <w:tr w:rsidR="00C92BE5" w:rsidRPr="00C92BE5" w14:paraId="09274883" w14:textId="77777777" w:rsidTr="001E445C">
        <w:trPr>
          <w:tblCellSpacing w:w="15" w:type="dxa"/>
        </w:trPr>
        <w:tc>
          <w:tcPr>
            <w:tcW w:w="3924" w:type="dxa"/>
            <w:vAlign w:val="center"/>
            <w:hideMark/>
          </w:tcPr>
          <w:p w14:paraId="4215A6DE" w14:textId="77777777" w:rsidR="00C92BE5" w:rsidRPr="00C92BE5" w:rsidRDefault="00C92BE5" w:rsidP="001E445C">
            <w:pPr>
              <w:jc w:val="left"/>
              <w:rPr>
                <w:rFonts w:cs="Arial"/>
                <w:lang w:val="en-GB"/>
              </w:rPr>
            </w:pPr>
            <w:r w:rsidRPr="00C92BE5">
              <w:rPr>
                <w:rFonts w:cs="Arial"/>
                <w:lang w:val="en-GB"/>
              </w:rPr>
              <w:t>Central location in Tunbridge Wells.</w:t>
            </w:r>
          </w:p>
        </w:tc>
        <w:tc>
          <w:tcPr>
            <w:tcW w:w="5012" w:type="dxa"/>
            <w:vAlign w:val="center"/>
            <w:hideMark/>
          </w:tcPr>
          <w:p w14:paraId="53AF5A47" w14:textId="77777777" w:rsidR="00C92BE5" w:rsidRPr="00C92BE5" w:rsidRDefault="00C92BE5" w:rsidP="001E445C">
            <w:pPr>
              <w:jc w:val="left"/>
              <w:rPr>
                <w:rFonts w:cs="Arial"/>
                <w:lang w:val="en-GB"/>
              </w:rPr>
            </w:pPr>
            <w:r w:rsidRPr="00C92BE5">
              <w:rPr>
                <w:rFonts w:cs="Arial"/>
                <w:lang w:val="en-GB"/>
              </w:rPr>
              <w:t>Higher import costs for authentic ingredients.</w:t>
            </w:r>
          </w:p>
        </w:tc>
      </w:tr>
      <w:tr w:rsidR="00C92BE5" w:rsidRPr="00C92BE5" w14:paraId="42A5BD15" w14:textId="77777777" w:rsidTr="001E445C">
        <w:trPr>
          <w:tblCellSpacing w:w="15" w:type="dxa"/>
        </w:trPr>
        <w:tc>
          <w:tcPr>
            <w:tcW w:w="3924" w:type="dxa"/>
            <w:vAlign w:val="center"/>
            <w:hideMark/>
          </w:tcPr>
          <w:p w14:paraId="43158096" w14:textId="77777777" w:rsidR="00C92BE5" w:rsidRPr="00C92BE5" w:rsidRDefault="00C92BE5" w:rsidP="001E445C">
            <w:pPr>
              <w:jc w:val="left"/>
              <w:rPr>
                <w:rFonts w:cs="Arial"/>
                <w:lang w:val="en-GB"/>
              </w:rPr>
            </w:pPr>
            <w:r w:rsidRPr="00C92BE5">
              <w:rPr>
                <w:rFonts w:cs="Arial"/>
                <w:lang w:val="en-GB"/>
              </w:rPr>
              <w:t>Authentic imported recipes and curated events (Fazekas, 2020).</w:t>
            </w:r>
          </w:p>
        </w:tc>
        <w:tc>
          <w:tcPr>
            <w:tcW w:w="5012" w:type="dxa"/>
            <w:vAlign w:val="center"/>
            <w:hideMark/>
          </w:tcPr>
          <w:p w14:paraId="2AF2E0C5" w14:textId="77777777" w:rsidR="00C92BE5" w:rsidRPr="00C92BE5" w:rsidRDefault="00C92BE5" w:rsidP="001E445C">
            <w:pPr>
              <w:jc w:val="left"/>
              <w:rPr>
                <w:rFonts w:cs="Arial"/>
                <w:lang w:val="en-GB"/>
              </w:rPr>
            </w:pPr>
            <w:r w:rsidRPr="00C92BE5">
              <w:rPr>
                <w:rFonts w:cs="Arial"/>
                <w:lang w:val="en-GB"/>
              </w:rPr>
              <w:t>Reliance on consistent event programming.</w:t>
            </w:r>
          </w:p>
        </w:tc>
      </w:tr>
    </w:tbl>
    <w:p w14:paraId="6B53AE76" w14:textId="77777777" w:rsidR="00C92BE5" w:rsidRPr="00C92BE5" w:rsidRDefault="00C92BE5" w:rsidP="001E445C">
      <w:pPr>
        <w:jc w:val="left"/>
        <w:rPr>
          <w:rFonts w:cs="Arial"/>
          <w:vanish/>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65"/>
        <w:gridCol w:w="5051"/>
      </w:tblGrid>
      <w:tr w:rsidR="00C92BE5" w:rsidRPr="00C92BE5" w14:paraId="4D3415E8" w14:textId="77777777" w:rsidTr="001E445C">
        <w:trPr>
          <w:tblHeader/>
          <w:tblCellSpacing w:w="15" w:type="dxa"/>
        </w:trPr>
        <w:tc>
          <w:tcPr>
            <w:tcW w:w="3924" w:type="dxa"/>
            <w:vAlign w:val="center"/>
            <w:hideMark/>
          </w:tcPr>
          <w:p w14:paraId="0458CAEC" w14:textId="77777777" w:rsidR="00C92BE5" w:rsidRPr="00C92BE5" w:rsidRDefault="00C92BE5" w:rsidP="001E445C">
            <w:pPr>
              <w:jc w:val="left"/>
              <w:rPr>
                <w:rFonts w:cs="Arial"/>
                <w:b/>
                <w:bCs/>
                <w:lang w:val="en-GB"/>
              </w:rPr>
            </w:pPr>
            <w:r w:rsidRPr="00C92BE5">
              <w:rPr>
                <w:rFonts w:cs="Arial"/>
                <w:b/>
                <w:bCs/>
                <w:lang w:val="en-GB"/>
              </w:rPr>
              <w:t>Opportunities</w:t>
            </w:r>
          </w:p>
        </w:tc>
        <w:tc>
          <w:tcPr>
            <w:tcW w:w="5012" w:type="dxa"/>
            <w:vAlign w:val="center"/>
            <w:hideMark/>
          </w:tcPr>
          <w:p w14:paraId="5D6D827E" w14:textId="77777777" w:rsidR="00C92BE5" w:rsidRPr="00C92BE5" w:rsidRDefault="00C92BE5" w:rsidP="001E445C">
            <w:pPr>
              <w:jc w:val="left"/>
              <w:rPr>
                <w:rFonts w:cs="Arial"/>
                <w:b/>
                <w:bCs/>
                <w:lang w:val="en-GB"/>
              </w:rPr>
            </w:pPr>
            <w:r w:rsidRPr="00C92BE5">
              <w:rPr>
                <w:rFonts w:cs="Arial"/>
                <w:b/>
                <w:bCs/>
                <w:lang w:val="en-GB"/>
              </w:rPr>
              <w:t>Threats</w:t>
            </w:r>
          </w:p>
        </w:tc>
      </w:tr>
      <w:tr w:rsidR="00C92BE5" w:rsidRPr="00C92BE5" w14:paraId="49F5B70F" w14:textId="77777777" w:rsidTr="001E445C">
        <w:trPr>
          <w:tblCellSpacing w:w="15" w:type="dxa"/>
        </w:trPr>
        <w:tc>
          <w:tcPr>
            <w:tcW w:w="3924" w:type="dxa"/>
            <w:vAlign w:val="center"/>
            <w:hideMark/>
          </w:tcPr>
          <w:p w14:paraId="623941F7" w14:textId="77777777" w:rsidR="00C92BE5" w:rsidRPr="00C92BE5" w:rsidRDefault="00C92BE5" w:rsidP="001E445C">
            <w:pPr>
              <w:jc w:val="left"/>
              <w:rPr>
                <w:rFonts w:cs="Arial"/>
                <w:lang w:val="en-GB"/>
              </w:rPr>
            </w:pPr>
            <w:r w:rsidRPr="00C92BE5">
              <w:rPr>
                <w:rFonts w:cs="Arial"/>
                <w:lang w:val="en-GB"/>
              </w:rPr>
              <w:t>Partnerships with universities and festivals (Evans, 2022).</w:t>
            </w:r>
          </w:p>
        </w:tc>
        <w:tc>
          <w:tcPr>
            <w:tcW w:w="5012" w:type="dxa"/>
            <w:vAlign w:val="center"/>
            <w:hideMark/>
          </w:tcPr>
          <w:p w14:paraId="49A49505" w14:textId="77777777" w:rsidR="00C92BE5" w:rsidRPr="00C92BE5" w:rsidRDefault="00C92BE5" w:rsidP="001E445C">
            <w:pPr>
              <w:jc w:val="left"/>
              <w:rPr>
                <w:rFonts w:cs="Arial"/>
                <w:lang w:val="en-GB"/>
              </w:rPr>
            </w:pPr>
            <w:r w:rsidRPr="00C92BE5">
              <w:rPr>
                <w:rFonts w:cs="Arial"/>
                <w:lang w:val="en-GB"/>
              </w:rPr>
              <w:t>Competition from established pubs (Porter, 1985).</w:t>
            </w:r>
          </w:p>
        </w:tc>
      </w:tr>
      <w:tr w:rsidR="00C92BE5" w:rsidRPr="00C92BE5" w14:paraId="5BF61739" w14:textId="77777777" w:rsidTr="001E445C">
        <w:trPr>
          <w:tblCellSpacing w:w="15" w:type="dxa"/>
        </w:trPr>
        <w:tc>
          <w:tcPr>
            <w:tcW w:w="3924" w:type="dxa"/>
            <w:vAlign w:val="center"/>
            <w:hideMark/>
          </w:tcPr>
          <w:p w14:paraId="727C96E8" w14:textId="6FDE0B71" w:rsidR="00C92BE5" w:rsidRPr="00C92BE5" w:rsidRDefault="00C92BE5" w:rsidP="001E445C">
            <w:pPr>
              <w:jc w:val="left"/>
              <w:rPr>
                <w:rFonts w:cs="Arial"/>
                <w:lang w:val="en-GB"/>
              </w:rPr>
            </w:pPr>
            <w:r w:rsidRPr="00C92BE5">
              <w:rPr>
                <w:rFonts w:cs="Arial"/>
                <w:lang w:val="en-GB"/>
              </w:rPr>
              <w:t xml:space="preserve">Growth of Eastern European cuisine trend in </w:t>
            </w:r>
            <w:r>
              <w:rPr>
                <w:rFonts w:cs="Arial"/>
                <w:lang w:val="en-GB"/>
              </w:rPr>
              <w:t xml:space="preserve">the </w:t>
            </w:r>
            <w:r w:rsidRPr="00C92BE5">
              <w:rPr>
                <w:rFonts w:cs="Arial"/>
                <w:lang w:val="en-GB"/>
              </w:rPr>
              <w:t>UK.</w:t>
            </w:r>
          </w:p>
        </w:tc>
        <w:tc>
          <w:tcPr>
            <w:tcW w:w="5012" w:type="dxa"/>
            <w:vAlign w:val="center"/>
            <w:hideMark/>
          </w:tcPr>
          <w:p w14:paraId="30B64808" w14:textId="31D8C170" w:rsidR="00C92BE5" w:rsidRPr="00C92BE5" w:rsidRDefault="00C92BE5" w:rsidP="001E445C">
            <w:pPr>
              <w:jc w:val="left"/>
              <w:rPr>
                <w:rFonts w:cs="Arial"/>
                <w:lang w:val="en-GB"/>
              </w:rPr>
            </w:pPr>
            <w:r w:rsidRPr="00C92BE5">
              <w:rPr>
                <w:rFonts w:cs="Arial"/>
                <w:lang w:val="en-GB"/>
              </w:rPr>
              <w:t xml:space="preserve">Economic downturn </w:t>
            </w:r>
            <w:r>
              <w:rPr>
                <w:rFonts w:cs="Arial"/>
                <w:lang w:val="en-GB"/>
              </w:rPr>
              <w:t xml:space="preserve">is </w:t>
            </w:r>
            <w:r w:rsidRPr="00C92BE5">
              <w:rPr>
                <w:rFonts w:cs="Arial"/>
                <w:lang w:val="en-GB"/>
              </w:rPr>
              <w:t>reducing discretionary spending (Mintel, 2024).</w:t>
            </w:r>
          </w:p>
        </w:tc>
      </w:tr>
      <w:tr w:rsidR="00C92BE5" w:rsidRPr="00C92BE5" w14:paraId="552B0B71" w14:textId="77777777" w:rsidTr="001E445C">
        <w:trPr>
          <w:tblCellSpacing w:w="15" w:type="dxa"/>
        </w:trPr>
        <w:tc>
          <w:tcPr>
            <w:tcW w:w="3924" w:type="dxa"/>
            <w:vAlign w:val="center"/>
            <w:hideMark/>
          </w:tcPr>
          <w:p w14:paraId="0AE5C804" w14:textId="77777777" w:rsidR="00C92BE5" w:rsidRPr="00C92BE5" w:rsidRDefault="00C92BE5" w:rsidP="001E445C">
            <w:pPr>
              <w:jc w:val="left"/>
              <w:rPr>
                <w:rFonts w:cs="Arial"/>
                <w:lang w:val="en-GB"/>
              </w:rPr>
            </w:pPr>
            <w:r w:rsidRPr="00C92BE5">
              <w:rPr>
                <w:rFonts w:cs="Arial"/>
                <w:lang w:val="en-GB"/>
              </w:rPr>
              <w:lastRenderedPageBreak/>
              <w:t>Online presence and branded merchandise.</w:t>
            </w:r>
          </w:p>
        </w:tc>
        <w:tc>
          <w:tcPr>
            <w:tcW w:w="5012" w:type="dxa"/>
            <w:vAlign w:val="center"/>
            <w:hideMark/>
          </w:tcPr>
          <w:p w14:paraId="2C3700EB" w14:textId="1AD4343A" w:rsidR="00C92BE5" w:rsidRPr="00C92BE5" w:rsidRDefault="00C92BE5" w:rsidP="001E445C">
            <w:pPr>
              <w:jc w:val="left"/>
              <w:rPr>
                <w:rFonts w:cs="Arial"/>
                <w:lang w:val="en-GB"/>
              </w:rPr>
            </w:pPr>
            <w:r w:rsidRPr="00C92BE5">
              <w:rPr>
                <w:rFonts w:cs="Arial"/>
                <w:lang w:val="en-GB"/>
              </w:rPr>
              <w:t xml:space="preserve">Rising utility costs </w:t>
            </w:r>
            <w:r>
              <w:rPr>
                <w:rFonts w:cs="Arial"/>
                <w:lang w:val="en-GB"/>
              </w:rPr>
              <w:t xml:space="preserve">are </w:t>
            </w:r>
            <w:r w:rsidRPr="00C92BE5">
              <w:rPr>
                <w:rFonts w:cs="Arial"/>
                <w:lang w:val="en-GB"/>
              </w:rPr>
              <w:t>impacting profitability.</w:t>
            </w:r>
          </w:p>
        </w:tc>
      </w:tr>
    </w:tbl>
    <w:p w14:paraId="48BFFFE0" w14:textId="77777777" w:rsidR="001E445C" w:rsidRDefault="001E445C" w:rsidP="001E445C">
      <w:pPr>
        <w:jc w:val="center"/>
        <w:rPr>
          <w:rFonts w:cs="Arial"/>
          <w:sz w:val="22"/>
          <w:lang w:val="en-GB"/>
        </w:rPr>
      </w:pPr>
    </w:p>
    <w:p w14:paraId="2A455D6A" w14:textId="729E94D1" w:rsidR="001E445C" w:rsidRDefault="001E445C" w:rsidP="001E445C">
      <w:pPr>
        <w:jc w:val="center"/>
        <w:rPr>
          <w:rFonts w:cs="Arial"/>
          <w:lang w:val="en-GB"/>
        </w:rPr>
      </w:pPr>
      <w:r w:rsidRPr="00C92BE5">
        <w:rPr>
          <w:rFonts w:cs="Arial"/>
          <w:sz w:val="22"/>
          <w:lang w:val="en-GB"/>
        </w:rPr>
        <w:t>Table 2: SWOT Analysis of The Magyar Quill</w:t>
      </w:r>
    </w:p>
    <w:p w14:paraId="7EA33AC1" w14:textId="77777777" w:rsidR="001E445C" w:rsidRDefault="001E445C" w:rsidP="00C92BE5">
      <w:pPr>
        <w:rPr>
          <w:rFonts w:cs="Arial"/>
          <w:lang w:val="en-GB"/>
        </w:rPr>
      </w:pPr>
    </w:p>
    <w:p w14:paraId="6F62C03F" w14:textId="421D71CA" w:rsidR="00C92BE5" w:rsidRPr="00C92BE5" w:rsidRDefault="00C92BE5" w:rsidP="00C92BE5">
      <w:pPr>
        <w:rPr>
          <w:rFonts w:cs="Arial"/>
          <w:lang w:val="en-GB"/>
        </w:rPr>
      </w:pPr>
      <w:r w:rsidRPr="00C92BE5">
        <w:rPr>
          <w:rFonts w:cs="Arial"/>
          <w:lang w:val="en-GB"/>
        </w:rPr>
        <w:t>The SWOT analysis demonstrates that while The Magyar Quill has strong differentiating features, its reliance on niche appeal and imported goods exposes it to vulnerabilities. The critical challenge lies in balancing authenticity with scalability, ensuring that the concept remains accessible without diluting its cultural identity.</w:t>
      </w:r>
    </w:p>
    <w:p w14:paraId="3A7614B1" w14:textId="0D6FF18D" w:rsidR="00C92BE5" w:rsidRPr="00C92BE5" w:rsidRDefault="00C92BE5" w:rsidP="00C92BE5">
      <w:pPr>
        <w:rPr>
          <w:rFonts w:cs="Arial"/>
          <w:lang w:val="en-GB"/>
        </w:rPr>
      </w:pPr>
      <w:r w:rsidRPr="00C92BE5">
        <w:rPr>
          <w:rFonts w:cs="Arial"/>
          <w:lang w:val="en-GB"/>
        </w:rPr>
        <w:t xml:space="preserve">Porter’s Five Forces analysis provides a further lens for evaluating industry competitiveness. Competitive rivalry in Tunbridge Wells is high, with numerous pubs and restaurants competing for consumer attention. Differentiation through theme, quality, and community engagement is therefore essential (Porter, 1985). The threat of new entrants is moderate: while high setup costs and licensing regulations deter casual entrants, independent bars continue to emerge periodically. Supplier power is </w:t>
      </w:r>
      <w:r>
        <w:rPr>
          <w:rFonts w:cs="Arial"/>
          <w:lang w:val="en-GB"/>
        </w:rPr>
        <w:t>mild</w:t>
      </w:r>
      <w:r w:rsidRPr="00C92BE5">
        <w:rPr>
          <w:rFonts w:cs="Arial"/>
          <w:lang w:val="en-GB"/>
        </w:rPr>
        <w:t>, as specialised Hungarian suppliers may exert pricing power, but diversification with local distributors can reduce dependency (Mintel, 2024). Buyer power is high, since customers have many dining options, making value, atmosphere, and uniqueness critical for retention (Kotler and Keller, 2016). The threat of substitutes is moderate to high, as themed pubs, cafés, and casual dining experiences provide alternatives, though few offer a comparable Hungarian literary identity (Smith, 2019). Table 3 summarises these findings.</w:t>
      </w:r>
    </w:p>
    <w:p w14:paraId="5F04A20A" w14:textId="56BA0532" w:rsidR="00C92BE5" w:rsidRPr="00C92BE5" w:rsidRDefault="00C92BE5" w:rsidP="00C92BE5">
      <w:pPr>
        <w:rPr>
          <w:rFonts w:cs="Arial"/>
          <w:sz w:val="22"/>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9"/>
        <w:gridCol w:w="5362"/>
        <w:gridCol w:w="1795"/>
      </w:tblGrid>
      <w:tr w:rsidR="00C92BE5" w:rsidRPr="00C92BE5" w14:paraId="4E113DC2" w14:textId="77777777" w:rsidTr="001E445C">
        <w:trPr>
          <w:tblHeader/>
          <w:tblCellSpacing w:w="15" w:type="dxa"/>
        </w:trPr>
        <w:tc>
          <w:tcPr>
            <w:tcW w:w="0" w:type="auto"/>
            <w:vAlign w:val="center"/>
            <w:hideMark/>
          </w:tcPr>
          <w:p w14:paraId="4FC94E5F" w14:textId="77777777" w:rsidR="00C92BE5" w:rsidRPr="00C92BE5" w:rsidRDefault="00C92BE5" w:rsidP="001E445C">
            <w:pPr>
              <w:jc w:val="center"/>
              <w:rPr>
                <w:rFonts w:cs="Arial"/>
                <w:b/>
                <w:bCs/>
                <w:lang w:val="en-GB"/>
              </w:rPr>
            </w:pPr>
            <w:r w:rsidRPr="00C92BE5">
              <w:rPr>
                <w:rFonts w:cs="Arial"/>
                <w:b/>
                <w:bCs/>
                <w:lang w:val="en-GB"/>
              </w:rPr>
              <w:t>Force</w:t>
            </w:r>
          </w:p>
        </w:tc>
        <w:tc>
          <w:tcPr>
            <w:tcW w:w="0" w:type="auto"/>
            <w:vAlign w:val="center"/>
            <w:hideMark/>
          </w:tcPr>
          <w:p w14:paraId="78D06C33" w14:textId="77777777" w:rsidR="00C92BE5" w:rsidRPr="00C92BE5" w:rsidRDefault="00C92BE5" w:rsidP="001E445C">
            <w:pPr>
              <w:jc w:val="center"/>
              <w:rPr>
                <w:rFonts w:cs="Arial"/>
                <w:b/>
                <w:bCs/>
                <w:lang w:val="en-GB"/>
              </w:rPr>
            </w:pPr>
            <w:r w:rsidRPr="00C92BE5">
              <w:rPr>
                <w:rFonts w:cs="Arial"/>
                <w:b/>
                <w:bCs/>
                <w:lang w:val="en-GB"/>
              </w:rPr>
              <w:t>Analysis</w:t>
            </w:r>
          </w:p>
        </w:tc>
        <w:tc>
          <w:tcPr>
            <w:tcW w:w="0" w:type="auto"/>
            <w:vAlign w:val="center"/>
            <w:hideMark/>
          </w:tcPr>
          <w:p w14:paraId="6ED3CAA0" w14:textId="77777777" w:rsidR="00C92BE5" w:rsidRPr="00C92BE5" w:rsidRDefault="00C92BE5" w:rsidP="001E445C">
            <w:pPr>
              <w:jc w:val="center"/>
              <w:rPr>
                <w:rFonts w:cs="Arial"/>
                <w:b/>
                <w:bCs/>
                <w:lang w:val="en-GB"/>
              </w:rPr>
            </w:pPr>
            <w:r w:rsidRPr="00C92BE5">
              <w:rPr>
                <w:rFonts w:cs="Arial"/>
                <w:b/>
                <w:bCs/>
                <w:lang w:val="en-GB"/>
              </w:rPr>
              <w:t>Supporting Source</w:t>
            </w:r>
          </w:p>
        </w:tc>
      </w:tr>
      <w:tr w:rsidR="00C92BE5" w:rsidRPr="00C92BE5" w14:paraId="601B8CED" w14:textId="77777777" w:rsidTr="001E445C">
        <w:trPr>
          <w:tblCellSpacing w:w="15" w:type="dxa"/>
        </w:trPr>
        <w:tc>
          <w:tcPr>
            <w:tcW w:w="0" w:type="auto"/>
            <w:vAlign w:val="center"/>
            <w:hideMark/>
          </w:tcPr>
          <w:p w14:paraId="067B0908" w14:textId="77777777" w:rsidR="00C92BE5" w:rsidRPr="00C92BE5" w:rsidRDefault="00C92BE5" w:rsidP="001E445C">
            <w:pPr>
              <w:jc w:val="left"/>
              <w:rPr>
                <w:rFonts w:cs="Arial"/>
                <w:lang w:val="en-GB"/>
              </w:rPr>
            </w:pPr>
            <w:r w:rsidRPr="00C92BE5">
              <w:rPr>
                <w:rFonts w:cs="Arial"/>
                <w:lang w:val="en-GB"/>
              </w:rPr>
              <w:t>Competitive Rivalry</w:t>
            </w:r>
          </w:p>
        </w:tc>
        <w:tc>
          <w:tcPr>
            <w:tcW w:w="0" w:type="auto"/>
            <w:vAlign w:val="center"/>
            <w:hideMark/>
          </w:tcPr>
          <w:p w14:paraId="39162B4F" w14:textId="77777777" w:rsidR="00C92BE5" w:rsidRPr="00C92BE5" w:rsidRDefault="00C92BE5" w:rsidP="001E445C">
            <w:pPr>
              <w:jc w:val="left"/>
              <w:rPr>
                <w:rFonts w:cs="Arial"/>
                <w:lang w:val="en-GB"/>
              </w:rPr>
            </w:pPr>
            <w:r w:rsidRPr="00C92BE5">
              <w:rPr>
                <w:rFonts w:cs="Arial"/>
                <w:lang w:val="en-GB"/>
              </w:rPr>
              <w:t>High — many pubs/restaurants in Tunbridge Wells; differentiation essential.</w:t>
            </w:r>
          </w:p>
        </w:tc>
        <w:tc>
          <w:tcPr>
            <w:tcW w:w="0" w:type="auto"/>
            <w:vAlign w:val="center"/>
            <w:hideMark/>
          </w:tcPr>
          <w:p w14:paraId="22884068" w14:textId="77777777" w:rsidR="00C92BE5" w:rsidRPr="00C92BE5" w:rsidRDefault="00C92BE5" w:rsidP="001E445C">
            <w:pPr>
              <w:jc w:val="left"/>
              <w:rPr>
                <w:rFonts w:cs="Arial"/>
                <w:lang w:val="en-GB"/>
              </w:rPr>
            </w:pPr>
            <w:r w:rsidRPr="00C92BE5">
              <w:rPr>
                <w:rFonts w:cs="Arial"/>
                <w:lang w:val="en-GB"/>
              </w:rPr>
              <w:t>Porter (1985)</w:t>
            </w:r>
          </w:p>
        </w:tc>
      </w:tr>
      <w:tr w:rsidR="00C92BE5" w:rsidRPr="00C92BE5" w14:paraId="691224BC" w14:textId="77777777" w:rsidTr="001E445C">
        <w:trPr>
          <w:tblCellSpacing w:w="15" w:type="dxa"/>
        </w:trPr>
        <w:tc>
          <w:tcPr>
            <w:tcW w:w="0" w:type="auto"/>
            <w:vAlign w:val="center"/>
            <w:hideMark/>
          </w:tcPr>
          <w:p w14:paraId="1BFA5450" w14:textId="77777777" w:rsidR="00C92BE5" w:rsidRPr="00C92BE5" w:rsidRDefault="00C92BE5" w:rsidP="001E445C">
            <w:pPr>
              <w:jc w:val="left"/>
              <w:rPr>
                <w:rFonts w:cs="Arial"/>
                <w:lang w:val="en-GB"/>
              </w:rPr>
            </w:pPr>
            <w:r w:rsidRPr="00C92BE5">
              <w:rPr>
                <w:rFonts w:cs="Arial"/>
                <w:lang w:val="en-GB"/>
              </w:rPr>
              <w:t>Threat of New Entrants</w:t>
            </w:r>
          </w:p>
        </w:tc>
        <w:tc>
          <w:tcPr>
            <w:tcW w:w="0" w:type="auto"/>
            <w:vAlign w:val="center"/>
            <w:hideMark/>
          </w:tcPr>
          <w:p w14:paraId="6D815056" w14:textId="77777777" w:rsidR="00C92BE5" w:rsidRPr="00C92BE5" w:rsidRDefault="00C92BE5" w:rsidP="001E445C">
            <w:pPr>
              <w:jc w:val="left"/>
              <w:rPr>
                <w:rFonts w:cs="Arial"/>
                <w:lang w:val="en-GB"/>
              </w:rPr>
            </w:pPr>
            <w:r w:rsidRPr="00C92BE5">
              <w:rPr>
                <w:rFonts w:cs="Arial"/>
                <w:lang w:val="en-GB"/>
              </w:rPr>
              <w:t>Moderate — licensing and high setup costs deter casual entrants, but independents still emerge.</w:t>
            </w:r>
          </w:p>
        </w:tc>
        <w:tc>
          <w:tcPr>
            <w:tcW w:w="0" w:type="auto"/>
            <w:vAlign w:val="center"/>
            <w:hideMark/>
          </w:tcPr>
          <w:p w14:paraId="14F3D3D4" w14:textId="77777777" w:rsidR="00C92BE5" w:rsidRPr="00C92BE5" w:rsidRDefault="00C92BE5" w:rsidP="001E445C">
            <w:pPr>
              <w:jc w:val="left"/>
              <w:rPr>
                <w:rFonts w:cs="Arial"/>
                <w:lang w:val="en-GB"/>
              </w:rPr>
            </w:pPr>
            <w:r w:rsidRPr="00C92BE5">
              <w:rPr>
                <w:rFonts w:cs="Arial"/>
                <w:lang w:val="en-GB"/>
              </w:rPr>
              <w:t>Burns (2016)</w:t>
            </w:r>
          </w:p>
        </w:tc>
      </w:tr>
      <w:tr w:rsidR="00C92BE5" w:rsidRPr="00C92BE5" w14:paraId="01897A45" w14:textId="77777777" w:rsidTr="001E445C">
        <w:trPr>
          <w:tblCellSpacing w:w="15" w:type="dxa"/>
        </w:trPr>
        <w:tc>
          <w:tcPr>
            <w:tcW w:w="0" w:type="auto"/>
            <w:vAlign w:val="center"/>
            <w:hideMark/>
          </w:tcPr>
          <w:p w14:paraId="78182D64" w14:textId="77777777" w:rsidR="00C92BE5" w:rsidRPr="00C92BE5" w:rsidRDefault="00C92BE5" w:rsidP="001E445C">
            <w:pPr>
              <w:jc w:val="left"/>
              <w:rPr>
                <w:rFonts w:cs="Arial"/>
                <w:lang w:val="en-GB"/>
              </w:rPr>
            </w:pPr>
            <w:r w:rsidRPr="00C92BE5">
              <w:rPr>
                <w:rFonts w:cs="Arial"/>
                <w:lang w:val="en-GB"/>
              </w:rPr>
              <w:lastRenderedPageBreak/>
              <w:t>Supplier Power</w:t>
            </w:r>
          </w:p>
        </w:tc>
        <w:tc>
          <w:tcPr>
            <w:tcW w:w="0" w:type="auto"/>
            <w:vAlign w:val="center"/>
            <w:hideMark/>
          </w:tcPr>
          <w:p w14:paraId="52924126" w14:textId="77777777" w:rsidR="00C92BE5" w:rsidRPr="00C92BE5" w:rsidRDefault="00C92BE5" w:rsidP="001E445C">
            <w:pPr>
              <w:jc w:val="left"/>
              <w:rPr>
                <w:rFonts w:cs="Arial"/>
                <w:lang w:val="en-GB"/>
              </w:rPr>
            </w:pPr>
            <w:r w:rsidRPr="00C92BE5">
              <w:rPr>
                <w:rFonts w:cs="Arial"/>
                <w:lang w:val="en-GB"/>
              </w:rPr>
              <w:t>Moderate — Hungarian imports may be costly, but local distributors reduce dependency.</w:t>
            </w:r>
          </w:p>
        </w:tc>
        <w:tc>
          <w:tcPr>
            <w:tcW w:w="0" w:type="auto"/>
            <w:vAlign w:val="center"/>
            <w:hideMark/>
          </w:tcPr>
          <w:p w14:paraId="4FDA3754" w14:textId="77777777" w:rsidR="00C92BE5" w:rsidRPr="00C92BE5" w:rsidRDefault="00C92BE5" w:rsidP="001E445C">
            <w:pPr>
              <w:jc w:val="left"/>
              <w:rPr>
                <w:rFonts w:cs="Arial"/>
                <w:lang w:val="en-GB"/>
              </w:rPr>
            </w:pPr>
            <w:r w:rsidRPr="00C92BE5">
              <w:rPr>
                <w:rFonts w:cs="Arial"/>
                <w:lang w:val="en-GB"/>
              </w:rPr>
              <w:t>Mintel (2024)</w:t>
            </w:r>
          </w:p>
        </w:tc>
      </w:tr>
      <w:tr w:rsidR="00C92BE5" w:rsidRPr="00C92BE5" w14:paraId="75573791" w14:textId="77777777" w:rsidTr="001E445C">
        <w:trPr>
          <w:tblCellSpacing w:w="15" w:type="dxa"/>
        </w:trPr>
        <w:tc>
          <w:tcPr>
            <w:tcW w:w="0" w:type="auto"/>
            <w:vAlign w:val="center"/>
            <w:hideMark/>
          </w:tcPr>
          <w:p w14:paraId="122459FF" w14:textId="77777777" w:rsidR="00C92BE5" w:rsidRPr="00C92BE5" w:rsidRDefault="00C92BE5" w:rsidP="001E445C">
            <w:pPr>
              <w:jc w:val="left"/>
              <w:rPr>
                <w:rFonts w:cs="Arial"/>
                <w:lang w:val="en-GB"/>
              </w:rPr>
            </w:pPr>
            <w:r w:rsidRPr="00C92BE5">
              <w:rPr>
                <w:rFonts w:cs="Arial"/>
                <w:lang w:val="en-GB"/>
              </w:rPr>
              <w:t>Buyer Power</w:t>
            </w:r>
          </w:p>
        </w:tc>
        <w:tc>
          <w:tcPr>
            <w:tcW w:w="0" w:type="auto"/>
            <w:vAlign w:val="center"/>
            <w:hideMark/>
          </w:tcPr>
          <w:p w14:paraId="179D5692" w14:textId="52A31C4B" w:rsidR="00C92BE5" w:rsidRPr="00C92BE5" w:rsidRDefault="00C92BE5" w:rsidP="001E445C">
            <w:pPr>
              <w:jc w:val="left"/>
              <w:rPr>
                <w:rFonts w:cs="Arial"/>
                <w:lang w:val="en-GB"/>
              </w:rPr>
            </w:pPr>
            <w:r w:rsidRPr="00C92BE5">
              <w:rPr>
                <w:rFonts w:cs="Arial"/>
                <w:lang w:val="en-GB"/>
              </w:rPr>
              <w:t xml:space="preserve">High — customers have many leisure options; value and uniqueness </w:t>
            </w:r>
            <w:r>
              <w:rPr>
                <w:rFonts w:cs="Arial"/>
                <w:lang w:val="en-GB"/>
              </w:rPr>
              <w:t xml:space="preserve">are </w:t>
            </w:r>
            <w:r w:rsidRPr="00C92BE5">
              <w:rPr>
                <w:rFonts w:cs="Arial"/>
                <w:lang w:val="en-GB"/>
              </w:rPr>
              <w:t>critical.</w:t>
            </w:r>
          </w:p>
        </w:tc>
        <w:tc>
          <w:tcPr>
            <w:tcW w:w="0" w:type="auto"/>
            <w:vAlign w:val="center"/>
            <w:hideMark/>
          </w:tcPr>
          <w:p w14:paraId="0A0ED03C" w14:textId="77777777" w:rsidR="00C92BE5" w:rsidRPr="00C92BE5" w:rsidRDefault="00C92BE5" w:rsidP="001E445C">
            <w:pPr>
              <w:jc w:val="left"/>
              <w:rPr>
                <w:rFonts w:cs="Arial"/>
                <w:lang w:val="en-GB"/>
              </w:rPr>
            </w:pPr>
            <w:r w:rsidRPr="00C92BE5">
              <w:rPr>
                <w:rFonts w:cs="Arial"/>
                <w:lang w:val="en-GB"/>
              </w:rPr>
              <w:t>Kotler &amp; Keller (2016)</w:t>
            </w:r>
          </w:p>
        </w:tc>
      </w:tr>
      <w:tr w:rsidR="00C92BE5" w:rsidRPr="00C92BE5" w14:paraId="2EA06F66" w14:textId="77777777" w:rsidTr="001E445C">
        <w:trPr>
          <w:tblCellSpacing w:w="15" w:type="dxa"/>
        </w:trPr>
        <w:tc>
          <w:tcPr>
            <w:tcW w:w="0" w:type="auto"/>
            <w:vAlign w:val="center"/>
            <w:hideMark/>
          </w:tcPr>
          <w:p w14:paraId="2DFBACDA" w14:textId="77777777" w:rsidR="00C92BE5" w:rsidRPr="00C92BE5" w:rsidRDefault="00C92BE5" w:rsidP="001E445C">
            <w:pPr>
              <w:jc w:val="left"/>
              <w:rPr>
                <w:rFonts w:cs="Arial"/>
                <w:lang w:val="en-GB"/>
              </w:rPr>
            </w:pPr>
            <w:r w:rsidRPr="00C92BE5">
              <w:rPr>
                <w:rFonts w:cs="Arial"/>
                <w:lang w:val="en-GB"/>
              </w:rPr>
              <w:t>Threat of Substitutes</w:t>
            </w:r>
          </w:p>
        </w:tc>
        <w:tc>
          <w:tcPr>
            <w:tcW w:w="0" w:type="auto"/>
            <w:vAlign w:val="center"/>
            <w:hideMark/>
          </w:tcPr>
          <w:p w14:paraId="2B22EA1C" w14:textId="4A366867" w:rsidR="00C92BE5" w:rsidRPr="00C92BE5" w:rsidRDefault="00C92BE5" w:rsidP="001E445C">
            <w:pPr>
              <w:jc w:val="left"/>
              <w:rPr>
                <w:rFonts w:cs="Arial"/>
                <w:lang w:val="en-GB"/>
              </w:rPr>
            </w:pPr>
            <w:r w:rsidRPr="00C92BE5">
              <w:rPr>
                <w:rFonts w:cs="Arial"/>
                <w:lang w:val="en-GB"/>
              </w:rPr>
              <w:t xml:space="preserve">Moderate to High — themed pubs and cafés exist, but few offer </w:t>
            </w:r>
            <w:r>
              <w:rPr>
                <w:rFonts w:cs="Arial"/>
                <w:lang w:val="en-GB"/>
              </w:rPr>
              <w:t xml:space="preserve">a </w:t>
            </w:r>
            <w:r w:rsidRPr="00C92BE5">
              <w:rPr>
                <w:rFonts w:cs="Arial"/>
                <w:lang w:val="en-GB"/>
              </w:rPr>
              <w:t>Hungarian literary identity.</w:t>
            </w:r>
          </w:p>
        </w:tc>
        <w:tc>
          <w:tcPr>
            <w:tcW w:w="0" w:type="auto"/>
            <w:vAlign w:val="center"/>
            <w:hideMark/>
          </w:tcPr>
          <w:p w14:paraId="757BEF83" w14:textId="77777777" w:rsidR="00C92BE5" w:rsidRPr="00C92BE5" w:rsidRDefault="00C92BE5" w:rsidP="001E445C">
            <w:pPr>
              <w:jc w:val="left"/>
              <w:rPr>
                <w:rFonts w:cs="Arial"/>
                <w:lang w:val="en-GB"/>
              </w:rPr>
            </w:pPr>
            <w:r w:rsidRPr="00C92BE5">
              <w:rPr>
                <w:rFonts w:cs="Arial"/>
                <w:lang w:val="en-GB"/>
              </w:rPr>
              <w:t>Smith (2019)</w:t>
            </w:r>
          </w:p>
        </w:tc>
      </w:tr>
    </w:tbl>
    <w:p w14:paraId="63281014" w14:textId="77777777" w:rsidR="001E445C" w:rsidRDefault="001E445C" w:rsidP="00C92BE5">
      <w:pPr>
        <w:rPr>
          <w:rFonts w:cs="Arial"/>
          <w:lang w:val="en-GB"/>
        </w:rPr>
      </w:pPr>
    </w:p>
    <w:p w14:paraId="780AB977" w14:textId="4E7A1586" w:rsidR="001E445C" w:rsidRDefault="001E445C" w:rsidP="001E445C">
      <w:pPr>
        <w:jc w:val="center"/>
        <w:rPr>
          <w:rFonts w:cs="Arial"/>
          <w:lang w:val="en-GB"/>
        </w:rPr>
      </w:pPr>
      <w:r w:rsidRPr="00C92BE5">
        <w:rPr>
          <w:rFonts w:cs="Arial"/>
          <w:sz w:val="22"/>
          <w:lang w:val="en-GB"/>
        </w:rPr>
        <w:t>Table 3: Porter’s Five Forces Analysis of The Magyar Quill</w:t>
      </w:r>
    </w:p>
    <w:p w14:paraId="2A2A6D04" w14:textId="77777777" w:rsidR="001E445C" w:rsidRDefault="001E445C" w:rsidP="00C92BE5">
      <w:pPr>
        <w:rPr>
          <w:rFonts w:cs="Arial"/>
          <w:lang w:val="en-GB"/>
        </w:rPr>
      </w:pPr>
    </w:p>
    <w:p w14:paraId="29FBA2CA" w14:textId="77777777" w:rsidR="001E445C" w:rsidRDefault="001E445C" w:rsidP="00C92BE5">
      <w:pPr>
        <w:rPr>
          <w:rFonts w:cs="Arial"/>
          <w:lang w:val="en-GB"/>
        </w:rPr>
      </w:pPr>
    </w:p>
    <w:p w14:paraId="5BDE6ACE" w14:textId="56B5809E" w:rsidR="00C92BE5" w:rsidRPr="00C92BE5" w:rsidRDefault="00C92BE5" w:rsidP="00C92BE5">
      <w:pPr>
        <w:rPr>
          <w:rFonts w:cs="Arial"/>
          <w:lang w:val="en-GB"/>
        </w:rPr>
      </w:pPr>
      <w:r w:rsidRPr="00C92BE5">
        <w:rPr>
          <w:rFonts w:cs="Arial"/>
          <w:lang w:val="en-GB"/>
        </w:rPr>
        <w:t xml:space="preserve">The Five Forces analysis </w:t>
      </w:r>
      <w:r w:rsidR="001B6115" w:rsidRPr="00C92BE5">
        <w:rPr>
          <w:rFonts w:cs="Arial"/>
          <w:lang w:val="en-GB"/>
        </w:rPr>
        <w:t>stresses</w:t>
      </w:r>
      <w:r w:rsidRPr="00C92BE5">
        <w:rPr>
          <w:rFonts w:cs="Arial"/>
          <w:lang w:val="en-GB"/>
        </w:rPr>
        <w:t xml:space="preserve"> the intensity of competition and the importance of differentiation. While the concept’s uniqueness provides a competitive edge, high buyer power and the availability of substitutes mean that customer loyalty must be actively cultivated. </w:t>
      </w:r>
      <w:r w:rsidR="00F75E1D">
        <w:rPr>
          <w:rFonts w:cs="Arial"/>
          <w:lang w:val="en-GB"/>
        </w:rPr>
        <w:t xml:space="preserve">Continuous innovation in programming, marketing, and supplier relations is needed </w:t>
      </w:r>
      <w:r w:rsidR="005D66BC">
        <w:rPr>
          <w:rFonts w:cs="Arial"/>
          <w:lang w:val="en-GB"/>
        </w:rPr>
        <w:t>to control costs</w:t>
      </w:r>
      <w:r w:rsidR="00F75E1D">
        <w:rPr>
          <w:rFonts w:cs="Arial"/>
          <w:lang w:val="en-GB"/>
        </w:rPr>
        <w:t>.</w:t>
      </w:r>
    </w:p>
    <w:p w14:paraId="5DD125A6" w14:textId="685986E6" w:rsidR="002C37E5" w:rsidRPr="002C37E5" w:rsidRDefault="00C92BE5" w:rsidP="002C37E5">
      <w:pPr>
        <w:rPr>
          <w:rFonts w:cs="Arial"/>
          <w:lang w:val="en-GB"/>
        </w:rPr>
      </w:pPr>
      <w:r w:rsidRPr="00C92BE5">
        <w:rPr>
          <w:rFonts w:cs="Arial"/>
          <w:lang w:val="en-GB"/>
        </w:rPr>
        <w:t xml:space="preserve">Taken together, the PESTEL, SWOT, and Five Forces analyses highlight both opportunities and vulnerabilities. Social and cultural trends strongly support experiential venues, and The Magyar Quill’s distinctive positioning offers clear potential. However, economic and legal pressures pose risks, and the competitive environment is unforgiving. </w:t>
      </w:r>
      <w:r w:rsidR="00F75E1D">
        <w:rPr>
          <w:rFonts w:cs="Arial"/>
          <w:lang w:val="en-GB"/>
        </w:rPr>
        <w:t>The findings align with Burns' (2016) argument: SMEs need innovation and operational strength.</w:t>
      </w:r>
      <w:r w:rsidRPr="00C92BE5">
        <w:rPr>
          <w:rFonts w:cs="Arial"/>
          <w:lang w:val="en-GB"/>
        </w:rPr>
        <w:t xml:space="preserve"> </w:t>
      </w:r>
      <w:r w:rsidR="00F75E1D">
        <w:rPr>
          <w:rFonts w:cs="Arial"/>
          <w:lang w:val="en-GB"/>
        </w:rPr>
        <w:t>Magyar Quill's success hinges on managing threats and leveraging its culture.</w:t>
      </w:r>
      <w:r w:rsidRPr="00C92BE5">
        <w:rPr>
          <w:rFonts w:cs="Arial"/>
          <w:lang w:val="en-GB"/>
        </w:rPr>
        <w:t xml:space="preserve"> This requires not only strategic clarity but also adaptability, as the hospitality sector remains highly sensitive to external shocks and shifting consumer preferences. By embedding theoretical frameworks within its analysis, the business plan demonstrates both academic rigour and practical awareness, positioning The Magyar Quill as a venture with potential for sustainable impact in Tunbridge </w:t>
      </w:r>
      <w:r>
        <w:rPr>
          <w:rFonts w:cs="Arial"/>
          <w:lang w:val="en-GB"/>
        </w:rPr>
        <w:t>Wells</w:t>
      </w:r>
      <w:r w:rsidRPr="00C92BE5">
        <w:rPr>
          <w:rFonts w:cs="Arial"/>
          <w:lang w:val="en-GB"/>
        </w:rPr>
        <w:t xml:space="preserve"> and beyond.</w:t>
      </w:r>
    </w:p>
    <w:p w14:paraId="3B9E31AA" w14:textId="7556DE40" w:rsidR="002C37E5" w:rsidRPr="002C37E5" w:rsidRDefault="002C37E5" w:rsidP="0015431E">
      <w:pPr>
        <w:pStyle w:val="Heading1"/>
      </w:pPr>
      <w:bookmarkStart w:id="3" w:name="_Toc215392767"/>
      <w:r>
        <w:lastRenderedPageBreak/>
        <w:t xml:space="preserve">3. </w:t>
      </w:r>
      <w:r w:rsidRPr="002C37E5">
        <w:t>Market Segmentation, 4Ps and Marketing Strategies</w:t>
      </w:r>
      <w:bookmarkEnd w:id="3"/>
    </w:p>
    <w:p w14:paraId="3EE410DD" w14:textId="54CC2432" w:rsidR="002C37E5" w:rsidRPr="002C37E5" w:rsidRDefault="00F75E1D" w:rsidP="002C37E5">
      <w:pPr>
        <w:rPr>
          <w:lang w:val="en-GB"/>
        </w:rPr>
      </w:pPr>
      <w:r>
        <w:rPr>
          <w:lang w:val="en-GB"/>
        </w:rPr>
        <w:t>Identifying markets and strategies is key to The Magyar Quill's plan.</w:t>
      </w:r>
      <w:r w:rsidR="002C37E5" w:rsidRPr="002C37E5">
        <w:rPr>
          <w:lang w:val="en-GB"/>
        </w:rPr>
        <w:t xml:space="preserve"> </w:t>
      </w:r>
      <w:r>
        <w:rPr>
          <w:lang w:val="en-GB"/>
        </w:rPr>
        <w:t xml:space="preserve">Market segmentation is fundamental, enabling the business to </w:t>
      </w:r>
      <w:r w:rsidR="005D66BC">
        <w:rPr>
          <w:lang w:val="en-GB"/>
        </w:rPr>
        <w:t>categorise</w:t>
      </w:r>
      <w:r>
        <w:rPr>
          <w:lang w:val="en-GB"/>
        </w:rPr>
        <w:t xml:space="preserve"> the hospitality market based on different characteristics.</w:t>
      </w:r>
      <w:r w:rsidR="002C37E5" w:rsidRPr="002C37E5">
        <w:rPr>
          <w:lang w:val="en-GB"/>
        </w:rPr>
        <w:t xml:space="preserve"> As Smith (2019) argues, segmentation is essential for cultural enterprises, </w:t>
      </w:r>
      <w:r w:rsidR="005D66BC">
        <w:rPr>
          <w:lang w:val="en-GB"/>
        </w:rPr>
        <w:t>allowing</w:t>
      </w:r>
      <w:r w:rsidR="002C37E5" w:rsidRPr="002C37E5">
        <w:rPr>
          <w:lang w:val="en-GB"/>
        </w:rPr>
        <w:t xml:space="preserve"> them to tailor offerings to audiences most likely to value authenticity and experiential consumption. For The Magyar Quill, segmentation will focus on culturally engaged locals, university students, and tourists seeking authentic experiences. These groups represent a blend of stable, repeat customers and transient visitors, ensuring both continuity and diversity in demand.</w:t>
      </w:r>
    </w:p>
    <w:p w14:paraId="4E67BA69" w14:textId="094A1A3A" w:rsidR="002C37E5" w:rsidRPr="002C37E5" w:rsidRDefault="002C37E5" w:rsidP="002C37E5">
      <w:pPr>
        <w:rPr>
          <w:lang w:val="en-GB"/>
        </w:rPr>
      </w:pPr>
      <w:r w:rsidRPr="002C37E5">
        <w:rPr>
          <w:lang w:val="en-GB"/>
        </w:rPr>
        <w:t xml:space="preserve">Demographically, the primary audience will </w:t>
      </w:r>
      <w:r>
        <w:rPr>
          <w:lang w:val="en-GB"/>
        </w:rPr>
        <w:t>be adults aged 25 to</w:t>
      </w:r>
      <w:r w:rsidRPr="002C37E5">
        <w:rPr>
          <w:lang w:val="en-GB"/>
        </w:rPr>
        <w:t xml:space="preserve"> 55, particularly </w:t>
      </w:r>
      <w:r>
        <w:rPr>
          <w:lang w:val="en-GB"/>
        </w:rPr>
        <w:t>middle-income</w:t>
      </w:r>
      <w:r w:rsidRPr="002C37E5">
        <w:rPr>
          <w:lang w:val="en-GB"/>
        </w:rPr>
        <w:t xml:space="preserve"> professionals, academics, and creatives. This group is likely to have disposable income and an appreciation for cultural and intellectual leisure activities. Psychographically, the target market includes literature enthusiasts, food explorers, and culture lovers who actively seek authentic, social experiences. Geographically, the focus will be on Tunbridge Wells residents, university students from nearby institutions, and tourists visiting the town’s cultural attractions. Behaviourally, the segmentation highlights frequent socialisers who prioritise atmosphere and cultural engagement over cost. Within this segmentation, the primary target market is educated professionals and creative individuals aged 25 to 45, while the secondary market comprises tourists and students seeking cultural dining experiences. </w:t>
      </w:r>
      <w:r w:rsidR="00F75E1D">
        <w:rPr>
          <w:lang w:val="en-GB"/>
        </w:rPr>
        <w:t>Attracting locals and visitors diversifies revenue and reduces customer reliance.</w:t>
      </w:r>
    </w:p>
    <w:p w14:paraId="7C673CF6" w14:textId="40A747B0" w:rsidR="002C37E5" w:rsidRPr="002C37E5" w:rsidRDefault="002C37E5" w:rsidP="002C37E5">
      <w:pPr>
        <w:rPr>
          <w:lang w:val="en-GB"/>
        </w:rPr>
      </w:pPr>
      <w:r w:rsidRPr="002C37E5">
        <w:rPr>
          <w:lang w:val="en-GB"/>
        </w:rPr>
        <w:t xml:space="preserve">The marketing mix, structured around the 4Ps, provides a framework for translating segmentation insights into actionable strategies. The product offering is central to differentiation, emphasising Hungarian authenticity and literary events. Authentic Hungarian food, including goulash, chicken paprikash, and chimney cake, will be complemented by curated drinks such as Tokaji wines and themed cocktails inspired by literature (Fazekas, 2020; Johnson and Robinson, 2013; Pine and Gilmore, 1999). The décor, music, and service style will reinforce the literary theme, while event programming and loyalty schemes will add </w:t>
      </w:r>
      <w:r>
        <w:rPr>
          <w:lang w:val="en-GB"/>
        </w:rPr>
        <w:t>long-term</w:t>
      </w:r>
      <w:r w:rsidRPr="002C37E5">
        <w:rPr>
          <w:lang w:val="en-GB"/>
        </w:rPr>
        <w:t xml:space="preserve"> value to customer engagement. </w:t>
      </w:r>
      <w:r w:rsidR="00F75E1D">
        <w:rPr>
          <w:lang w:val="en-GB"/>
        </w:rPr>
        <w:t>The product strategy needs to be both authentic and accessible.</w:t>
      </w:r>
      <w:r w:rsidRPr="002C37E5">
        <w:rPr>
          <w:lang w:val="en-GB"/>
        </w:rPr>
        <w:t xml:space="preserve"> While imported Hungarian ingredients enhance credibility, they also increase costs and expose the business to supply chain risks. To mitigate this, The Magyar Quill will incorporate </w:t>
      </w:r>
      <w:r w:rsidRPr="002C37E5">
        <w:rPr>
          <w:lang w:val="en-GB"/>
        </w:rPr>
        <w:lastRenderedPageBreak/>
        <w:t>fusion items tailored to local tastes, ensuring broader appeal without diluting its cultural identity.</w:t>
      </w:r>
    </w:p>
    <w:p w14:paraId="1F9A9C03" w14:textId="5544EED9" w:rsidR="002C37E5" w:rsidRPr="002C37E5" w:rsidRDefault="002C37E5" w:rsidP="002C37E5">
      <w:pPr>
        <w:rPr>
          <w:lang w:val="en-GB"/>
        </w:rPr>
      </w:pPr>
      <w:r w:rsidRPr="002C37E5">
        <w:rPr>
          <w:lang w:val="en-GB"/>
        </w:rPr>
        <w:t xml:space="preserve">Pricing strategy will adopt a </w:t>
      </w:r>
      <w:r>
        <w:rPr>
          <w:lang w:val="en-GB"/>
        </w:rPr>
        <w:t>value-based</w:t>
      </w:r>
      <w:r w:rsidRPr="002C37E5">
        <w:rPr>
          <w:lang w:val="en-GB"/>
        </w:rPr>
        <w:t xml:space="preserve"> approach, balancing authenticity and affordability. Main dishes will be priced between £12 and £18, cocktails between £8 and £10, and wines between £6 and £9 per glass. Discounts will be offered to members of “The Quill Club” loyalty programme and for </w:t>
      </w:r>
      <w:r>
        <w:rPr>
          <w:lang w:val="en-GB"/>
        </w:rPr>
        <w:t>off-peak</w:t>
      </w:r>
      <w:r w:rsidRPr="002C37E5">
        <w:rPr>
          <w:lang w:val="en-GB"/>
        </w:rPr>
        <w:t xml:space="preserve"> events such as weekday readings. Kotler and Keller (2016) emphasise that </w:t>
      </w:r>
      <w:r>
        <w:rPr>
          <w:lang w:val="en-GB"/>
        </w:rPr>
        <w:t>value-based</w:t>
      </w:r>
      <w:r w:rsidRPr="002C37E5">
        <w:rPr>
          <w:lang w:val="en-GB"/>
        </w:rPr>
        <w:t xml:space="preserve"> pricing requires alignment between perceived quality and customer willingness to pay. For The Magyar Quill, the challenge lies in maintaining affordability for students and younger audiences while sustaining premium positioning for professionals and tourists. This dual pricing strategy must be carefully managed to avoid alienating either group, highlighting the importance of continuous monitoring of consumer perceptions.</w:t>
      </w:r>
    </w:p>
    <w:p w14:paraId="095FCF46" w14:textId="0DDD2D05" w:rsidR="002C37E5" w:rsidRPr="002C37E5" w:rsidRDefault="002C37E5" w:rsidP="002C37E5">
      <w:pPr>
        <w:rPr>
          <w:lang w:val="en-GB"/>
        </w:rPr>
      </w:pPr>
      <w:r w:rsidRPr="002C37E5">
        <w:rPr>
          <w:lang w:val="en-GB"/>
        </w:rPr>
        <w:t xml:space="preserve">Place strategy leverages the prime location in Tunbridge Wells town centre, within walking distance of theatres, bookshops, and cultural venues. This positioning enhances visibility and accessibility, embedding the pub within the town’s cultural district. Online ordering for merchandise and gift vouchers will extend </w:t>
      </w:r>
      <w:r>
        <w:rPr>
          <w:lang w:val="en-GB"/>
        </w:rPr>
        <w:t>the reach beyond the physical venue, while the space's design</w:t>
      </w:r>
      <w:r w:rsidRPr="002C37E5">
        <w:rPr>
          <w:lang w:val="en-GB"/>
        </w:rPr>
        <w:t xml:space="preserve"> will encourage community engagement. Evans (2022) notes that cultural hubs thrive when they are embedded within existing networks of artistic and intellectual activity, and The Magyar Quill’s location provides a strong foundation for such integration. However, reliance on a single geographic location may limit scalability, underscoring the importance of </w:t>
      </w:r>
      <w:r>
        <w:rPr>
          <w:lang w:val="en-GB"/>
        </w:rPr>
        <w:t>long-term</w:t>
      </w:r>
      <w:r w:rsidRPr="002C37E5">
        <w:rPr>
          <w:lang w:val="en-GB"/>
        </w:rPr>
        <w:t xml:space="preserve"> expansion into other UK towns with similar cultural profiles.</w:t>
      </w:r>
    </w:p>
    <w:p w14:paraId="3B9F5C0A" w14:textId="5277F9C5" w:rsidR="002C37E5" w:rsidRPr="002C37E5" w:rsidRDefault="002C37E5" w:rsidP="002C37E5">
      <w:pPr>
        <w:rPr>
          <w:lang w:val="en-GB"/>
        </w:rPr>
      </w:pPr>
      <w:r w:rsidRPr="002C37E5">
        <w:rPr>
          <w:lang w:val="en-GB"/>
        </w:rPr>
        <w:t xml:space="preserve">Promotion strategy will combine traditional and digital methods, emphasising atmosphere and cultural storytelling. </w:t>
      </w:r>
      <w:r>
        <w:rPr>
          <w:lang w:val="en-GB"/>
        </w:rPr>
        <w:t>Pre-launch</w:t>
      </w:r>
      <w:r w:rsidRPr="002C37E5">
        <w:rPr>
          <w:lang w:val="en-GB"/>
        </w:rPr>
        <w:t xml:space="preserve"> campaigns on Instagram, Facebook, and TikTok will generate anticipation, while collaborations with local authors and festivals, such as the Tunbridge Wells Literary Festival, will reinforce cultural credibility. Influencer visits and </w:t>
      </w:r>
      <w:r>
        <w:rPr>
          <w:lang w:val="en-GB"/>
        </w:rPr>
        <w:t>regional</w:t>
      </w:r>
      <w:r w:rsidRPr="002C37E5">
        <w:rPr>
          <w:lang w:val="en-GB"/>
        </w:rPr>
        <w:t xml:space="preserve"> press coverage will broaden awareness, while community partnerships with art schools and libraries will strengthen local ties. Monthly newsletters featuring event calendars and special menus will maintain engagement. Chaffey and Ellis</w:t>
      </w:r>
      <w:r w:rsidRPr="002C37E5">
        <w:rPr>
          <w:lang w:val="en-GB"/>
        </w:rPr>
        <w:noBreakHyphen/>
        <w:t xml:space="preserve">Chadwick (2019), Ryan (2016), and Brown (2018) highlight the importance of digital storytelling in building brand personality, particularly for cultural enterprises. For The Magyar Quill, promotion must not only attract initial </w:t>
      </w:r>
      <w:r w:rsidRPr="002C37E5">
        <w:rPr>
          <w:lang w:val="en-GB"/>
        </w:rPr>
        <w:lastRenderedPageBreak/>
        <w:t xml:space="preserve">interest but also sustain </w:t>
      </w:r>
      <w:r w:rsidR="00691B45">
        <w:rPr>
          <w:lang w:val="en-GB"/>
        </w:rPr>
        <w:t>long-term</w:t>
      </w:r>
      <w:r w:rsidRPr="002C37E5">
        <w:rPr>
          <w:lang w:val="en-GB"/>
        </w:rPr>
        <w:t xml:space="preserve"> loyalty, requiring continuous innovation in content and communication.</w:t>
      </w:r>
    </w:p>
    <w:p w14:paraId="6B9ABA88" w14:textId="77777777" w:rsidR="002C37E5" w:rsidRPr="002C37E5" w:rsidRDefault="002C37E5" w:rsidP="002C37E5">
      <w:pPr>
        <w:rPr>
          <w:lang w:val="en-GB"/>
        </w:rPr>
      </w:pPr>
      <w:r w:rsidRPr="002C37E5">
        <w:rPr>
          <w:lang w:val="en-GB"/>
        </w:rPr>
        <w:t>The marketing mix is summarised in Table 4, which integrates product, price, place, and promotion strategies with supporting sources.</w:t>
      </w:r>
    </w:p>
    <w:p w14:paraId="29F2D783" w14:textId="177B20F4" w:rsidR="002C37E5" w:rsidRPr="002C37E5" w:rsidRDefault="002C37E5" w:rsidP="002C37E5">
      <w:pPr>
        <w:rPr>
          <w:sz w:val="22"/>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9"/>
        <w:gridCol w:w="5057"/>
        <w:gridCol w:w="2530"/>
      </w:tblGrid>
      <w:tr w:rsidR="002C37E5" w:rsidRPr="002C37E5" w14:paraId="4B9579AF" w14:textId="77777777" w:rsidTr="001E445C">
        <w:trPr>
          <w:tblHeader/>
          <w:tblCellSpacing w:w="15" w:type="dxa"/>
        </w:trPr>
        <w:tc>
          <w:tcPr>
            <w:tcW w:w="0" w:type="auto"/>
            <w:vAlign w:val="center"/>
            <w:hideMark/>
          </w:tcPr>
          <w:p w14:paraId="644289D7" w14:textId="77777777" w:rsidR="002C37E5" w:rsidRPr="002C37E5" w:rsidRDefault="002C37E5" w:rsidP="001E445C">
            <w:pPr>
              <w:jc w:val="center"/>
              <w:rPr>
                <w:b/>
                <w:bCs/>
                <w:lang w:val="en-GB"/>
              </w:rPr>
            </w:pPr>
            <w:r w:rsidRPr="002C37E5">
              <w:rPr>
                <w:b/>
                <w:bCs/>
                <w:lang w:val="en-GB"/>
              </w:rPr>
              <w:t>Marketing Mix Element</w:t>
            </w:r>
          </w:p>
        </w:tc>
        <w:tc>
          <w:tcPr>
            <w:tcW w:w="0" w:type="auto"/>
            <w:vAlign w:val="center"/>
            <w:hideMark/>
          </w:tcPr>
          <w:p w14:paraId="67AEE15C" w14:textId="77777777" w:rsidR="002C37E5" w:rsidRPr="002C37E5" w:rsidRDefault="002C37E5" w:rsidP="001E445C">
            <w:pPr>
              <w:jc w:val="center"/>
              <w:rPr>
                <w:b/>
                <w:bCs/>
                <w:lang w:val="en-GB"/>
              </w:rPr>
            </w:pPr>
            <w:r w:rsidRPr="002C37E5">
              <w:rPr>
                <w:b/>
                <w:bCs/>
                <w:lang w:val="en-GB"/>
              </w:rPr>
              <w:t>Application to The Magyar Quill</w:t>
            </w:r>
          </w:p>
        </w:tc>
        <w:tc>
          <w:tcPr>
            <w:tcW w:w="0" w:type="auto"/>
            <w:vAlign w:val="center"/>
            <w:hideMark/>
          </w:tcPr>
          <w:p w14:paraId="3B08619C" w14:textId="77777777" w:rsidR="002C37E5" w:rsidRPr="002C37E5" w:rsidRDefault="002C37E5" w:rsidP="001E445C">
            <w:pPr>
              <w:jc w:val="center"/>
              <w:rPr>
                <w:b/>
                <w:bCs/>
                <w:lang w:val="en-GB"/>
              </w:rPr>
            </w:pPr>
            <w:r w:rsidRPr="002C37E5">
              <w:rPr>
                <w:b/>
                <w:bCs/>
                <w:lang w:val="en-GB"/>
              </w:rPr>
              <w:t>Supporting Source</w:t>
            </w:r>
          </w:p>
        </w:tc>
      </w:tr>
      <w:tr w:rsidR="002C37E5" w:rsidRPr="002C37E5" w14:paraId="3288FB59" w14:textId="77777777" w:rsidTr="001E445C">
        <w:trPr>
          <w:tblCellSpacing w:w="15" w:type="dxa"/>
        </w:trPr>
        <w:tc>
          <w:tcPr>
            <w:tcW w:w="0" w:type="auto"/>
            <w:vAlign w:val="center"/>
            <w:hideMark/>
          </w:tcPr>
          <w:p w14:paraId="406A0A83" w14:textId="77777777" w:rsidR="002C37E5" w:rsidRPr="002C37E5" w:rsidRDefault="002C37E5" w:rsidP="002C37E5">
            <w:pPr>
              <w:rPr>
                <w:lang w:val="en-GB"/>
              </w:rPr>
            </w:pPr>
            <w:r w:rsidRPr="002C37E5">
              <w:rPr>
                <w:lang w:val="en-GB"/>
              </w:rPr>
              <w:t>Product</w:t>
            </w:r>
          </w:p>
        </w:tc>
        <w:tc>
          <w:tcPr>
            <w:tcW w:w="0" w:type="auto"/>
            <w:vAlign w:val="center"/>
            <w:hideMark/>
          </w:tcPr>
          <w:p w14:paraId="3F22188F" w14:textId="77777777" w:rsidR="002C37E5" w:rsidRPr="002C37E5" w:rsidRDefault="002C37E5" w:rsidP="001E445C">
            <w:pPr>
              <w:jc w:val="left"/>
              <w:rPr>
                <w:lang w:val="en-GB"/>
              </w:rPr>
            </w:pPr>
            <w:r w:rsidRPr="002C37E5">
              <w:rPr>
                <w:lang w:val="en-GB"/>
              </w:rPr>
              <w:t>Authentic Hungarian food (goulash, paprikash, kürtőskalács), curated drinks (Tokaji wines, themed cocktails), and cultural events (book readings, workshops). Décor and atmosphere reinforce the literary theme.</w:t>
            </w:r>
          </w:p>
        </w:tc>
        <w:tc>
          <w:tcPr>
            <w:tcW w:w="0" w:type="auto"/>
            <w:vAlign w:val="center"/>
            <w:hideMark/>
          </w:tcPr>
          <w:p w14:paraId="1A14FF0B" w14:textId="77777777" w:rsidR="002C37E5" w:rsidRPr="002C37E5" w:rsidRDefault="002C37E5" w:rsidP="001E445C">
            <w:pPr>
              <w:jc w:val="left"/>
              <w:rPr>
                <w:lang w:val="en-GB"/>
              </w:rPr>
            </w:pPr>
            <w:r w:rsidRPr="002C37E5">
              <w:rPr>
                <w:lang w:val="en-GB"/>
              </w:rPr>
              <w:t>Fazekas (2020); Johnson &amp; Robinson (2013); Pine &amp; Gilmore (1999)</w:t>
            </w:r>
          </w:p>
        </w:tc>
      </w:tr>
      <w:tr w:rsidR="002C37E5" w:rsidRPr="002C37E5" w14:paraId="3FF27E06" w14:textId="77777777" w:rsidTr="001E445C">
        <w:trPr>
          <w:tblCellSpacing w:w="15" w:type="dxa"/>
        </w:trPr>
        <w:tc>
          <w:tcPr>
            <w:tcW w:w="0" w:type="auto"/>
            <w:vAlign w:val="center"/>
            <w:hideMark/>
          </w:tcPr>
          <w:p w14:paraId="4C1F6191" w14:textId="77777777" w:rsidR="002C37E5" w:rsidRPr="002C37E5" w:rsidRDefault="002C37E5" w:rsidP="002C37E5">
            <w:pPr>
              <w:rPr>
                <w:lang w:val="en-GB"/>
              </w:rPr>
            </w:pPr>
            <w:r w:rsidRPr="002C37E5">
              <w:rPr>
                <w:lang w:val="en-GB"/>
              </w:rPr>
              <w:t>Price</w:t>
            </w:r>
          </w:p>
        </w:tc>
        <w:tc>
          <w:tcPr>
            <w:tcW w:w="0" w:type="auto"/>
            <w:vAlign w:val="center"/>
            <w:hideMark/>
          </w:tcPr>
          <w:p w14:paraId="6AEEE884" w14:textId="3DE36ECD" w:rsidR="002C37E5" w:rsidRPr="002C37E5" w:rsidRDefault="00691B45" w:rsidP="001E445C">
            <w:pPr>
              <w:jc w:val="left"/>
              <w:rPr>
                <w:lang w:val="en-GB"/>
              </w:rPr>
            </w:pPr>
            <w:r>
              <w:rPr>
                <w:lang w:val="en-GB"/>
              </w:rPr>
              <w:t>Value-based</w:t>
            </w:r>
            <w:r w:rsidR="002C37E5" w:rsidRPr="002C37E5">
              <w:rPr>
                <w:lang w:val="en-GB"/>
              </w:rPr>
              <w:t xml:space="preserve"> pricing strategy: mains £12–£18, cocktails £8–£10, wines £6–£9 per glass. Discounts for loyalty members and </w:t>
            </w:r>
            <w:r>
              <w:rPr>
                <w:lang w:val="en-GB"/>
              </w:rPr>
              <w:t>off-peak</w:t>
            </w:r>
            <w:r w:rsidR="002C37E5" w:rsidRPr="002C37E5">
              <w:rPr>
                <w:lang w:val="en-GB"/>
              </w:rPr>
              <w:t xml:space="preserve"> events. Balances affordability with premium positioning.</w:t>
            </w:r>
          </w:p>
        </w:tc>
        <w:tc>
          <w:tcPr>
            <w:tcW w:w="0" w:type="auto"/>
            <w:vAlign w:val="center"/>
            <w:hideMark/>
          </w:tcPr>
          <w:p w14:paraId="6A5AFEEB" w14:textId="77777777" w:rsidR="002C37E5" w:rsidRPr="002C37E5" w:rsidRDefault="002C37E5" w:rsidP="002C37E5">
            <w:pPr>
              <w:rPr>
                <w:lang w:val="en-GB"/>
              </w:rPr>
            </w:pPr>
            <w:r w:rsidRPr="002C37E5">
              <w:rPr>
                <w:lang w:val="en-GB"/>
              </w:rPr>
              <w:t>Kotler &amp; Keller (2016)</w:t>
            </w:r>
          </w:p>
        </w:tc>
      </w:tr>
      <w:tr w:rsidR="002C37E5" w:rsidRPr="002C37E5" w14:paraId="517804EC" w14:textId="77777777" w:rsidTr="001E445C">
        <w:trPr>
          <w:tblCellSpacing w:w="15" w:type="dxa"/>
        </w:trPr>
        <w:tc>
          <w:tcPr>
            <w:tcW w:w="0" w:type="auto"/>
            <w:vAlign w:val="center"/>
            <w:hideMark/>
          </w:tcPr>
          <w:p w14:paraId="54D9814C" w14:textId="77777777" w:rsidR="002C37E5" w:rsidRPr="002C37E5" w:rsidRDefault="002C37E5" w:rsidP="002C37E5">
            <w:pPr>
              <w:rPr>
                <w:lang w:val="en-GB"/>
              </w:rPr>
            </w:pPr>
            <w:r w:rsidRPr="002C37E5">
              <w:rPr>
                <w:lang w:val="en-GB"/>
              </w:rPr>
              <w:t>Place</w:t>
            </w:r>
          </w:p>
        </w:tc>
        <w:tc>
          <w:tcPr>
            <w:tcW w:w="0" w:type="auto"/>
            <w:vAlign w:val="center"/>
            <w:hideMark/>
          </w:tcPr>
          <w:p w14:paraId="374227A3" w14:textId="77777777" w:rsidR="002C37E5" w:rsidRPr="002C37E5" w:rsidRDefault="002C37E5" w:rsidP="00ED5E37">
            <w:pPr>
              <w:jc w:val="left"/>
              <w:rPr>
                <w:lang w:val="en-GB"/>
              </w:rPr>
            </w:pPr>
            <w:r w:rsidRPr="002C37E5">
              <w:rPr>
                <w:lang w:val="en-GB"/>
              </w:rPr>
              <w:t>Prime Tunbridge Wells location near theatres and bookshops. Online ordering for merchandise and vouchers extends reach. Venue design encourages community engagement.</w:t>
            </w:r>
          </w:p>
        </w:tc>
        <w:tc>
          <w:tcPr>
            <w:tcW w:w="0" w:type="auto"/>
            <w:vAlign w:val="center"/>
            <w:hideMark/>
          </w:tcPr>
          <w:p w14:paraId="7FF768AF" w14:textId="77777777" w:rsidR="002C37E5" w:rsidRPr="002C37E5" w:rsidRDefault="002C37E5" w:rsidP="002C37E5">
            <w:pPr>
              <w:rPr>
                <w:lang w:val="en-GB"/>
              </w:rPr>
            </w:pPr>
            <w:r w:rsidRPr="002C37E5">
              <w:rPr>
                <w:lang w:val="en-GB"/>
              </w:rPr>
              <w:t>Evans (2022)</w:t>
            </w:r>
          </w:p>
        </w:tc>
      </w:tr>
      <w:tr w:rsidR="002C37E5" w:rsidRPr="002C37E5" w14:paraId="4A1478DD" w14:textId="77777777" w:rsidTr="001E445C">
        <w:trPr>
          <w:tblCellSpacing w:w="15" w:type="dxa"/>
        </w:trPr>
        <w:tc>
          <w:tcPr>
            <w:tcW w:w="0" w:type="auto"/>
            <w:vAlign w:val="center"/>
            <w:hideMark/>
          </w:tcPr>
          <w:p w14:paraId="0461BB9D" w14:textId="77777777" w:rsidR="002C37E5" w:rsidRPr="002C37E5" w:rsidRDefault="002C37E5" w:rsidP="002C37E5">
            <w:pPr>
              <w:rPr>
                <w:lang w:val="en-GB"/>
              </w:rPr>
            </w:pPr>
            <w:r w:rsidRPr="002C37E5">
              <w:rPr>
                <w:lang w:val="en-GB"/>
              </w:rPr>
              <w:t>Promotion</w:t>
            </w:r>
          </w:p>
        </w:tc>
        <w:tc>
          <w:tcPr>
            <w:tcW w:w="0" w:type="auto"/>
            <w:vAlign w:val="center"/>
            <w:hideMark/>
          </w:tcPr>
          <w:p w14:paraId="34671C66" w14:textId="223A7C5C" w:rsidR="002C37E5" w:rsidRPr="002C37E5" w:rsidRDefault="00691B45" w:rsidP="001E445C">
            <w:pPr>
              <w:jc w:val="left"/>
              <w:rPr>
                <w:lang w:val="en-GB"/>
              </w:rPr>
            </w:pPr>
            <w:r>
              <w:rPr>
                <w:lang w:val="en-GB"/>
              </w:rPr>
              <w:t>Pre-launch</w:t>
            </w:r>
            <w:r w:rsidR="002C37E5" w:rsidRPr="002C37E5">
              <w:rPr>
                <w:lang w:val="en-GB"/>
              </w:rPr>
              <w:t xml:space="preserve"> social media campaigns (Instagram, TikTok), collaborations with local authors/festivals, influencer visits, press coverage, and monthly newsletters. Digital storytelling builds brand personality.</w:t>
            </w:r>
          </w:p>
        </w:tc>
        <w:tc>
          <w:tcPr>
            <w:tcW w:w="0" w:type="auto"/>
            <w:vAlign w:val="center"/>
            <w:hideMark/>
          </w:tcPr>
          <w:p w14:paraId="72B94EE4" w14:textId="77777777" w:rsidR="002C37E5" w:rsidRPr="002C37E5" w:rsidRDefault="002C37E5" w:rsidP="001E445C">
            <w:pPr>
              <w:jc w:val="left"/>
              <w:rPr>
                <w:lang w:val="en-GB"/>
              </w:rPr>
            </w:pPr>
            <w:r w:rsidRPr="002C37E5">
              <w:rPr>
                <w:lang w:val="en-GB"/>
              </w:rPr>
              <w:t>Chaffey &amp; Ellis</w:t>
            </w:r>
            <w:r w:rsidRPr="002C37E5">
              <w:rPr>
                <w:lang w:val="en-GB"/>
              </w:rPr>
              <w:noBreakHyphen/>
              <w:t>Chadwick (2019); Ryan (2016); Brown (2018)</w:t>
            </w:r>
          </w:p>
        </w:tc>
      </w:tr>
    </w:tbl>
    <w:p w14:paraId="0B4579E3" w14:textId="77777777" w:rsidR="001E445C" w:rsidRDefault="001E445C" w:rsidP="001E445C">
      <w:pPr>
        <w:jc w:val="center"/>
        <w:rPr>
          <w:sz w:val="22"/>
          <w:lang w:val="en-GB"/>
        </w:rPr>
      </w:pPr>
    </w:p>
    <w:p w14:paraId="018F0DC2" w14:textId="5773A9C9" w:rsidR="001E445C" w:rsidRDefault="001E445C" w:rsidP="001E445C">
      <w:pPr>
        <w:jc w:val="center"/>
        <w:rPr>
          <w:sz w:val="22"/>
          <w:lang w:val="en-GB"/>
        </w:rPr>
      </w:pPr>
      <w:r w:rsidRPr="002C37E5">
        <w:rPr>
          <w:sz w:val="22"/>
          <w:lang w:val="en-GB"/>
        </w:rPr>
        <w:t>Table 4: The 4Ps of Marketing for The Magyar Quill</w:t>
      </w:r>
    </w:p>
    <w:p w14:paraId="53995DB7" w14:textId="77777777" w:rsidR="001E445C" w:rsidRDefault="001E445C" w:rsidP="002C37E5">
      <w:pPr>
        <w:rPr>
          <w:lang w:val="en-GB"/>
        </w:rPr>
      </w:pPr>
    </w:p>
    <w:p w14:paraId="0E6D8FD4" w14:textId="0361A23B" w:rsidR="002C37E5" w:rsidRPr="002C37E5" w:rsidRDefault="002C37E5" w:rsidP="002C37E5">
      <w:pPr>
        <w:rPr>
          <w:lang w:val="en-GB"/>
        </w:rPr>
      </w:pPr>
      <w:r w:rsidRPr="002C37E5">
        <w:rPr>
          <w:lang w:val="en-GB"/>
        </w:rPr>
        <w:lastRenderedPageBreak/>
        <w:t xml:space="preserve">Beyond the traditional 4Ps, online marketing strategies are critical for engaging contemporary audiences. A modern, </w:t>
      </w:r>
      <w:r w:rsidR="00691B45">
        <w:rPr>
          <w:lang w:val="en-GB"/>
        </w:rPr>
        <w:t>mobile-optimised</w:t>
      </w:r>
      <w:r w:rsidRPr="002C37E5">
        <w:rPr>
          <w:lang w:val="en-GB"/>
        </w:rPr>
        <w:t xml:space="preserve"> website will showcase menus, events, booking options, and blog posts about Hungarian culture. Search engine optimisation will ensure visibility, while social media marketing will leverage Instagram Reels, Facebook event pages, and </w:t>
      </w:r>
      <w:r w:rsidR="00691B45">
        <w:rPr>
          <w:lang w:val="en-GB"/>
        </w:rPr>
        <w:t>user-generated</w:t>
      </w:r>
      <w:r w:rsidRPr="002C37E5">
        <w:rPr>
          <w:lang w:val="en-GB"/>
        </w:rPr>
        <w:t xml:space="preserve"> content campaigns such as “Quill Moments.” Email marketing will deliver monthly “Cultural Digest” newsletters highlighting events, book recommendations, and seasonal offers. Content marketing will include blog series featuring Hungarian authors, recipes, and customer stories, building brand personality and reinforcing authenticity. Online reviews and reputation management will be encouraged through Google and TripAdvisor, </w:t>
      </w:r>
      <w:r w:rsidR="00691B45">
        <w:rPr>
          <w:lang w:val="en-GB"/>
        </w:rPr>
        <w:t>with loyalty rewards supporting them</w:t>
      </w:r>
      <w:r w:rsidRPr="002C37E5">
        <w:rPr>
          <w:lang w:val="en-GB"/>
        </w:rPr>
        <w:t>. Paid advertising will target social media users within Kent, with retargeting campaigns for website visitors. Customer retention will be supported by “The Quill Club” digital app, offering points, birthday discounts, and early access to events. Ryan (2016) emphasises that digital marketing must be integrated across platforms to create a coherent brand narrative, while Brown (2018) highlights the role of cultural programming in sustaining community engagement.</w:t>
      </w:r>
    </w:p>
    <w:p w14:paraId="1C336DD1" w14:textId="4650F160" w:rsidR="002C37E5" w:rsidRPr="002C37E5" w:rsidRDefault="002C37E5" w:rsidP="002C37E5">
      <w:pPr>
        <w:rPr>
          <w:lang w:val="en-GB"/>
        </w:rPr>
      </w:pPr>
      <w:r w:rsidRPr="002C37E5">
        <w:rPr>
          <w:lang w:val="en-GB"/>
        </w:rPr>
        <w:t xml:space="preserve">Critically, while the marketing mix demonstrates coherence, success will depend on maintaining relevance across diverse customer groups. The segmentation analysis shows </w:t>
      </w:r>
      <w:r w:rsidR="00691B45">
        <w:rPr>
          <w:lang w:val="en-GB"/>
        </w:rPr>
        <w:t>precise</w:t>
      </w:r>
      <w:r w:rsidRPr="002C37E5">
        <w:rPr>
          <w:lang w:val="en-GB"/>
        </w:rPr>
        <w:t xml:space="preserve"> alignment with target demographics, but consumer behaviour is dynamic, requiring agility in promotional strategies. Kotler and Keller (2016) argue that effective marketing requires continuous adaptation, and The Magyar Quill must remain responsive to shifts in demand, particularly in balancing affordability for students with premium positioning for professionals. Furthermore, reliance on digital platforms may exclude older demographics less comfortable with technology, necessitating complementary offline strategies such as local press coverage and community partnerships. The integration of online and offline approaches will therefore be essential for inclusivity and sustainability.</w:t>
      </w:r>
    </w:p>
    <w:p w14:paraId="01FB6244" w14:textId="144DFE28" w:rsidR="00691B45" w:rsidRPr="00691B45" w:rsidRDefault="002C37E5" w:rsidP="00691B45">
      <w:pPr>
        <w:rPr>
          <w:lang w:val="en-GB"/>
        </w:rPr>
      </w:pPr>
      <w:r w:rsidRPr="002C37E5">
        <w:rPr>
          <w:lang w:val="en-GB"/>
        </w:rPr>
        <w:t xml:space="preserve">In conclusion, the market segmentation and marketing strategies for The Magyar Quill demonstrate a coherent and academically grounded approach to positioning the business within Tunbridge Wells’ cultural landscape. By combining authentic products, </w:t>
      </w:r>
      <w:r w:rsidR="00691B45">
        <w:rPr>
          <w:lang w:val="en-GB"/>
        </w:rPr>
        <w:t>value-based</w:t>
      </w:r>
      <w:r w:rsidRPr="002C37E5">
        <w:rPr>
          <w:lang w:val="en-GB"/>
        </w:rPr>
        <w:t xml:space="preserve"> pricing, strategic location, and innovative promotion, the business plan aligns with both theoretical frameworks and practical realities. The inclusion of online marketing strategies ensures relevance in a digital age, while critical reflection </w:t>
      </w:r>
      <w:r w:rsidRPr="002C37E5">
        <w:rPr>
          <w:lang w:val="en-GB"/>
        </w:rPr>
        <w:lastRenderedPageBreak/>
        <w:t xml:space="preserve">highlights the need for adaptability and inclusivity. Ultimately, the marketing strategy positions The Magyar Quill not only as a hospitality venue but as a cultural institution, capable of attracting diverse audiences and sustaining </w:t>
      </w:r>
      <w:r w:rsidR="00691B45">
        <w:rPr>
          <w:lang w:val="en-GB"/>
        </w:rPr>
        <w:t>long-term</w:t>
      </w:r>
      <w:r w:rsidRPr="002C37E5">
        <w:rPr>
          <w:lang w:val="en-GB"/>
        </w:rPr>
        <w:t xml:space="preserve"> impact.</w:t>
      </w:r>
    </w:p>
    <w:p w14:paraId="23F56A2D" w14:textId="76FB3FC3" w:rsidR="00691B45" w:rsidRPr="00691B45" w:rsidRDefault="00691B45" w:rsidP="0015431E">
      <w:pPr>
        <w:pStyle w:val="Heading1"/>
      </w:pPr>
      <w:bookmarkStart w:id="4" w:name="_Toc215392768"/>
      <w:r w:rsidRPr="00691B45">
        <w:t>4. Legal, Management and Financial Planning</w:t>
      </w:r>
      <w:bookmarkEnd w:id="4"/>
    </w:p>
    <w:p w14:paraId="4FCE0669" w14:textId="77777777" w:rsidR="0015431E" w:rsidRDefault="0015431E" w:rsidP="00691B45">
      <w:pPr>
        <w:rPr>
          <w:lang w:val="en-GB"/>
        </w:rPr>
      </w:pPr>
    </w:p>
    <w:p w14:paraId="18F6FEEB" w14:textId="5BFB3931" w:rsidR="00691B45" w:rsidRPr="00691B45" w:rsidRDefault="00691B45" w:rsidP="00691B45">
      <w:pPr>
        <w:rPr>
          <w:lang w:val="en-GB"/>
        </w:rPr>
      </w:pPr>
      <w:r w:rsidRPr="00691B45">
        <w:rPr>
          <w:lang w:val="en-GB"/>
        </w:rPr>
        <w:t xml:space="preserve">The legal structure of The Magyar Quill will be established as a private limited company. This choice reflects both the need for liability protection and the desire to project credibility to investors, customers, and partners. A private limited company structure </w:t>
      </w:r>
      <w:r>
        <w:rPr>
          <w:lang w:val="en-GB"/>
        </w:rPr>
        <w:t xml:space="preserve">limits the financial risks borne by the founder </w:t>
      </w:r>
      <w:r w:rsidRPr="00691B45">
        <w:rPr>
          <w:lang w:val="en-GB"/>
        </w:rPr>
        <w:t>to the capital invested, while also providing flexibility for future expansion and the ability to attract external investment (HM Government, 2022). From an entrepreneurial perspective, this structure balances autonomy with accountability, enabling the founder to retain control while complying with regulatory requirements. It also signals professionalism to stakeholders, which is particularly important in the competitive hospitality sector where trust and legitimacy are critical to customer acquisition and retention.</w:t>
      </w:r>
    </w:p>
    <w:p w14:paraId="569E3B30" w14:textId="0581E740" w:rsidR="00691B45" w:rsidRPr="00691B45" w:rsidRDefault="00691B45" w:rsidP="00691B45">
      <w:pPr>
        <w:rPr>
          <w:lang w:val="en-GB"/>
        </w:rPr>
      </w:pPr>
      <w:r w:rsidRPr="00691B45">
        <w:rPr>
          <w:lang w:val="en-GB"/>
        </w:rPr>
        <w:t xml:space="preserve">The </w:t>
      </w:r>
      <w:r>
        <w:rPr>
          <w:lang w:val="en-GB"/>
        </w:rPr>
        <w:t xml:space="preserve">business's organisational design </w:t>
      </w:r>
      <w:r w:rsidRPr="00691B45">
        <w:rPr>
          <w:lang w:val="en-GB"/>
        </w:rPr>
        <w:t xml:space="preserve">is structured to ensure clarity of roles and responsibilities. At the top of the hierarchy, the Founder and Managing Director will oversee strategic direction, financial management, and external partnerships. A General Manager will be responsible for </w:t>
      </w:r>
      <w:r>
        <w:rPr>
          <w:lang w:val="en-GB"/>
        </w:rPr>
        <w:t>day-to-day</w:t>
      </w:r>
      <w:r w:rsidRPr="00691B45">
        <w:rPr>
          <w:lang w:val="en-GB"/>
        </w:rPr>
        <w:t xml:space="preserve"> operations and staff coordination, ensuring that service standards are consistently maintained. The Head Chef will lead menu development and kitchen management, </w:t>
      </w:r>
      <w:r>
        <w:rPr>
          <w:lang w:val="en-GB"/>
        </w:rPr>
        <w:t>integrating authentic Hungarian cuisine with fusion dishes</w:t>
      </w:r>
      <w:r w:rsidRPr="00691B45">
        <w:rPr>
          <w:lang w:val="en-GB"/>
        </w:rPr>
        <w:t xml:space="preserve"> tailored to local tastes. A Bar Manager will curate beverage offerings, manage stock, and train staff, while an Events and Marketing Coordinator will oversee promotions, event scheduling, and social media engagement. Support staff, including bartenders, servers, and kitchen assistants, will provide the operational backbone of the enterprise. This structure reflects Burns’ (2016) emphasis on the importance of clear organisational roles in entrepreneurial ventures, ensuring that strategic vision is matched by operational discipline.</w:t>
      </w:r>
    </w:p>
    <w:p w14:paraId="0F5174A9" w14:textId="4E39BD1D" w:rsidR="00691B45" w:rsidRPr="00691B45" w:rsidRDefault="00691B45" w:rsidP="00691B45">
      <w:pPr>
        <w:rPr>
          <w:lang w:val="en-GB"/>
        </w:rPr>
      </w:pPr>
      <w:r w:rsidRPr="00691B45">
        <w:rPr>
          <w:lang w:val="en-GB"/>
        </w:rPr>
        <w:t xml:space="preserve">Financial planning is central to the </w:t>
      </w:r>
      <w:r>
        <w:rPr>
          <w:lang w:val="en-GB"/>
        </w:rPr>
        <w:t>business's viability</w:t>
      </w:r>
      <w:r w:rsidRPr="00691B45">
        <w:rPr>
          <w:lang w:val="en-GB"/>
        </w:rPr>
        <w:t>. Start</w:t>
      </w:r>
      <w:r w:rsidRPr="00691B45">
        <w:rPr>
          <w:lang w:val="en-GB"/>
        </w:rPr>
        <w:noBreakHyphen/>
        <w:t xml:space="preserve">up costs are estimated at £105,000, covering leasehold and renovation (£40,000), kitchen equipment (£20,000), furniture and décor (£15,000), licences and legal fees (£5,000), initial stock and inventory (£8,000), marketing and launch events (£7,000), and working capital for the </w:t>
      </w:r>
      <w:r w:rsidRPr="00691B45">
        <w:rPr>
          <w:lang w:val="en-GB"/>
        </w:rPr>
        <w:lastRenderedPageBreak/>
        <w:t xml:space="preserve">first three months (£10,000). Funding will be sourced from a combination of owner’s investment (£30,000), a government </w:t>
      </w:r>
      <w:r>
        <w:rPr>
          <w:lang w:val="en-GB"/>
        </w:rPr>
        <w:t>start-up</w:t>
      </w:r>
      <w:r w:rsidRPr="00691B45">
        <w:rPr>
          <w:lang w:val="en-GB"/>
        </w:rPr>
        <w:t xml:space="preserve"> loan (£25,000), a small business grant from Tunbridge Wells Council (£10,000), and private investors or crowdfunding (£40,000) (British Business Bank, 2023). This diversified funding strategy reduces reliance on a single source and enhances resilience, but it also introduces risks associated with investor expectations and loan repayments. As Burns (2016) notes, entrepreneurial ventures often fail when financial planning is inadequate, underscoring the importance of disciplined management of external funding.</w:t>
      </w:r>
    </w:p>
    <w:p w14:paraId="42F5312A" w14:textId="4453C9C8" w:rsidR="00691B45" w:rsidRPr="00691B45" w:rsidRDefault="00691B45" w:rsidP="00691B45">
      <w:pPr>
        <w:rPr>
          <w:lang w:val="en-GB"/>
        </w:rPr>
      </w:pPr>
      <w:r w:rsidRPr="00691B45">
        <w:rPr>
          <w:lang w:val="en-GB"/>
        </w:rPr>
        <w:t xml:space="preserve">The </w:t>
      </w:r>
      <w:r>
        <w:rPr>
          <w:lang w:val="en-GB"/>
        </w:rPr>
        <w:t>twelve-month</w:t>
      </w:r>
      <w:r w:rsidRPr="00691B45">
        <w:rPr>
          <w:lang w:val="en-GB"/>
        </w:rPr>
        <w:t xml:space="preserve"> cash flow forecast projects total sales of £105,000 against expenses of £92,000, resulting in a net positive cash flow of £13,000 by the end of the first year. Initial losses of £5,000 in the first quarter reflect </w:t>
      </w:r>
      <w:r>
        <w:rPr>
          <w:lang w:val="en-GB"/>
        </w:rPr>
        <w:t>costs associated with</w:t>
      </w:r>
      <w:r w:rsidRPr="00691B45">
        <w:rPr>
          <w:lang w:val="en-GB"/>
        </w:rPr>
        <w:t xml:space="preserve"> establishing operations and building customer awareness. However, revenues are expected to grow steadily, with breakeven projected by month ten, assuming stable growth in attendance and event bookings. This forecast demonstrates feasibility, but it is contingent on effective marketing and consistent event programming. Economic volatility, rising utility costs, or </w:t>
      </w:r>
      <w:r>
        <w:rPr>
          <w:lang w:val="en-GB"/>
        </w:rPr>
        <w:t>supply chain disruptions could undermine these projections, underscoring</w:t>
      </w:r>
      <w:r w:rsidRPr="00691B45">
        <w:rPr>
          <w:lang w:val="en-GB"/>
        </w:rPr>
        <w:t xml:space="preserve"> the need for contingency planning. Mintel (2024) emphasises that inflationary pressures continue to challenge hospitality businesses, and The Magyar Quill must therefore adopt cost</w:t>
      </w:r>
      <w:r w:rsidRPr="00691B45">
        <w:rPr>
          <w:lang w:val="en-GB"/>
        </w:rPr>
        <w:noBreakHyphen/>
        <w:t xml:space="preserve">control measures and explore opportunities for efficiency, such as </w:t>
      </w:r>
      <w:r>
        <w:rPr>
          <w:lang w:val="en-GB"/>
        </w:rPr>
        <w:t>energy-saving</w:t>
      </w:r>
      <w:r w:rsidRPr="00691B45">
        <w:rPr>
          <w:lang w:val="en-GB"/>
        </w:rPr>
        <w:t xml:space="preserve"> operations and local sourcing.</w:t>
      </w:r>
    </w:p>
    <w:p w14:paraId="536BF3D2" w14:textId="3442D940" w:rsidR="00691B45" w:rsidRPr="00691B45" w:rsidRDefault="00691B45" w:rsidP="00691B45">
      <w:pPr>
        <w:rPr>
          <w:lang w:val="en-GB"/>
        </w:rPr>
      </w:pPr>
      <w:r w:rsidRPr="00691B45">
        <w:rPr>
          <w:lang w:val="en-GB"/>
        </w:rPr>
        <w:t xml:space="preserve">Critically, while the financial plan demonstrates potential for profitability, reliance on external funding highlights the importance of disciplined financial management. Crowdfunding and private investment can provide valuable capital, but they also create obligations to stakeholders who may expect rapid returns. Balancing these expectations with the </w:t>
      </w:r>
      <w:r>
        <w:rPr>
          <w:lang w:val="en-GB"/>
        </w:rPr>
        <w:t>long-term</w:t>
      </w:r>
      <w:r w:rsidRPr="00691B45">
        <w:rPr>
          <w:lang w:val="en-GB"/>
        </w:rPr>
        <w:t xml:space="preserve"> vision of cultural authenticity and community engagement will be essential. Furthermore, </w:t>
      </w:r>
      <w:r>
        <w:rPr>
          <w:lang w:val="en-GB"/>
        </w:rPr>
        <w:t xml:space="preserve">reliance on imported Hungarian ingredients exposes margins to currency fluctuations and </w:t>
      </w:r>
      <w:r w:rsidR="00ED5E37">
        <w:rPr>
          <w:lang w:val="en-GB"/>
        </w:rPr>
        <w:t xml:space="preserve">to changes in </w:t>
      </w:r>
      <w:r>
        <w:rPr>
          <w:lang w:val="en-GB"/>
        </w:rPr>
        <w:t>trade regulations</w:t>
      </w:r>
      <w:r w:rsidRPr="00691B45">
        <w:rPr>
          <w:lang w:val="en-GB"/>
        </w:rPr>
        <w:t xml:space="preserve">. </w:t>
      </w:r>
      <w:r>
        <w:rPr>
          <w:lang w:val="en-GB"/>
        </w:rPr>
        <w:t>Diversifying suppliers and</w:t>
      </w:r>
      <w:r w:rsidR="00ED5E37">
        <w:rPr>
          <w:lang w:val="en-GB"/>
        </w:rPr>
        <w:t>, where possible, integrating locally sourced produce</w:t>
      </w:r>
      <w:r w:rsidRPr="00691B45">
        <w:rPr>
          <w:lang w:val="en-GB"/>
        </w:rPr>
        <w:t xml:space="preserve"> will mitigate these risks without undermining authenticity.</w:t>
      </w:r>
    </w:p>
    <w:p w14:paraId="27638D95" w14:textId="77777777" w:rsidR="004310A9" w:rsidRDefault="00691B45" w:rsidP="004310A9">
      <w:pPr>
        <w:rPr>
          <w:lang w:val="en-GB"/>
        </w:rPr>
      </w:pPr>
      <w:r w:rsidRPr="00691B45">
        <w:rPr>
          <w:lang w:val="en-GB"/>
        </w:rPr>
        <w:t xml:space="preserve">In conclusion, the proposed legal structure, organisational design, and financial plan provide a credible foundation for the launch and growth of The Magyar Quill. The private limited company structure offers liability protection and credibility, while the organisational chart ensures operational clarity and accountability. The financial plan </w:t>
      </w:r>
      <w:r w:rsidRPr="00691B45">
        <w:rPr>
          <w:lang w:val="en-GB"/>
        </w:rPr>
        <w:lastRenderedPageBreak/>
        <w:t xml:space="preserve">demonstrates breakeven feasibility within the first year, supported by a diversified funding strategy. However, success will depend on disciplined financial management, effective marketing, and resilience </w:t>
      </w:r>
      <w:r w:rsidR="0015431E">
        <w:rPr>
          <w:lang w:val="en-GB"/>
        </w:rPr>
        <w:t>in the face of</w:t>
      </w:r>
      <w:r w:rsidRPr="00691B45">
        <w:rPr>
          <w:lang w:val="en-GB"/>
        </w:rPr>
        <w:t xml:space="preserve"> external pressures. As Burns (2016) argues, entrepreneurial ventures succeed when strategic vision is matched with robust financial planning, and The Magyar Quill aims to achieve this balance by integrating cultural authenticity with operational and financial discipline.</w:t>
      </w:r>
    </w:p>
    <w:p w14:paraId="4F328703" w14:textId="77777777" w:rsidR="004310A9" w:rsidRPr="004310A9" w:rsidRDefault="00F549AD" w:rsidP="004310A9">
      <w:pPr>
        <w:pStyle w:val="Heading1"/>
      </w:pPr>
      <w:bookmarkStart w:id="5" w:name="_Toc215392769"/>
      <w:r w:rsidRPr="004310A9">
        <w:t>Summary</w:t>
      </w:r>
      <w:bookmarkEnd w:id="5"/>
    </w:p>
    <w:p w14:paraId="08DE0146" w14:textId="49D6C438" w:rsidR="00763A48" w:rsidRPr="004310A9" w:rsidRDefault="00763A48" w:rsidP="004310A9">
      <w:pPr>
        <w:rPr>
          <w:lang w:val="en-GB"/>
        </w:rPr>
      </w:pPr>
      <w:r w:rsidRPr="00763A48">
        <w:t>The Magyar Quill brings together Hungarian food, literary culture, and a community-focused environment</w:t>
      </w:r>
      <w:r w:rsidR="004310A9">
        <w:rPr>
          <w:b/>
          <w:bCs/>
        </w:rPr>
        <w:t xml:space="preserve">, </w:t>
      </w:r>
      <w:r w:rsidRPr="00763A48">
        <w:t xml:space="preserve">something that isn’t currently available in Tunbridge Wells. The concept is rooted in genuine cultural storytelling and supported by academic frameworks that justify its differentiation and market potential. The challenge will be balancing authenticity with cost control and ensuring that events and marketing remain consistent. Still, with </w:t>
      </w:r>
      <w:r>
        <w:rPr>
          <w:b/>
          <w:bCs/>
        </w:rPr>
        <w:t>precise</w:t>
      </w:r>
      <w:r w:rsidRPr="00763A48">
        <w:t xml:space="preserve"> planning, strong branding, and an emphasis on atmosphere, the venue has the potential to become a memorable cultural hub.</w:t>
      </w:r>
    </w:p>
    <w:p w14:paraId="519B61AD" w14:textId="62058577" w:rsidR="00A83250" w:rsidRDefault="0081500A" w:rsidP="0015431E">
      <w:pPr>
        <w:pStyle w:val="Heading1"/>
      </w:pPr>
      <w:bookmarkStart w:id="6" w:name="_Toc215392770"/>
      <w:r w:rsidRPr="0081500A">
        <w:t>Reference List</w:t>
      </w:r>
      <w:bookmarkEnd w:id="6"/>
    </w:p>
    <w:p w14:paraId="39707D61" w14:textId="3FDCC1BF" w:rsidR="0081500A" w:rsidRPr="0081500A" w:rsidRDefault="0081500A" w:rsidP="00A83250">
      <w:pPr>
        <w:ind w:left="720" w:hanging="720"/>
        <w:rPr>
          <w:lang w:val="en-GB"/>
        </w:rPr>
      </w:pPr>
      <w:r w:rsidRPr="0081500A">
        <w:rPr>
          <w:lang w:val="en-GB"/>
        </w:rPr>
        <w:t xml:space="preserve">British Business Bank (2023) </w:t>
      </w:r>
      <w:r w:rsidRPr="0081500A">
        <w:rPr>
          <w:i/>
          <w:iCs/>
          <w:lang w:val="en-GB"/>
        </w:rPr>
        <w:t>Start</w:t>
      </w:r>
      <w:r w:rsidRPr="0081500A">
        <w:rPr>
          <w:i/>
          <w:iCs/>
          <w:lang w:val="en-GB"/>
        </w:rPr>
        <w:noBreakHyphen/>
        <w:t>up finance options</w:t>
      </w:r>
      <w:r w:rsidRPr="0081500A">
        <w:rPr>
          <w:lang w:val="en-GB"/>
        </w:rPr>
        <w:t xml:space="preserve">. Available at: </w:t>
      </w:r>
      <w:hyperlink r:id="rId9" w:history="1">
        <w:r w:rsidR="003D58A1" w:rsidRPr="0081500A">
          <w:rPr>
            <w:rStyle w:val="Hyperlink"/>
            <w:lang w:val="en-GB"/>
          </w:rPr>
          <w:t>https://www.british-business-bank.co.uk</w:t>
        </w:r>
      </w:hyperlink>
      <w:r w:rsidR="003D58A1">
        <w:rPr>
          <w:lang w:val="en-GB"/>
        </w:rPr>
        <w:t xml:space="preserve"> </w:t>
      </w:r>
      <w:r w:rsidRPr="0081500A">
        <w:rPr>
          <w:lang w:val="en-GB"/>
        </w:rPr>
        <w:t xml:space="preserve"> (Accessed: 29 November 2025).</w:t>
      </w:r>
    </w:p>
    <w:p w14:paraId="2B86BC92" w14:textId="77777777" w:rsidR="0081500A" w:rsidRPr="0081500A" w:rsidRDefault="0081500A" w:rsidP="00A83250">
      <w:pPr>
        <w:ind w:left="720" w:hanging="720"/>
        <w:rPr>
          <w:lang w:val="en-GB"/>
        </w:rPr>
      </w:pPr>
      <w:r w:rsidRPr="0081500A">
        <w:rPr>
          <w:lang w:val="en-GB"/>
        </w:rPr>
        <w:t xml:space="preserve">Brown, T. (2018) ‘The role of cultural events in community engagement’, </w:t>
      </w:r>
      <w:r w:rsidRPr="0081500A">
        <w:rPr>
          <w:i/>
          <w:iCs/>
          <w:lang w:val="en-GB"/>
        </w:rPr>
        <w:t>Journal of Cultural Studies</w:t>
      </w:r>
      <w:r w:rsidRPr="0081500A">
        <w:rPr>
          <w:lang w:val="en-GB"/>
        </w:rPr>
        <w:t>, 12(3), pp. 45–62.</w:t>
      </w:r>
    </w:p>
    <w:p w14:paraId="6AFCE7B5" w14:textId="77777777" w:rsidR="0081500A" w:rsidRPr="0081500A" w:rsidRDefault="0081500A" w:rsidP="00A83250">
      <w:pPr>
        <w:ind w:left="720" w:hanging="720"/>
        <w:rPr>
          <w:lang w:val="en-GB"/>
        </w:rPr>
      </w:pPr>
      <w:r w:rsidRPr="0081500A">
        <w:rPr>
          <w:lang w:val="en-GB"/>
        </w:rPr>
        <w:t xml:space="preserve">Burns, P. (2016) </w:t>
      </w:r>
      <w:r w:rsidRPr="0081500A">
        <w:rPr>
          <w:i/>
          <w:iCs/>
          <w:lang w:val="en-GB"/>
        </w:rPr>
        <w:t>Entrepreneurship and Small Business</w:t>
      </w:r>
      <w:r w:rsidRPr="0081500A">
        <w:rPr>
          <w:lang w:val="en-GB"/>
        </w:rPr>
        <w:t>. 4th edn. London: Palgrave Macmillan.</w:t>
      </w:r>
    </w:p>
    <w:p w14:paraId="0351ED37" w14:textId="77777777" w:rsidR="0081500A" w:rsidRPr="0081500A" w:rsidRDefault="0081500A" w:rsidP="00A83250">
      <w:pPr>
        <w:ind w:left="720" w:hanging="720"/>
        <w:rPr>
          <w:lang w:val="en-GB"/>
        </w:rPr>
      </w:pPr>
      <w:r w:rsidRPr="0081500A">
        <w:rPr>
          <w:lang w:val="en-GB"/>
        </w:rPr>
        <w:t>Chaffey, D. and Ellis</w:t>
      </w:r>
      <w:r w:rsidRPr="0081500A">
        <w:rPr>
          <w:lang w:val="en-GB"/>
        </w:rPr>
        <w:noBreakHyphen/>
        <w:t xml:space="preserve">Chadwick, F. (2019) </w:t>
      </w:r>
      <w:r w:rsidRPr="0081500A">
        <w:rPr>
          <w:i/>
          <w:iCs/>
          <w:lang w:val="en-GB"/>
        </w:rPr>
        <w:t>Digital Marketing</w:t>
      </w:r>
      <w:r w:rsidRPr="0081500A">
        <w:rPr>
          <w:lang w:val="en-GB"/>
        </w:rPr>
        <w:t>. 7th edn. Harlow: Pearson Education.</w:t>
      </w:r>
    </w:p>
    <w:p w14:paraId="7905FE2A" w14:textId="77777777" w:rsidR="0081500A" w:rsidRPr="0081500A" w:rsidRDefault="0081500A" w:rsidP="00A83250">
      <w:pPr>
        <w:ind w:left="720" w:hanging="720"/>
        <w:rPr>
          <w:lang w:val="en-GB"/>
        </w:rPr>
      </w:pPr>
      <w:r w:rsidRPr="0081500A">
        <w:rPr>
          <w:lang w:val="en-GB"/>
        </w:rPr>
        <w:t xml:space="preserve">DEFRA (2023) </w:t>
      </w:r>
      <w:r w:rsidRPr="0081500A">
        <w:rPr>
          <w:i/>
          <w:iCs/>
          <w:lang w:val="en-GB"/>
        </w:rPr>
        <w:t>Sustainable food sourcing in the UK</w:t>
      </w:r>
      <w:r w:rsidRPr="0081500A">
        <w:rPr>
          <w:lang w:val="en-GB"/>
        </w:rPr>
        <w:t>. Department for Environment, Food &amp; Rural Affairs.</w:t>
      </w:r>
    </w:p>
    <w:p w14:paraId="75F49162" w14:textId="77777777" w:rsidR="0081500A" w:rsidRPr="0081500A" w:rsidRDefault="0081500A" w:rsidP="00A83250">
      <w:pPr>
        <w:ind w:left="720" w:hanging="720"/>
        <w:rPr>
          <w:lang w:val="en-GB"/>
        </w:rPr>
      </w:pPr>
      <w:r w:rsidRPr="0081500A">
        <w:rPr>
          <w:lang w:val="en-GB"/>
        </w:rPr>
        <w:t xml:space="preserve">Evans, M. (2022) </w:t>
      </w:r>
      <w:r w:rsidRPr="0081500A">
        <w:rPr>
          <w:i/>
          <w:iCs/>
          <w:lang w:val="en-GB"/>
        </w:rPr>
        <w:t>Creative Cities and Cultural Hubs in the UK</w:t>
      </w:r>
      <w:r w:rsidRPr="0081500A">
        <w:rPr>
          <w:lang w:val="en-GB"/>
        </w:rPr>
        <w:t>. London: Routledge.</w:t>
      </w:r>
    </w:p>
    <w:p w14:paraId="427A64BF" w14:textId="77777777" w:rsidR="0081500A" w:rsidRPr="0081500A" w:rsidRDefault="0081500A" w:rsidP="00A83250">
      <w:pPr>
        <w:ind w:left="720" w:hanging="720"/>
        <w:rPr>
          <w:lang w:val="en-GB"/>
        </w:rPr>
      </w:pPr>
      <w:r w:rsidRPr="0081500A">
        <w:rPr>
          <w:lang w:val="en-GB"/>
        </w:rPr>
        <w:t xml:space="preserve">Fazekas, A. (2020) </w:t>
      </w:r>
      <w:r w:rsidRPr="0081500A">
        <w:rPr>
          <w:i/>
          <w:iCs/>
          <w:lang w:val="en-GB"/>
        </w:rPr>
        <w:t>Traditional Hungarian Cuisine: History and Recipes</w:t>
      </w:r>
      <w:r w:rsidRPr="0081500A">
        <w:rPr>
          <w:lang w:val="en-GB"/>
        </w:rPr>
        <w:t>. Budapest: Corvina Press.</w:t>
      </w:r>
    </w:p>
    <w:p w14:paraId="6C77CEDF" w14:textId="051D1620" w:rsidR="0081500A" w:rsidRPr="0081500A" w:rsidRDefault="0081500A" w:rsidP="00A83250">
      <w:pPr>
        <w:ind w:left="720" w:hanging="720"/>
        <w:rPr>
          <w:lang w:val="en-GB"/>
        </w:rPr>
      </w:pPr>
      <w:r w:rsidRPr="0081500A">
        <w:rPr>
          <w:lang w:val="en-GB"/>
        </w:rPr>
        <w:t xml:space="preserve">HM Government (2022) </w:t>
      </w:r>
      <w:r w:rsidRPr="0081500A">
        <w:rPr>
          <w:i/>
          <w:iCs/>
          <w:lang w:val="en-GB"/>
        </w:rPr>
        <w:t>Starting a business: Legal structures</w:t>
      </w:r>
      <w:r w:rsidRPr="0081500A">
        <w:rPr>
          <w:lang w:val="en-GB"/>
        </w:rPr>
        <w:t xml:space="preserve">. GOV.UK. Available at: </w:t>
      </w:r>
      <w:hyperlink r:id="rId10" w:history="1">
        <w:r w:rsidR="003D58A1" w:rsidRPr="0081500A">
          <w:rPr>
            <w:rStyle w:val="Hyperlink"/>
            <w:lang w:val="en-GB"/>
          </w:rPr>
          <w:t>https://www.gov.uk/set-up-business</w:t>
        </w:r>
      </w:hyperlink>
      <w:r w:rsidR="003D58A1">
        <w:rPr>
          <w:lang w:val="en-GB"/>
        </w:rPr>
        <w:t xml:space="preserve"> </w:t>
      </w:r>
      <w:r w:rsidRPr="0081500A">
        <w:rPr>
          <w:lang w:val="en-GB"/>
        </w:rPr>
        <w:t xml:space="preserve"> (Accessed: 29 November 2025).</w:t>
      </w:r>
    </w:p>
    <w:p w14:paraId="4B4838E6" w14:textId="77777777" w:rsidR="0081500A" w:rsidRPr="0081500A" w:rsidRDefault="0081500A" w:rsidP="00A83250">
      <w:pPr>
        <w:ind w:left="720" w:hanging="720"/>
        <w:rPr>
          <w:lang w:val="en-GB"/>
        </w:rPr>
      </w:pPr>
      <w:r w:rsidRPr="0081500A">
        <w:rPr>
          <w:lang w:val="en-GB"/>
        </w:rPr>
        <w:lastRenderedPageBreak/>
        <w:t xml:space="preserve">Johnson, H. and Robinson, J. (2013) </w:t>
      </w:r>
      <w:r w:rsidRPr="0081500A">
        <w:rPr>
          <w:i/>
          <w:iCs/>
          <w:lang w:val="en-GB"/>
        </w:rPr>
        <w:t>The World Atlas of Wine</w:t>
      </w:r>
      <w:r w:rsidRPr="0081500A">
        <w:rPr>
          <w:lang w:val="en-GB"/>
        </w:rPr>
        <w:t>. 7th edn. London: Mitchell Beazley.</w:t>
      </w:r>
    </w:p>
    <w:p w14:paraId="2CBB9B02" w14:textId="77777777" w:rsidR="0081500A" w:rsidRPr="0081500A" w:rsidRDefault="0081500A" w:rsidP="00A83250">
      <w:pPr>
        <w:ind w:left="720" w:hanging="720"/>
        <w:rPr>
          <w:lang w:val="en-GB"/>
        </w:rPr>
      </w:pPr>
      <w:r w:rsidRPr="0081500A">
        <w:rPr>
          <w:lang w:val="en-GB"/>
        </w:rPr>
        <w:t xml:space="preserve">Kotler, P. and Keller, K.L. (2016) </w:t>
      </w:r>
      <w:r w:rsidRPr="0081500A">
        <w:rPr>
          <w:i/>
          <w:iCs/>
          <w:lang w:val="en-GB"/>
        </w:rPr>
        <w:t>Marketing Management</w:t>
      </w:r>
      <w:r w:rsidRPr="0081500A">
        <w:rPr>
          <w:lang w:val="en-GB"/>
        </w:rPr>
        <w:t>. 15th edn. Harlow: Pearson Education.</w:t>
      </w:r>
    </w:p>
    <w:p w14:paraId="34367232" w14:textId="77777777" w:rsidR="0081500A" w:rsidRPr="0081500A" w:rsidRDefault="0081500A" w:rsidP="00A83250">
      <w:pPr>
        <w:ind w:left="720" w:hanging="720"/>
        <w:rPr>
          <w:lang w:val="en-GB"/>
        </w:rPr>
      </w:pPr>
      <w:r w:rsidRPr="0081500A">
        <w:rPr>
          <w:lang w:val="en-GB"/>
        </w:rPr>
        <w:t xml:space="preserve">Kovács, D. (2021) ‘Ruin pubs and urban regeneration in Budapest’, </w:t>
      </w:r>
      <w:r w:rsidRPr="0081500A">
        <w:rPr>
          <w:i/>
          <w:iCs/>
          <w:lang w:val="en-GB"/>
        </w:rPr>
        <w:t>Urban Studies Review</w:t>
      </w:r>
      <w:r w:rsidRPr="0081500A">
        <w:rPr>
          <w:lang w:val="en-GB"/>
        </w:rPr>
        <w:t>, 58(4), pp. 612–629.</w:t>
      </w:r>
    </w:p>
    <w:p w14:paraId="27C7B32B" w14:textId="77777777" w:rsidR="0081500A" w:rsidRPr="0081500A" w:rsidRDefault="0081500A" w:rsidP="00A83250">
      <w:pPr>
        <w:ind w:left="720" w:hanging="720"/>
        <w:rPr>
          <w:lang w:val="en-GB"/>
        </w:rPr>
      </w:pPr>
      <w:r w:rsidRPr="0081500A">
        <w:rPr>
          <w:lang w:val="en-GB"/>
        </w:rPr>
        <w:t xml:space="preserve">Mintel (2024) </w:t>
      </w:r>
      <w:r w:rsidRPr="0081500A">
        <w:rPr>
          <w:i/>
          <w:iCs/>
          <w:lang w:val="en-GB"/>
        </w:rPr>
        <w:t>UK Pubs and Bars Market Report</w:t>
      </w:r>
      <w:r w:rsidRPr="0081500A">
        <w:rPr>
          <w:lang w:val="en-GB"/>
        </w:rPr>
        <w:t>. London: Mintel Group Ltd.</w:t>
      </w:r>
    </w:p>
    <w:p w14:paraId="33314BA5" w14:textId="77777777" w:rsidR="0081500A" w:rsidRPr="0081500A" w:rsidRDefault="0081500A" w:rsidP="00A83250">
      <w:pPr>
        <w:ind w:left="720" w:hanging="720"/>
        <w:rPr>
          <w:lang w:val="en-GB"/>
        </w:rPr>
      </w:pPr>
      <w:r w:rsidRPr="0081500A">
        <w:rPr>
          <w:lang w:val="en-GB"/>
        </w:rPr>
        <w:t xml:space="preserve">Pine, B.J. and Gilmore, J.H. (1999) </w:t>
      </w:r>
      <w:r w:rsidRPr="0081500A">
        <w:rPr>
          <w:i/>
          <w:iCs/>
          <w:lang w:val="en-GB"/>
        </w:rPr>
        <w:t>The Experience Economy: Work is Theatre &amp; Every Business a Stage</w:t>
      </w:r>
      <w:r w:rsidRPr="0081500A">
        <w:rPr>
          <w:lang w:val="en-GB"/>
        </w:rPr>
        <w:t>. Boston, MA: Harvard Business School Press.</w:t>
      </w:r>
    </w:p>
    <w:p w14:paraId="052FB650" w14:textId="77777777" w:rsidR="0081500A" w:rsidRPr="0081500A" w:rsidRDefault="0081500A" w:rsidP="00A83250">
      <w:pPr>
        <w:ind w:left="720" w:hanging="720"/>
        <w:rPr>
          <w:lang w:val="en-GB"/>
        </w:rPr>
      </w:pPr>
      <w:r w:rsidRPr="0081500A">
        <w:rPr>
          <w:lang w:val="en-GB"/>
        </w:rPr>
        <w:t xml:space="preserve">Porter, M.E. (1985) </w:t>
      </w:r>
      <w:r w:rsidRPr="0081500A">
        <w:rPr>
          <w:i/>
          <w:iCs/>
          <w:lang w:val="en-GB"/>
        </w:rPr>
        <w:t>Competitive Advantage: Creating and Sustaining Superior Performance</w:t>
      </w:r>
      <w:r w:rsidRPr="0081500A">
        <w:rPr>
          <w:lang w:val="en-GB"/>
        </w:rPr>
        <w:t>. New York: Free Press.</w:t>
      </w:r>
    </w:p>
    <w:p w14:paraId="1271C57A" w14:textId="6DAFC0FB" w:rsidR="0081500A" w:rsidRPr="0081500A" w:rsidRDefault="0081500A" w:rsidP="00A83250">
      <w:pPr>
        <w:ind w:left="720" w:hanging="720"/>
        <w:rPr>
          <w:lang w:val="en-GB"/>
        </w:rPr>
      </w:pPr>
      <w:r w:rsidRPr="0081500A">
        <w:rPr>
          <w:lang w:val="en-GB"/>
        </w:rPr>
        <w:t xml:space="preserve">Ryan, D. (2016) </w:t>
      </w:r>
      <w:r w:rsidRPr="0081500A">
        <w:rPr>
          <w:i/>
          <w:iCs/>
          <w:lang w:val="en-GB"/>
        </w:rPr>
        <w:t>Understanding Digital Marketing: Marketing Strategies for Engaging the Digital Generation</w:t>
      </w:r>
      <w:r w:rsidRPr="0081500A">
        <w:rPr>
          <w:lang w:val="en-GB"/>
        </w:rPr>
        <w:t>. 4th edn. London: Kogan Page.</w:t>
      </w:r>
    </w:p>
    <w:p w14:paraId="31B18574" w14:textId="77777777" w:rsidR="0081500A" w:rsidRPr="0081500A" w:rsidRDefault="0081500A" w:rsidP="00A83250">
      <w:pPr>
        <w:ind w:left="720" w:hanging="720"/>
        <w:rPr>
          <w:lang w:val="en-GB"/>
        </w:rPr>
      </w:pPr>
      <w:r w:rsidRPr="0081500A">
        <w:rPr>
          <w:lang w:val="en-GB"/>
        </w:rPr>
        <w:t xml:space="preserve">Smith, J. (2019) ‘Literary cafés and European cultural identity’, </w:t>
      </w:r>
      <w:r w:rsidRPr="0081500A">
        <w:rPr>
          <w:i/>
          <w:iCs/>
          <w:lang w:val="en-GB"/>
        </w:rPr>
        <w:t>European Journal of Cultural History</w:t>
      </w:r>
      <w:r w:rsidRPr="0081500A">
        <w:rPr>
          <w:lang w:val="en-GB"/>
        </w:rPr>
        <w:t>, 7(2), pp. 101–118.</w:t>
      </w:r>
    </w:p>
    <w:p w14:paraId="02598C76" w14:textId="4E499F1A" w:rsidR="0081500A" w:rsidRPr="0081500A" w:rsidRDefault="0081500A" w:rsidP="00A83250">
      <w:pPr>
        <w:ind w:left="720" w:hanging="720"/>
        <w:rPr>
          <w:lang w:val="en-GB"/>
        </w:rPr>
      </w:pPr>
      <w:r w:rsidRPr="0081500A">
        <w:rPr>
          <w:lang w:val="en-GB"/>
        </w:rPr>
        <w:t xml:space="preserve">UK Hospitality (2023) </w:t>
      </w:r>
      <w:r w:rsidRPr="0081500A">
        <w:rPr>
          <w:i/>
          <w:iCs/>
          <w:lang w:val="en-GB"/>
        </w:rPr>
        <w:t>Hospitality Industry Regulatory Update</w:t>
      </w:r>
      <w:r w:rsidRPr="0081500A">
        <w:rPr>
          <w:lang w:val="en-GB"/>
        </w:rPr>
        <w:t xml:space="preserve">. UKHospitality. Available at: </w:t>
      </w:r>
      <w:hyperlink r:id="rId11" w:history="1">
        <w:r w:rsidR="003D58A1" w:rsidRPr="0081500A">
          <w:rPr>
            <w:rStyle w:val="Hyperlink"/>
            <w:lang w:val="en-GB"/>
          </w:rPr>
          <w:t>https://www.ukhospitality.org.uk</w:t>
        </w:r>
      </w:hyperlink>
      <w:r w:rsidR="003D58A1">
        <w:rPr>
          <w:lang w:val="en-GB"/>
        </w:rPr>
        <w:t xml:space="preserve"> </w:t>
      </w:r>
      <w:r w:rsidRPr="0081500A">
        <w:rPr>
          <w:lang w:val="en-GB"/>
        </w:rPr>
        <w:t xml:space="preserve"> (Accessed: 29 November 2025).</w:t>
      </w:r>
    </w:p>
    <w:p w14:paraId="5E29C251" w14:textId="77777777" w:rsidR="00FD71C2" w:rsidRPr="00A83250" w:rsidRDefault="00FD71C2"/>
    <w:sectPr w:rsidR="00FD71C2" w:rsidRPr="00A8325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21BEB" w14:textId="77777777" w:rsidR="00634F36" w:rsidRDefault="00634F36" w:rsidP="007B3A77">
      <w:pPr>
        <w:spacing w:after="0" w:line="240" w:lineRule="auto"/>
      </w:pPr>
      <w:r>
        <w:separator/>
      </w:r>
    </w:p>
  </w:endnote>
  <w:endnote w:type="continuationSeparator" w:id="0">
    <w:p w14:paraId="0150C6B5" w14:textId="77777777" w:rsidR="00634F36" w:rsidRDefault="00634F36" w:rsidP="007B3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141528"/>
      <w:docPartObj>
        <w:docPartGallery w:val="Page Numbers (Bottom of Page)"/>
        <w:docPartUnique/>
      </w:docPartObj>
    </w:sdtPr>
    <w:sdtEndPr>
      <w:rPr>
        <w:noProof/>
      </w:rPr>
    </w:sdtEndPr>
    <w:sdtContent>
      <w:p w14:paraId="53596D03" w14:textId="1A96766C" w:rsidR="007B3A77" w:rsidRDefault="007B3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330CA8" w14:textId="77777777" w:rsidR="007B3A77" w:rsidRDefault="007B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2C668" w14:textId="77777777" w:rsidR="00634F36" w:rsidRDefault="00634F36" w:rsidP="007B3A77">
      <w:pPr>
        <w:spacing w:after="0" w:line="240" w:lineRule="auto"/>
      </w:pPr>
      <w:r>
        <w:separator/>
      </w:r>
    </w:p>
  </w:footnote>
  <w:footnote w:type="continuationSeparator" w:id="0">
    <w:p w14:paraId="6A9EE68F" w14:textId="77777777" w:rsidR="00634F36" w:rsidRDefault="00634F36" w:rsidP="007B3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90B"/>
    <w:multiLevelType w:val="multilevel"/>
    <w:tmpl w:val="79B2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C5C2A"/>
    <w:multiLevelType w:val="multilevel"/>
    <w:tmpl w:val="DE66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30631"/>
    <w:multiLevelType w:val="multilevel"/>
    <w:tmpl w:val="54442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62265"/>
    <w:multiLevelType w:val="multilevel"/>
    <w:tmpl w:val="7142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E7741"/>
    <w:multiLevelType w:val="multilevel"/>
    <w:tmpl w:val="A3C0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26444A"/>
    <w:multiLevelType w:val="multilevel"/>
    <w:tmpl w:val="344C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F6CAF"/>
    <w:multiLevelType w:val="multilevel"/>
    <w:tmpl w:val="77A8D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72DE2"/>
    <w:multiLevelType w:val="multilevel"/>
    <w:tmpl w:val="F4447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C805E1"/>
    <w:multiLevelType w:val="multilevel"/>
    <w:tmpl w:val="5002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170509"/>
    <w:multiLevelType w:val="multilevel"/>
    <w:tmpl w:val="D848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038EC"/>
    <w:multiLevelType w:val="multilevel"/>
    <w:tmpl w:val="D2F6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310BC"/>
    <w:multiLevelType w:val="multilevel"/>
    <w:tmpl w:val="47F4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022974"/>
    <w:multiLevelType w:val="multilevel"/>
    <w:tmpl w:val="E91A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C651F"/>
    <w:multiLevelType w:val="hybridMultilevel"/>
    <w:tmpl w:val="486A6614"/>
    <w:lvl w:ilvl="0" w:tplc="84145FF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5E4A4C"/>
    <w:multiLevelType w:val="multilevel"/>
    <w:tmpl w:val="16BA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975B0B"/>
    <w:multiLevelType w:val="multilevel"/>
    <w:tmpl w:val="E162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88173A"/>
    <w:multiLevelType w:val="multilevel"/>
    <w:tmpl w:val="66F8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EE382A"/>
    <w:multiLevelType w:val="multilevel"/>
    <w:tmpl w:val="E026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6216622">
    <w:abstractNumId w:val="10"/>
  </w:num>
  <w:num w:numId="2" w16cid:durableId="1244224874">
    <w:abstractNumId w:val="13"/>
  </w:num>
  <w:num w:numId="3" w16cid:durableId="686711744">
    <w:abstractNumId w:val="15"/>
  </w:num>
  <w:num w:numId="4" w16cid:durableId="970481380">
    <w:abstractNumId w:val="18"/>
  </w:num>
  <w:num w:numId="5" w16cid:durableId="1426800971">
    <w:abstractNumId w:val="6"/>
  </w:num>
  <w:num w:numId="6" w16cid:durableId="980622837">
    <w:abstractNumId w:val="2"/>
  </w:num>
  <w:num w:numId="7" w16cid:durableId="1441147769">
    <w:abstractNumId w:val="1"/>
  </w:num>
  <w:num w:numId="8" w16cid:durableId="1720745695">
    <w:abstractNumId w:val="0"/>
  </w:num>
  <w:num w:numId="9" w16cid:durableId="1416780087">
    <w:abstractNumId w:val="3"/>
  </w:num>
  <w:num w:numId="10" w16cid:durableId="1338001670">
    <w:abstractNumId w:val="16"/>
  </w:num>
  <w:num w:numId="11" w16cid:durableId="1663581165">
    <w:abstractNumId w:val="5"/>
  </w:num>
  <w:num w:numId="12" w16cid:durableId="178012732">
    <w:abstractNumId w:val="9"/>
  </w:num>
  <w:num w:numId="13" w16cid:durableId="1202209265">
    <w:abstractNumId w:val="11"/>
  </w:num>
  <w:num w:numId="14" w16cid:durableId="1873419920">
    <w:abstractNumId w:val="17"/>
  </w:num>
  <w:num w:numId="15" w16cid:durableId="343631398">
    <w:abstractNumId w:val="7"/>
  </w:num>
  <w:num w:numId="16" w16cid:durableId="1476491540">
    <w:abstractNumId w:val="8"/>
  </w:num>
  <w:num w:numId="17" w16cid:durableId="598415833">
    <w:abstractNumId w:val="14"/>
  </w:num>
  <w:num w:numId="18" w16cid:durableId="838934395">
    <w:abstractNumId w:val="12"/>
  </w:num>
  <w:num w:numId="19" w16cid:durableId="762502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50"/>
    <w:rsid w:val="000407FD"/>
    <w:rsid w:val="000D13BF"/>
    <w:rsid w:val="0015431E"/>
    <w:rsid w:val="00162559"/>
    <w:rsid w:val="00167E54"/>
    <w:rsid w:val="00180F4A"/>
    <w:rsid w:val="00183D03"/>
    <w:rsid w:val="00193CA5"/>
    <w:rsid w:val="001A2B2A"/>
    <w:rsid w:val="001B6115"/>
    <w:rsid w:val="001E3BE1"/>
    <w:rsid w:val="001E445C"/>
    <w:rsid w:val="002B1269"/>
    <w:rsid w:val="002B75F5"/>
    <w:rsid w:val="002C37E5"/>
    <w:rsid w:val="00363A44"/>
    <w:rsid w:val="003B25FF"/>
    <w:rsid w:val="003D58A1"/>
    <w:rsid w:val="003E0E2B"/>
    <w:rsid w:val="003E5AC6"/>
    <w:rsid w:val="004310A9"/>
    <w:rsid w:val="00463C22"/>
    <w:rsid w:val="004975A1"/>
    <w:rsid w:val="004A5FA1"/>
    <w:rsid w:val="00546B5C"/>
    <w:rsid w:val="005B1872"/>
    <w:rsid w:val="005D66BC"/>
    <w:rsid w:val="006052FB"/>
    <w:rsid w:val="00634F36"/>
    <w:rsid w:val="00691B45"/>
    <w:rsid w:val="00695050"/>
    <w:rsid w:val="006E523A"/>
    <w:rsid w:val="007178F4"/>
    <w:rsid w:val="00746076"/>
    <w:rsid w:val="00761BC8"/>
    <w:rsid w:val="00763A48"/>
    <w:rsid w:val="007B3A77"/>
    <w:rsid w:val="0081500A"/>
    <w:rsid w:val="00855389"/>
    <w:rsid w:val="008E27EC"/>
    <w:rsid w:val="009737F0"/>
    <w:rsid w:val="009E5D84"/>
    <w:rsid w:val="00A46CA8"/>
    <w:rsid w:val="00A83250"/>
    <w:rsid w:val="00A85192"/>
    <w:rsid w:val="00B10958"/>
    <w:rsid w:val="00B30D25"/>
    <w:rsid w:val="00BB01A5"/>
    <w:rsid w:val="00BB7B6F"/>
    <w:rsid w:val="00C01EAB"/>
    <w:rsid w:val="00C07CD0"/>
    <w:rsid w:val="00C92BE5"/>
    <w:rsid w:val="00CA14E6"/>
    <w:rsid w:val="00CF1D48"/>
    <w:rsid w:val="00D20ECC"/>
    <w:rsid w:val="00E07036"/>
    <w:rsid w:val="00E22E18"/>
    <w:rsid w:val="00E6369C"/>
    <w:rsid w:val="00ED5E37"/>
    <w:rsid w:val="00EE13C6"/>
    <w:rsid w:val="00F16AE4"/>
    <w:rsid w:val="00F549AD"/>
    <w:rsid w:val="00F75E1D"/>
    <w:rsid w:val="00FD6D1D"/>
    <w:rsid w:val="00FD71C2"/>
    <w:rsid w:val="00FE372F"/>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54F0B"/>
  <w15:chartTrackingRefBased/>
  <w15:docId w15:val="{B6E0BD6D-8AE0-4E6B-8CB4-90110E3B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9E5D84"/>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7178F4"/>
    <w:pPr>
      <w:keepNext/>
      <w:keepLines/>
      <w:spacing w:before="16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6950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50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50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50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50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50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9E5D84"/>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7178F4"/>
    <w:rPr>
      <w:rFonts w:ascii="Arial" w:eastAsiaTheme="majorEastAsia" w:hAnsi="Arial" w:cstheme="majorBidi"/>
      <w:b/>
      <w:sz w:val="24"/>
      <w:szCs w:val="32"/>
    </w:rPr>
  </w:style>
  <w:style w:type="character" w:customStyle="1" w:styleId="Heading4Char">
    <w:name w:val="Heading 4 Char"/>
    <w:basedOn w:val="DefaultParagraphFont"/>
    <w:link w:val="Heading4"/>
    <w:uiPriority w:val="9"/>
    <w:semiHidden/>
    <w:rsid w:val="00695050"/>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695050"/>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695050"/>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695050"/>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695050"/>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695050"/>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69505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050"/>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9505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050"/>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950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5050"/>
    <w:rPr>
      <w:rFonts w:ascii="Arial" w:hAnsi="Arial"/>
      <w:i/>
      <w:iCs/>
      <w:color w:val="404040" w:themeColor="text1" w:themeTint="BF"/>
      <w:sz w:val="24"/>
      <w:lang w:val="en-US"/>
    </w:rPr>
  </w:style>
  <w:style w:type="paragraph" w:styleId="ListParagraph">
    <w:name w:val="List Paragraph"/>
    <w:basedOn w:val="Normal"/>
    <w:uiPriority w:val="34"/>
    <w:qFormat/>
    <w:rsid w:val="00695050"/>
    <w:pPr>
      <w:ind w:left="720"/>
      <w:contextualSpacing/>
    </w:pPr>
  </w:style>
  <w:style w:type="character" w:styleId="IntenseEmphasis">
    <w:name w:val="Intense Emphasis"/>
    <w:basedOn w:val="DefaultParagraphFont"/>
    <w:uiPriority w:val="21"/>
    <w:qFormat/>
    <w:rsid w:val="00695050"/>
    <w:rPr>
      <w:i/>
      <w:iCs/>
      <w:color w:val="0F4761" w:themeColor="accent1" w:themeShade="BF"/>
    </w:rPr>
  </w:style>
  <w:style w:type="paragraph" w:styleId="IntenseQuote">
    <w:name w:val="Intense Quote"/>
    <w:basedOn w:val="Normal"/>
    <w:next w:val="Normal"/>
    <w:link w:val="IntenseQuoteChar"/>
    <w:uiPriority w:val="30"/>
    <w:qFormat/>
    <w:rsid w:val="006950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050"/>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695050"/>
    <w:rPr>
      <w:b/>
      <w:bCs/>
      <w:smallCaps/>
      <w:color w:val="0F4761" w:themeColor="accent1" w:themeShade="BF"/>
      <w:spacing w:val="5"/>
    </w:rPr>
  </w:style>
  <w:style w:type="character" w:styleId="Strong">
    <w:name w:val="Strong"/>
    <w:basedOn w:val="DefaultParagraphFont"/>
    <w:uiPriority w:val="22"/>
    <w:qFormat/>
    <w:rsid w:val="00167E54"/>
    <w:rPr>
      <w:b/>
      <w:bCs/>
    </w:rPr>
  </w:style>
  <w:style w:type="table" w:styleId="TableGrid">
    <w:name w:val="Table Grid"/>
    <w:basedOn w:val="TableNormal"/>
    <w:uiPriority w:val="39"/>
    <w:rsid w:val="00FD6D1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3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A77"/>
    <w:rPr>
      <w:rFonts w:ascii="Arial" w:hAnsi="Arial"/>
      <w:sz w:val="24"/>
      <w:lang w:val="en-US"/>
    </w:rPr>
  </w:style>
  <w:style w:type="paragraph" w:styleId="Footer">
    <w:name w:val="footer"/>
    <w:basedOn w:val="Normal"/>
    <w:link w:val="FooterChar"/>
    <w:uiPriority w:val="99"/>
    <w:unhideWhenUsed/>
    <w:rsid w:val="007B3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A77"/>
    <w:rPr>
      <w:rFonts w:ascii="Arial" w:hAnsi="Arial"/>
      <w:sz w:val="24"/>
      <w:lang w:val="en-US"/>
    </w:rPr>
  </w:style>
  <w:style w:type="paragraph" w:styleId="TOCHeading">
    <w:name w:val="TOC Heading"/>
    <w:basedOn w:val="Heading1"/>
    <w:next w:val="Normal"/>
    <w:uiPriority w:val="39"/>
    <w:unhideWhenUsed/>
    <w:qFormat/>
    <w:rsid w:val="00ED5E37"/>
    <w:pPr>
      <w:spacing w:before="240" w:line="259" w:lineRule="auto"/>
      <w:jc w:val="left"/>
      <w:outlineLvl w:val="9"/>
    </w:pPr>
    <w:rPr>
      <w:rFonts w:asciiTheme="majorHAnsi" w:hAnsiTheme="majorHAnsi"/>
      <w:b w:val="0"/>
      <w:bCs w:val="0"/>
      <w:color w:val="0F4761" w:themeColor="accent1" w:themeShade="BF"/>
      <w:sz w:val="32"/>
      <w:szCs w:val="32"/>
      <w:lang w:val="en-US"/>
    </w:rPr>
  </w:style>
  <w:style w:type="paragraph" w:styleId="TOC1">
    <w:name w:val="toc 1"/>
    <w:basedOn w:val="Normal"/>
    <w:next w:val="Normal"/>
    <w:autoRedefine/>
    <w:uiPriority w:val="39"/>
    <w:unhideWhenUsed/>
    <w:rsid w:val="00ED5E37"/>
    <w:pPr>
      <w:spacing w:after="100"/>
    </w:pPr>
  </w:style>
  <w:style w:type="character" w:styleId="Hyperlink">
    <w:name w:val="Hyperlink"/>
    <w:basedOn w:val="DefaultParagraphFont"/>
    <w:uiPriority w:val="99"/>
    <w:unhideWhenUsed/>
    <w:rsid w:val="00ED5E37"/>
    <w:rPr>
      <w:color w:val="467886" w:themeColor="hyperlink"/>
      <w:u w:val="single"/>
    </w:rPr>
  </w:style>
  <w:style w:type="character" w:styleId="UnresolvedMention">
    <w:name w:val="Unresolved Mention"/>
    <w:basedOn w:val="DefaultParagraphFont"/>
    <w:uiPriority w:val="99"/>
    <w:semiHidden/>
    <w:unhideWhenUsed/>
    <w:rsid w:val="003D5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khospitality.org.uk" TargetMode="External"/><Relationship Id="rId5" Type="http://schemas.openxmlformats.org/officeDocument/2006/relationships/webSettings" Target="webSettings.xml"/><Relationship Id="rId10" Type="http://schemas.openxmlformats.org/officeDocument/2006/relationships/hyperlink" Target="https://www.gov.uk/set-up-business" TargetMode="External"/><Relationship Id="rId4" Type="http://schemas.openxmlformats.org/officeDocument/2006/relationships/settings" Target="settings.xml"/><Relationship Id="rId9" Type="http://schemas.openxmlformats.org/officeDocument/2006/relationships/hyperlink" Target="https://www.british-business-bank.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A92D14-BADF-4090-A758-B5A33F2D2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4953</Words>
  <Characters>28236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Carmen Antal-Berbecaru (2242917)</cp:lastModifiedBy>
  <cp:revision>16</cp:revision>
  <dcterms:created xsi:type="dcterms:W3CDTF">2025-11-09T12:44:00Z</dcterms:created>
  <dcterms:modified xsi:type="dcterms:W3CDTF">2025-11-30T11:19:00Z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2be9e0fc-b1a6-496a-be1b-12ba219c2c74</vt:lpwstr>
  </property>
</Properties>
</file>