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FAAAEF" w14:textId="1A730BF8" w:rsidR="000616FD" w:rsidRPr="000616FD" w:rsidRDefault="000616FD">
      <w:pPr>
        <w:rPr>
          <w:u w:val="single"/>
        </w:rPr>
      </w:pPr>
      <w:r w:rsidRPr="000616FD">
        <w:rPr>
          <w:u w:val="single"/>
        </w:rPr>
        <w:t>How influential was Pope Urban II’s speech at Council of Clermont to the success of the First Crusade?</w:t>
      </w:r>
    </w:p>
    <w:p w14:paraId="57EBA9E4" w14:textId="6B388B24" w:rsidR="00C138D0" w:rsidRDefault="00A17380">
      <w:r>
        <w:t>When looking at medieval history that changed Europe, it is vital to look at the Crusades that motivated reclamation of Holy Land, especially the</w:t>
      </w:r>
      <w:r w:rsidR="00C138D0">
        <w:t xml:space="preserve"> First Crusade’s</w:t>
      </w:r>
      <w:r>
        <w:t xml:space="preserve"> battle against the Turks and in particular the lead up to that. In December 1095, Pope Urban II lead a speech at the Council of Clermont which is largely credited to be the cause of the motivation behind the First Crusade. Although the speech itself was not fully noted down, five accounts remain from people who were very likely present at the speech itself and thus </w:t>
      </w:r>
      <w:r w:rsidR="001B00E0">
        <w:t>wrote</w:t>
      </w:r>
      <w:r>
        <w:t xml:space="preserve"> down what they recalled of it, as well as Urban II’s Letter of Instruction from the same meeting.</w:t>
      </w:r>
      <w:r w:rsidR="00C138D0">
        <w:t xml:space="preserve"> </w:t>
      </w:r>
      <w:proofErr w:type="gramStart"/>
      <w:r w:rsidR="00C138D0">
        <w:t>Therefore</w:t>
      </w:r>
      <w:proofErr w:type="gramEnd"/>
      <w:r w:rsidR="00C138D0">
        <w:t xml:space="preserve"> it can be observed from several sources just how influential Pope Urban II was in the leading of the First Crusade.</w:t>
      </w:r>
    </w:p>
    <w:p w14:paraId="1E567AB1" w14:textId="378E00F1" w:rsidR="00C138D0" w:rsidRDefault="00C138D0">
      <w:r>
        <w:t xml:space="preserve">In his initial letter of instruction, Urban II’s words are carefully picked out </w:t>
      </w:r>
      <w:proofErr w:type="gramStart"/>
      <w:r>
        <w:t>in order to</w:t>
      </w:r>
      <w:proofErr w:type="gramEnd"/>
      <w:r>
        <w:t xml:space="preserve"> encourage as many willing and able participants as possible. His speech has various instances of referring to his allies as “your brotherhood”</w:t>
      </w:r>
      <w:r>
        <w:rPr>
          <w:rStyle w:val="FootnoteReference"/>
        </w:rPr>
        <w:footnoteReference w:id="1"/>
      </w:r>
      <w:r>
        <w:t xml:space="preserve">, and his enemies as “a barbaric fury”, a phrase particularly interesting to use as not only does it emphasise the enemies seemingly uncalled for anger towards the Christian faith but also as inherently ‘barbaric’ and Other, separated entirely as an identity, perhaps even sub-human as a whole. It suggests that those who refuse to fight are allowing this endless violence to </w:t>
      </w:r>
      <w:proofErr w:type="gramStart"/>
      <w:r>
        <w:t>continue, and</w:t>
      </w:r>
      <w:proofErr w:type="gramEnd"/>
      <w:r>
        <w:t xml:space="preserve"> therefore places the responsibility in the hands of the followers and fighters who can volunteer, </w:t>
      </w:r>
      <w:r w:rsidR="001B00E0">
        <w:t>thus</w:t>
      </w:r>
      <w:r>
        <w:t xml:space="preserve"> will be remiss if they do not join. Urban II’s letter also has a tone of seriousness, proving how seriously he takes the cause as a whole; “Grieving with pious concern”, “solemnly enjoined upon them” and “devoted ourselves largely”</w:t>
      </w:r>
      <w:r>
        <w:rPr>
          <w:rStyle w:val="FootnoteReference"/>
        </w:rPr>
        <w:footnoteReference w:id="2"/>
      </w:r>
      <w:r>
        <w:t xml:space="preserve"> are phrases the Pope uses, implying a devotion to the cause equally as serious as devoting himself to God.</w:t>
      </w:r>
    </w:p>
    <w:p w14:paraId="50A1FB50" w14:textId="77EF781E" w:rsidR="00C138D0" w:rsidRDefault="00C138D0">
      <w:r>
        <w:t xml:space="preserve">One text written </w:t>
      </w:r>
      <w:r w:rsidR="00425C2A">
        <w:t xml:space="preserve">by an anonymous writer present at the speech wrote the </w:t>
      </w:r>
      <w:proofErr w:type="spellStart"/>
      <w:r w:rsidR="00425C2A">
        <w:t>Gesta</w:t>
      </w:r>
      <w:proofErr w:type="spellEnd"/>
      <w:r w:rsidR="00425C2A">
        <w:t xml:space="preserve"> Francorum, ‘The Deeds of the Franks’, which also described how Urban II rallied his followers to fight for the noble cause.</w:t>
      </w:r>
      <w:r w:rsidR="005F7EE0">
        <w:t xml:space="preserve"> A direct quote states, “Whoever wishes to save his soul should not hesitate humbly to take up the way of the Lord, and if he lacks sufficient money, divine mercy will give him enough.”</w:t>
      </w:r>
      <w:r w:rsidR="005F7EE0">
        <w:rPr>
          <w:rStyle w:val="FootnoteReference"/>
        </w:rPr>
        <w:footnoteReference w:id="3"/>
      </w:r>
      <w:r w:rsidR="005F7EE0">
        <w:t xml:space="preserve"> This phrase in particular reveals a lot about how the First Crusade was perceived to play out. Urban II’s encouragement is active in saying that those who wish to enter the Kingdom of Heaven and live in eternal grace with God must go on this Crusade, even if they do not have the funds to do so, God will simply grace them with the ability to be capable to participate. Urban’s motivations here are evident; there is no mortal reward for retrieving the Holy Land back from the enemies, only a reward that extends past mortal life – aside from the glory and land </w:t>
      </w:r>
      <w:r w:rsidR="005F7EE0">
        <w:lastRenderedPageBreak/>
        <w:t>gained, however at the time the speech was provided, there was not yet knowledge that they would take ownership of any of the land they were going to retrieve. The</w:t>
      </w:r>
      <w:r w:rsidR="00D3476A">
        <w:t xml:space="preserve"> implication of a heavenly gift as opposed to a tangible one highlights just how important religion and faith was in medieval times, and exactly how much of a motivator it was in the fight against the Turks.</w:t>
      </w:r>
    </w:p>
    <w:p w14:paraId="4F326398" w14:textId="365C7284" w:rsidR="008414FA" w:rsidRDefault="00A44400">
      <w:r>
        <w:t xml:space="preserve">Fulcher of Chartres, another writer likely </w:t>
      </w:r>
      <w:proofErr w:type="gramStart"/>
      <w:r>
        <w:t>present</w:t>
      </w:r>
      <w:proofErr w:type="gramEnd"/>
      <w:r>
        <w:t xml:space="preserve"> at the speech given, chronicled how he perceived the speech of Urban to be written. His writing puts the speech in a biased perspective; it is evident that aspects of the writing are true to his real word, as it overlapped in similarity with the other writers of the time, for example the references to the kingdom of Heaven being the ultimate reward for the success of the Crusade is equally apparent in Fulcher of Chartres’ writing as it is in the </w:t>
      </w:r>
      <w:proofErr w:type="spellStart"/>
      <w:r>
        <w:t>Gesta</w:t>
      </w:r>
      <w:proofErr w:type="spellEnd"/>
      <w:r>
        <w:t xml:space="preserve"> Francorum. However, there are </w:t>
      </w:r>
      <w:r w:rsidR="00882B30">
        <w:t>exceptions, such as the dramatic language to explain the torment that waits for those who refuse to participate – he writes, “He will surely condemn you and drive you from His loving presence.”</w:t>
      </w:r>
      <w:r w:rsidR="00882B30">
        <w:rPr>
          <w:rStyle w:val="FootnoteReference"/>
        </w:rPr>
        <w:footnoteReference w:id="4"/>
      </w:r>
      <w:r w:rsidR="00882B30">
        <w:t xml:space="preserve"> This idea reverses the previous records of Urban II being gracious and offering rewards, and uses the religion that would’ve been valued so highly in the time period as a warning and a threat, to continue fear-mongering the idea of suffering inflicted upon those who turn away their destiny. He also does this </w:t>
      </w:r>
      <w:r w:rsidR="00300F7E">
        <w:t>later in his writing where he says “You have seen for a long time the great disorder in the world caused by these crimes.”</w:t>
      </w:r>
      <w:r w:rsidR="00300F7E">
        <w:rPr>
          <w:rStyle w:val="FootnoteReference"/>
        </w:rPr>
        <w:footnoteReference w:id="5"/>
      </w:r>
      <w:r w:rsidR="008F4872">
        <w:t xml:space="preserve"> This again parallels Urban’s own letter where he describes the enemy as barbaric, where Fulcher emphasises them as causing great disorder, showing that whilst there is great reward and great punishment for participation of lack thereof, the main ideal is still that there is a common enemy that must be defeated.</w:t>
      </w:r>
    </w:p>
    <w:p w14:paraId="4BA2714C" w14:textId="7234C157" w:rsidR="008F4872" w:rsidRDefault="008F4872">
      <w:r>
        <w:t xml:space="preserve">Another attendee of the Council of Clermont, Guibert of </w:t>
      </w:r>
      <w:proofErr w:type="spellStart"/>
      <w:r>
        <w:t>Nogent</w:t>
      </w:r>
      <w:proofErr w:type="spellEnd"/>
      <w:r>
        <w:t xml:space="preserve">, wrote his version alongside his knowledge but also with the use of the </w:t>
      </w:r>
      <w:proofErr w:type="spellStart"/>
      <w:r>
        <w:t>Gesta</w:t>
      </w:r>
      <w:proofErr w:type="spellEnd"/>
      <w:r>
        <w:t xml:space="preserve"> Francorum, something that Fulcher of Chartres was also theorised to have used, but it is not certain. Regardless, Guibert offers a much more kindly perspective on the words of Urban, and his writing even emphasises that, even if Jesus had “never lived any length of time in Jerusalem,”</w:t>
      </w:r>
      <w:r>
        <w:rPr>
          <w:rStyle w:val="FootnoteReference"/>
        </w:rPr>
        <w:footnoteReference w:id="6"/>
      </w:r>
      <w:r>
        <w:t xml:space="preserve"> the fact that Christian preachings have stemmed from Jerusalem and moved around the world proves that it is an important enough country to go to war over.</w:t>
      </w:r>
      <w:r w:rsidR="00045D24">
        <w:t xml:space="preserve"> He further encourages followers to say that they ought to imagine the happiness they will feel when the</w:t>
      </w:r>
      <w:r w:rsidR="00023712">
        <w:t xml:space="preserve"> war is won and they have retrieved the land. </w:t>
      </w:r>
      <w:proofErr w:type="gramStart"/>
      <w:r w:rsidR="00023712">
        <w:t>Thus</w:t>
      </w:r>
      <w:proofErr w:type="gramEnd"/>
      <w:r w:rsidR="00023712">
        <w:t xml:space="preserve"> it can be compared to Fulcher of Chartres’ writings; the influential Urban II’s words are used to intimidate, encourage, and all to push people towards volunteering for the first Crusade. The many documentations of the one speech at the Council of Clermont, written and rewritten with further </w:t>
      </w:r>
      <w:r w:rsidR="000616FD">
        <w:t xml:space="preserve">references, such as the </w:t>
      </w:r>
      <w:proofErr w:type="spellStart"/>
      <w:r w:rsidR="000616FD">
        <w:t>Gesta</w:t>
      </w:r>
      <w:proofErr w:type="spellEnd"/>
      <w:r w:rsidR="000616FD">
        <w:t xml:space="preserve"> Francorum, reveal just how impactful Pope Urban II’s speech was in riling up an army ready to lead the First Crusade. It ultimately </w:t>
      </w:r>
      <w:r w:rsidR="000616FD">
        <w:lastRenderedPageBreak/>
        <w:t>ended very successfully, and the success itself could certainly be attributed to the speech given just months before the Crusade launched.</w:t>
      </w:r>
    </w:p>
    <w:p w14:paraId="06E2BB49" w14:textId="2C41211D" w:rsidR="00616CC3" w:rsidRDefault="00616CC3">
      <w:pPr>
        <w:rPr>
          <w:u w:val="single"/>
        </w:rPr>
      </w:pPr>
      <w:r w:rsidRPr="00616CC3">
        <w:rPr>
          <w:u w:val="single"/>
        </w:rPr>
        <w:t>Bibliography</w:t>
      </w:r>
    </w:p>
    <w:p w14:paraId="6DA2F172" w14:textId="15EF34B1" w:rsidR="00616CC3" w:rsidRDefault="00616CC3">
      <w:pPr>
        <w:rPr>
          <w:u w:val="single"/>
        </w:rPr>
      </w:pPr>
      <w:r w:rsidRPr="00616CC3">
        <w:rPr>
          <w:u w:val="single"/>
        </w:rPr>
        <w:t>Primary Source</w:t>
      </w:r>
    </w:p>
    <w:p w14:paraId="28511542" w14:textId="0491D548" w:rsidR="00616CC3" w:rsidRDefault="00616CC3" w:rsidP="00616CC3">
      <w:r w:rsidRPr="00632A55">
        <w:t>Krey</w:t>
      </w:r>
      <w:r w:rsidR="00117F25">
        <w:t xml:space="preserve">, A.C., </w:t>
      </w:r>
      <w:r w:rsidR="00117F25" w:rsidRPr="00632A55">
        <w:t>Urban II: Letter of Instruction, December 1095</w:t>
      </w:r>
      <w:r w:rsidRPr="00632A55">
        <w:t>, The First Crusade</w:t>
      </w:r>
      <w:r w:rsidR="00117F25">
        <w:t>: The Accounts of Eyewitnesses and Participants</w:t>
      </w:r>
      <w:r w:rsidRPr="00632A55">
        <w:t xml:space="preserve">, </w:t>
      </w:r>
      <w:r w:rsidR="00117F25">
        <w:t xml:space="preserve">Princeton, 1921, </w:t>
      </w:r>
      <w:hyperlink r:id="rId8" w:history="1">
        <w:r w:rsidR="00117F25" w:rsidRPr="00C409E0">
          <w:rPr>
            <w:rStyle w:val="Hyperlink"/>
          </w:rPr>
          <w:t>https://sourcebooks.fordham.edu/sbook1k.asp</w:t>
        </w:r>
      </w:hyperlink>
      <w:r w:rsidR="00117F25">
        <w:t xml:space="preserve"> </w:t>
      </w:r>
      <w:r w:rsidR="00254AF5">
        <w:t>[</w:t>
      </w:r>
      <w:r w:rsidR="00117F25">
        <w:t>last accessed 10/4/26</w:t>
      </w:r>
      <w:r w:rsidR="00254AF5">
        <w:t>]</w:t>
      </w:r>
    </w:p>
    <w:p w14:paraId="15C80DBF" w14:textId="4CBFB70B" w:rsidR="00616CC3" w:rsidRDefault="00616CC3">
      <w:pPr>
        <w:rPr>
          <w:u w:val="single"/>
        </w:rPr>
      </w:pPr>
      <w:r>
        <w:rPr>
          <w:u w:val="single"/>
        </w:rPr>
        <w:t>Secondary Sources</w:t>
      </w:r>
    </w:p>
    <w:p w14:paraId="14404531" w14:textId="75186E32" w:rsidR="004847D8" w:rsidRDefault="00117F25" w:rsidP="00616CC3">
      <w:proofErr w:type="spellStart"/>
      <w:r>
        <w:t>Bongars</w:t>
      </w:r>
      <w:proofErr w:type="spellEnd"/>
      <w:r>
        <w:t xml:space="preserve">, trans. </w:t>
      </w:r>
      <w:r w:rsidRPr="00632A55">
        <w:t>Oliver J. Thatcher, and Edgar Holmes McNeal, eds.</w:t>
      </w:r>
      <w:r>
        <w:t xml:space="preserve">, </w:t>
      </w:r>
      <w:r w:rsidR="004847D8" w:rsidRPr="00632A55">
        <w:t xml:space="preserve">Fulcher of Chartres: </w:t>
      </w:r>
      <w:proofErr w:type="spellStart"/>
      <w:r w:rsidR="004847D8" w:rsidRPr="00632A55">
        <w:t>Gesta</w:t>
      </w:r>
      <w:proofErr w:type="spellEnd"/>
      <w:r w:rsidR="004847D8" w:rsidRPr="00632A55">
        <w:t xml:space="preserve"> Francorum Jerusalem </w:t>
      </w:r>
      <w:proofErr w:type="spellStart"/>
      <w:r w:rsidR="004847D8" w:rsidRPr="00632A55">
        <w:t>Expugnantium</w:t>
      </w:r>
      <w:proofErr w:type="spellEnd"/>
      <w:r>
        <w:t>,</w:t>
      </w:r>
      <w:r w:rsidR="004847D8" w:rsidRPr="00632A55">
        <w:t xml:space="preserve"> </w:t>
      </w:r>
      <w:proofErr w:type="spellStart"/>
      <w:r w:rsidR="004847D8" w:rsidRPr="00632A55">
        <w:t>Gesta</w:t>
      </w:r>
      <w:proofErr w:type="spellEnd"/>
      <w:r w:rsidR="004847D8" w:rsidRPr="00632A55">
        <w:t xml:space="preserve"> Dei per Francos, p382</w:t>
      </w:r>
      <w:r>
        <w:t xml:space="preserve">, </w:t>
      </w:r>
      <w:r w:rsidR="004847D8" w:rsidRPr="00632A55">
        <w:t xml:space="preserve">A Source Book for Medieval History (New York, 1905), </w:t>
      </w:r>
      <w:r>
        <w:t>pp</w:t>
      </w:r>
      <w:r w:rsidR="004847D8" w:rsidRPr="00632A55">
        <w:t>513–17</w:t>
      </w:r>
    </w:p>
    <w:p w14:paraId="04DC2CE1" w14:textId="72EFD056" w:rsidR="00616CC3" w:rsidRDefault="00117F25" w:rsidP="00616CC3">
      <w:r>
        <w:t xml:space="preserve">Krey, A.C., </w:t>
      </w:r>
      <w:proofErr w:type="spellStart"/>
      <w:r w:rsidR="00616CC3" w:rsidRPr="00632A55">
        <w:t>Gesta</w:t>
      </w:r>
      <w:proofErr w:type="spellEnd"/>
      <w:r w:rsidR="00616CC3" w:rsidRPr="00632A55">
        <w:t xml:space="preserve"> Francorum [The Deeds of the Franks]</w:t>
      </w:r>
      <w:r>
        <w:t xml:space="preserve">, </w:t>
      </w:r>
      <w:r w:rsidR="00616CC3" w:rsidRPr="00632A55">
        <w:t>The First Crusade: The Accounts of Eyewitnesses and Participants</w:t>
      </w:r>
      <w:r>
        <w:t xml:space="preserve">, </w:t>
      </w:r>
      <w:r w:rsidR="00616CC3" w:rsidRPr="00632A55">
        <w:t xml:space="preserve">Princeton, 1921, </w:t>
      </w:r>
      <w:r>
        <w:t>pp</w:t>
      </w:r>
      <w:r w:rsidR="00616CC3" w:rsidRPr="00632A55">
        <w:t>28–30</w:t>
      </w:r>
    </w:p>
    <w:p w14:paraId="6ED2540C" w14:textId="58388F81" w:rsidR="00616CC3" w:rsidRPr="00117F25" w:rsidRDefault="00117F25" w:rsidP="00616CC3">
      <w:r w:rsidRPr="00117F25">
        <w:t>Krey,</w:t>
      </w:r>
      <w:r>
        <w:t xml:space="preserve"> A.C., </w:t>
      </w:r>
      <w:r w:rsidR="00616CC3" w:rsidRPr="00117F25">
        <w:t xml:space="preserve">Guibert de </w:t>
      </w:r>
      <w:proofErr w:type="spellStart"/>
      <w:r w:rsidR="00616CC3" w:rsidRPr="00117F25">
        <w:t>Nogent</w:t>
      </w:r>
      <w:proofErr w:type="spellEnd"/>
      <w:r w:rsidR="00616CC3" w:rsidRPr="00117F25">
        <w:t xml:space="preserve">: Historia </w:t>
      </w:r>
      <w:proofErr w:type="spellStart"/>
      <w:r w:rsidR="00616CC3" w:rsidRPr="00117F25">
        <w:t>quae</w:t>
      </w:r>
      <w:proofErr w:type="spellEnd"/>
      <w:r w:rsidR="00616CC3" w:rsidRPr="00117F25">
        <w:t xml:space="preserve"> </w:t>
      </w:r>
      <w:proofErr w:type="spellStart"/>
      <w:r w:rsidR="00616CC3" w:rsidRPr="00117F25">
        <w:t>dicitur</w:t>
      </w:r>
      <w:proofErr w:type="spellEnd"/>
      <w:r>
        <w:t>,</w:t>
      </w:r>
      <w:r w:rsidR="00616CC3" w:rsidRPr="00117F25">
        <w:t xml:space="preserve"> </w:t>
      </w:r>
      <w:proofErr w:type="spellStart"/>
      <w:r w:rsidR="00616CC3" w:rsidRPr="00117F25">
        <w:t>Gesta</w:t>
      </w:r>
      <w:proofErr w:type="spellEnd"/>
      <w:r w:rsidR="00616CC3" w:rsidRPr="00117F25">
        <w:t xml:space="preserve"> Dei per Francos</w:t>
      </w:r>
      <w:r>
        <w:t xml:space="preserve">, </w:t>
      </w:r>
      <w:r w:rsidR="00616CC3" w:rsidRPr="00117F25">
        <w:t>The First Crusade</w:t>
      </w:r>
      <w:r>
        <w:t>: The Accounts of Eyewitnesses and Participants, Princeton, 1921</w:t>
      </w:r>
      <w:r w:rsidR="00616CC3" w:rsidRPr="00117F25">
        <w:t xml:space="preserve">, </w:t>
      </w:r>
      <w:r>
        <w:t>pp.</w:t>
      </w:r>
      <w:r w:rsidR="00616CC3" w:rsidRPr="00117F25">
        <w:t>36–40</w:t>
      </w:r>
    </w:p>
    <w:p w14:paraId="13B7B58D" w14:textId="5554F3AD" w:rsidR="00616CC3" w:rsidRDefault="00616CC3" w:rsidP="00616CC3">
      <w:pPr>
        <w:rPr>
          <w:u w:val="single"/>
        </w:rPr>
      </w:pPr>
      <w:r w:rsidRPr="00616CC3">
        <w:rPr>
          <w:u w:val="single"/>
        </w:rPr>
        <w:t>Additional Sources</w:t>
      </w:r>
    </w:p>
    <w:p w14:paraId="3D14321C" w14:textId="38C38E34" w:rsidR="00616CC3" w:rsidRPr="00616CC3" w:rsidRDefault="00117F25" w:rsidP="00616CC3">
      <w:r>
        <w:t xml:space="preserve">Krey, A.C., </w:t>
      </w:r>
      <w:proofErr w:type="spellStart"/>
      <w:r w:rsidR="004847D8" w:rsidRPr="00632A55">
        <w:t>Balderic</w:t>
      </w:r>
      <w:proofErr w:type="spellEnd"/>
      <w:r w:rsidR="004847D8" w:rsidRPr="00632A55">
        <w:t xml:space="preserve"> of Dol, The First Crusade</w:t>
      </w:r>
      <w:r>
        <w:t>: The Accounts of Eyewitnesses and Participants</w:t>
      </w:r>
      <w:r w:rsidR="004847D8" w:rsidRPr="00632A55">
        <w:t xml:space="preserve">, </w:t>
      </w:r>
      <w:r>
        <w:t>pp</w:t>
      </w:r>
      <w:r w:rsidR="004847D8" w:rsidRPr="00632A55">
        <w:t>23–36</w:t>
      </w:r>
    </w:p>
    <w:sectPr w:rsidR="00616CC3" w:rsidRPr="00616CC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A959E8" w14:textId="77777777" w:rsidR="00A86C23" w:rsidRDefault="00A86C23" w:rsidP="00C138D0">
      <w:pPr>
        <w:spacing w:after="0" w:line="240" w:lineRule="auto"/>
      </w:pPr>
      <w:r>
        <w:separator/>
      </w:r>
    </w:p>
  </w:endnote>
  <w:endnote w:type="continuationSeparator" w:id="0">
    <w:p w14:paraId="3ED9B9CC" w14:textId="77777777" w:rsidR="00A86C23" w:rsidRDefault="00A86C23" w:rsidP="00C138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5FD20E" w14:textId="77777777" w:rsidR="00A86C23" w:rsidRDefault="00A86C23" w:rsidP="00C138D0">
      <w:pPr>
        <w:spacing w:after="0" w:line="240" w:lineRule="auto"/>
      </w:pPr>
      <w:r>
        <w:separator/>
      </w:r>
    </w:p>
  </w:footnote>
  <w:footnote w:type="continuationSeparator" w:id="0">
    <w:p w14:paraId="56209E26" w14:textId="77777777" w:rsidR="00A86C23" w:rsidRDefault="00A86C23" w:rsidP="00C138D0">
      <w:pPr>
        <w:spacing w:after="0" w:line="240" w:lineRule="auto"/>
      </w:pPr>
      <w:r>
        <w:continuationSeparator/>
      </w:r>
    </w:p>
  </w:footnote>
  <w:footnote w:id="1">
    <w:p w14:paraId="065B2DCF" w14:textId="613969AA" w:rsidR="00C138D0" w:rsidRDefault="00C138D0">
      <w:pPr>
        <w:pStyle w:val="FootnoteText"/>
      </w:pPr>
      <w:r>
        <w:rPr>
          <w:rStyle w:val="FootnoteReference"/>
        </w:rPr>
        <w:footnoteRef/>
      </w:r>
      <w:r>
        <w:t xml:space="preserve"> August </w:t>
      </w:r>
      <w:r w:rsidR="004847D8">
        <w:t>C</w:t>
      </w:r>
      <w:r>
        <w:t xml:space="preserve"> </w:t>
      </w:r>
      <w:r w:rsidR="004847D8">
        <w:t>K</w:t>
      </w:r>
      <w:r>
        <w:t>rey</w:t>
      </w:r>
      <w:r w:rsidR="004847D8">
        <w:t>, Urban II: Letter of Instruction, December 1095, The First Crusade: The Accounts of Eyewitnesses and Participants, Princeton,</w:t>
      </w:r>
      <w:r>
        <w:t xml:space="preserve"> p</w:t>
      </w:r>
      <w:r w:rsidR="00117F25">
        <w:t>p</w:t>
      </w:r>
      <w:r>
        <w:t>42-43</w:t>
      </w:r>
    </w:p>
  </w:footnote>
  <w:footnote w:id="2">
    <w:p w14:paraId="629B1893" w14:textId="08954309" w:rsidR="00C138D0" w:rsidRPr="004847D8" w:rsidRDefault="00C138D0">
      <w:pPr>
        <w:pStyle w:val="FootnoteText"/>
      </w:pPr>
      <w:r>
        <w:rPr>
          <w:rStyle w:val="FootnoteReference"/>
        </w:rPr>
        <w:footnoteRef/>
      </w:r>
      <w:r w:rsidRPr="004847D8">
        <w:t xml:space="preserve"> </w:t>
      </w:r>
      <w:r w:rsidR="004847D8" w:rsidRPr="004847D8">
        <w:t>Krey, Urban II, The F</w:t>
      </w:r>
      <w:r w:rsidR="004847D8">
        <w:t>irst Crusade, p</w:t>
      </w:r>
      <w:r w:rsidR="00117F25">
        <w:t>p</w:t>
      </w:r>
      <w:r w:rsidR="004847D8">
        <w:t>42-43</w:t>
      </w:r>
    </w:p>
  </w:footnote>
  <w:footnote w:id="3">
    <w:p w14:paraId="101C108B" w14:textId="4039E865" w:rsidR="005F7EE0" w:rsidRPr="004847D8" w:rsidRDefault="005F7EE0">
      <w:pPr>
        <w:pStyle w:val="FootnoteText"/>
      </w:pPr>
      <w:r>
        <w:rPr>
          <w:rStyle w:val="FootnoteReference"/>
        </w:rPr>
        <w:footnoteRef/>
      </w:r>
      <w:r w:rsidRPr="004847D8">
        <w:t xml:space="preserve"> A</w:t>
      </w:r>
      <w:r w:rsidR="004847D8">
        <w:t xml:space="preserve">.C Krey, </w:t>
      </w:r>
      <w:proofErr w:type="spellStart"/>
      <w:r w:rsidR="004847D8">
        <w:t>Gesta</w:t>
      </w:r>
      <w:proofErr w:type="spellEnd"/>
      <w:r w:rsidR="004847D8">
        <w:t xml:space="preserve"> Francorum, Accounts of Eyewitnesses and Participants</w:t>
      </w:r>
      <w:r w:rsidRPr="004847D8">
        <w:t>, p</w:t>
      </w:r>
      <w:r w:rsidR="00117F25">
        <w:t>p</w:t>
      </w:r>
      <w:r w:rsidRPr="004847D8">
        <w:t>28-30</w:t>
      </w:r>
    </w:p>
  </w:footnote>
  <w:footnote w:id="4">
    <w:p w14:paraId="6A1AF65B" w14:textId="081246FC" w:rsidR="00882B30" w:rsidRPr="004847D8" w:rsidRDefault="00882B30">
      <w:pPr>
        <w:pStyle w:val="FootnoteText"/>
      </w:pPr>
      <w:r>
        <w:rPr>
          <w:rStyle w:val="FootnoteReference"/>
        </w:rPr>
        <w:footnoteRef/>
      </w:r>
      <w:r w:rsidRPr="004847D8">
        <w:rPr>
          <w:lang w:val="it-IT"/>
        </w:rPr>
        <w:t xml:space="preserve"> </w:t>
      </w:r>
      <w:proofErr w:type="spellStart"/>
      <w:r w:rsidRPr="004847D8">
        <w:rPr>
          <w:lang w:val="it-IT"/>
        </w:rPr>
        <w:t>Bongars</w:t>
      </w:r>
      <w:proofErr w:type="spellEnd"/>
      <w:r w:rsidR="004847D8" w:rsidRPr="004847D8">
        <w:rPr>
          <w:lang w:val="it-IT"/>
        </w:rPr>
        <w:t xml:space="preserve">, </w:t>
      </w:r>
      <w:proofErr w:type="gramStart"/>
      <w:r w:rsidR="004847D8" w:rsidRPr="004847D8">
        <w:rPr>
          <w:lang w:val="it-IT"/>
        </w:rPr>
        <w:t>Gesta</w:t>
      </w:r>
      <w:proofErr w:type="gramEnd"/>
      <w:r w:rsidR="004847D8" w:rsidRPr="004847D8">
        <w:rPr>
          <w:lang w:val="it-IT"/>
        </w:rPr>
        <w:t xml:space="preserve"> Dei per Francos, trans.</w:t>
      </w:r>
      <w:r w:rsidR="004847D8">
        <w:rPr>
          <w:lang w:val="it-IT"/>
        </w:rPr>
        <w:t xml:space="preserve"> </w:t>
      </w:r>
      <w:r w:rsidR="004847D8" w:rsidRPr="004847D8">
        <w:t>Oliver J Thatcher, A Source Book for Medieval History</w:t>
      </w:r>
      <w:r w:rsidRPr="004847D8">
        <w:t xml:space="preserve"> p</w:t>
      </w:r>
      <w:r w:rsidR="00117F25">
        <w:t>p</w:t>
      </w:r>
      <w:r w:rsidRPr="004847D8">
        <w:t>513-17</w:t>
      </w:r>
    </w:p>
  </w:footnote>
  <w:footnote w:id="5">
    <w:p w14:paraId="35E53181" w14:textId="24937348" w:rsidR="00300F7E" w:rsidRPr="004847D8" w:rsidRDefault="00300F7E">
      <w:pPr>
        <w:pStyle w:val="FootnoteText"/>
      </w:pPr>
      <w:r>
        <w:rPr>
          <w:rStyle w:val="FootnoteReference"/>
        </w:rPr>
        <w:footnoteRef/>
      </w:r>
      <w:r w:rsidRPr="004847D8">
        <w:t xml:space="preserve"> </w:t>
      </w:r>
      <w:r w:rsidR="004847D8" w:rsidRPr="004847D8">
        <w:t>Ibid.</w:t>
      </w:r>
    </w:p>
  </w:footnote>
  <w:footnote w:id="6">
    <w:p w14:paraId="5319380F" w14:textId="45487737" w:rsidR="008F4872" w:rsidRPr="004847D8" w:rsidRDefault="008F4872">
      <w:pPr>
        <w:pStyle w:val="FootnoteText"/>
      </w:pPr>
      <w:r>
        <w:rPr>
          <w:rStyle w:val="FootnoteReference"/>
        </w:rPr>
        <w:footnoteRef/>
      </w:r>
      <w:r w:rsidRPr="004847D8">
        <w:t xml:space="preserve"> </w:t>
      </w:r>
      <w:r w:rsidR="004847D8" w:rsidRPr="004847D8">
        <w:t>K</w:t>
      </w:r>
      <w:r w:rsidRPr="004847D8">
        <w:t>rey,</w:t>
      </w:r>
      <w:r w:rsidR="004847D8" w:rsidRPr="004847D8">
        <w:t xml:space="preserve"> First Crusade,</w:t>
      </w:r>
      <w:r w:rsidRPr="004847D8">
        <w:t xml:space="preserve"> </w:t>
      </w:r>
      <w:r w:rsidR="004847D8" w:rsidRPr="004847D8">
        <w:t>p</w:t>
      </w:r>
      <w:r w:rsidR="00117F25">
        <w:t>p</w:t>
      </w:r>
      <w:r w:rsidRPr="004847D8">
        <w:t>36-40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AEA673" w14:textId="0110808A" w:rsidR="00616CC3" w:rsidRDefault="00616CC3">
    <w:pPr>
      <w:pStyle w:val="Header"/>
    </w:pPr>
    <w:r>
      <w:t>Flynn Theisler</w:t>
    </w:r>
  </w:p>
  <w:p w14:paraId="6D78625A" w14:textId="75970564" w:rsidR="00616CC3" w:rsidRDefault="00616CC3">
    <w:pPr>
      <w:pStyle w:val="Header"/>
    </w:pPr>
    <w:r>
      <w:t>2503772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AD4189"/>
    <w:multiLevelType w:val="hybridMultilevel"/>
    <w:tmpl w:val="9D8225E0"/>
    <w:lvl w:ilvl="0" w:tplc="4B14D0E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58809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F9C"/>
    <w:rsid w:val="00023712"/>
    <w:rsid w:val="00045D24"/>
    <w:rsid w:val="000616FD"/>
    <w:rsid w:val="00117F25"/>
    <w:rsid w:val="001B00E0"/>
    <w:rsid w:val="001C3749"/>
    <w:rsid w:val="00254AF5"/>
    <w:rsid w:val="00300F7E"/>
    <w:rsid w:val="0041382A"/>
    <w:rsid w:val="00425C2A"/>
    <w:rsid w:val="004847D8"/>
    <w:rsid w:val="005F7EE0"/>
    <w:rsid w:val="00616CC3"/>
    <w:rsid w:val="00673F58"/>
    <w:rsid w:val="00714827"/>
    <w:rsid w:val="008414FA"/>
    <w:rsid w:val="00882B30"/>
    <w:rsid w:val="008F4872"/>
    <w:rsid w:val="009B4449"/>
    <w:rsid w:val="00A17380"/>
    <w:rsid w:val="00A44400"/>
    <w:rsid w:val="00A86C23"/>
    <w:rsid w:val="00C138D0"/>
    <w:rsid w:val="00D3476A"/>
    <w:rsid w:val="00DE2CD1"/>
    <w:rsid w:val="00F55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C5A2E0"/>
  <w15:chartTrackingRefBased/>
  <w15:docId w15:val="{9EF0C4BC-B486-4CF8-8D8B-25311846D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F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F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F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F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F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F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F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F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F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F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F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F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F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F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F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F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F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F9C"/>
    <w:rPr>
      <w:rFonts w:eastAsiaTheme="majorEastAsia" w:cstheme="majorBidi"/>
      <w:color w:val="272727" w:themeColor="text1" w:themeTint="D8"/>
    </w:rPr>
  </w:style>
  <w:style w:type="paragraph" w:styleId="Title">
    <w:name w:val="Title"/>
    <w:basedOn w:val="Normal"/>
    <w:next w:val="Normal"/>
    <w:link w:val="TitleChar"/>
    <w:uiPriority w:val="10"/>
    <w:qFormat/>
    <w:rsid w:val="00F55F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F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F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F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F9C"/>
    <w:pPr>
      <w:spacing w:before="160"/>
      <w:jc w:val="center"/>
    </w:pPr>
    <w:rPr>
      <w:i/>
      <w:iCs/>
      <w:color w:val="404040" w:themeColor="text1" w:themeTint="BF"/>
    </w:rPr>
  </w:style>
  <w:style w:type="character" w:customStyle="1" w:styleId="QuoteChar">
    <w:name w:val="Quote Char"/>
    <w:basedOn w:val="DefaultParagraphFont"/>
    <w:link w:val="Quote"/>
    <w:uiPriority w:val="29"/>
    <w:rsid w:val="00F55F9C"/>
    <w:rPr>
      <w:i/>
      <w:iCs/>
      <w:color w:val="404040" w:themeColor="text1" w:themeTint="BF"/>
    </w:rPr>
  </w:style>
  <w:style w:type="paragraph" w:styleId="ListParagraph">
    <w:name w:val="List Paragraph"/>
    <w:basedOn w:val="Normal"/>
    <w:uiPriority w:val="34"/>
    <w:qFormat/>
    <w:rsid w:val="00F55F9C"/>
    <w:pPr>
      <w:ind w:left="720"/>
      <w:contextualSpacing/>
    </w:pPr>
  </w:style>
  <w:style w:type="character" w:styleId="IntenseEmphasis">
    <w:name w:val="Intense Emphasis"/>
    <w:basedOn w:val="DefaultParagraphFont"/>
    <w:uiPriority w:val="21"/>
    <w:qFormat/>
    <w:rsid w:val="00F55F9C"/>
    <w:rPr>
      <w:i/>
      <w:iCs/>
      <w:color w:val="0F4761" w:themeColor="accent1" w:themeShade="BF"/>
    </w:rPr>
  </w:style>
  <w:style w:type="paragraph" w:styleId="IntenseQuote">
    <w:name w:val="Intense Quote"/>
    <w:basedOn w:val="Normal"/>
    <w:next w:val="Normal"/>
    <w:link w:val="IntenseQuoteChar"/>
    <w:uiPriority w:val="30"/>
    <w:qFormat/>
    <w:rsid w:val="00F55F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F9C"/>
    <w:rPr>
      <w:i/>
      <w:iCs/>
      <w:color w:val="0F4761" w:themeColor="accent1" w:themeShade="BF"/>
    </w:rPr>
  </w:style>
  <w:style w:type="character" w:styleId="IntenseReference">
    <w:name w:val="Intense Reference"/>
    <w:basedOn w:val="DefaultParagraphFont"/>
    <w:uiPriority w:val="32"/>
    <w:qFormat/>
    <w:rsid w:val="00F55F9C"/>
    <w:rPr>
      <w:b/>
      <w:bCs/>
      <w:smallCaps/>
      <w:color w:val="0F4761" w:themeColor="accent1" w:themeShade="BF"/>
      <w:spacing w:val="5"/>
    </w:rPr>
  </w:style>
  <w:style w:type="paragraph" w:styleId="FootnoteText">
    <w:name w:val="footnote text"/>
    <w:basedOn w:val="Normal"/>
    <w:link w:val="FootnoteTextChar"/>
    <w:uiPriority w:val="99"/>
    <w:semiHidden/>
    <w:unhideWhenUsed/>
    <w:rsid w:val="00C138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138D0"/>
    <w:rPr>
      <w:sz w:val="20"/>
      <w:szCs w:val="20"/>
    </w:rPr>
  </w:style>
  <w:style w:type="character" w:styleId="FootnoteReference">
    <w:name w:val="footnote reference"/>
    <w:basedOn w:val="DefaultParagraphFont"/>
    <w:uiPriority w:val="99"/>
    <w:semiHidden/>
    <w:unhideWhenUsed/>
    <w:rsid w:val="00C138D0"/>
    <w:rPr>
      <w:vertAlign w:val="superscript"/>
    </w:rPr>
  </w:style>
  <w:style w:type="paragraph" w:styleId="Header">
    <w:name w:val="header"/>
    <w:basedOn w:val="Normal"/>
    <w:link w:val="HeaderChar"/>
    <w:uiPriority w:val="99"/>
    <w:unhideWhenUsed/>
    <w:rsid w:val="00616C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6CC3"/>
  </w:style>
  <w:style w:type="paragraph" w:styleId="Footer">
    <w:name w:val="footer"/>
    <w:basedOn w:val="Normal"/>
    <w:link w:val="FooterChar"/>
    <w:uiPriority w:val="99"/>
    <w:unhideWhenUsed/>
    <w:rsid w:val="00616C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CC3"/>
  </w:style>
  <w:style w:type="character" w:styleId="Hyperlink">
    <w:name w:val="Hyperlink"/>
    <w:basedOn w:val="DefaultParagraphFont"/>
    <w:uiPriority w:val="99"/>
    <w:unhideWhenUsed/>
    <w:rsid w:val="00117F25"/>
    <w:rPr>
      <w:color w:val="467886" w:themeColor="hyperlink"/>
      <w:u w:val="single"/>
    </w:rPr>
  </w:style>
  <w:style w:type="character" w:styleId="UnresolvedMention">
    <w:name w:val="Unresolved Mention"/>
    <w:basedOn w:val="DefaultParagraphFont"/>
    <w:uiPriority w:val="99"/>
    <w:semiHidden/>
    <w:unhideWhenUsed/>
    <w:rsid w:val="00117F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urcebooks.fordham.edu/sbook1k.asp"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E1F0D1-5284-4346-ACD6-8D25ACB7B2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1049</Words>
  <Characters>5984</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Flynn Theisler (2503772)</dc:creator>
  <cp:keywords/>
  <dc:description/>
  <cp:lastModifiedBy>Flynn Theisler (2503772)</cp:lastModifiedBy>
  <cp:revision>38</cp:revision>
  <dcterms:created xsi:type="dcterms:W3CDTF">2026-04-10T20:26:00Z</dcterms:created>
  <dcterms:modified xsi:type="dcterms:W3CDTF">2026-04-11T22:34:00Z</dcterms:modified>
</cp:coreProperties>
</file>