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541CC3" w14:textId="61E03323" w:rsidR="008B49A3" w:rsidRPr="008B49A3" w:rsidRDefault="008B49A3" w:rsidP="008B49A3">
      <w:pPr>
        <w:jc w:val="center"/>
        <w:rPr>
          <w:rFonts w:ascii="Arial" w:hAnsi="Arial" w:cs="Arial"/>
          <w:b/>
          <w:bCs/>
          <w:sz w:val="28"/>
          <w:szCs w:val="28"/>
          <w:u w:val="single"/>
        </w:rPr>
      </w:pPr>
      <w:r w:rsidRPr="008B49A3">
        <w:rPr>
          <w:rFonts w:ascii="Arial" w:hAnsi="Arial" w:cs="Arial"/>
          <w:b/>
          <w:bCs/>
          <w:sz w:val="28"/>
          <w:szCs w:val="28"/>
          <w:u w:val="single"/>
        </w:rPr>
        <w:t xml:space="preserve">Design, </w:t>
      </w:r>
      <w:bookmarkStart w:id="0" w:name="_GoBack"/>
      <w:bookmarkEnd w:id="0"/>
      <w:r w:rsidRPr="008B49A3">
        <w:rPr>
          <w:rFonts w:ascii="Arial" w:hAnsi="Arial" w:cs="Arial"/>
          <w:b/>
          <w:bCs/>
          <w:sz w:val="28"/>
          <w:szCs w:val="28"/>
          <w:u w:val="single"/>
        </w:rPr>
        <w:t>conduct and critically evaluate a close-to-practice research project (lesson study) focusing on the model of the transformative teacher in developing practice that has a positive impact on the learner</w:t>
      </w:r>
    </w:p>
    <w:p w14:paraId="7116BECC" w14:textId="77777777" w:rsidR="008B49A3" w:rsidRPr="008B49A3" w:rsidRDefault="008B49A3" w:rsidP="008B49A3">
      <w:pPr>
        <w:jc w:val="center"/>
        <w:rPr>
          <w:rFonts w:ascii="Arial" w:hAnsi="Arial" w:cs="Arial"/>
          <w:b/>
          <w:bCs/>
          <w:sz w:val="28"/>
          <w:szCs w:val="28"/>
          <w:u w:val="single"/>
        </w:rPr>
      </w:pPr>
    </w:p>
    <w:p w14:paraId="1484F10D" w14:textId="3BEA59DA" w:rsidR="0076087F" w:rsidRPr="008B49A3" w:rsidRDefault="07B9C0A1" w:rsidP="07B9C0A1">
      <w:pPr>
        <w:spacing w:line="420" w:lineRule="exact"/>
        <w:jc w:val="center"/>
        <w:rPr>
          <w:rFonts w:ascii="Arial" w:hAnsi="Arial" w:cs="Arial"/>
          <w:b/>
          <w:bCs/>
          <w:sz w:val="28"/>
          <w:szCs w:val="28"/>
        </w:rPr>
      </w:pPr>
      <w:r w:rsidRPr="008B49A3">
        <w:rPr>
          <w:rFonts w:ascii="Arial" w:eastAsia="Arial" w:hAnsi="Arial" w:cs="Arial"/>
          <w:b/>
          <w:bCs/>
          <w:i/>
          <w:iCs/>
          <w:sz w:val="28"/>
          <w:szCs w:val="28"/>
          <w:u w:val="single"/>
        </w:rPr>
        <w:t xml:space="preserve">How Effective Is A Visible Success Criteria </w:t>
      </w:r>
      <w:proofErr w:type="gramStart"/>
      <w:r w:rsidRPr="008B49A3">
        <w:rPr>
          <w:rFonts w:ascii="Arial" w:eastAsia="Arial" w:hAnsi="Arial" w:cs="Arial"/>
          <w:b/>
          <w:bCs/>
          <w:i/>
          <w:iCs/>
          <w:sz w:val="28"/>
          <w:szCs w:val="28"/>
          <w:u w:val="single"/>
        </w:rPr>
        <w:t>In</w:t>
      </w:r>
      <w:proofErr w:type="gramEnd"/>
      <w:r w:rsidRPr="008B49A3">
        <w:rPr>
          <w:rFonts w:ascii="Arial" w:eastAsia="Arial" w:hAnsi="Arial" w:cs="Arial"/>
          <w:b/>
          <w:bCs/>
          <w:i/>
          <w:iCs/>
          <w:sz w:val="28"/>
          <w:szCs w:val="28"/>
          <w:u w:val="single"/>
        </w:rPr>
        <w:t xml:space="preserve"> Facilitating Engagement?</w:t>
      </w:r>
    </w:p>
    <w:p w14:paraId="2CFE7DBE" w14:textId="10A28655" w:rsidR="0076087F" w:rsidRDefault="07B9C0A1" w:rsidP="07B9C0A1">
      <w:pPr>
        <w:spacing w:line="330" w:lineRule="exact"/>
        <w:jc w:val="center"/>
        <w:rPr>
          <w:rFonts w:ascii="Arial" w:eastAsia="Arial" w:hAnsi="Arial" w:cs="Arial"/>
          <w:sz w:val="22"/>
          <w:szCs w:val="22"/>
        </w:rPr>
      </w:pPr>
      <w:r w:rsidRPr="07B9C0A1">
        <w:rPr>
          <w:rFonts w:ascii="Arial" w:eastAsia="Arial" w:hAnsi="Arial" w:cs="Arial"/>
          <w:sz w:val="22"/>
          <w:szCs w:val="22"/>
        </w:rPr>
        <w:t xml:space="preserve"> </w:t>
      </w:r>
    </w:p>
    <w:p w14:paraId="460825D9" w14:textId="41A0CDCC" w:rsidR="008B49A3" w:rsidRDefault="008B49A3" w:rsidP="07B9C0A1">
      <w:pPr>
        <w:spacing w:line="330" w:lineRule="exact"/>
        <w:jc w:val="center"/>
        <w:rPr>
          <w:rFonts w:ascii="Arial" w:eastAsia="Arial" w:hAnsi="Arial" w:cs="Arial"/>
          <w:sz w:val="22"/>
          <w:szCs w:val="22"/>
        </w:rPr>
      </w:pPr>
    </w:p>
    <w:p w14:paraId="5103EE63" w14:textId="1EDD3FA8" w:rsidR="008B49A3" w:rsidRDefault="008B49A3" w:rsidP="07B9C0A1">
      <w:pPr>
        <w:spacing w:line="330" w:lineRule="exact"/>
        <w:jc w:val="center"/>
        <w:rPr>
          <w:rFonts w:ascii="Arial" w:eastAsia="Arial" w:hAnsi="Arial" w:cs="Arial"/>
          <w:sz w:val="22"/>
          <w:szCs w:val="22"/>
        </w:rPr>
      </w:pPr>
    </w:p>
    <w:p w14:paraId="28DFD4E4" w14:textId="2DF705E5" w:rsidR="008B49A3" w:rsidRDefault="008B49A3" w:rsidP="07B9C0A1">
      <w:pPr>
        <w:spacing w:line="330" w:lineRule="exact"/>
        <w:jc w:val="center"/>
        <w:rPr>
          <w:rFonts w:ascii="Arial" w:eastAsia="Arial" w:hAnsi="Arial" w:cs="Arial"/>
          <w:sz w:val="22"/>
          <w:szCs w:val="22"/>
        </w:rPr>
      </w:pPr>
    </w:p>
    <w:p w14:paraId="78A9FE93" w14:textId="2C984C2F" w:rsidR="008B49A3" w:rsidRDefault="008B49A3" w:rsidP="07B9C0A1">
      <w:pPr>
        <w:spacing w:line="330" w:lineRule="exact"/>
        <w:jc w:val="center"/>
        <w:rPr>
          <w:rFonts w:ascii="Arial" w:eastAsia="Arial" w:hAnsi="Arial" w:cs="Arial"/>
          <w:sz w:val="22"/>
          <w:szCs w:val="22"/>
        </w:rPr>
      </w:pPr>
    </w:p>
    <w:p w14:paraId="69AF676F" w14:textId="09200EA7" w:rsidR="008B49A3" w:rsidRDefault="008B49A3" w:rsidP="07B9C0A1">
      <w:pPr>
        <w:spacing w:line="330" w:lineRule="exact"/>
        <w:jc w:val="center"/>
        <w:rPr>
          <w:rFonts w:ascii="Arial" w:eastAsia="Arial" w:hAnsi="Arial" w:cs="Arial"/>
          <w:sz w:val="22"/>
          <w:szCs w:val="22"/>
        </w:rPr>
      </w:pPr>
    </w:p>
    <w:p w14:paraId="10B78A96" w14:textId="6C4C4CD2" w:rsidR="008B49A3" w:rsidRDefault="008B49A3" w:rsidP="07B9C0A1">
      <w:pPr>
        <w:spacing w:line="330" w:lineRule="exact"/>
        <w:jc w:val="center"/>
        <w:rPr>
          <w:rFonts w:ascii="Arial" w:eastAsia="Arial" w:hAnsi="Arial" w:cs="Arial"/>
          <w:sz w:val="22"/>
          <w:szCs w:val="22"/>
        </w:rPr>
      </w:pPr>
    </w:p>
    <w:p w14:paraId="462BF432" w14:textId="77777777" w:rsidR="008B49A3" w:rsidRDefault="008B49A3" w:rsidP="07B9C0A1">
      <w:pPr>
        <w:spacing w:line="330" w:lineRule="exact"/>
        <w:jc w:val="center"/>
      </w:pPr>
    </w:p>
    <w:p w14:paraId="49917575" w14:textId="04B1ABCA" w:rsidR="0076087F" w:rsidRDefault="07B9C0A1" w:rsidP="07B9C0A1">
      <w:pPr>
        <w:spacing w:line="330" w:lineRule="exact"/>
        <w:jc w:val="center"/>
      </w:pPr>
      <w:r w:rsidRPr="07B9C0A1">
        <w:rPr>
          <w:rFonts w:ascii="Arial" w:eastAsia="Arial" w:hAnsi="Arial" w:cs="Arial"/>
          <w:sz w:val="22"/>
          <w:szCs w:val="22"/>
        </w:rPr>
        <w:t xml:space="preserve"> </w:t>
      </w:r>
    </w:p>
    <w:tbl>
      <w:tblPr>
        <w:tblStyle w:val="TableGrid"/>
        <w:tblW w:w="0" w:type="auto"/>
        <w:tblLayout w:type="fixed"/>
        <w:tblLook w:val="06A0" w:firstRow="1" w:lastRow="0" w:firstColumn="1" w:lastColumn="0" w:noHBand="1" w:noVBand="1"/>
      </w:tblPr>
      <w:tblGrid>
        <w:gridCol w:w="3007"/>
        <w:gridCol w:w="3007"/>
        <w:gridCol w:w="3007"/>
      </w:tblGrid>
      <w:tr w:rsidR="07B9C0A1" w14:paraId="4821A7A5" w14:textId="77777777" w:rsidTr="07B9C0A1">
        <w:tc>
          <w:tcPr>
            <w:tcW w:w="3007" w:type="dxa"/>
          </w:tcPr>
          <w:p w14:paraId="7FEA2978" w14:textId="18746638" w:rsidR="07B9C0A1" w:rsidRDefault="07B9C0A1" w:rsidP="07B9C0A1">
            <w:pPr>
              <w:spacing w:line="330" w:lineRule="exact"/>
            </w:pPr>
            <w:r w:rsidRPr="07B9C0A1">
              <w:rPr>
                <w:rFonts w:ascii="Arial" w:eastAsia="Arial" w:hAnsi="Arial" w:cs="Arial"/>
                <w:sz w:val="22"/>
                <w:szCs w:val="22"/>
              </w:rPr>
              <w:t xml:space="preserve"> </w:t>
            </w:r>
          </w:p>
        </w:tc>
        <w:tc>
          <w:tcPr>
            <w:tcW w:w="3007" w:type="dxa"/>
          </w:tcPr>
          <w:p w14:paraId="613AB66D" w14:textId="6EFFF3BD" w:rsidR="07B9C0A1" w:rsidRDefault="07B9C0A1" w:rsidP="07B9C0A1">
            <w:pPr>
              <w:spacing w:line="330" w:lineRule="exact"/>
            </w:pPr>
            <w:proofErr w:type="spellStart"/>
            <w:r w:rsidRPr="07B9C0A1">
              <w:rPr>
                <w:rFonts w:ascii="Arial" w:eastAsia="Arial" w:hAnsi="Arial" w:cs="Arial"/>
                <w:sz w:val="22"/>
                <w:szCs w:val="22"/>
              </w:rPr>
              <w:t>Targed</w:t>
            </w:r>
            <w:proofErr w:type="spellEnd"/>
            <w:r w:rsidRPr="07B9C0A1">
              <w:rPr>
                <w:rFonts w:ascii="Arial" w:eastAsia="Arial" w:hAnsi="Arial" w:cs="Arial"/>
                <w:sz w:val="22"/>
                <w:szCs w:val="22"/>
              </w:rPr>
              <w:t>/Target</w:t>
            </w:r>
          </w:p>
        </w:tc>
        <w:tc>
          <w:tcPr>
            <w:tcW w:w="3007" w:type="dxa"/>
          </w:tcPr>
          <w:p w14:paraId="446811D7" w14:textId="33513CC8" w:rsidR="07B9C0A1" w:rsidRDefault="07B9C0A1">
            <w:proofErr w:type="spellStart"/>
            <w:r w:rsidRPr="07B9C0A1">
              <w:rPr>
                <w:rFonts w:ascii="Arial" w:eastAsia="Arial" w:hAnsi="Arial" w:cs="Arial"/>
                <w:color w:val="222222"/>
                <w:sz w:val="22"/>
                <w:szCs w:val="22"/>
                <w:lang w:val="en-US"/>
              </w:rPr>
              <w:t>Yr</w:t>
            </w:r>
            <w:proofErr w:type="spellEnd"/>
            <w:r w:rsidRPr="07B9C0A1">
              <w:rPr>
                <w:rFonts w:ascii="Arial" w:eastAsia="Arial" w:hAnsi="Arial" w:cs="Arial"/>
                <w:color w:val="222222"/>
                <w:sz w:val="22"/>
                <w:szCs w:val="22"/>
                <w:lang w:val="en-US"/>
              </w:rPr>
              <w:t xml:space="preserve"> </w:t>
            </w:r>
            <w:proofErr w:type="spellStart"/>
            <w:r w:rsidRPr="07B9C0A1">
              <w:rPr>
                <w:rFonts w:ascii="Arial" w:eastAsia="Arial" w:hAnsi="Arial" w:cs="Arial"/>
                <w:color w:val="222222"/>
                <w:sz w:val="22"/>
                <w:szCs w:val="22"/>
                <w:lang w:val="en-US"/>
              </w:rPr>
              <w:t>hyn</w:t>
            </w:r>
            <w:proofErr w:type="spellEnd"/>
            <w:r w:rsidRPr="07B9C0A1">
              <w:rPr>
                <w:rFonts w:ascii="Arial" w:eastAsia="Arial" w:hAnsi="Arial" w:cs="Arial"/>
                <w:color w:val="222222"/>
                <w:sz w:val="22"/>
                <w:szCs w:val="22"/>
                <w:lang w:val="en-US"/>
              </w:rPr>
              <w:t xml:space="preserve"> </w:t>
            </w:r>
            <w:proofErr w:type="spellStart"/>
            <w:r w:rsidRPr="07B9C0A1">
              <w:rPr>
                <w:rFonts w:ascii="Arial" w:eastAsia="Arial" w:hAnsi="Arial" w:cs="Arial"/>
                <w:color w:val="222222"/>
                <w:sz w:val="22"/>
                <w:szCs w:val="22"/>
                <w:lang w:val="en-US"/>
              </w:rPr>
              <w:t>yr</w:t>
            </w:r>
            <w:proofErr w:type="spellEnd"/>
            <w:r w:rsidRPr="07B9C0A1">
              <w:rPr>
                <w:rFonts w:ascii="Arial" w:eastAsia="Arial" w:hAnsi="Arial" w:cs="Arial"/>
                <w:color w:val="222222"/>
                <w:sz w:val="22"/>
                <w:szCs w:val="22"/>
                <w:lang w:val="en-US"/>
              </w:rPr>
              <w:t xml:space="preserve"> </w:t>
            </w:r>
            <w:proofErr w:type="spellStart"/>
            <w:r w:rsidRPr="07B9C0A1">
              <w:rPr>
                <w:rFonts w:ascii="Arial" w:eastAsia="Arial" w:hAnsi="Arial" w:cs="Arial"/>
                <w:color w:val="222222"/>
                <w:sz w:val="22"/>
                <w:szCs w:val="22"/>
                <w:lang w:val="en-US"/>
              </w:rPr>
              <w:t>wyf</w:t>
            </w:r>
            <w:proofErr w:type="spellEnd"/>
            <w:r w:rsidRPr="07B9C0A1">
              <w:rPr>
                <w:rFonts w:ascii="Arial" w:eastAsia="Arial" w:hAnsi="Arial" w:cs="Arial"/>
                <w:color w:val="222222"/>
                <w:sz w:val="22"/>
                <w:szCs w:val="22"/>
                <w:lang w:val="en-US"/>
              </w:rPr>
              <w:t xml:space="preserve"> </w:t>
            </w:r>
            <w:proofErr w:type="spellStart"/>
            <w:r w:rsidRPr="07B9C0A1">
              <w:rPr>
                <w:rFonts w:ascii="Arial" w:eastAsia="Arial" w:hAnsi="Arial" w:cs="Arial"/>
                <w:color w:val="222222"/>
                <w:sz w:val="22"/>
                <w:szCs w:val="22"/>
                <w:lang w:val="en-US"/>
              </w:rPr>
              <w:t>wedi'i</w:t>
            </w:r>
            <w:proofErr w:type="spellEnd"/>
            <w:r w:rsidRPr="07B9C0A1">
              <w:rPr>
                <w:rFonts w:ascii="Arial" w:eastAsia="Arial" w:hAnsi="Arial" w:cs="Arial"/>
                <w:color w:val="222222"/>
                <w:sz w:val="22"/>
                <w:szCs w:val="22"/>
                <w:lang w:val="en-US"/>
              </w:rPr>
              <w:t xml:space="preserve"> </w:t>
            </w:r>
            <w:proofErr w:type="spellStart"/>
            <w:r w:rsidRPr="07B9C0A1">
              <w:rPr>
                <w:rFonts w:ascii="Arial" w:eastAsia="Arial" w:hAnsi="Arial" w:cs="Arial"/>
                <w:color w:val="222222"/>
                <w:sz w:val="22"/>
                <w:szCs w:val="22"/>
                <w:lang w:val="en-US"/>
              </w:rPr>
              <w:t>wneud</w:t>
            </w:r>
            <w:proofErr w:type="spellEnd"/>
            <w:r w:rsidRPr="07B9C0A1">
              <w:rPr>
                <w:rFonts w:ascii="Arial" w:eastAsia="Arial" w:hAnsi="Arial" w:cs="Arial"/>
                <w:color w:val="222222"/>
                <w:sz w:val="22"/>
                <w:szCs w:val="22"/>
                <w:lang w:val="en-US"/>
              </w:rPr>
              <w:t xml:space="preserve"> </w:t>
            </w:r>
            <w:proofErr w:type="spellStart"/>
            <w:r w:rsidRPr="07B9C0A1">
              <w:rPr>
                <w:rFonts w:ascii="Arial" w:eastAsia="Arial" w:hAnsi="Arial" w:cs="Arial"/>
                <w:color w:val="222222"/>
                <w:sz w:val="22"/>
                <w:szCs w:val="22"/>
                <w:lang w:val="en-US"/>
              </w:rPr>
              <w:t>yn</w:t>
            </w:r>
            <w:proofErr w:type="spellEnd"/>
            <w:r w:rsidRPr="07B9C0A1">
              <w:rPr>
                <w:rFonts w:ascii="Arial" w:eastAsia="Arial" w:hAnsi="Arial" w:cs="Arial"/>
                <w:color w:val="222222"/>
                <w:sz w:val="22"/>
                <w:szCs w:val="22"/>
                <w:lang w:val="en-US"/>
              </w:rPr>
              <w:t xml:space="preserve"> </w:t>
            </w:r>
            <w:proofErr w:type="spellStart"/>
            <w:r w:rsidRPr="07B9C0A1">
              <w:rPr>
                <w:rFonts w:ascii="Arial" w:eastAsia="Arial" w:hAnsi="Arial" w:cs="Arial"/>
                <w:color w:val="222222"/>
                <w:sz w:val="22"/>
                <w:szCs w:val="22"/>
                <w:lang w:val="en-US"/>
              </w:rPr>
              <w:t>yr</w:t>
            </w:r>
            <w:proofErr w:type="spellEnd"/>
            <w:r w:rsidRPr="07B9C0A1">
              <w:rPr>
                <w:rFonts w:ascii="Arial" w:eastAsia="Arial" w:hAnsi="Arial" w:cs="Arial"/>
                <w:color w:val="222222"/>
                <w:sz w:val="22"/>
                <w:szCs w:val="22"/>
                <w:lang w:val="en-US"/>
              </w:rPr>
              <w:t xml:space="preserve"> </w:t>
            </w:r>
            <w:proofErr w:type="spellStart"/>
            <w:r w:rsidRPr="07B9C0A1">
              <w:rPr>
                <w:rFonts w:ascii="Arial" w:eastAsia="Arial" w:hAnsi="Arial" w:cs="Arial"/>
                <w:color w:val="222222"/>
                <w:sz w:val="22"/>
                <w:szCs w:val="22"/>
                <w:lang w:val="en-US"/>
              </w:rPr>
              <w:t>aseiniad</w:t>
            </w:r>
            <w:proofErr w:type="spellEnd"/>
            <w:r w:rsidRPr="07B9C0A1">
              <w:rPr>
                <w:rFonts w:ascii="Arial" w:eastAsia="Arial" w:hAnsi="Arial" w:cs="Arial"/>
                <w:color w:val="222222"/>
                <w:sz w:val="22"/>
                <w:szCs w:val="22"/>
                <w:lang w:val="en-US"/>
              </w:rPr>
              <w:t xml:space="preserve"> </w:t>
            </w:r>
            <w:proofErr w:type="spellStart"/>
            <w:r w:rsidRPr="07B9C0A1">
              <w:rPr>
                <w:rFonts w:ascii="Arial" w:eastAsia="Arial" w:hAnsi="Arial" w:cs="Arial"/>
                <w:color w:val="222222"/>
                <w:sz w:val="22"/>
                <w:szCs w:val="22"/>
                <w:lang w:val="en-US"/>
              </w:rPr>
              <w:t>hwn</w:t>
            </w:r>
            <w:proofErr w:type="spellEnd"/>
            <w:r w:rsidRPr="07B9C0A1">
              <w:rPr>
                <w:rFonts w:ascii="Arial" w:eastAsia="Arial" w:hAnsi="Arial" w:cs="Arial"/>
                <w:color w:val="222222"/>
                <w:sz w:val="22"/>
                <w:szCs w:val="22"/>
                <w:lang w:val="en-US"/>
              </w:rPr>
              <w:t>.</w:t>
            </w:r>
          </w:p>
          <w:p w14:paraId="2BC02A03" w14:textId="4CA179ED" w:rsidR="07B9C0A1" w:rsidRDefault="07B9C0A1">
            <w:r w:rsidRPr="07B9C0A1">
              <w:rPr>
                <w:rFonts w:ascii="Arial" w:eastAsia="Arial" w:hAnsi="Arial" w:cs="Arial"/>
                <w:color w:val="222222"/>
                <w:sz w:val="22"/>
                <w:szCs w:val="22"/>
                <w:lang w:val="en-US"/>
              </w:rPr>
              <w:t xml:space="preserve"> </w:t>
            </w:r>
          </w:p>
          <w:p w14:paraId="33F17F05" w14:textId="62F35624" w:rsidR="07B9C0A1" w:rsidRDefault="07B9C0A1">
            <w:r w:rsidRPr="07B9C0A1">
              <w:rPr>
                <w:rFonts w:ascii="Arial" w:eastAsia="Arial" w:hAnsi="Arial" w:cs="Arial"/>
                <w:sz w:val="22"/>
                <w:szCs w:val="22"/>
                <w:lang w:val="en-US"/>
              </w:rPr>
              <w:t>What I have done in this assignment.</w:t>
            </w:r>
          </w:p>
        </w:tc>
      </w:tr>
      <w:tr w:rsidR="07B9C0A1" w14:paraId="2D1A247C" w14:textId="77777777" w:rsidTr="07B9C0A1">
        <w:tc>
          <w:tcPr>
            <w:tcW w:w="3007" w:type="dxa"/>
          </w:tcPr>
          <w:p w14:paraId="2B3D7AE7" w14:textId="7508595A" w:rsidR="07B9C0A1" w:rsidRDefault="07B9C0A1" w:rsidP="07B9C0A1">
            <w:pPr>
              <w:spacing w:line="330" w:lineRule="exact"/>
            </w:pPr>
            <w:proofErr w:type="spellStart"/>
            <w:r w:rsidRPr="07B9C0A1">
              <w:rPr>
                <w:rFonts w:ascii="Arial" w:eastAsia="Arial" w:hAnsi="Arial" w:cs="Arial"/>
                <w:sz w:val="22"/>
                <w:szCs w:val="22"/>
              </w:rPr>
              <w:t>Targed</w:t>
            </w:r>
            <w:proofErr w:type="spellEnd"/>
            <w:r w:rsidRPr="07B9C0A1">
              <w:rPr>
                <w:rFonts w:ascii="Arial" w:eastAsia="Arial" w:hAnsi="Arial" w:cs="Arial"/>
                <w:sz w:val="22"/>
                <w:szCs w:val="22"/>
              </w:rPr>
              <w:t>/Target 1</w:t>
            </w:r>
          </w:p>
        </w:tc>
        <w:tc>
          <w:tcPr>
            <w:tcW w:w="3007" w:type="dxa"/>
          </w:tcPr>
          <w:p w14:paraId="670CF895" w14:textId="617AA048" w:rsidR="07B9C0A1" w:rsidRDefault="07B9C0A1" w:rsidP="07B9C0A1">
            <w:pPr>
              <w:spacing w:line="330" w:lineRule="exact"/>
            </w:pPr>
            <w:r w:rsidRPr="07B9C0A1">
              <w:rPr>
                <w:rFonts w:ascii="Arial" w:eastAsia="Arial" w:hAnsi="Arial" w:cs="Arial"/>
                <w:sz w:val="22"/>
                <w:szCs w:val="22"/>
              </w:rPr>
              <w:t>Read more widely</w:t>
            </w:r>
          </w:p>
        </w:tc>
        <w:tc>
          <w:tcPr>
            <w:tcW w:w="3007" w:type="dxa"/>
          </w:tcPr>
          <w:p w14:paraId="7ACDE99D" w14:textId="34E3FB4E" w:rsidR="07B9C0A1" w:rsidRDefault="07B9C0A1" w:rsidP="07B9C0A1">
            <w:pPr>
              <w:spacing w:line="330" w:lineRule="exact"/>
            </w:pPr>
            <w:r w:rsidRPr="07B9C0A1">
              <w:rPr>
                <w:rFonts w:ascii="Arial" w:eastAsia="Arial" w:hAnsi="Arial" w:cs="Arial"/>
                <w:sz w:val="22"/>
                <w:szCs w:val="22"/>
              </w:rPr>
              <w:t xml:space="preserve">I have gathered/collected a wider range of reading materials </w:t>
            </w:r>
          </w:p>
        </w:tc>
      </w:tr>
      <w:tr w:rsidR="07B9C0A1" w14:paraId="26ABACA3" w14:textId="77777777" w:rsidTr="07B9C0A1">
        <w:tc>
          <w:tcPr>
            <w:tcW w:w="3007" w:type="dxa"/>
          </w:tcPr>
          <w:p w14:paraId="053E9B6D" w14:textId="27571FBF" w:rsidR="07B9C0A1" w:rsidRDefault="07B9C0A1" w:rsidP="07B9C0A1">
            <w:pPr>
              <w:spacing w:line="330" w:lineRule="exact"/>
            </w:pPr>
            <w:proofErr w:type="spellStart"/>
            <w:r w:rsidRPr="07B9C0A1">
              <w:rPr>
                <w:rFonts w:ascii="Arial" w:eastAsia="Arial" w:hAnsi="Arial" w:cs="Arial"/>
                <w:sz w:val="22"/>
                <w:szCs w:val="22"/>
              </w:rPr>
              <w:t>Targed</w:t>
            </w:r>
            <w:proofErr w:type="spellEnd"/>
            <w:r w:rsidRPr="07B9C0A1">
              <w:rPr>
                <w:rFonts w:ascii="Arial" w:eastAsia="Arial" w:hAnsi="Arial" w:cs="Arial"/>
                <w:sz w:val="22"/>
                <w:szCs w:val="22"/>
              </w:rPr>
              <w:t>/Target 2</w:t>
            </w:r>
          </w:p>
        </w:tc>
        <w:tc>
          <w:tcPr>
            <w:tcW w:w="3007" w:type="dxa"/>
          </w:tcPr>
          <w:p w14:paraId="2BF60EA9" w14:textId="2C0A18B0" w:rsidR="07B9C0A1" w:rsidRDefault="07B9C0A1" w:rsidP="07B9C0A1">
            <w:pPr>
              <w:spacing w:line="330" w:lineRule="exact"/>
            </w:pPr>
            <w:r w:rsidRPr="07B9C0A1">
              <w:rPr>
                <w:rFonts w:ascii="Arial" w:eastAsia="Arial" w:hAnsi="Arial" w:cs="Arial"/>
                <w:sz w:val="22"/>
                <w:szCs w:val="22"/>
              </w:rPr>
              <w:t>Reference accurately</w:t>
            </w:r>
          </w:p>
        </w:tc>
        <w:tc>
          <w:tcPr>
            <w:tcW w:w="3007" w:type="dxa"/>
          </w:tcPr>
          <w:p w14:paraId="3FECFDE1" w14:textId="28D9883E" w:rsidR="07B9C0A1" w:rsidRDefault="07B9C0A1" w:rsidP="07B9C0A1">
            <w:pPr>
              <w:spacing w:line="330" w:lineRule="exact"/>
            </w:pPr>
            <w:r w:rsidRPr="07B9C0A1">
              <w:rPr>
                <w:rFonts w:ascii="Arial" w:eastAsia="Arial" w:hAnsi="Arial" w:cs="Arial"/>
                <w:sz w:val="22"/>
                <w:szCs w:val="22"/>
              </w:rPr>
              <w:t xml:space="preserve">I have researched into the Harvard Referencing system </w:t>
            </w:r>
          </w:p>
        </w:tc>
      </w:tr>
      <w:tr w:rsidR="07B9C0A1" w14:paraId="0EDE7636" w14:textId="77777777" w:rsidTr="07B9C0A1">
        <w:tc>
          <w:tcPr>
            <w:tcW w:w="3007" w:type="dxa"/>
          </w:tcPr>
          <w:p w14:paraId="49FB12B7" w14:textId="4807B38F" w:rsidR="07B9C0A1" w:rsidRDefault="07B9C0A1" w:rsidP="07B9C0A1">
            <w:pPr>
              <w:spacing w:line="330" w:lineRule="exact"/>
            </w:pPr>
            <w:proofErr w:type="spellStart"/>
            <w:r w:rsidRPr="07B9C0A1">
              <w:rPr>
                <w:rFonts w:ascii="Arial" w:eastAsia="Arial" w:hAnsi="Arial" w:cs="Arial"/>
                <w:sz w:val="22"/>
                <w:szCs w:val="22"/>
              </w:rPr>
              <w:t>Targed</w:t>
            </w:r>
            <w:proofErr w:type="spellEnd"/>
            <w:r w:rsidRPr="07B9C0A1">
              <w:rPr>
                <w:rFonts w:ascii="Arial" w:eastAsia="Arial" w:hAnsi="Arial" w:cs="Arial"/>
                <w:sz w:val="22"/>
                <w:szCs w:val="22"/>
              </w:rPr>
              <w:t>/Target 3</w:t>
            </w:r>
          </w:p>
        </w:tc>
        <w:tc>
          <w:tcPr>
            <w:tcW w:w="3007" w:type="dxa"/>
          </w:tcPr>
          <w:p w14:paraId="3E95FA40" w14:textId="01ED0284" w:rsidR="07B9C0A1" w:rsidRDefault="07B9C0A1" w:rsidP="07B9C0A1">
            <w:pPr>
              <w:spacing w:line="330" w:lineRule="exact"/>
            </w:pPr>
            <w:r w:rsidRPr="07B9C0A1">
              <w:rPr>
                <w:rFonts w:ascii="Arial" w:eastAsia="Arial" w:hAnsi="Arial" w:cs="Arial"/>
                <w:sz w:val="22"/>
                <w:szCs w:val="22"/>
              </w:rPr>
              <w:t>Develop counter arguments when critically evaluating your own practice.</w:t>
            </w:r>
          </w:p>
        </w:tc>
        <w:tc>
          <w:tcPr>
            <w:tcW w:w="3007" w:type="dxa"/>
          </w:tcPr>
          <w:p w14:paraId="3BF466F7" w14:textId="6E36156D" w:rsidR="07B9C0A1" w:rsidRDefault="07B9C0A1" w:rsidP="07B9C0A1">
            <w:pPr>
              <w:spacing w:line="330" w:lineRule="exact"/>
            </w:pPr>
            <w:r w:rsidRPr="07B9C0A1">
              <w:rPr>
                <w:rFonts w:ascii="Arial" w:eastAsia="Arial" w:hAnsi="Arial" w:cs="Arial"/>
                <w:sz w:val="22"/>
                <w:szCs w:val="22"/>
              </w:rPr>
              <w:t>I have used counter arguments in this assignment.</w:t>
            </w:r>
          </w:p>
        </w:tc>
      </w:tr>
    </w:tbl>
    <w:p w14:paraId="20458428" w14:textId="57F0E9BA" w:rsidR="0076087F" w:rsidRDefault="07B9C0A1" w:rsidP="07B9C0A1">
      <w:pPr>
        <w:spacing w:line="330" w:lineRule="exact"/>
        <w:jc w:val="center"/>
      </w:pPr>
      <w:r w:rsidRPr="07B9C0A1">
        <w:rPr>
          <w:rFonts w:ascii="Arial" w:eastAsia="Arial" w:hAnsi="Arial" w:cs="Arial"/>
          <w:sz w:val="22"/>
          <w:szCs w:val="22"/>
        </w:rPr>
        <w:t xml:space="preserve"> </w:t>
      </w:r>
    </w:p>
    <w:p w14:paraId="03ACD49E" w14:textId="64BF0078" w:rsidR="0076087F" w:rsidRDefault="07B9C0A1" w:rsidP="07B9C0A1">
      <w:pPr>
        <w:spacing w:line="330" w:lineRule="exact"/>
        <w:jc w:val="center"/>
      </w:pPr>
      <w:r w:rsidRPr="07B9C0A1">
        <w:rPr>
          <w:rFonts w:ascii="Arial" w:eastAsia="Arial" w:hAnsi="Arial" w:cs="Arial"/>
          <w:sz w:val="22"/>
          <w:szCs w:val="22"/>
        </w:rPr>
        <w:t xml:space="preserve"> </w:t>
      </w:r>
    </w:p>
    <w:p w14:paraId="2A857CBE" w14:textId="0D61C5C0" w:rsidR="0076087F" w:rsidRDefault="07B9C0A1" w:rsidP="07B9C0A1">
      <w:pPr>
        <w:spacing w:line="330" w:lineRule="exact"/>
        <w:jc w:val="center"/>
      </w:pPr>
      <w:r w:rsidRPr="07B9C0A1">
        <w:rPr>
          <w:rFonts w:ascii="Arial" w:eastAsia="Arial" w:hAnsi="Arial" w:cs="Arial"/>
          <w:sz w:val="22"/>
          <w:szCs w:val="22"/>
        </w:rPr>
        <w:t xml:space="preserve"> </w:t>
      </w:r>
    </w:p>
    <w:p w14:paraId="5300D4DB" w14:textId="3B45A51E" w:rsidR="0076087F" w:rsidRDefault="07B9C0A1" w:rsidP="07B9C0A1">
      <w:pPr>
        <w:spacing w:line="330" w:lineRule="exact"/>
        <w:jc w:val="center"/>
      </w:pPr>
      <w:r w:rsidRPr="07B9C0A1">
        <w:rPr>
          <w:rFonts w:ascii="Arial" w:eastAsia="Arial" w:hAnsi="Arial" w:cs="Arial"/>
          <w:sz w:val="22"/>
          <w:szCs w:val="22"/>
        </w:rPr>
        <w:t xml:space="preserve"> </w:t>
      </w:r>
    </w:p>
    <w:p w14:paraId="01B197BD" w14:textId="56AA9605" w:rsidR="0076087F" w:rsidRDefault="07B9C0A1" w:rsidP="07B9C0A1">
      <w:pPr>
        <w:spacing w:line="330" w:lineRule="exact"/>
        <w:jc w:val="center"/>
      </w:pPr>
      <w:r w:rsidRPr="07B9C0A1">
        <w:rPr>
          <w:rFonts w:ascii="Arial" w:eastAsia="Arial" w:hAnsi="Arial" w:cs="Arial"/>
          <w:sz w:val="22"/>
          <w:szCs w:val="22"/>
        </w:rPr>
        <w:t xml:space="preserve"> </w:t>
      </w:r>
    </w:p>
    <w:p w14:paraId="1C8AD792" w14:textId="26B08055" w:rsidR="0076087F" w:rsidRDefault="07B9C0A1" w:rsidP="07B9C0A1">
      <w:pPr>
        <w:spacing w:line="330" w:lineRule="exact"/>
        <w:jc w:val="center"/>
      </w:pPr>
      <w:r w:rsidRPr="07B9C0A1">
        <w:rPr>
          <w:rFonts w:ascii="Arial" w:eastAsia="Arial" w:hAnsi="Arial" w:cs="Arial"/>
          <w:sz w:val="22"/>
          <w:szCs w:val="22"/>
        </w:rPr>
        <w:t xml:space="preserve"> </w:t>
      </w:r>
    </w:p>
    <w:p w14:paraId="110762EE" w14:textId="77777777" w:rsidR="008B49A3" w:rsidRDefault="008B49A3" w:rsidP="07B9C0A1">
      <w:pPr>
        <w:spacing w:line="330" w:lineRule="exact"/>
        <w:jc w:val="center"/>
        <w:rPr>
          <w:rFonts w:ascii="Arial" w:eastAsia="Arial" w:hAnsi="Arial" w:cs="Arial"/>
          <w:sz w:val="22"/>
          <w:szCs w:val="22"/>
        </w:rPr>
      </w:pPr>
    </w:p>
    <w:p w14:paraId="1C852388" w14:textId="77777777" w:rsidR="008B49A3" w:rsidRDefault="008B49A3" w:rsidP="07B9C0A1">
      <w:pPr>
        <w:spacing w:line="330" w:lineRule="exact"/>
        <w:jc w:val="center"/>
        <w:rPr>
          <w:rFonts w:ascii="Arial" w:eastAsia="Arial" w:hAnsi="Arial" w:cs="Arial"/>
          <w:sz w:val="22"/>
          <w:szCs w:val="22"/>
        </w:rPr>
      </w:pPr>
    </w:p>
    <w:p w14:paraId="1F5374FC" w14:textId="636B0AAB" w:rsidR="0076087F" w:rsidRDefault="07B9C0A1" w:rsidP="07B9C0A1">
      <w:pPr>
        <w:spacing w:line="330" w:lineRule="exact"/>
        <w:jc w:val="center"/>
      </w:pPr>
      <w:r w:rsidRPr="07B9C0A1">
        <w:rPr>
          <w:rFonts w:ascii="Arial" w:eastAsia="Arial" w:hAnsi="Arial" w:cs="Arial"/>
          <w:sz w:val="22"/>
          <w:szCs w:val="22"/>
        </w:rPr>
        <w:t xml:space="preserve"> </w:t>
      </w:r>
    </w:p>
    <w:p w14:paraId="3AD7284C" w14:textId="6B31C525" w:rsidR="008B49A3" w:rsidRDefault="008B49A3" w:rsidP="07B9C0A1">
      <w:pPr>
        <w:jc w:val="center"/>
        <w:rPr>
          <w:sz w:val="36"/>
          <w:szCs w:val="36"/>
          <w:u w:val="single"/>
        </w:rPr>
      </w:pPr>
    </w:p>
    <w:p w14:paraId="1561D3C2" w14:textId="77777777" w:rsidR="008B49A3" w:rsidRDefault="008B49A3" w:rsidP="008B49A3">
      <w:pPr>
        <w:spacing w:line="420" w:lineRule="exact"/>
        <w:jc w:val="center"/>
      </w:pPr>
      <w:r w:rsidRPr="07B9C0A1">
        <w:rPr>
          <w:rFonts w:ascii="Arial" w:eastAsia="Arial" w:hAnsi="Arial" w:cs="Arial"/>
          <w:b/>
          <w:bCs/>
          <w:i/>
          <w:iCs/>
          <w:sz w:val="28"/>
          <w:szCs w:val="28"/>
          <w:u w:val="single"/>
        </w:rPr>
        <w:t xml:space="preserve">How Effective Is A Visible Success Criteria </w:t>
      </w:r>
      <w:proofErr w:type="gramStart"/>
      <w:r w:rsidRPr="07B9C0A1">
        <w:rPr>
          <w:rFonts w:ascii="Arial" w:eastAsia="Arial" w:hAnsi="Arial" w:cs="Arial"/>
          <w:b/>
          <w:bCs/>
          <w:i/>
          <w:iCs/>
          <w:sz w:val="28"/>
          <w:szCs w:val="28"/>
          <w:u w:val="single"/>
        </w:rPr>
        <w:t>In</w:t>
      </w:r>
      <w:proofErr w:type="gramEnd"/>
      <w:r w:rsidRPr="07B9C0A1">
        <w:rPr>
          <w:rFonts w:ascii="Arial" w:eastAsia="Arial" w:hAnsi="Arial" w:cs="Arial"/>
          <w:b/>
          <w:bCs/>
          <w:i/>
          <w:iCs/>
          <w:sz w:val="28"/>
          <w:szCs w:val="28"/>
          <w:u w:val="single"/>
        </w:rPr>
        <w:t xml:space="preserve"> Facilitating Engagement?</w:t>
      </w:r>
    </w:p>
    <w:p w14:paraId="6F651EF7" w14:textId="77777777" w:rsidR="008B49A3" w:rsidRDefault="008B49A3" w:rsidP="07B9C0A1">
      <w:pPr>
        <w:jc w:val="center"/>
        <w:rPr>
          <w:sz w:val="36"/>
          <w:szCs w:val="36"/>
          <w:u w:val="single"/>
        </w:rPr>
      </w:pPr>
    </w:p>
    <w:p w14:paraId="33004936" w14:textId="7713A63F" w:rsidR="0076087F" w:rsidRPr="0076087F" w:rsidRDefault="0076087F" w:rsidP="07B9C0A1">
      <w:pPr>
        <w:jc w:val="center"/>
        <w:rPr>
          <w:sz w:val="36"/>
          <w:szCs w:val="36"/>
          <w:u w:val="single"/>
        </w:rPr>
      </w:pPr>
    </w:p>
    <w:p w14:paraId="4976E885" w14:textId="2C86AF8C" w:rsidR="009A5512" w:rsidRDefault="009A5512" w:rsidP="07B9C0A1">
      <w:pPr>
        <w:rPr>
          <w:b/>
          <w:bCs/>
          <w:color w:val="C00000"/>
          <w:sz w:val="36"/>
          <w:szCs w:val="36"/>
        </w:rPr>
      </w:pPr>
    </w:p>
    <w:p w14:paraId="1F5CE4C1" w14:textId="0E9F2CFC" w:rsidR="07B9C0A1" w:rsidRPr="003B4E6F" w:rsidRDefault="07B9C0A1" w:rsidP="003B4E6F">
      <w:pPr>
        <w:spacing w:line="360" w:lineRule="auto"/>
        <w:rPr>
          <w:rFonts w:ascii="Arial" w:eastAsiaTheme="minorEastAsia" w:hAnsi="Arial" w:cs="Arial"/>
          <w:sz w:val="22"/>
          <w:szCs w:val="22"/>
        </w:rPr>
      </w:pPr>
      <w:r w:rsidRPr="003B4E6F">
        <w:rPr>
          <w:rFonts w:ascii="Arial" w:hAnsi="Arial" w:cs="Arial"/>
          <w:color w:val="000000" w:themeColor="text1"/>
          <w:sz w:val="22"/>
          <w:szCs w:val="22"/>
        </w:rPr>
        <w:t xml:space="preserve">The issue that interested me was how effective a visible success criterion is for facilitating engagement in learners. This research concept interested me because, as a learner, I had always found it easier to learn and grasp concepts when I could see what was expected of me when trying to achieve a learning objective. Taking this from my own experiences throughout my educational journey, I was interested to see the impact that visible steps towards success had on learners I teach. </w:t>
      </w:r>
    </w:p>
    <w:p w14:paraId="64F7FFFE" w14:textId="77419F60" w:rsidR="00D951B4" w:rsidRPr="003B4E6F" w:rsidRDefault="00D951B4" w:rsidP="003B4E6F">
      <w:pPr>
        <w:spacing w:line="360" w:lineRule="auto"/>
        <w:rPr>
          <w:rFonts w:ascii="Arial" w:hAnsi="Arial" w:cs="Arial"/>
          <w:color w:val="000000" w:themeColor="text1"/>
          <w:sz w:val="22"/>
          <w:szCs w:val="22"/>
        </w:rPr>
      </w:pPr>
    </w:p>
    <w:p w14:paraId="192E1E29" w14:textId="69E86D4B" w:rsidR="00D951B4" w:rsidRPr="003B4E6F" w:rsidRDefault="07B9C0A1" w:rsidP="003B4E6F">
      <w:pPr>
        <w:spacing w:line="360" w:lineRule="auto"/>
        <w:rPr>
          <w:rFonts w:ascii="Arial" w:eastAsiaTheme="minorEastAsia" w:hAnsi="Arial" w:cs="Arial"/>
          <w:sz w:val="22"/>
          <w:szCs w:val="22"/>
        </w:rPr>
      </w:pPr>
      <w:r w:rsidRPr="003B4E6F">
        <w:rPr>
          <w:rFonts w:ascii="Arial" w:hAnsi="Arial" w:cs="Arial"/>
          <w:color w:val="000000" w:themeColor="text1"/>
          <w:sz w:val="22"/>
          <w:szCs w:val="22"/>
        </w:rPr>
        <w:t xml:space="preserve">Success criteria is also a vital tool needed for achievement in the outside world, </w:t>
      </w:r>
      <w:r w:rsidRPr="003B4E6F">
        <w:rPr>
          <w:rFonts w:ascii="Arial" w:eastAsiaTheme="minorEastAsia" w:hAnsi="Arial" w:cs="Arial"/>
          <w:sz w:val="22"/>
          <w:szCs w:val="22"/>
        </w:rPr>
        <w:t xml:space="preserve">“Good professionals are invariably looking for evidence of success and indicators of their level of performance. In simple terms, they constantly pose the question “How are we doing?” This question in turn implies a need for clarity about what we are trying to achieve and about how we shall know whether we have achieved it.” (Bennett, </w:t>
      </w:r>
      <w:proofErr w:type="spellStart"/>
      <w:r w:rsidRPr="003B4E6F">
        <w:rPr>
          <w:rFonts w:ascii="Arial" w:eastAsiaTheme="minorEastAsia" w:hAnsi="Arial" w:cs="Arial"/>
          <w:sz w:val="22"/>
          <w:szCs w:val="22"/>
        </w:rPr>
        <w:t>Glatter</w:t>
      </w:r>
      <w:proofErr w:type="spellEnd"/>
      <w:r w:rsidRPr="003B4E6F">
        <w:rPr>
          <w:rFonts w:ascii="Arial" w:eastAsiaTheme="minorEastAsia" w:hAnsi="Arial" w:cs="Arial"/>
          <w:sz w:val="22"/>
          <w:szCs w:val="22"/>
        </w:rPr>
        <w:t xml:space="preserve"> and </w:t>
      </w:r>
      <w:proofErr w:type="spellStart"/>
      <w:r w:rsidRPr="003B4E6F">
        <w:rPr>
          <w:rFonts w:ascii="Arial" w:eastAsiaTheme="minorEastAsia" w:hAnsi="Arial" w:cs="Arial"/>
          <w:sz w:val="22"/>
          <w:szCs w:val="22"/>
        </w:rPr>
        <w:t>Levačic</w:t>
      </w:r>
      <w:proofErr w:type="spellEnd"/>
      <w:r w:rsidRPr="003B4E6F">
        <w:rPr>
          <w:rFonts w:ascii="Arial" w:eastAsiaTheme="minorEastAsia" w:hAnsi="Arial" w:cs="Arial"/>
          <w:sz w:val="22"/>
          <w:szCs w:val="22"/>
        </w:rPr>
        <w:t xml:space="preserve">́, 1994). </w:t>
      </w:r>
    </w:p>
    <w:p w14:paraId="6C36072C" w14:textId="3447480C" w:rsidR="00D951B4" w:rsidRPr="003B4E6F" w:rsidRDefault="00D951B4" w:rsidP="003B4E6F">
      <w:pPr>
        <w:spacing w:line="360" w:lineRule="auto"/>
        <w:rPr>
          <w:rFonts w:ascii="Arial" w:eastAsiaTheme="minorEastAsia" w:hAnsi="Arial" w:cs="Arial"/>
          <w:sz w:val="22"/>
          <w:szCs w:val="22"/>
        </w:rPr>
      </w:pPr>
    </w:p>
    <w:p w14:paraId="227CEA0E" w14:textId="20710B80" w:rsidR="000E3553" w:rsidRPr="003B4E6F" w:rsidRDefault="15886A78" w:rsidP="003B4E6F">
      <w:pPr>
        <w:spacing w:line="360" w:lineRule="auto"/>
        <w:rPr>
          <w:rFonts w:ascii="Arial" w:eastAsiaTheme="minorEastAsia" w:hAnsi="Arial" w:cs="Arial"/>
          <w:color w:val="000000" w:themeColor="text1"/>
          <w:sz w:val="22"/>
          <w:szCs w:val="22"/>
        </w:rPr>
      </w:pPr>
      <w:r w:rsidRPr="003B4E6F">
        <w:rPr>
          <w:rFonts w:ascii="Arial" w:eastAsiaTheme="minorEastAsia" w:hAnsi="Arial" w:cs="Arial"/>
          <w:sz w:val="22"/>
          <w:szCs w:val="22"/>
        </w:rPr>
        <w:t xml:space="preserve">In my school, </w:t>
      </w:r>
      <w:proofErr w:type="spellStart"/>
      <w:r w:rsidRPr="003B4E6F">
        <w:rPr>
          <w:rFonts w:ascii="Arial" w:eastAsiaTheme="minorEastAsia" w:hAnsi="Arial" w:cs="Arial"/>
          <w:sz w:val="22"/>
          <w:szCs w:val="22"/>
        </w:rPr>
        <w:t>Bryntirion</w:t>
      </w:r>
      <w:proofErr w:type="spellEnd"/>
      <w:r w:rsidRPr="003B4E6F">
        <w:rPr>
          <w:rFonts w:ascii="Arial" w:eastAsiaTheme="minorEastAsia" w:hAnsi="Arial" w:cs="Arial"/>
          <w:sz w:val="22"/>
          <w:szCs w:val="22"/>
        </w:rPr>
        <w:t xml:space="preserve"> Comprehensive, teachers were encouraged to have a visible success criterion in their lessons, but it wasn’t policy to have it in every session. </w:t>
      </w:r>
    </w:p>
    <w:p w14:paraId="3852A169" w14:textId="25FA436B" w:rsidR="15886A78" w:rsidRPr="003B4E6F" w:rsidRDefault="15886A78" w:rsidP="003B4E6F">
      <w:pPr>
        <w:spacing w:line="360" w:lineRule="auto"/>
        <w:rPr>
          <w:rFonts w:ascii="Arial" w:eastAsiaTheme="minorEastAsia" w:hAnsi="Arial" w:cs="Arial"/>
          <w:sz w:val="22"/>
          <w:szCs w:val="22"/>
        </w:rPr>
      </w:pPr>
    </w:p>
    <w:p w14:paraId="2ABC8F6D" w14:textId="7BB6D224" w:rsidR="19BE62B4" w:rsidRPr="003B4E6F" w:rsidRDefault="07B9C0A1" w:rsidP="003B4E6F">
      <w:pPr>
        <w:spacing w:line="360" w:lineRule="auto"/>
        <w:rPr>
          <w:rFonts w:ascii="Arial" w:hAnsi="Arial" w:cs="Arial"/>
          <w:color w:val="000000" w:themeColor="text1"/>
          <w:sz w:val="22"/>
          <w:szCs w:val="22"/>
        </w:rPr>
      </w:pPr>
      <w:r w:rsidRPr="003B4E6F">
        <w:rPr>
          <w:rFonts w:ascii="Arial" w:eastAsiaTheme="minorEastAsia" w:hAnsi="Arial" w:cs="Arial"/>
          <w:sz w:val="22"/>
          <w:szCs w:val="22"/>
        </w:rPr>
        <w:t>Prior to undertaking research into the area of inquiry, the topic of what makes an excellent lesson was suggested. Both myself and my partner agreed</w:t>
      </w:r>
      <w:r w:rsidRPr="003B4E6F">
        <w:rPr>
          <w:rFonts w:ascii="Arial" w:hAnsi="Arial" w:cs="Arial"/>
          <w:color w:val="000000" w:themeColor="text1"/>
          <w:sz w:val="22"/>
          <w:szCs w:val="22"/>
        </w:rPr>
        <w:t xml:space="preserve"> when highlighting some of the ‘features’ of an excellent lesson, that an excellent lesson included having visible success criteria for learners. </w:t>
      </w:r>
    </w:p>
    <w:p w14:paraId="302EA079" w14:textId="151C39A9" w:rsidR="000E3553" w:rsidRPr="003B4E6F" w:rsidRDefault="19BE62B4" w:rsidP="003B4E6F">
      <w:pPr>
        <w:spacing w:line="360" w:lineRule="auto"/>
        <w:rPr>
          <w:rFonts w:ascii="Arial" w:hAnsi="Arial" w:cs="Arial"/>
          <w:i/>
          <w:iCs/>
          <w:color w:val="000000" w:themeColor="text1"/>
          <w:sz w:val="22"/>
          <w:szCs w:val="22"/>
        </w:rPr>
      </w:pPr>
      <w:r w:rsidRPr="003B4E6F">
        <w:rPr>
          <w:rFonts w:ascii="Arial" w:hAnsi="Arial" w:cs="Arial"/>
          <w:color w:val="000000" w:themeColor="text1"/>
          <w:sz w:val="22"/>
          <w:szCs w:val="22"/>
        </w:rPr>
        <w:t xml:space="preserve">Our agreed research question was then decided: </w:t>
      </w:r>
      <w:r w:rsidRPr="003B4E6F">
        <w:rPr>
          <w:rFonts w:ascii="Arial" w:hAnsi="Arial" w:cs="Arial"/>
          <w:i/>
          <w:iCs/>
          <w:color w:val="000000" w:themeColor="text1"/>
          <w:sz w:val="22"/>
          <w:szCs w:val="22"/>
        </w:rPr>
        <w:t xml:space="preserve">How effective is a </w:t>
      </w:r>
      <w:proofErr w:type="gramStart"/>
      <w:r w:rsidRPr="003B4E6F">
        <w:rPr>
          <w:rFonts w:ascii="Arial" w:hAnsi="Arial" w:cs="Arial"/>
          <w:i/>
          <w:iCs/>
          <w:color w:val="000000" w:themeColor="text1"/>
          <w:sz w:val="22"/>
          <w:szCs w:val="22"/>
        </w:rPr>
        <w:t>visible success criteria</w:t>
      </w:r>
      <w:proofErr w:type="gramEnd"/>
      <w:r w:rsidRPr="003B4E6F">
        <w:rPr>
          <w:rFonts w:ascii="Arial" w:hAnsi="Arial" w:cs="Arial"/>
          <w:i/>
          <w:iCs/>
          <w:color w:val="000000" w:themeColor="text1"/>
          <w:sz w:val="22"/>
          <w:szCs w:val="22"/>
        </w:rPr>
        <w:t xml:space="preserve"> in facilitating engagement in learners?</w:t>
      </w:r>
    </w:p>
    <w:p w14:paraId="138C9A74" w14:textId="4804E329" w:rsidR="19BE62B4" w:rsidRPr="003B4E6F" w:rsidRDefault="15886A78" w:rsidP="003B4E6F">
      <w:pPr>
        <w:spacing w:line="360" w:lineRule="auto"/>
        <w:rPr>
          <w:rFonts w:ascii="Arial" w:hAnsi="Arial" w:cs="Arial"/>
          <w:color w:val="000000" w:themeColor="text1"/>
          <w:sz w:val="22"/>
          <w:szCs w:val="22"/>
        </w:rPr>
      </w:pPr>
      <w:r w:rsidRPr="003B4E6F">
        <w:rPr>
          <w:rFonts w:ascii="Arial" w:hAnsi="Arial" w:cs="Arial"/>
          <w:color w:val="000000" w:themeColor="text1"/>
          <w:sz w:val="22"/>
          <w:szCs w:val="22"/>
        </w:rPr>
        <w:t xml:space="preserve">We wanted to explore the effect a </w:t>
      </w:r>
      <w:proofErr w:type="gramStart"/>
      <w:r w:rsidRPr="003B4E6F">
        <w:rPr>
          <w:rFonts w:ascii="Arial" w:hAnsi="Arial" w:cs="Arial"/>
          <w:color w:val="000000" w:themeColor="text1"/>
          <w:sz w:val="22"/>
          <w:szCs w:val="22"/>
        </w:rPr>
        <w:t>visible success criteria</w:t>
      </w:r>
      <w:proofErr w:type="gramEnd"/>
      <w:r w:rsidRPr="003B4E6F">
        <w:rPr>
          <w:rFonts w:ascii="Arial" w:hAnsi="Arial" w:cs="Arial"/>
          <w:color w:val="000000" w:themeColor="text1"/>
          <w:sz w:val="22"/>
          <w:szCs w:val="22"/>
        </w:rPr>
        <w:t xml:space="preserve"> has on learner progress, productivity, confide</w:t>
      </w:r>
      <w:r w:rsidRPr="003B4E6F">
        <w:rPr>
          <w:rFonts w:ascii="Arial" w:hAnsi="Arial" w:cs="Arial"/>
          <w:sz w:val="22"/>
          <w:szCs w:val="22"/>
        </w:rPr>
        <w:t xml:space="preserve">nce and engagement. </w:t>
      </w:r>
    </w:p>
    <w:p w14:paraId="167AED70" w14:textId="280B4ED5" w:rsidR="19BE62B4" w:rsidRPr="003B4E6F" w:rsidRDefault="19BE62B4" w:rsidP="003B4E6F">
      <w:pPr>
        <w:spacing w:line="360" w:lineRule="auto"/>
        <w:rPr>
          <w:rFonts w:ascii="Arial" w:hAnsi="Arial" w:cs="Arial"/>
          <w:sz w:val="22"/>
          <w:szCs w:val="22"/>
        </w:rPr>
      </w:pPr>
    </w:p>
    <w:p w14:paraId="5D4DEB8C" w14:textId="09FB6A76" w:rsidR="15886A78" w:rsidRPr="003B4E6F" w:rsidRDefault="07B9C0A1" w:rsidP="003B4E6F">
      <w:pPr>
        <w:spacing w:line="360" w:lineRule="auto"/>
        <w:rPr>
          <w:rFonts w:ascii="Arial" w:eastAsia="Calibri" w:hAnsi="Arial" w:cs="Arial"/>
          <w:color w:val="000000" w:themeColor="text1"/>
          <w:sz w:val="22"/>
          <w:szCs w:val="22"/>
        </w:rPr>
      </w:pPr>
      <w:r w:rsidRPr="003B4E6F">
        <w:rPr>
          <w:rFonts w:ascii="Arial" w:hAnsi="Arial" w:cs="Arial"/>
          <w:sz w:val="22"/>
          <w:szCs w:val="22"/>
        </w:rPr>
        <w:t>For my class, this meant that learning objectives were broken down into visible, successful steps displayed on boards for the learners throughout the lesson; visual representations of the success criteria and subsequent resources (</w:t>
      </w:r>
      <w:r w:rsidRPr="003B4E6F">
        <w:rPr>
          <w:rFonts w:ascii="Arial" w:hAnsi="Arial" w:cs="Arial"/>
          <w:i/>
          <w:iCs/>
          <w:sz w:val="22"/>
          <w:szCs w:val="22"/>
        </w:rPr>
        <w:t>Appendix 1</w:t>
      </w:r>
      <w:r w:rsidRPr="003B4E6F">
        <w:rPr>
          <w:rFonts w:ascii="Arial" w:hAnsi="Arial" w:cs="Arial"/>
          <w:sz w:val="22"/>
          <w:szCs w:val="22"/>
        </w:rPr>
        <w:t>) were also provided for learners to achieve the steps to success. For example, ‘inspiration’ booklets (</w:t>
      </w:r>
      <w:r w:rsidRPr="003B4E6F">
        <w:rPr>
          <w:rFonts w:ascii="Arial" w:hAnsi="Arial" w:cs="Arial"/>
          <w:i/>
          <w:iCs/>
          <w:sz w:val="22"/>
          <w:szCs w:val="22"/>
        </w:rPr>
        <w:t>Appendix 1a</w:t>
      </w:r>
      <w:r w:rsidRPr="003B4E6F">
        <w:rPr>
          <w:rFonts w:ascii="Arial" w:hAnsi="Arial" w:cs="Arial"/>
          <w:sz w:val="22"/>
          <w:szCs w:val="22"/>
        </w:rPr>
        <w:t xml:space="preserve">) were given out to students with suitable designs that linked to the lesson theme and adhered to the success criteria. As well as a </w:t>
      </w:r>
      <w:proofErr w:type="gramStart"/>
      <w:r w:rsidRPr="003B4E6F">
        <w:rPr>
          <w:rFonts w:ascii="Arial" w:hAnsi="Arial" w:cs="Arial"/>
          <w:sz w:val="22"/>
          <w:szCs w:val="22"/>
        </w:rPr>
        <w:t>visible success criteria</w:t>
      </w:r>
      <w:proofErr w:type="gramEnd"/>
      <w:r w:rsidRPr="003B4E6F">
        <w:rPr>
          <w:rFonts w:ascii="Arial" w:hAnsi="Arial" w:cs="Arial"/>
          <w:sz w:val="22"/>
          <w:szCs w:val="22"/>
        </w:rPr>
        <w:t xml:space="preserve"> displayed on the board in the form of an easy to follow checklist (</w:t>
      </w:r>
      <w:r w:rsidRPr="003B4E6F">
        <w:rPr>
          <w:rFonts w:ascii="Arial" w:hAnsi="Arial" w:cs="Arial"/>
          <w:i/>
          <w:iCs/>
          <w:sz w:val="22"/>
          <w:szCs w:val="22"/>
        </w:rPr>
        <w:t>Appendix 1b</w:t>
      </w:r>
      <w:r w:rsidRPr="003B4E6F">
        <w:rPr>
          <w:rFonts w:ascii="Arial" w:hAnsi="Arial" w:cs="Arial"/>
          <w:sz w:val="22"/>
          <w:szCs w:val="22"/>
        </w:rPr>
        <w:t xml:space="preserve">). I also included a teacher finished outcome and asked the students why they thought this was a successful piece of work. During this lesson </w:t>
      </w:r>
      <w:r w:rsidRPr="003B4E6F">
        <w:rPr>
          <w:rFonts w:ascii="Arial" w:hAnsi="Arial" w:cs="Arial"/>
          <w:sz w:val="22"/>
          <w:szCs w:val="22"/>
        </w:rPr>
        <w:lastRenderedPageBreak/>
        <w:t xml:space="preserve">I also selected pupils who showed exemplar work to hold up in front of the class, this work was then assessed as to why the pupils thought this was a successful piece of work, compared to the visible success criteria. </w:t>
      </w:r>
      <w:r w:rsidRPr="003B4E6F">
        <w:rPr>
          <w:rFonts w:ascii="Arial" w:hAnsi="Arial" w:cs="Arial"/>
          <w:color w:val="000000" w:themeColor="text1"/>
          <w:sz w:val="22"/>
          <w:szCs w:val="22"/>
        </w:rPr>
        <w:t>“</w:t>
      </w:r>
      <w:r w:rsidRPr="003B4E6F">
        <w:rPr>
          <w:rFonts w:ascii="Arial" w:eastAsia="Calibri" w:hAnsi="Arial" w:cs="Arial"/>
          <w:color w:val="000000" w:themeColor="text1"/>
          <w:sz w:val="22"/>
          <w:szCs w:val="22"/>
        </w:rPr>
        <w:t>Modelling high expectations for the pupils is an important part of everything that is taught. With high expectations, pupils will work to higher standards.</w:t>
      </w:r>
    </w:p>
    <w:p w14:paraId="07024D63" w14:textId="4D4FFFCB" w:rsidR="15886A78" w:rsidRPr="003B4E6F" w:rsidRDefault="15886A78" w:rsidP="003B4E6F">
      <w:pPr>
        <w:spacing w:line="360" w:lineRule="auto"/>
        <w:rPr>
          <w:rFonts w:ascii="Arial" w:eastAsia="Calibri" w:hAnsi="Arial" w:cs="Arial"/>
          <w:color w:val="000000" w:themeColor="text1"/>
          <w:sz w:val="22"/>
          <w:szCs w:val="22"/>
        </w:rPr>
      </w:pPr>
      <w:r w:rsidRPr="003B4E6F">
        <w:rPr>
          <w:rFonts w:ascii="Arial" w:eastAsia="Calibri" w:hAnsi="Arial" w:cs="Arial"/>
          <w:color w:val="000000" w:themeColor="text1"/>
          <w:sz w:val="22"/>
          <w:szCs w:val="22"/>
        </w:rPr>
        <w:t>WAGOLL (What A Good One Looks Like) is about demonstrating to the pupils how we can use existing work to create amazing work and how teachers can use these to model to the pupils what a great piece of work might look like.</w:t>
      </w:r>
    </w:p>
    <w:p w14:paraId="6AD24BAB" w14:textId="3BB57D9B" w:rsidR="15886A78" w:rsidRPr="003B4E6F" w:rsidRDefault="07B9C0A1" w:rsidP="003B4E6F">
      <w:pPr>
        <w:spacing w:line="360" w:lineRule="auto"/>
        <w:rPr>
          <w:rFonts w:ascii="Arial" w:eastAsia="Calibri" w:hAnsi="Arial" w:cs="Arial"/>
          <w:color w:val="000000" w:themeColor="text1"/>
          <w:sz w:val="22"/>
          <w:szCs w:val="22"/>
        </w:rPr>
      </w:pPr>
      <w:r w:rsidRPr="003B4E6F">
        <w:rPr>
          <w:rFonts w:ascii="Arial" w:eastAsia="Calibri" w:hAnsi="Arial" w:cs="Arial"/>
          <w:color w:val="000000" w:themeColor="text1"/>
          <w:sz w:val="22"/>
          <w:szCs w:val="22"/>
        </w:rPr>
        <w:t>Essentially, it’s about taking the best of what is available and the pupils producing their own best work.” &lt;</w:t>
      </w:r>
      <w:r w:rsidRPr="003B4E6F">
        <w:rPr>
          <w:rFonts w:ascii="Arial" w:eastAsia="Calibri" w:hAnsi="Arial" w:cs="Arial"/>
          <w:color w:val="000000" w:themeColor="text1"/>
          <w:sz w:val="22"/>
          <w:szCs w:val="22"/>
          <w:u w:val="single"/>
        </w:rPr>
        <w:t>https://mrandrewsonline.co.uk/wagoll-what-a-good-one-looks-like/</w:t>
      </w:r>
      <w:r w:rsidRPr="003B4E6F">
        <w:rPr>
          <w:rFonts w:ascii="Arial" w:eastAsia="Calibri" w:hAnsi="Arial" w:cs="Arial"/>
          <w:color w:val="000000" w:themeColor="text1"/>
          <w:sz w:val="22"/>
          <w:szCs w:val="22"/>
        </w:rPr>
        <w:t>&gt;</w:t>
      </w:r>
    </w:p>
    <w:p w14:paraId="401D0152" w14:textId="28FCA4E9" w:rsidR="15886A78" w:rsidRPr="003B4E6F" w:rsidRDefault="15886A78" w:rsidP="003B4E6F">
      <w:pPr>
        <w:spacing w:line="360" w:lineRule="auto"/>
        <w:rPr>
          <w:rFonts w:ascii="Arial" w:eastAsia="Calibri" w:hAnsi="Arial" w:cs="Arial"/>
          <w:color w:val="000000" w:themeColor="text1"/>
          <w:sz w:val="22"/>
          <w:szCs w:val="22"/>
        </w:rPr>
      </w:pPr>
    </w:p>
    <w:p w14:paraId="22098EF8" w14:textId="6C755151" w:rsidR="15886A78" w:rsidRPr="003B4E6F" w:rsidRDefault="07B9C0A1" w:rsidP="003B4E6F">
      <w:pPr>
        <w:spacing w:line="360" w:lineRule="auto"/>
        <w:rPr>
          <w:rFonts w:ascii="Arial" w:eastAsiaTheme="minorEastAsia" w:hAnsi="Arial" w:cs="Arial"/>
          <w:sz w:val="22"/>
          <w:szCs w:val="22"/>
        </w:rPr>
      </w:pPr>
      <w:r w:rsidRPr="003B4E6F">
        <w:rPr>
          <w:rFonts w:ascii="Arial" w:hAnsi="Arial" w:cs="Arial"/>
          <w:color w:val="000000" w:themeColor="text1"/>
          <w:sz w:val="22"/>
          <w:szCs w:val="22"/>
        </w:rPr>
        <w:t>Before participating in the study, consent was granted by all pupils involved using a consent letter addressed to the parents/guardians of the pupils involved and the behalf of my partner, myself and The University of Wales Trinity St David (</w:t>
      </w:r>
      <w:r w:rsidRPr="003B4E6F">
        <w:rPr>
          <w:rFonts w:ascii="Arial" w:hAnsi="Arial" w:cs="Arial"/>
          <w:i/>
          <w:iCs/>
          <w:color w:val="000000" w:themeColor="text1"/>
          <w:sz w:val="22"/>
          <w:szCs w:val="22"/>
        </w:rPr>
        <w:t>Appendix 5</w:t>
      </w:r>
      <w:r w:rsidRPr="003B4E6F">
        <w:rPr>
          <w:rFonts w:ascii="Arial" w:hAnsi="Arial" w:cs="Arial"/>
          <w:color w:val="000000" w:themeColor="text1"/>
          <w:sz w:val="22"/>
          <w:szCs w:val="22"/>
        </w:rPr>
        <w:t>).</w:t>
      </w:r>
    </w:p>
    <w:p w14:paraId="7F3F90E2" w14:textId="75453138" w:rsidR="15886A78" w:rsidRPr="003B4E6F" w:rsidRDefault="15886A78" w:rsidP="003B4E6F">
      <w:pPr>
        <w:spacing w:line="360" w:lineRule="auto"/>
        <w:rPr>
          <w:rFonts w:ascii="Arial" w:hAnsi="Arial" w:cs="Arial"/>
          <w:color w:val="FF0000"/>
          <w:sz w:val="22"/>
          <w:szCs w:val="22"/>
        </w:rPr>
      </w:pPr>
    </w:p>
    <w:p w14:paraId="242BC603" w14:textId="51AB7D38" w:rsidR="19BE62B4" w:rsidRPr="003B4E6F" w:rsidRDefault="15886A78" w:rsidP="003B4E6F">
      <w:pPr>
        <w:spacing w:line="360" w:lineRule="auto"/>
        <w:rPr>
          <w:rFonts w:ascii="Arial" w:eastAsia="Calibri" w:hAnsi="Arial" w:cs="Arial"/>
          <w:sz w:val="22"/>
          <w:szCs w:val="22"/>
        </w:rPr>
      </w:pPr>
      <w:r w:rsidRPr="003B4E6F">
        <w:rPr>
          <w:rFonts w:ascii="Arial" w:hAnsi="Arial" w:cs="Arial"/>
          <w:sz w:val="22"/>
          <w:szCs w:val="22"/>
        </w:rPr>
        <w:t>I looked further into this area of inquiry by reading books, journal articles, government documents and on-line material.</w:t>
      </w:r>
    </w:p>
    <w:p w14:paraId="28F334CD" w14:textId="14666B6F" w:rsidR="19BE62B4" w:rsidRPr="003B4E6F" w:rsidRDefault="07B9C0A1" w:rsidP="003B4E6F">
      <w:pPr>
        <w:spacing w:line="360" w:lineRule="auto"/>
        <w:rPr>
          <w:rFonts w:ascii="Arial" w:eastAsia="Calibri" w:hAnsi="Arial" w:cs="Arial"/>
          <w:sz w:val="22"/>
          <w:szCs w:val="22"/>
        </w:rPr>
      </w:pPr>
      <w:r w:rsidRPr="003B4E6F">
        <w:rPr>
          <w:rFonts w:ascii="Arial" w:hAnsi="Arial" w:cs="Arial"/>
          <w:sz w:val="22"/>
          <w:szCs w:val="22"/>
        </w:rPr>
        <w:t xml:space="preserve">The general consensus demonstrated that without the success criteria being visible throughout the lesson and being referred to by the teacher during plenaries for feed-forward and feed-back opportunities, the children could become stuck and confused as to what their lesson objective is. This school of thought is confirmed by </w:t>
      </w:r>
      <w:r w:rsidRPr="003B4E6F">
        <w:rPr>
          <w:rFonts w:ascii="Arial" w:eastAsia="Calibri" w:hAnsi="Arial" w:cs="Arial"/>
          <w:sz w:val="22"/>
          <w:szCs w:val="22"/>
        </w:rPr>
        <w:t xml:space="preserve">Nancy Frey, Douglas Fisher, Olivia Amador, and Joseph </w:t>
      </w:r>
      <w:proofErr w:type="spellStart"/>
      <w:r w:rsidRPr="003B4E6F">
        <w:rPr>
          <w:rFonts w:ascii="Arial" w:eastAsia="Calibri" w:hAnsi="Arial" w:cs="Arial"/>
          <w:sz w:val="22"/>
          <w:szCs w:val="22"/>
        </w:rPr>
        <w:t>Assof</w:t>
      </w:r>
      <w:proofErr w:type="spellEnd"/>
      <w:r w:rsidRPr="003B4E6F">
        <w:rPr>
          <w:rFonts w:ascii="Arial" w:eastAsia="Calibri" w:hAnsi="Arial" w:cs="Arial"/>
          <w:sz w:val="22"/>
          <w:szCs w:val="22"/>
        </w:rPr>
        <w:t xml:space="preserve">, authors of </w:t>
      </w:r>
      <w:r w:rsidRPr="003B4E6F">
        <w:rPr>
          <w:rFonts w:ascii="Arial" w:eastAsia="Calibri" w:hAnsi="Arial" w:cs="Arial"/>
          <w:i/>
          <w:iCs/>
          <w:sz w:val="22"/>
          <w:szCs w:val="22"/>
        </w:rPr>
        <w:t>The Teacher Clarity Playbook</w:t>
      </w:r>
      <w:r w:rsidRPr="003B4E6F">
        <w:rPr>
          <w:rFonts w:ascii="Arial" w:eastAsia="Calibri" w:hAnsi="Arial" w:cs="Arial"/>
          <w:b/>
          <w:bCs/>
          <w:i/>
          <w:iCs/>
          <w:sz w:val="22"/>
          <w:szCs w:val="22"/>
        </w:rPr>
        <w:t>,</w:t>
      </w:r>
      <w:r w:rsidRPr="003B4E6F">
        <w:rPr>
          <w:rFonts w:ascii="Arial" w:hAnsi="Arial" w:cs="Arial"/>
          <w:sz w:val="22"/>
          <w:szCs w:val="22"/>
        </w:rPr>
        <w:t xml:space="preserve"> who state “</w:t>
      </w:r>
      <w:r w:rsidRPr="003B4E6F">
        <w:rPr>
          <w:rFonts w:ascii="Arial" w:eastAsia="Calibri" w:hAnsi="Arial" w:cs="Arial"/>
          <w:sz w:val="22"/>
          <w:szCs w:val="22"/>
        </w:rPr>
        <w:t>If students know the outcome of the learning, know what the goals of the learning are, and are able to communicate how they’ll get there, then they have taken ownership of their learning.” (Frey, et al., 2018).</w:t>
      </w:r>
    </w:p>
    <w:p w14:paraId="239A053F" w14:textId="36A05EB3" w:rsidR="19BE62B4" w:rsidRPr="003B4E6F" w:rsidRDefault="19BE62B4" w:rsidP="003B4E6F">
      <w:pPr>
        <w:spacing w:line="360" w:lineRule="auto"/>
        <w:rPr>
          <w:rFonts w:ascii="Arial" w:eastAsia="Calibri" w:hAnsi="Arial" w:cs="Arial"/>
          <w:sz w:val="22"/>
          <w:szCs w:val="22"/>
        </w:rPr>
      </w:pPr>
      <w:r w:rsidRPr="003B4E6F">
        <w:rPr>
          <w:rFonts w:ascii="Arial" w:eastAsia="Calibri" w:hAnsi="Arial" w:cs="Arial"/>
          <w:sz w:val="22"/>
          <w:szCs w:val="22"/>
        </w:rPr>
        <w:t>Success criteria also provide opportunities for children to independently visit the zone of proximal development (ZPD) in which “Vygotsky among other educational professionals believes the role of education to be to provide children with experiences which are in their ZPD, thereby encouraging and advancing their individual learning.” (Vygotsky, et al., 1978).</w:t>
      </w:r>
    </w:p>
    <w:p w14:paraId="31834BA0" w14:textId="456B7E9B" w:rsidR="19BE62B4" w:rsidRPr="003B4E6F" w:rsidRDefault="19BE62B4" w:rsidP="003B4E6F">
      <w:pPr>
        <w:spacing w:line="360" w:lineRule="auto"/>
        <w:rPr>
          <w:rFonts w:ascii="Arial" w:eastAsia="Calibri" w:hAnsi="Arial" w:cs="Arial"/>
          <w:sz w:val="22"/>
          <w:szCs w:val="22"/>
        </w:rPr>
      </w:pPr>
    </w:p>
    <w:p w14:paraId="4E094E8D" w14:textId="4313C3BF" w:rsidR="19BE62B4" w:rsidRPr="003B4E6F" w:rsidRDefault="07B9C0A1" w:rsidP="003B4E6F">
      <w:pPr>
        <w:spacing w:line="360" w:lineRule="auto"/>
        <w:rPr>
          <w:rFonts w:ascii="Arial" w:eastAsia="Calibri" w:hAnsi="Arial" w:cs="Arial"/>
          <w:color w:val="000000" w:themeColor="text1"/>
          <w:sz w:val="22"/>
          <w:szCs w:val="22"/>
        </w:rPr>
      </w:pPr>
      <w:r w:rsidRPr="003B4E6F">
        <w:rPr>
          <w:rFonts w:ascii="Arial" w:hAnsi="Arial" w:cs="Arial"/>
          <w:color w:val="000000" w:themeColor="text1"/>
          <w:sz w:val="22"/>
          <w:szCs w:val="22"/>
        </w:rPr>
        <w:t xml:space="preserve">Having a </w:t>
      </w:r>
      <w:proofErr w:type="gramStart"/>
      <w:r w:rsidRPr="003B4E6F">
        <w:rPr>
          <w:rFonts w:ascii="Arial" w:hAnsi="Arial" w:cs="Arial"/>
          <w:color w:val="000000" w:themeColor="text1"/>
          <w:sz w:val="22"/>
          <w:szCs w:val="22"/>
        </w:rPr>
        <w:t>vis</w:t>
      </w:r>
      <w:r w:rsidRPr="003B4E6F">
        <w:rPr>
          <w:rFonts w:ascii="Arial" w:hAnsi="Arial" w:cs="Arial"/>
          <w:sz w:val="22"/>
          <w:szCs w:val="22"/>
        </w:rPr>
        <w:t>ible success criteria</w:t>
      </w:r>
      <w:proofErr w:type="gramEnd"/>
      <w:r w:rsidRPr="003B4E6F">
        <w:rPr>
          <w:rFonts w:ascii="Arial" w:hAnsi="Arial" w:cs="Arial"/>
          <w:sz w:val="22"/>
          <w:szCs w:val="22"/>
        </w:rPr>
        <w:t xml:space="preserve"> also instils confidence and accuracy for the teacher. Teachers are able to see what requirements their learner needs in order to make progression and what scaffolding may be needed for their learners. </w:t>
      </w:r>
    </w:p>
    <w:p w14:paraId="58902C63" w14:textId="0EFFE608" w:rsidR="00BF7E30" w:rsidRPr="003B4E6F" w:rsidRDefault="15886A78" w:rsidP="003B4E6F">
      <w:pPr>
        <w:spacing w:line="360" w:lineRule="auto"/>
        <w:rPr>
          <w:rFonts w:ascii="Arial" w:hAnsi="Arial" w:cs="Arial"/>
          <w:color w:val="000000" w:themeColor="text1"/>
          <w:sz w:val="22"/>
          <w:szCs w:val="22"/>
        </w:rPr>
      </w:pPr>
      <w:r w:rsidRPr="003B4E6F">
        <w:rPr>
          <w:rFonts w:ascii="Arial" w:hAnsi="Arial" w:cs="Arial"/>
          <w:sz w:val="22"/>
          <w:szCs w:val="22"/>
        </w:rPr>
        <w:t>Success criterion also enables learners to become independent and to lead their own learning, which is an essential tool, highlighted by Donaldson (2015) to create:</w:t>
      </w:r>
    </w:p>
    <w:p w14:paraId="2CB5966D" w14:textId="451FB0ED" w:rsidR="19BE62B4" w:rsidRPr="003B4E6F" w:rsidRDefault="19BE62B4" w:rsidP="003B4E6F">
      <w:pPr>
        <w:spacing w:line="360" w:lineRule="auto"/>
        <w:rPr>
          <w:rFonts w:ascii="Arial" w:hAnsi="Arial" w:cs="Arial"/>
          <w:color w:val="000000" w:themeColor="text1"/>
          <w:sz w:val="22"/>
          <w:szCs w:val="22"/>
        </w:rPr>
      </w:pPr>
    </w:p>
    <w:p w14:paraId="2F8DE261" w14:textId="3A332D80" w:rsidR="001F5A7B" w:rsidRPr="003B4E6F" w:rsidRDefault="15886A78" w:rsidP="003B4E6F">
      <w:pPr>
        <w:pStyle w:val="ListParagraph"/>
        <w:numPr>
          <w:ilvl w:val="0"/>
          <w:numId w:val="9"/>
        </w:numPr>
        <w:spacing w:line="360" w:lineRule="auto"/>
        <w:rPr>
          <w:rFonts w:ascii="Arial" w:hAnsi="Arial" w:cs="Arial"/>
          <w:color w:val="000000" w:themeColor="text1"/>
          <w:sz w:val="22"/>
          <w:szCs w:val="22"/>
        </w:rPr>
      </w:pPr>
      <w:r w:rsidRPr="003B4E6F">
        <w:rPr>
          <w:rFonts w:ascii="Arial" w:hAnsi="Arial" w:cs="Arial"/>
          <w:sz w:val="22"/>
          <w:szCs w:val="22"/>
        </w:rPr>
        <w:lastRenderedPageBreak/>
        <w:t>Ambitious, capable learners who are ready to learners who are ready to learn throughout their lives.</w:t>
      </w:r>
    </w:p>
    <w:p w14:paraId="5BB5C5AF" w14:textId="77777777" w:rsidR="00BF7E30" w:rsidRPr="003B4E6F" w:rsidRDefault="15886A78" w:rsidP="003B4E6F">
      <w:pPr>
        <w:pStyle w:val="ListParagraph"/>
        <w:numPr>
          <w:ilvl w:val="0"/>
          <w:numId w:val="9"/>
        </w:numPr>
        <w:spacing w:line="360" w:lineRule="auto"/>
        <w:rPr>
          <w:rFonts w:ascii="Arial" w:hAnsi="Arial" w:cs="Arial"/>
          <w:color w:val="000000" w:themeColor="text1"/>
          <w:sz w:val="22"/>
          <w:szCs w:val="22"/>
        </w:rPr>
      </w:pPr>
      <w:r w:rsidRPr="003B4E6F">
        <w:rPr>
          <w:rFonts w:ascii="Arial" w:hAnsi="Arial" w:cs="Arial"/>
          <w:sz w:val="22"/>
          <w:szCs w:val="22"/>
        </w:rPr>
        <w:t>Enterprising, creative contributors who are ready to play a full part in life and work.</w:t>
      </w:r>
    </w:p>
    <w:p w14:paraId="700AAA10" w14:textId="77777777" w:rsidR="00B6524A" w:rsidRPr="003B4E6F" w:rsidRDefault="15886A78" w:rsidP="003B4E6F">
      <w:pPr>
        <w:pStyle w:val="ListParagraph"/>
        <w:numPr>
          <w:ilvl w:val="0"/>
          <w:numId w:val="9"/>
        </w:numPr>
        <w:spacing w:line="360" w:lineRule="auto"/>
        <w:rPr>
          <w:rFonts w:ascii="Arial" w:hAnsi="Arial" w:cs="Arial"/>
          <w:color w:val="000000" w:themeColor="text1"/>
          <w:sz w:val="22"/>
          <w:szCs w:val="22"/>
        </w:rPr>
      </w:pPr>
      <w:r w:rsidRPr="003B4E6F">
        <w:rPr>
          <w:rFonts w:ascii="Arial" w:hAnsi="Arial" w:cs="Arial"/>
          <w:sz w:val="22"/>
          <w:szCs w:val="22"/>
        </w:rPr>
        <w:t>Ethical, informed citizens who are ready to be citizens of Wales and the world.</w:t>
      </w:r>
    </w:p>
    <w:p w14:paraId="586554C0" w14:textId="0C413D80" w:rsidR="00BF7E30" w:rsidRPr="003B4E6F" w:rsidRDefault="15886A78" w:rsidP="003B4E6F">
      <w:pPr>
        <w:pStyle w:val="ListParagraph"/>
        <w:numPr>
          <w:ilvl w:val="0"/>
          <w:numId w:val="9"/>
        </w:numPr>
        <w:spacing w:line="360" w:lineRule="auto"/>
        <w:rPr>
          <w:rFonts w:ascii="Arial" w:hAnsi="Arial" w:cs="Arial"/>
          <w:color w:val="000000" w:themeColor="text1"/>
          <w:sz w:val="22"/>
          <w:szCs w:val="22"/>
        </w:rPr>
      </w:pPr>
      <w:r w:rsidRPr="003B4E6F">
        <w:rPr>
          <w:rFonts w:ascii="Arial" w:hAnsi="Arial" w:cs="Arial"/>
          <w:sz w:val="22"/>
          <w:szCs w:val="22"/>
        </w:rPr>
        <w:t xml:space="preserve">Healthy, confident individuals who are ready to lead fulfilling lives as valued members of society. </w:t>
      </w:r>
    </w:p>
    <w:p w14:paraId="2E7CBDA2" w14:textId="1C27BE59" w:rsidR="19BE62B4" w:rsidRPr="003B4E6F" w:rsidRDefault="19BE62B4" w:rsidP="003B4E6F">
      <w:pPr>
        <w:spacing w:line="360" w:lineRule="auto"/>
        <w:ind w:left="360"/>
        <w:rPr>
          <w:rFonts w:ascii="Arial" w:hAnsi="Arial" w:cs="Arial"/>
          <w:color w:val="000000" w:themeColor="text1"/>
          <w:sz w:val="22"/>
          <w:szCs w:val="22"/>
        </w:rPr>
      </w:pPr>
    </w:p>
    <w:p w14:paraId="3674762A" w14:textId="6BA3860D" w:rsidR="19BE62B4" w:rsidRPr="003B4E6F" w:rsidRDefault="15886A78" w:rsidP="003B4E6F">
      <w:pPr>
        <w:spacing w:line="360" w:lineRule="auto"/>
        <w:rPr>
          <w:rFonts w:ascii="Arial" w:hAnsi="Arial" w:cs="Arial"/>
          <w:color w:val="70AD47" w:themeColor="accent6"/>
          <w:sz w:val="22"/>
          <w:szCs w:val="22"/>
        </w:rPr>
      </w:pPr>
      <w:r w:rsidRPr="003B4E6F">
        <w:rPr>
          <w:rFonts w:ascii="Arial" w:hAnsi="Arial" w:cs="Arial"/>
          <w:sz w:val="22"/>
          <w:szCs w:val="22"/>
        </w:rPr>
        <w:t>This is also promoted by Vygotsky, who</w:t>
      </w:r>
      <w:r w:rsidRPr="003B4E6F">
        <w:rPr>
          <w:rFonts w:ascii="Arial" w:eastAsia="Calibri" w:hAnsi="Arial" w:cs="Arial"/>
          <w:sz w:val="22"/>
          <w:szCs w:val="22"/>
        </w:rPr>
        <w:t xml:space="preserve"> stated that “a child follows an adult's example and gradually develops the ability to do certain tasks without help or assistance. Vygotsky's definition of ZPD presents it as the distance between the actual developmental level as determined by independent problem solving and the level of potential development as determined through problem solving under adult guidance, or in collaboration with more capable peers.” (L.S. Vygotsky, 1962).</w:t>
      </w:r>
    </w:p>
    <w:p w14:paraId="3DE11EE8" w14:textId="77777777" w:rsidR="00B6524A" w:rsidRPr="003B4E6F" w:rsidRDefault="00B6524A" w:rsidP="003B4E6F">
      <w:pPr>
        <w:pStyle w:val="ListParagraph"/>
        <w:spacing w:line="360" w:lineRule="auto"/>
        <w:rPr>
          <w:rFonts w:ascii="Arial" w:hAnsi="Arial" w:cs="Arial"/>
          <w:color w:val="000000" w:themeColor="text1"/>
          <w:sz w:val="22"/>
          <w:szCs w:val="22"/>
        </w:rPr>
      </w:pPr>
    </w:p>
    <w:p w14:paraId="209DD48D" w14:textId="108AAA46" w:rsidR="19BE62B4" w:rsidRPr="003B4E6F" w:rsidRDefault="15886A78" w:rsidP="003B4E6F">
      <w:pPr>
        <w:spacing w:line="360" w:lineRule="auto"/>
        <w:rPr>
          <w:rFonts w:ascii="Arial" w:hAnsi="Arial" w:cs="Arial"/>
          <w:sz w:val="22"/>
          <w:szCs w:val="22"/>
        </w:rPr>
      </w:pPr>
      <w:r w:rsidRPr="003B4E6F">
        <w:rPr>
          <w:rFonts w:ascii="Arial" w:hAnsi="Arial" w:cs="Arial"/>
          <w:sz w:val="22"/>
          <w:szCs w:val="22"/>
        </w:rPr>
        <w:t>However, there are arguments that “</w:t>
      </w:r>
      <w:r w:rsidRPr="003B4E6F">
        <w:rPr>
          <w:rFonts w:ascii="Arial" w:eastAsia="Calibri" w:hAnsi="Arial" w:cs="Arial"/>
          <w:sz w:val="22"/>
          <w:szCs w:val="22"/>
        </w:rPr>
        <w:t xml:space="preserve">Teachers find generating success criteria much harder than writing learning intentions.” </w:t>
      </w:r>
      <w:r w:rsidRPr="003B4E6F">
        <w:rPr>
          <w:rFonts w:ascii="Arial" w:hAnsi="Arial" w:cs="Arial"/>
          <w:sz w:val="22"/>
          <w:szCs w:val="22"/>
        </w:rPr>
        <w:t>&lt;</w:t>
      </w:r>
      <w:hyperlink r:id="rId7">
        <w:r w:rsidRPr="003B4E6F">
          <w:rPr>
            <w:rStyle w:val="Hyperlink"/>
            <w:rFonts w:ascii="Arial" w:eastAsia="Calibri" w:hAnsi="Arial" w:cs="Arial"/>
            <w:color w:val="auto"/>
            <w:sz w:val="22"/>
            <w:szCs w:val="22"/>
          </w:rPr>
          <w:t>https://blogs.glowscotland.org.uk/er/public/EastRenfrewshireLAR/uploads/sites/5239/2014/02/Clarifying_and_Sharing_LIs__SC.pdf</w:t>
        </w:r>
      </w:hyperlink>
      <w:r w:rsidRPr="003B4E6F">
        <w:rPr>
          <w:rFonts w:ascii="Arial" w:hAnsi="Arial" w:cs="Arial"/>
          <w:sz w:val="22"/>
          <w:szCs w:val="22"/>
        </w:rPr>
        <w:t>&gt;</w:t>
      </w:r>
      <w:r w:rsidRPr="003B4E6F">
        <w:rPr>
          <w:rFonts w:ascii="Arial" w:eastAsia="Calibri" w:hAnsi="Arial" w:cs="Arial"/>
          <w:sz w:val="22"/>
          <w:szCs w:val="22"/>
        </w:rPr>
        <w:t>, but then the issue is clarified, stating success criteria is “... well worth the effort, both for pupils and for teachers themselves. The main purpose of success criteria is not to track improvement over time, but to help bring about that improvement.”</w:t>
      </w:r>
    </w:p>
    <w:p w14:paraId="4E4E14D7" w14:textId="46660457" w:rsidR="15886A78" w:rsidRPr="003B4E6F" w:rsidRDefault="07B9C0A1" w:rsidP="003B4E6F">
      <w:pPr>
        <w:spacing w:line="360" w:lineRule="auto"/>
        <w:rPr>
          <w:rFonts w:ascii="Arial" w:eastAsia="Calibri" w:hAnsi="Arial" w:cs="Arial"/>
          <w:color w:val="FF0000"/>
          <w:sz w:val="22"/>
          <w:szCs w:val="22"/>
        </w:rPr>
      </w:pPr>
      <w:r w:rsidRPr="003B4E6F">
        <w:rPr>
          <w:rFonts w:ascii="Arial" w:eastAsia="Calibri" w:hAnsi="Arial" w:cs="Arial"/>
          <w:sz w:val="22"/>
          <w:szCs w:val="22"/>
        </w:rPr>
        <w:t xml:space="preserve">Another implication of using a </w:t>
      </w:r>
      <w:proofErr w:type="gramStart"/>
      <w:r w:rsidRPr="003B4E6F">
        <w:rPr>
          <w:rFonts w:ascii="Arial" w:eastAsia="Calibri" w:hAnsi="Arial" w:cs="Arial"/>
          <w:sz w:val="22"/>
          <w:szCs w:val="22"/>
        </w:rPr>
        <w:t>visible success criteria</w:t>
      </w:r>
      <w:proofErr w:type="gramEnd"/>
      <w:r w:rsidRPr="003B4E6F">
        <w:rPr>
          <w:rFonts w:ascii="Arial" w:eastAsia="Calibri" w:hAnsi="Arial" w:cs="Arial"/>
          <w:sz w:val="22"/>
          <w:szCs w:val="22"/>
        </w:rPr>
        <w:t>, as well as scaffolding, is overuse. Gauging the necessary amount needed without “spoon feeding” which can in turn cause loss of creativity, individuality and cause pupils to become lazy (Spalding, 2017). And even considered a crutch that actually inhibits students from learning (</w:t>
      </w:r>
      <w:proofErr w:type="spellStart"/>
      <w:r w:rsidRPr="003B4E6F">
        <w:rPr>
          <w:rFonts w:ascii="Arial" w:eastAsia="Calibri" w:hAnsi="Arial" w:cs="Arial"/>
          <w:sz w:val="22"/>
          <w:szCs w:val="22"/>
        </w:rPr>
        <w:t>Haston</w:t>
      </w:r>
      <w:proofErr w:type="spellEnd"/>
      <w:r w:rsidRPr="003B4E6F">
        <w:rPr>
          <w:rFonts w:ascii="Arial" w:eastAsia="Calibri" w:hAnsi="Arial" w:cs="Arial"/>
          <w:sz w:val="22"/>
          <w:szCs w:val="22"/>
        </w:rPr>
        <w:t>, 2007).</w:t>
      </w:r>
    </w:p>
    <w:p w14:paraId="4D33854C" w14:textId="404ADA18" w:rsidR="00182DE5" w:rsidRPr="003B4E6F" w:rsidRDefault="00182DE5" w:rsidP="003B4E6F">
      <w:pPr>
        <w:spacing w:line="360" w:lineRule="auto"/>
        <w:rPr>
          <w:rFonts w:ascii="Arial" w:hAnsi="Arial" w:cs="Arial"/>
          <w:color w:val="000000" w:themeColor="text1"/>
          <w:sz w:val="22"/>
          <w:szCs w:val="22"/>
        </w:rPr>
      </w:pPr>
    </w:p>
    <w:p w14:paraId="4B6D2A80" w14:textId="7D5E1BF9" w:rsidR="19BE62B4" w:rsidRPr="003B4E6F" w:rsidRDefault="15886A78" w:rsidP="003B4E6F">
      <w:pPr>
        <w:spacing w:line="360" w:lineRule="auto"/>
        <w:rPr>
          <w:rFonts w:ascii="Arial" w:hAnsi="Arial" w:cs="Arial"/>
          <w:b/>
          <w:bCs/>
          <w:sz w:val="22"/>
          <w:szCs w:val="22"/>
        </w:rPr>
      </w:pPr>
      <w:r w:rsidRPr="003B4E6F">
        <w:rPr>
          <w:rFonts w:ascii="Arial" w:hAnsi="Arial" w:cs="Arial"/>
          <w:sz w:val="22"/>
          <w:szCs w:val="22"/>
        </w:rPr>
        <w:t>The methodology for our study was influenced by Dudley (2015) research lesson planning, observation and discussion sheet. Like Dudley, we used three students which represented a variety of ability groups (higher, middle and lower skilled pupils) from across the curriculum.</w:t>
      </w:r>
    </w:p>
    <w:p w14:paraId="15B6B982" w14:textId="1F901D79" w:rsidR="19BE62B4" w:rsidRPr="003B4E6F" w:rsidRDefault="19BE62B4" w:rsidP="003B4E6F">
      <w:pPr>
        <w:spacing w:line="360" w:lineRule="auto"/>
        <w:rPr>
          <w:rFonts w:ascii="Arial" w:hAnsi="Arial" w:cs="Arial"/>
          <w:sz w:val="22"/>
          <w:szCs w:val="22"/>
        </w:rPr>
      </w:pPr>
    </w:p>
    <w:p w14:paraId="24CD0E5B" w14:textId="63A3FBB7" w:rsidR="19BE62B4" w:rsidRPr="003B4E6F" w:rsidRDefault="07B9C0A1" w:rsidP="003B4E6F">
      <w:pPr>
        <w:spacing w:line="360" w:lineRule="auto"/>
        <w:rPr>
          <w:rFonts w:ascii="Arial" w:hAnsi="Arial" w:cs="Arial"/>
          <w:sz w:val="22"/>
          <w:szCs w:val="22"/>
        </w:rPr>
      </w:pPr>
      <w:r w:rsidRPr="003B4E6F">
        <w:rPr>
          <w:rFonts w:ascii="Arial" w:hAnsi="Arial" w:cs="Arial"/>
          <w:sz w:val="22"/>
          <w:szCs w:val="22"/>
        </w:rPr>
        <w:t xml:space="preserve">As part of our methodology, my partner and I carefully planned and prepared two, hour-long lessons, with a 5 minute ‘interview’ time allocated for the three </w:t>
      </w:r>
      <w:proofErr w:type="gramStart"/>
      <w:r w:rsidRPr="003B4E6F">
        <w:rPr>
          <w:rFonts w:ascii="Arial" w:hAnsi="Arial" w:cs="Arial"/>
          <w:sz w:val="22"/>
          <w:szCs w:val="22"/>
        </w:rPr>
        <w:t>chosen  research</w:t>
      </w:r>
      <w:proofErr w:type="gramEnd"/>
      <w:r w:rsidRPr="003B4E6F">
        <w:rPr>
          <w:rFonts w:ascii="Arial" w:hAnsi="Arial" w:cs="Arial"/>
          <w:sz w:val="22"/>
          <w:szCs w:val="22"/>
        </w:rPr>
        <w:t xml:space="preserve"> pupils, in which we presented with a suitability tailored questionnaire based on Dudley (2015). My research partner and I decided at the start of the study that a non-participant observation style would best be suited in this situation in order to achieve truer authenticity on each other's lessons. </w:t>
      </w:r>
    </w:p>
    <w:p w14:paraId="0E94124B" w14:textId="565B58DD" w:rsidR="19BE62B4" w:rsidRPr="003B4E6F" w:rsidRDefault="19BE62B4" w:rsidP="003B4E6F">
      <w:pPr>
        <w:spacing w:line="360" w:lineRule="auto"/>
        <w:rPr>
          <w:rFonts w:ascii="Arial" w:hAnsi="Arial" w:cs="Arial"/>
          <w:sz w:val="22"/>
          <w:szCs w:val="22"/>
        </w:rPr>
      </w:pPr>
    </w:p>
    <w:p w14:paraId="6D066A77" w14:textId="16CCB4EB" w:rsidR="19BE62B4" w:rsidRPr="003B4E6F" w:rsidRDefault="07B9C0A1" w:rsidP="003B4E6F">
      <w:pPr>
        <w:spacing w:line="360" w:lineRule="auto"/>
        <w:rPr>
          <w:rFonts w:ascii="Arial" w:hAnsi="Arial" w:cs="Arial"/>
          <w:sz w:val="22"/>
          <w:szCs w:val="22"/>
        </w:rPr>
      </w:pPr>
      <w:r w:rsidRPr="003B4E6F">
        <w:rPr>
          <w:rFonts w:ascii="Arial" w:hAnsi="Arial" w:cs="Arial"/>
          <w:sz w:val="22"/>
          <w:szCs w:val="22"/>
        </w:rPr>
        <w:t>In the first research lesson observation (Lesson 1), we started with little to no visible success criteria or modelling/scaffolding of any kind; this was done to provide a clear comparison of the learning outcomes between a lesson with and without our research aim. We then discussed our findings from the observations made from the lesson using the ‘Reflective Journal’ sheets (</w:t>
      </w:r>
      <w:r w:rsidRPr="003B4E6F">
        <w:rPr>
          <w:rFonts w:ascii="Arial" w:hAnsi="Arial" w:cs="Arial"/>
          <w:i/>
          <w:iCs/>
          <w:sz w:val="22"/>
          <w:szCs w:val="22"/>
        </w:rPr>
        <w:t>Appendices 4w, 4x, 4y and 4z</w:t>
      </w:r>
      <w:r w:rsidRPr="003B4E6F">
        <w:rPr>
          <w:rFonts w:ascii="Arial" w:hAnsi="Arial" w:cs="Arial"/>
          <w:sz w:val="22"/>
          <w:szCs w:val="22"/>
        </w:rPr>
        <w:t>) and the research student’s questionnaire answers. Following the first lesson and discussion of questionnaire results (</w:t>
      </w:r>
      <w:r w:rsidRPr="003B4E6F">
        <w:rPr>
          <w:rFonts w:ascii="Arial" w:hAnsi="Arial" w:cs="Arial"/>
          <w:i/>
          <w:iCs/>
          <w:sz w:val="22"/>
          <w:szCs w:val="22"/>
        </w:rPr>
        <w:t>Appendix 3</w:t>
      </w:r>
      <w:r w:rsidRPr="003B4E6F">
        <w:rPr>
          <w:rFonts w:ascii="Arial" w:hAnsi="Arial" w:cs="Arial"/>
          <w:sz w:val="22"/>
          <w:szCs w:val="22"/>
        </w:rPr>
        <w:t>) and observations (</w:t>
      </w:r>
      <w:r w:rsidRPr="003B4E6F">
        <w:rPr>
          <w:rFonts w:ascii="Arial" w:hAnsi="Arial" w:cs="Arial"/>
          <w:i/>
          <w:iCs/>
          <w:sz w:val="22"/>
          <w:szCs w:val="22"/>
        </w:rPr>
        <w:t>Appendix 4</w:t>
      </w:r>
      <w:r w:rsidRPr="003B4E6F">
        <w:rPr>
          <w:rFonts w:ascii="Arial" w:hAnsi="Arial" w:cs="Arial"/>
          <w:sz w:val="22"/>
          <w:szCs w:val="22"/>
        </w:rPr>
        <w:t xml:space="preserve">), together we discussed the steps necessary to prepare and plan my research lesson (Lesson 2). Naturally for my lesson, I included a </w:t>
      </w:r>
      <w:proofErr w:type="gramStart"/>
      <w:r w:rsidRPr="003B4E6F">
        <w:rPr>
          <w:rFonts w:ascii="Arial" w:hAnsi="Arial" w:cs="Arial"/>
          <w:sz w:val="22"/>
          <w:szCs w:val="22"/>
        </w:rPr>
        <w:t>visible success criteria</w:t>
      </w:r>
      <w:proofErr w:type="gramEnd"/>
      <w:r w:rsidRPr="003B4E6F">
        <w:rPr>
          <w:rFonts w:ascii="Arial" w:hAnsi="Arial" w:cs="Arial"/>
          <w:sz w:val="22"/>
          <w:szCs w:val="22"/>
        </w:rPr>
        <w:t>, a model example piece of work and as much scaffolding as possible, in the form of oral discussion, exemplar student work assessment and the plenary activity – this was planned for as evident in my lesson plan (</w:t>
      </w:r>
      <w:r w:rsidRPr="003B4E6F">
        <w:rPr>
          <w:rFonts w:ascii="Arial" w:hAnsi="Arial" w:cs="Arial"/>
          <w:i/>
          <w:iCs/>
          <w:sz w:val="22"/>
          <w:szCs w:val="22"/>
        </w:rPr>
        <w:t>Appendix 2</w:t>
      </w:r>
      <w:r w:rsidRPr="003B4E6F">
        <w:rPr>
          <w:rFonts w:ascii="Arial" w:hAnsi="Arial" w:cs="Arial"/>
          <w:sz w:val="22"/>
          <w:szCs w:val="22"/>
        </w:rPr>
        <w:t>).  Following the second research lesson, my partner and I again gathered to discuss our findings from lesson observations and subsequent research student’s questionnaire comments.</w:t>
      </w:r>
    </w:p>
    <w:p w14:paraId="31969C80" w14:textId="41884AD6" w:rsidR="19BE62B4" w:rsidRPr="003B4E6F" w:rsidRDefault="19BE62B4" w:rsidP="003B4E6F">
      <w:pPr>
        <w:spacing w:line="360" w:lineRule="auto"/>
        <w:rPr>
          <w:rFonts w:ascii="Arial" w:hAnsi="Arial" w:cs="Arial"/>
          <w:sz w:val="22"/>
          <w:szCs w:val="22"/>
        </w:rPr>
      </w:pPr>
    </w:p>
    <w:p w14:paraId="6A47E721" w14:textId="6B1E634E" w:rsidR="19BE62B4" w:rsidRPr="003B4E6F" w:rsidRDefault="07B9C0A1" w:rsidP="003B4E6F">
      <w:pPr>
        <w:spacing w:line="360" w:lineRule="auto"/>
        <w:rPr>
          <w:rFonts w:ascii="Arial" w:hAnsi="Arial" w:cs="Arial"/>
          <w:sz w:val="22"/>
          <w:szCs w:val="22"/>
        </w:rPr>
      </w:pPr>
      <w:r w:rsidRPr="003B4E6F">
        <w:rPr>
          <w:rFonts w:ascii="Arial" w:hAnsi="Arial" w:cs="Arial"/>
          <w:sz w:val="22"/>
          <w:szCs w:val="22"/>
        </w:rPr>
        <w:t>The questionnaires were introduced to each of the three research pupils individually at the end of the research lesson, with a five-minute window set aside for this opportunity. The participants were also made aware of their anonymity prior to answering the questions. Pupils were encouraged to provide honest answers of how they truly felt about the lesson. We were aware that Donaldson (2015) promotes the importance of a child’s voice being heard in all aspects of education and carefully took this into consideration when composing and conducting the questionnaire.</w:t>
      </w:r>
    </w:p>
    <w:p w14:paraId="04267D2A" w14:textId="2935A3BF" w:rsidR="19BE62B4" w:rsidRPr="003B4E6F" w:rsidRDefault="15886A78" w:rsidP="003B4E6F">
      <w:pPr>
        <w:spacing w:line="360" w:lineRule="auto"/>
        <w:rPr>
          <w:rFonts w:ascii="Arial" w:hAnsi="Arial" w:cs="Arial"/>
          <w:sz w:val="22"/>
          <w:szCs w:val="22"/>
        </w:rPr>
      </w:pPr>
      <w:r w:rsidRPr="003B4E6F">
        <w:rPr>
          <w:rFonts w:ascii="Arial" w:hAnsi="Arial" w:cs="Arial"/>
          <w:sz w:val="22"/>
          <w:szCs w:val="22"/>
        </w:rPr>
        <w:t xml:space="preserve"> </w:t>
      </w:r>
    </w:p>
    <w:p w14:paraId="565325A8" w14:textId="000510D4" w:rsidR="19BE62B4" w:rsidRPr="003B4E6F" w:rsidRDefault="07B9C0A1" w:rsidP="003B4E6F">
      <w:pPr>
        <w:spacing w:line="360" w:lineRule="auto"/>
        <w:rPr>
          <w:rFonts w:ascii="Arial" w:hAnsi="Arial" w:cs="Arial"/>
          <w:sz w:val="22"/>
          <w:szCs w:val="22"/>
        </w:rPr>
      </w:pPr>
      <w:r w:rsidRPr="003B4E6F">
        <w:rPr>
          <w:rFonts w:ascii="Arial" w:hAnsi="Arial" w:cs="Arial"/>
          <w:sz w:val="22"/>
          <w:szCs w:val="22"/>
        </w:rPr>
        <w:t>The questionnaires were conducted as close as possible to the observed lessons to preserve the fidelity of pupils’ thoughts and opinions (Cohen, Manion and Morrison,2018). Additionally, the location of where the questionnaires were conducted was also considered, as these research methods may “...raise anxiety” (Bell, 2011) so they were completed in quiet, familiar areas for the children to feel comfortable. In this instance the questionnaires were conducted in the research observation classroom.</w:t>
      </w:r>
    </w:p>
    <w:p w14:paraId="6A294766" w14:textId="085F54F4" w:rsidR="15886A78" w:rsidRPr="003B4E6F" w:rsidRDefault="15886A78" w:rsidP="003B4E6F">
      <w:pPr>
        <w:spacing w:line="360" w:lineRule="auto"/>
        <w:rPr>
          <w:rFonts w:ascii="Arial" w:hAnsi="Arial" w:cs="Arial"/>
          <w:sz w:val="22"/>
          <w:szCs w:val="22"/>
        </w:rPr>
      </w:pPr>
    </w:p>
    <w:p w14:paraId="141B6047" w14:textId="184B1AD7" w:rsidR="15886A78" w:rsidRPr="003B4E6F" w:rsidRDefault="15886A78" w:rsidP="003B4E6F">
      <w:pPr>
        <w:spacing w:line="360" w:lineRule="auto"/>
        <w:rPr>
          <w:rFonts w:ascii="Arial" w:hAnsi="Arial" w:cs="Arial"/>
          <w:color w:val="FF0000"/>
          <w:sz w:val="22"/>
          <w:szCs w:val="22"/>
        </w:rPr>
      </w:pPr>
      <w:r w:rsidRPr="003B4E6F">
        <w:rPr>
          <w:rFonts w:ascii="Arial" w:hAnsi="Arial" w:cs="Arial"/>
          <w:sz w:val="22"/>
          <w:szCs w:val="22"/>
        </w:rPr>
        <w:t xml:space="preserve">It was evident from the questionnaire answers that the class greatly benefited from the readily available success criteria in lesson 2 opposed to the answers/feedback from lesson 1. </w:t>
      </w:r>
    </w:p>
    <w:p w14:paraId="556B7AC7" w14:textId="41088E44" w:rsidR="15886A78" w:rsidRPr="003B4E6F" w:rsidRDefault="07B9C0A1" w:rsidP="003B4E6F">
      <w:pPr>
        <w:spacing w:line="360" w:lineRule="auto"/>
        <w:rPr>
          <w:rFonts w:ascii="Arial" w:hAnsi="Arial" w:cs="Arial"/>
          <w:sz w:val="22"/>
          <w:szCs w:val="22"/>
        </w:rPr>
      </w:pPr>
      <w:r w:rsidRPr="003B4E6F">
        <w:rPr>
          <w:rFonts w:ascii="Arial" w:hAnsi="Arial" w:cs="Arial"/>
          <w:sz w:val="22"/>
          <w:szCs w:val="22"/>
        </w:rPr>
        <w:t>Looking at the questionnaires in lesson 1, Child A (</w:t>
      </w:r>
      <w:r w:rsidRPr="003B4E6F">
        <w:rPr>
          <w:rFonts w:ascii="Arial" w:hAnsi="Arial" w:cs="Arial"/>
          <w:i/>
          <w:iCs/>
          <w:sz w:val="22"/>
          <w:szCs w:val="22"/>
        </w:rPr>
        <w:t>Appendix 3a</w:t>
      </w:r>
      <w:r w:rsidRPr="003B4E6F">
        <w:rPr>
          <w:rFonts w:ascii="Arial" w:hAnsi="Arial" w:cs="Arial"/>
          <w:sz w:val="22"/>
          <w:szCs w:val="22"/>
        </w:rPr>
        <w:t xml:space="preserve">) stated that it was “sort of” clear what was expected of him/her to do from the beginning of the lesson. Child </w:t>
      </w:r>
      <w:proofErr w:type="spellStart"/>
      <w:r w:rsidRPr="003B4E6F">
        <w:rPr>
          <w:rFonts w:ascii="Arial" w:hAnsi="Arial" w:cs="Arial"/>
          <w:sz w:val="22"/>
          <w:szCs w:val="22"/>
        </w:rPr>
        <w:t>A</w:t>
      </w:r>
      <w:proofErr w:type="spellEnd"/>
      <w:r w:rsidRPr="003B4E6F">
        <w:rPr>
          <w:rFonts w:ascii="Arial" w:hAnsi="Arial" w:cs="Arial"/>
          <w:sz w:val="22"/>
          <w:szCs w:val="22"/>
        </w:rPr>
        <w:t xml:space="preserve"> even went on to state that he/she was even “a bit confused” to what he/she was expected to do in lesson 1. When presented with the question: </w:t>
      </w:r>
      <w:r w:rsidRPr="003B4E6F">
        <w:rPr>
          <w:rFonts w:ascii="Arial" w:hAnsi="Arial" w:cs="Arial"/>
          <w:i/>
          <w:iCs/>
          <w:sz w:val="22"/>
          <w:szCs w:val="22"/>
        </w:rPr>
        <w:t xml:space="preserve">If you were the teacher, what would you have </w:t>
      </w:r>
      <w:r w:rsidRPr="003B4E6F">
        <w:rPr>
          <w:rFonts w:ascii="Arial" w:hAnsi="Arial" w:cs="Arial"/>
          <w:i/>
          <w:iCs/>
          <w:sz w:val="22"/>
          <w:szCs w:val="22"/>
        </w:rPr>
        <w:lastRenderedPageBreak/>
        <w:t>done differently?</w:t>
      </w:r>
      <w:r w:rsidRPr="003B4E6F">
        <w:rPr>
          <w:rFonts w:ascii="Arial" w:hAnsi="Arial" w:cs="Arial"/>
          <w:sz w:val="22"/>
          <w:szCs w:val="22"/>
        </w:rPr>
        <w:t xml:space="preserve"> Child A responded with “An example”. Child A was not alone in this thinking, Child C also gave the answer “Help with what we should be doing... like an example” (</w:t>
      </w:r>
      <w:r w:rsidRPr="003B4E6F">
        <w:rPr>
          <w:rFonts w:ascii="Arial" w:hAnsi="Arial" w:cs="Arial"/>
          <w:i/>
          <w:iCs/>
          <w:sz w:val="22"/>
          <w:szCs w:val="22"/>
        </w:rPr>
        <w:t>Appendix 3e</w:t>
      </w:r>
      <w:r w:rsidRPr="003B4E6F">
        <w:rPr>
          <w:rFonts w:ascii="Arial" w:hAnsi="Arial" w:cs="Arial"/>
          <w:sz w:val="22"/>
          <w:szCs w:val="22"/>
        </w:rPr>
        <w:t>) when asked the same question.</w:t>
      </w:r>
    </w:p>
    <w:p w14:paraId="14E388C5" w14:textId="3DDA1F48" w:rsidR="15886A78" w:rsidRPr="003B4E6F" w:rsidRDefault="07B9C0A1" w:rsidP="003B4E6F">
      <w:pPr>
        <w:spacing w:line="360" w:lineRule="auto"/>
        <w:rPr>
          <w:rFonts w:ascii="Arial" w:hAnsi="Arial" w:cs="Arial"/>
          <w:sz w:val="22"/>
          <w:szCs w:val="22"/>
        </w:rPr>
      </w:pPr>
      <w:r w:rsidRPr="003B4E6F">
        <w:rPr>
          <w:rFonts w:ascii="Arial" w:hAnsi="Arial" w:cs="Arial"/>
          <w:sz w:val="22"/>
          <w:szCs w:val="22"/>
        </w:rPr>
        <w:t xml:space="preserve">Child B did not have any suggestions for lesson improvement when asked to provide his/her own feedback. But when asked: </w:t>
      </w:r>
      <w:r w:rsidRPr="003B4E6F">
        <w:rPr>
          <w:rFonts w:ascii="Arial" w:hAnsi="Arial" w:cs="Arial"/>
          <w:i/>
          <w:iCs/>
          <w:sz w:val="22"/>
          <w:szCs w:val="22"/>
        </w:rPr>
        <w:t>Did any of today’s tasks interest you?</w:t>
      </w:r>
      <w:r w:rsidRPr="003B4E6F">
        <w:rPr>
          <w:rFonts w:ascii="Arial" w:hAnsi="Arial" w:cs="Arial"/>
          <w:sz w:val="22"/>
          <w:szCs w:val="22"/>
        </w:rPr>
        <w:t xml:space="preserve"> Child B replied: “A little” (</w:t>
      </w:r>
      <w:r w:rsidRPr="003B4E6F">
        <w:rPr>
          <w:rFonts w:ascii="Arial" w:hAnsi="Arial" w:cs="Arial"/>
          <w:i/>
          <w:iCs/>
          <w:sz w:val="22"/>
          <w:szCs w:val="22"/>
        </w:rPr>
        <w:t>Appendix 3c</w:t>
      </w:r>
      <w:r w:rsidRPr="003B4E6F">
        <w:rPr>
          <w:rFonts w:ascii="Arial" w:hAnsi="Arial" w:cs="Arial"/>
          <w:sz w:val="22"/>
          <w:szCs w:val="22"/>
        </w:rPr>
        <w:t xml:space="preserve">), this suggests that Child B may not have had the same engagement with the subject itself as Children A and C </w:t>
      </w:r>
      <w:proofErr w:type="gramStart"/>
      <w:r w:rsidRPr="003B4E6F">
        <w:rPr>
          <w:rFonts w:ascii="Arial" w:hAnsi="Arial" w:cs="Arial"/>
          <w:sz w:val="22"/>
          <w:szCs w:val="22"/>
        </w:rPr>
        <w:t>had, or</w:t>
      </w:r>
      <w:proofErr w:type="gramEnd"/>
      <w:r w:rsidRPr="003B4E6F">
        <w:rPr>
          <w:rFonts w:ascii="Arial" w:hAnsi="Arial" w:cs="Arial"/>
          <w:sz w:val="22"/>
          <w:szCs w:val="22"/>
        </w:rPr>
        <w:t xml:space="preserve"> may not have been as confident in offering views and opinions about the lesson.</w:t>
      </w:r>
    </w:p>
    <w:p w14:paraId="2FF80483" w14:textId="6CDC9244" w:rsidR="15886A78" w:rsidRPr="003B4E6F" w:rsidRDefault="15886A78" w:rsidP="003B4E6F">
      <w:pPr>
        <w:spacing w:line="360" w:lineRule="auto"/>
        <w:ind w:left="360"/>
        <w:rPr>
          <w:rFonts w:ascii="Arial" w:hAnsi="Arial" w:cs="Arial"/>
          <w:sz w:val="22"/>
          <w:szCs w:val="22"/>
        </w:rPr>
      </w:pPr>
    </w:p>
    <w:p w14:paraId="6DB0A6E1" w14:textId="4D62F813" w:rsidR="15886A78" w:rsidRPr="003B4E6F" w:rsidRDefault="15886A78" w:rsidP="003B4E6F">
      <w:pPr>
        <w:spacing w:line="360" w:lineRule="auto"/>
        <w:rPr>
          <w:rFonts w:ascii="Arial" w:hAnsi="Arial" w:cs="Arial"/>
          <w:sz w:val="22"/>
          <w:szCs w:val="22"/>
        </w:rPr>
      </w:pPr>
      <w:r w:rsidRPr="003B4E6F">
        <w:rPr>
          <w:rFonts w:ascii="Arial" w:hAnsi="Arial" w:cs="Arial"/>
          <w:sz w:val="22"/>
          <w:szCs w:val="22"/>
        </w:rPr>
        <w:t xml:space="preserve">When reviewing the answers/feedback from research lesson 2, we see the suggestion of a far higher level of independence, confidence and engagement from pupil’s attitudes towards their work. All three research students agreed there was nothing else they thought could have been implemented in the lesson that would have helped them concentrate. Similarly, all three research students provided enthusiastic feedback when presented with the question: </w:t>
      </w:r>
      <w:r w:rsidRPr="003B4E6F">
        <w:rPr>
          <w:rFonts w:ascii="Arial" w:hAnsi="Arial" w:cs="Arial"/>
          <w:i/>
          <w:iCs/>
          <w:sz w:val="22"/>
          <w:szCs w:val="22"/>
        </w:rPr>
        <w:t>Was it clear from the beginning of the lesson what you were expected to do?</w:t>
      </w:r>
      <w:r w:rsidRPr="003B4E6F">
        <w:rPr>
          <w:rFonts w:ascii="Arial" w:hAnsi="Arial" w:cs="Arial"/>
          <w:sz w:val="22"/>
          <w:szCs w:val="22"/>
        </w:rPr>
        <w:t xml:space="preserve"> Child A responded with “Yes, explained very well, very easy to understand.” (</w:t>
      </w:r>
      <w:r w:rsidRPr="003B4E6F">
        <w:rPr>
          <w:rFonts w:ascii="Arial" w:hAnsi="Arial" w:cs="Arial"/>
          <w:i/>
          <w:iCs/>
          <w:sz w:val="22"/>
          <w:szCs w:val="22"/>
        </w:rPr>
        <w:t>Appendix 3b</w:t>
      </w:r>
      <w:r w:rsidRPr="003B4E6F">
        <w:rPr>
          <w:rFonts w:ascii="Arial" w:hAnsi="Arial" w:cs="Arial"/>
          <w:sz w:val="22"/>
          <w:szCs w:val="22"/>
        </w:rPr>
        <w:t>).  This was then agreed by Child B and C, who concluded “Yes, explained well, visual examples and demonstration.” and “Yes, explained a lot by the teacher.” (</w:t>
      </w:r>
      <w:r w:rsidRPr="003B4E6F">
        <w:rPr>
          <w:rFonts w:ascii="Arial" w:hAnsi="Arial" w:cs="Arial"/>
          <w:i/>
          <w:iCs/>
          <w:sz w:val="22"/>
          <w:szCs w:val="22"/>
        </w:rPr>
        <w:t>Appendices 3d and 3f</w:t>
      </w:r>
      <w:r w:rsidRPr="003B4E6F">
        <w:rPr>
          <w:rFonts w:ascii="Arial" w:hAnsi="Arial" w:cs="Arial"/>
          <w:sz w:val="22"/>
          <w:szCs w:val="22"/>
        </w:rPr>
        <w:t>).</w:t>
      </w:r>
    </w:p>
    <w:p w14:paraId="0631B7FB" w14:textId="1AD175B2" w:rsidR="15886A78" w:rsidRPr="003B4E6F" w:rsidRDefault="15886A78" w:rsidP="003B4E6F">
      <w:pPr>
        <w:spacing w:line="360" w:lineRule="auto"/>
        <w:rPr>
          <w:rFonts w:ascii="Arial" w:hAnsi="Arial" w:cs="Arial"/>
          <w:sz w:val="22"/>
          <w:szCs w:val="22"/>
        </w:rPr>
      </w:pPr>
    </w:p>
    <w:p w14:paraId="4FFE8443" w14:textId="74074274" w:rsidR="19BE62B4" w:rsidRPr="003B4E6F" w:rsidRDefault="07B9C0A1" w:rsidP="003B4E6F">
      <w:pPr>
        <w:spacing w:line="360" w:lineRule="auto"/>
        <w:rPr>
          <w:rFonts w:ascii="Arial" w:hAnsi="Arial" w:cs="Arial"/>
          <w:sz w:val="22"/>
          <w:szCs w:val="22"/>
        </w:rPr>
      </w:pPr>
      <w:r w:rsidRPr="003B4E6F">
        <w:rPr>
          <w:rFonts w:ascii="Arial" w:hAnsi="Arial" w:cs="Arial"/>
          <w:color w:val="000000" w:themeColor="text1"/>
          <w:sz w:val="22"/>
          <w:szCs w:val="22"/>
        </w:rPr>
        <w:t>The evidence from the questionnaire analysis from lesson 1 suggests</w:t>
      </w:r>
      <w:r w:rsidRPr="003B4E6F">
        <w:rPr>
          <w:rFonts w:ascii="Arial" w:hAnsi="Arial" w:cs="Arial"/>
          <w:color w:val="FF0000"/>
          <w:sz w:val="22"/>
          <w:szCs w:val="22"/>
        </w:rPr>
        <w:t xml:space="preserve"> </w:t>
      </w:r>
      <w:r w:rsidRPr="003B4E6F">
        <w:rPr>
          <w:rFonts w:ascii="Arial" w:hAnsi="Arial" w:cs="Arial"/>
          <w:sz w:val="22"/>
          <w:szCs w:val="22"/>
        </w:rPr>
        <w:t>that a lack of visible success criteria in the classroom can cause confusion, as we can clearly see stated from the feedback/answer of Child A (</w:t>
      </w:r>
      <w:r w:rsidRPr="003B4E6F">
        <w:rPr>
          <w:rFonts w:ascii="Arial" w:hAnsi="Arial" w:cs="Arial"/>
          <w:i/>
          <w:iCs/>
          <w:sz w:val="22"/>
          <w:szCs w:val="22"/>
        </w:rPr>
        <w:t>Appendix 3a</w:t>
      </w:r>
      <w:r w:rsidRPr="003B4E6F">
        <w:rPr>
          <w:rFonts w:ascii="Arial" w:hAnsi="Arial" w:cs="Arial"/>
          <w:sz w:val="22"/>
          <w:szCs w:val="22"/>
        </w:rPr>
        <w:t>). Not only can a lack of visible success criteria cause confusion but it also causes an increased lack of engagement. This is evident from the replies of Child A (A</w:t>
      </w:r>
      <w:r w:rsidRPr="003B4E6F">
        <w:rPr>
          <w:rFonts w:ascii="Arial" w:hAnsi="Arial" w:cs="Arial"/>
          <w:i/>
          <w:iCs/>
          <w:sz w:val="22"/>
          <w:szCs w:val="22"/>
        </w:rPr>
        <w:t>ppendix 3a</w:t>
      </w:r>
      <w:r w:rsidRPr="003B4E6F">
        <w:rPr>
          <w:rFonts w:ascii="Arial" w:hAnsi="Arial" w:cs="Arial"/>
          <w:sz w:val="22"/>
          <w:szCs w:val="22"/>
        </w:rPr>
        <w:t>) and Child B (</w:t>
      </w:r>
      <w:r w:rsidRPr="003B4E6F">
        <w:rPr>
          <w:rFonts w:ascii="Arial" w:hAnsi="Arial" w:cs="Arial"/>
          <w:i/>
          <w:iCs/>
          <w:sz w:val="22"/>
          <w:szCs w:val="22"/>
        </w:rPr>
        <w:t>Appendix 3c</w:t>
      </w:r>
      <w:r w:rsidRPr="003B4E6F">
        <w:rPr>
          <w:rFonts w:ascii="Arial" w:hAnsi="Arial" w:cs="Arial"/>
          <w:sz w:val="22"/>
          <w:szCs w:val="22"/>
        </w:rPr>
        <w:t>) who showed little to no engagement when asked if any of the tasks in today’s lesson interested them at all.</w:t>
      </w:r>
    </w:p>
    <w:p w14:paraId="7B48625C" w14:textId="410D856F" w:rsidR="19BE62B4" w:rsidRPr="003B4E6F" w:rsidRDefault="07B9C0A1" w:rsidP="003B4E6F">
      <w:pPr>
        <w:spacing w:line="360" w:lineRule="auto"/>
        <w:rPr>
          <w:rFonts w:ascii="Arial" w:hAnsi="Arial" w:cs="Arial"/>
          <w:sz w:val="22"/>
          <w:szCs w:val="22"/>
        </w:rPr>
      </w:pPr>
      <w:r w:rsidRPr="003B4E6F">
        <w:rPr>
          <w:rFonts w:ascii="Arial" w:hAnsi="Arial" w:cs="Arial"/>
          <w:sz w:val="22"/>
          <w:szCs w:val="22"/>
        </w:rPr>
        <w:t>The evidence from the questionnaire analysis from lesson 2 clearly conveys a much more enthusiastic and successful lesson in terms of productivity and engagement, as implied by Frey, et al (2018). All three of the research students achieved the lesson objective and adhered to the success criteria and did so without any complications. Not only did every pupil understand what was expected of them that lesson, but they also enjoyed the lesson. Feedback from the pupils such as:” ...constantly something to do and it was fun”, “Good, really enjoyed”, was something we did not get feedback wise from lesson 1.</w:t>
      </w:r>
    </w:p>
    <w:p w14:paraId="6C27CF25" w14:textId="04E30018" w:rsidR="19BE62B4" w:rsidRPr="003B4E6F" w:rsidRDefault="19BE62B4" w:rsidP="003B4E6F">
      <w:pPr>
        <w:spacing w:line="360" w:lineRule="auto"/>
        <w:rPr>
          <w:rFonts w:ascii="Arial" w:hAnsi="Arial" w:cs="Arial"/>
          <w:sz w:val="22"/>
          <w:szCs w:val="22"/>
        </w:rPr>
      </w:pPr>
    </w:p>
    <w:p w14:paraId="6F548FCF" w14:textId="77FA3BBE" w:rsidR="19BE62B4" w:rsidRPr="003B4E6F" w:rsidRDefault="07B9C0A1" w:rsidP="003B4E6F">
      <w:pPr>
        <w:spacing w:line="360" w:lineRule="auto"/>
        <w:rPr>
          <w:rFonts w:ascii="Arial" w:hAnsi="Arial" w:cs="Arial"/>
          <w:sz w:val="22"/>
          <w:szCs w:val="22"/>
        </w:rPr>
      </w:pPr>
      <w:r w:rsidRPr="003B4E6F">
        <w:rPr>
          <w:rFonts w:ascii="Arial" w:hAnsi="Arial" w:cs="Arial"/>
          <w:sz w:val="22"/>
          <w:szCs w:val="22"/>
        </w:rPr>
        <w:t>Upon reflection of research lesson 2 (</w:t>
      </w:r>
      <w:r w:rsidRPr="003B4E6F">
        <w:rPr>
          <w:rFonts w:ascii="Arial" w:hAnsi="Arial" w:cs="Arial"/>
          <w:i/>
          <w:iCs/>
          <w:sz w:val="22"/>
          <w:szCs w:val="22"/>
        </w:rPr>
        <w:t>Appendix 4b</w:t>
      </w:r>
      <w:r w:rsidRPr="003B4E6F">
        <w:rPr>
          <w:rFonts w:ascii="Arial" w:hAnsi="Arial" w:cs="Arial"/>
          <w:sz w:val="22"/>
          <w:szCs w:val="22"/>
        </w:rPr>
        <w:t xml:space="preserve">), my partner and I agreed that we successfully adhered to previous notes made on lesson 1, detailing ways in which lesson 2 could be improved e.g. with the aid of a visible success criteria, exemplar model student </w:t>
      </w:r>
      <w:r w:rsidRPr="003B4E6F">
        <w:rPr>
          <w:rFonts w:ascii="Arial" w:hAnsi="Arial" w:cs="Arial"/>
          <w:sz w:val="22"/>
          <w:szCs w:val="22"/>
        </w:rPr>
        <w:lastRenderedPageBreak/>
        <w:t>work, handouts and teacher lead demonstration. Looking back at the lesson, we found implementing all these strategies to be highly beneficial in facilitating engagement.</w:t>
      </w:r>
    </w:p>
    <w:p w14:paraId="06106669" w14:textId="279FA44E" w:rsidR="19BE62B4" w:rsidRPr="003B4E6F" w:rsidRDefault="15886A78" w:rsidP="003B4E6F">
      <w:pPr>
        <w:spacing w:line="360" w:lineRule="auto"/>
        <w:rPr>
          <w:rFonts w:ascii="Arial" w:hAnsi="Arial" w:cs="Arial"/>
          <w:sz w:val="22"/>
          <w:szCs w:val="22"/>
        </w:rPr>
      </w:pPr>
      <w:r w:rsidRPr="003B4E6F">
        <w:rPr>
          <w:rFonts w:ascii="Arial" w:hAnsi="Arial" w:cs="Arial"/>
          <w:sz w:val="22"/>
          <w:szCs w:val="22"/>
        </w:rPr>
        <w:t xml:space="preserve">I found implementing these strategies enabled pupils to become more independent and improved overall classroom productivity in stark contrast to what we witnessed in lesson 1. </w:t>
      </w:r>
    </w:p>
    <w:p w14:paraId="3AB255CD" w14:textId="306B8757" w:rsidR="19BE62B4" w:rsidRPr="003B4E6F" w:rsidRDefault="15886A78" w:rsidP="003B4E6F">
      <w:pPr>
        <w:spacing w:line="360" w:lineRule="auto"/>
        <w:rPr>
          <w:rFonts w:ascii="Arial" w:hAnsi="Arial" w:cs="Arial"/>
          <w:sz w:val="22"/>
          <w:szCs w:val="22"/>
        </w:rPr>
      </w:pPr>
      <w:r w:rsidRPr="003B4E6F">
        <w:rPr>
          <w:rFonts w:ascii="Arial" w:hAnsi="Arial" w:cs="Arial"/>
          <w:sz w:val="22"/>
          <w:szCs w:val="22"/>
        </w:rPr>
        <w:t xml:space="preserve">A clear improvement was also seen in the overall class behaviour in terms of “chattiness” and productivity. This was a direct result of all pupils </w:t>
      </w:r>
      <w:r w:rsidRPr="003B4E6F">
        <w:rPr>
          <w:rFonts w:ascii="Arial" w:hAnsi="Arial" w:cs="Arial"/>
          <w:color w:val="000000" w:themeColor="text1"/>
          <w:sz w:val="22"/>
          <w:szCs w:val="22"/>
        </w:rPr>
        <w:t xml:space="preserve">becoming more actively engaged in the lesson and resulting in higher productivity of work, again adhering to Frey, et al (2018) notion of thought. </w:t>
      </w:r>
    </w:p>
    <w:p w14:paraId="7129A047" w14:textId="4A0AA934" w:rsidR="19BE62B4" w:rsidRPr="003B4E6F" w:rsidRDefault="07B9C0A1" w:rsidP="003B4E6F">
      <w:pPr>
        <w:spacing w:line="360" w:lineRule="auto"/>
        <w:rPr>
          <w:rFonts w:ascii="Arial" w:hAnsi="Arial" w:cs="Arial"/>
          <w:sz w:val="22"/>
          <w:szCs w:val="22"/>
        </w:rPr>
      </w:pPr>
      <w:r w:rsidRPr="003B4E6F">
        <w:rPr>
          <w:rFonts w:ascii="Arial" w:hAnsi="Arial" w:cs="Arial"/>
          <w:color w:val="000000" w:themeColor="text1"/>
          <w:sz w:val="22"/>
          <w:szCs w:val="22"/>
        </w:rPr>
        <w:t xml:space="preserve">Improvements were also noted in independence from the pupils in lesson 2, due to the steps to success being in place. Comments of “...some things unclear” suggests Vygotsky’s ZPD being out of reach for the pupil without effective scaffolding. This points towards </w:t>
      </w:r>
      <w:r w:rsidRPr="003B4E6F">
        <w:rPr>
          <w:rFonts w:ascii="Arial" w:hAnsi="Arial" w:cs="Arial"/>
          <w:sz w:val="22"/>
          <w:szCs w:val="22"/>
        </w:rPr>
        <w:t>clear and precise learning objective for pupils to follow results in improved learner independence due to clarity and as a result, improved learner progress.</w:t>
      </w:r>
    </w:p>
    <w:p w14:paraId="7B33EBA8" w14:textId="7242EFC5" w:rsidR="19BE62B4" w:rsidRPr="003B4E6F" w:rsidRDefault="15886A78" w:rsidP="003B4E6F">
      <w:pPr>
        <w:spacing w:line="360" w:lineRule="auto"/>
        <w:rPr>
          <w:rFonts w:ascii="Arial" w:hAnsi="Arial" w:cs="Arial"/>
          <w:sz w:val="22"/>
          <w:szCs w:val="22"/>
        </w:rPr>
      </w:pPr>
      <w:r w:rsidRPr="003B4E6F">
        <w:rPr>
          <w:rFonts w:ascii="Arial" w:hAnsi="Arial" w:cs="Arial"/>
          <w:sz w:val="22"/>
          <w:szCs w:val="22"/>
        </w:rPr>
        <w:t xml:space="preserve">The use of a lesson objective’s success criteria also enabled the learners to understand the purpose of the lesson and how to achieve the objective, demonstrated from the feedback from lesson 2 </w:t>
      </w:r>
      <w:r w:rsidRPr="003B4E6F">
        <w:rPr>
          <w:rFonts w:ascii="Arial" w:hAnsi="Arial" w:cs="Arial"/>
          <w:i/>
          <w:iCs/>
          <w:sz w:val="22"/>
          <w:szCs w:val="22"/>
        </w:rPr>
        <w:t>(Appendices 3b,3d,3f).</w:t>
      </w:r>
      <w:r w:rsidRPr="003B4E6F">
        <w:rPr>
          <w:rFonts w:ascii="Arial" w:hAnsi="Arial" w:cs="Arial"/>
          <w:sz w:val="22"/>
          <w:szCs w:val="22"/>
        </w:rPr>
        <w:t xml:space="preserve"> </w:t>
      </w:r>
    </w:p>
    <w:p w14:paraId="5EE7F166" w14:textId="1FC51967" w:rsidR="19BE62B4" w:rsidRPr="003B4E6F" w:rsidRDefault="19BE62B4" w:rsidP="003B4E6F">
      <w:pPr>
        <w:spacing w:line="360" w:lineRule="auto"/>
        <w:rPr>
          <w:rFonts w:ascii="Arial" w:hAnsi="Arial" w:cs="Arial"/>
          <w:sz w:val="22"/>
          <w:szCs w:val="22"/>
        </w:rPr>
      </w:pPr>
    </w:p>
    <w:p w14:paraId="299B63AE" w14:textId="2278CB49" w:rsidR="19BE62B4" w:rsidRPr="003B4E6F" w:rsidRDefault="07B9C0A1" w:rsidP="003B4E6F">
      <w:pPr>
        <w:spacing w:line="360" w:lineRule="auto"/>
        <w:rPr>
          <w:rFonts w:ascii="Arial" w:hAnsi="Arial" w:cs="Arial"/>
          <w:sz w:val="22"/>
          <w:szCs w:val="22"/>
        </w:rPr>
      </w:pPr>
      <w:r w:rsidRPr="003B4E6F">
        <w:rPr>
          <w:rFonts w:ascii="Arial" w:hAnsi="Arial" w:cs="Arial"/>
          <w:sz w:val="22"/>
          <w:szCs w:val="22"/>
        </w:rPr>
        <w:t>As a practitioner I found my lesson (lesson 2) to be the most successful. I base this on the evidence that my entire class was on task, there were no behaviour issues that needed addressing and, the positive feedback from the three research study pupils. Most importantly, each pupil produced a piece of work which incorporated every requirement on my success criteria (</w:t>
      </w:r>
      <w:r w:rsidRPr="003B4E6F">
        <w:rPr>
          <w:rFonts w:ascii="Arial" w:hAnsi="Arial" w:cs="Arial"/>
          <w:i/>
          <w:iCs/>
          <w:sz w:val="22"/>
          <w:szCs w:val="22"/>
        </w:rPr>
        <w:t>Appendix 1</w:t>
      </w:r>
      <w:r w:rsidRPr="003B4E6F">
        <w:rPr>
          <w:rFonts w:ascii="Arial" w:hAnsi="Arial" w:cs="Arial"/>
          <w:sz w:val="22"/>
          <w:szCs w:val="22"/>
        </w:rPr>
        <w:t>), this in turn validated the use of the visible success criteria.</w:t>
      </w:r>
    </w:p>
    <w:p w14:paraId="43F6E8F2" w14:textId="791BCE78" w:rsidR="19BE62B4" w:rsidRPr="003B4E6F" w:rsidRDefault="07B9C0A1" w:rsidP="003B4E6F">
      <w:pPr>
        <w:spacing w:line="360" w:lineRule="auto"/>
        <w:rPr>
          <w:rFonts w:ascii="Arial" w:hAnsi="Arial" w:cs="Arial"/>
          <w:color w:val="ED7D31" w:themeColor="accent2"/>
          <w:sz w:val="22"/>
          <w:szCs w:val="22"/>
        </w:rPr>
      </w:pPr>
      <w:r w:rsidRPr="003B4E6F">
        <w:rPr>
          <w:rFonts w:ascii="Arial" w:hAnsi="Arial" w:cs="Arial"/>
          <w:sz w:val="22"/>
          <w:szCs w:val="22"/>
        </w:rPr>
        <w:t xml:space="preserve">This is a stark contrast to what was witnessed in lesson 1, which provided no visible success criteria, where pupils were confused, uninterested and displayed poor behaviour to my research partner. Learners did not make the same progress in lesson 1 as the majority of pupils were left unsure what it was expected of them to be doing in that lesson, causing frequent interruptions during the lesson to clarify what they should be doing. In addition, other pupils in lesson 1 displayed signs of bad behaviour out of boredom and/or frustration, which demonstrates a lack of engagement in the lesson – possibly due to a lack of success criteria being provided for the pupils to achieve the lesson objective.  </w:t>
      </w:r>
    </w:p>
    <w:p w14:paraId="00F9041F" w14:textId="6B4F993A" w:rsidR="15886A78" w:rsidRPr="003B4E6F" w:rsidRDefault="15886A78" w:rsidP="003B4E6F">
      <w:pPr>
        <w:spacing w:line="360" w:lineRule="auto"/>
        <w:rPr>
          <w:rFonts w:ascii="Arial" w:hAnsi="Arial" w:cs="Arial"/>
          <w:sz w:val="22"/>
          <w:szCs w:val="22"/>
        </w:rPr>
      </w:pPr>
    </w:p>
    <w:p w14:paraId="0850F770" w14:textId="3A26FE73" w:rsidR="15886A78" w:rsidRPr="003B4E6F" w:rsidRDefault="15886A78" w:rsidP="003B4E6F">
      <w:pPr>
        <w:spacing w:line="360" w:lineRule="auto"/>
        <w:rPr>
          <w:rFonts w:ascii="Arial" w:hAnsi="Arial" w:cs="Arial"/>
          <w:sz w:val="22"/>
          <w:szCs w:val="22"/>
        </w:rPr>
      </w:pPr>
      <w:r w:rsidRPr="003B4E6F">
        <w:rPr>
          <w:rFonts w:ascii="Arial" w:hAnsi="Arial" w:cs="Arial"/>
          <w:sz w:val="22"/>
          <w:szCs w:val="22"/>
        </w:rPr>
        <w:t>A significant limitation of the study is the small sample size used. “</w:t>
      </w:r>
      <w:r w:rsidRPr="003B4E6F">
        <w:rPr>
          <w:rFonts w:ascii="Arial" w:eastAsia="Calibri" w:hAnsi="Arial" w:cs="Arial"/>
          <w:sz w:val="22"/>
          <w:szCs w:val="22"/>
        </w:rPr>
        <w:t>The definition of “small” depends on the main study objective. When simply describing the characteristics of a single group of subjects, for example the prevalence of smoking, the larger the study the more reliable the results. The main results should have 95% confidence intervals (CI), and the width of these depend directly on the sample size: large studies produce narrow intervals and, therefore, more precise results.” (</w:t>
      </w:r>
      <w:proofErr w:type="spellStart"/>
      <w:r w:rsidRPr="003B4E6F">
        <w:rPr>
          <w:rFonts w:ascii="Arial" w:eastAsia="Calibri" w:hAnsi="Arial" w:cs="Arial"/>
          <w:sz w:val="22"/>
          <w:szCs w:val="22"/>
        </w:rPr>
        <w:t>Hackshaw</w:t>
      </w:r>
      <w:proofErr w:type="spellEnd"/>
      <w:r w:rsidRPr="003B4E6F">
        <w:rPr>
          <w:rFonts w:ascii="Arial" w:eastAsia="Calibri" w:hAnsi="Arial" w:cs="Arial"/>
          <w:sz w:val="22"/>
          <w:szCs w:val="22"/>
        </w:rPr>
        <w:t xml:space="preserve"> A., 2008) This research correlates to our </w:t>
      </w:r>
      <w:r w:rsidRPr="003B4E6F">
        <w:rPr>
          <w:rFonts w:ascii="Arial" w:eastAsia="Calibri" w:hAnsi="Arial" w:cs="Arial"/>
          <w:sz w:val="22"/>
          <w:szCs w:val="22"/>
        </w:rPr>
        <w:lastRenderedPageBreak/>
        <w:t xml:space="preserve">study, as the small sample size we used in our study cannot be seen as a reliable form of data. </w:t>
      </w:r>
    </w:p>
    <w:p w14:paraId="65E08166" w14:textId="286D31AA" w:rsidR="19BE62B4" w:rsidRPr="003B4E6F" w:rsidRDefault="07B9C0A1" w:rsidP="003B4E6F">
      <w:pPr>
        <w:spacing w:line="360" w:lineRule="auto"/>
        <w:rPr>
          <w:rFonts w:ascii="Arial" w:hAnsi="Arial" w:cs="Arial"/>
          <w:color w:val="FF0000"/>
          <w:sz w:val="22"/>
          <w:szCs w:val="22"/>
        </w:rPr>
      </w:pPr>
      <w:r w:rsidRPr="003B4E6F">
        <w:rPr>
          <w:rFonts w:ascii="Arial" w:hAnsi="Arial" w:cs="Arial"/>
          <w:sz w:val="22"/>
          <w:szCs w:val="22"/>
        </w:rPr>
        <w:t>Furthermore, Kermis and McTaggart (1982) suggested using multiple research lessons, in addition to Dudley (2015) who proposes using three lessons for a typical lesson study. For our study, we used two separate lessons, of differing subjects, which limits the validity of the answers from the sample pupils. The substantially differing subjects have an added limitation on the sample groupings, as not all pupils</w:t>
      </w:r>
    </w:p>
    <w:p w14:paraId="04658006" w14:textId="7AA3DA53" w:rsidR="19BE62B4" w:rsidRPr="003B4E6F" w:rsidRDefault="07B9C0A1" w:rsidP="003B4E6F">
      <w:pPr>
        <w:spacing w:line="360" w:lineRule="auto"/>
        <w:rPr>
          <w:rFonts w:ascii="Arial" w:hAnsi="Arial" w:cs="Arial"/>
          <w:color w:val="FF0000"/>
          <w:sz w:val="22"/>
          <w:szCs w:val="22"/>
        </w:rPr>
      </w:pPr>
      <w:r w:rsidRPr="003B4E6F">
        <w:rPr>
          <w:rFonts w:ascii="Arial" w:hAnsi="Arial" w:cs="Arial"/>
          <w:sz w:val="22"/>
          <w:szCs w:val="22"/>
        </w:rPr>
        <w:t xml:space="preserve"> can be pigeon-holed into the same ability group for every subject area across the curriculum, as well as potential bias from the participants i.e. enjoyment of subject, compatibility with teacher. </w:t>
      </w:r>
    </w:p>
    <w:p w14:paraId="3A383E3B" w14:textId="156AA1EF" w:rsidR="19BE62B4" w:rsidRPr="003B4E6F" w:rsidRDefault="19BE62B4" w:rsidP="003B4E6F">
      <w:pPr>
        <w:spacing w:line="360" w:lineRule="auto"/>
        <w:ind w:left="360"/>
        <w:rPr>
          <w:rFonts w:ascii="Arial" w:hAnsi="Arial" w:cs="Arial"/>
          <w:sz w:val="22"/>
          <w:szCs w:val="22"/>
        </w:rPr>
      </w:pPr>
    </w:p>
    <w:p w14:paraId="2A18A96E" w14:textId="181405A8" w:rsidR="19BE62B4" w:rsidRPr="003B4E6F" w:rsidRDefault="15886A78" w:rsidP="003B4E6F">
      <w:pPr>
        <w:spacing w:line="360" w:lineRule="auto"/>
        <w:rPr>
          <w:rFonts w:ascii="Arial" w:hAnsi="Arial" w:cs="Arial"/>
          <w:sz w:val="22"/>
          <w:szCs w:val="22"/>
        </w:rPr>
      </w:pPr>
      <w:r w:rsidRPr="003B4E6F">
        <w:rPr>
          <w:rFonts w:ascii="Arial" w:hAnsi="Arial" w:cs="Arial"/>
          <w:sz w:val="22"/>
          <w:szCs w:val="22"/>
        </w:rPr>
        <w:t xml:space="preserve">As the lessons were a part of the study, the argument of ‘natural behaviour’ from the participants and deliverers may also be called into question. </w:t>
      </w:r>
      <w:r w:rsidRPr="003B4E6F">
        <w:rPr>
          <w:rFonts w:ascii="Arial" w:eastAsia="Calibri" w:hAnsi="Arial" w:cs="Arial"/>
          <w:sz w:val="22"/>
          <w:szCs w:val="22"/>
        </w:rPr>
        <w:t xml:space="preserve">Personal qualities of the teacher generally are acknowledged to be key determinants of the outcome of a research lesson. Biases introduced by the teacher during studies can directly affect the validity and reliability of the ultimate findings of the study (Salazar. M, 1990). </w:t>
      </w:r>
    </w:p>
    <w:p w14:paraId="62A2FAE4" w14:textId="4846BE2D" w:rsidR="19BE62B4" w:rsidRPr="003B4E6F" w:rsidRDefault="19BE62B4" w:rsidP="003B4E6F">
      <w:pPr>
        <w:spacing w:line="360" w:lineRule="auto"/>
        <w:ind w:left="360"/>
        <w:rPr>
          <w:rFonts w:ascii="Arial" w:eastAsia="Calibri" w:hAnsi="Arial" w:cs="Arial"/>
          <w:sz w:val="22"/>
          <w:szCs w:val="22"/>
        </w:rPr>
      </w:pPr>
    </w:p>
    <w:p w14:paraId="7581C0F9" w14:textId="66F646A4" w:rsidR="19BE62B4" w:rsidRPr="003B4E6F" w:rsidRDefault="15886A78"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Grigg (2015) notes that the skills of the observer are important during lesson observations. As, in our study there was only one observer, issues such as observer bias and disruption caused by the one observer during the lesson may provide “more of a distraction for the learners.” Ho and Kane (2013) suggest that disruption caused by observers may have an adverse effect on pupils, particularly those with additional learning needs, which may have influenced the validity of our study. </w:t>
      </w:r>
    </w:p>
    <w:p w14:paraId="11DB4CFF" w14:textId="4CA5B823" w:rsidR="15886A78" w:rsidRPr="003B4E6F" w:rsidRDefault="15886A78" w:rsidP="003B4E6F">
      <w:pPr>
        <w:spacing w:line="360" w:lineRule="auto"/>
        <w:ind w:left="360"/>
        <w:rPr>
          <w:rFonts w:ascii="Arial" w:eastAsia="Calibri" w:hAnsi="Arial" w:cs="Arial"/>
          <w:sz w:val="22"/>
          <w:szCs w:val="22"/>
        </w:rPr>
      </w:pPr>
    </w:p>
    <w:p w14:paraId="61B8F1F8" w14:textId="70E595F1" w:rsidR="07B9C0A1"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Another issue that must be addressed is behaviour authenticity. The Hawthorne effect or observer effect is the natural response of the observer modifying their behaviours in response to being observed. This is particularly true when considering the interview/questionnaire part of the study. The pupils may have felt under pressure to not offend myself or my partner with their comments and held back their true feelings regarding the lessons. The same can be applied for pupils being overly enthusiastic/uninterested about the lesson, due to the relationship held with the teacher. In hindsight, the manner in which we interviewed the three chosen research students may have also affected findings. As mentioned previously, a five-minute window was set aside for each child to be interviewed, we did this by calling each individual child to the back of the class to be seated alone with either myself or my partner to answer the questionnaire. This method could have indeed put enormous pressure/stress onto our research students and effected our questionnaire answers. Perhaps this could be reasoning for Child B’s lack of reply during Lesson 1 </w:t>
      </w:r>
      <w:r w:rsidRPr="003B4E6F">
        <w:rPr>
          <w:rFonts w:ascii="Arial" w:eastAsia="Calibri" w:hAnsi="Arial" w:cs="Arial"/>
          <w:sz w:val="22"/>
          <w:szCs w:val="22"/>
        </w:rPr>
        <w:lastRenderedPageBreak/>
        <w:t>(</w:t>
      </w:r>
      <w:r w:rsidRPr="003B4E6F">
        <w:rPr>
          <w:rFonts w:ascii="Arial" w:eastAsia="Calibri" w:hAnsi="Arial" w:cs="Arial"/>
          <w:i/>
          <w:iCs/>
          <w:sz w:val="22"/>
          <w:szCs w:val="22"/>
        </w:rPr>
        <w:t>Appendices 3c and 3d</w:t>
      </w:r>
      <w:r w:rsidRPr="003B4E6F">
        <w:rPr>
          <w:rFonts w:ascii="Arial" w:eastAsia="Calibri" w:hAnsi="Arial" w:cs="Arial"/>
          <w:sz w:val="22"/>
          <w:szCs w:val="22"/>
        </w:rPr>
        <w:t>) as he/she could have been uncomfortable with the way myself and partner conducted the questions. Child B could have been over conscience about his/</w:t>
      </w:r>
      <w:proofErr w:type="gramStart"/>
      <w:r w:rsidRPr="003B4E6F">
        <w:rPr>
          <w:rFonts w:ascii="Arial" w:eastAsia="Calibri" w:hAnsi="Arial" w:cs="Arial"/>
          <w:sz w:val="22"/>
          <w:szCs w:val="22"/>
        </w:rPr>
        <w:t>hers</w:t>
      </w:r>
      <w:proofErr w:type="gramEnd"/>
      <w:r w:rsidRPr="003B4E6F">
        <w:rPr>
          <w:rFonts w:ascii="Arial" w:eastAsia="Calibri" w:hAnsi="Arial" w:cs="Arial"/>
          <w:sz w:val="22"/>
          <w:szCs w:val="22"/>
        </w:rPr>
        <w:t xml:space="preserve"> peers overhearing our conversations, feelings of embarrassment may have been aroused when asked to solely stand up and leave fellow class mates at the table and join myself or my partner at the back of the class. Even the possibility of embarrassment over favouritism may or may not been potentially felt.</w:t>
      </w:r>
    </w:p>
    <w:p w14:paraId="02674ABE" w14:textId="15CCB1CB" w:rsidR="07B9C0A1"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At the time of planning and preparation, neither my partner nor I took this realisation into consideration. This is something I will be taking a keen interest in for my next research study.</w:t>
      </w:r>
    </w:p>
    <w:p w14:paraId="43A83043" w14:textId="3ACB1696" w:rsidR="15886A78" w:rsidRPr="003B4E6F" w:rsidRDefault="15886A78" w:rsidP="003B4E6F">
      <w:pPr>
        <w:spacing w:line="360" w:lineRule="auto"/>
        <w:rPr>
          <w:rFonts w:ascii="Arial" w:eastAsia="Calibri" w:hAnsi="Arial" w:cs="Arial"/>
          <w:sz w:val="22"/>
          <w:szCs w:val="22"/>
        </w:rPr>
      </w:pPr>
    </w:p>
    <w:p w14:paraId="255D367C" w14:textId="4A705568" w:rsidR="15886A78" w:rsidRPr="003B4E6F" w:rsidRDefault="07B9C0A1" w:rsidP="003B4E6F">
      <w:pPr>
        <w:spacing w:line="360" w:lineRule="auto"/>
        <w:rPr>
          <w:rFonts w:ascii="Arial" w:eastAsia="Calibri" w:hAnsi="Arial" w:cs="Arial"/>
          <w:color w:val="ED7D31" w:themeColor="accent2"/>
          <w:sz w:val="22"/>
          <w:szCs w:val="22"/>
        </w:rPr>
      </w:pPr>
      <w:r w:rsidRPr="003B4E6F">
        <w:rPr>
          <w:rFonts w:ascii="Arial" w:eastAsia="Calibri" w:hAnsi="Arial" w:cs="Arial"/>
          <w:sz w:val="22"/>
          <w:szCs w:val="22"/>
        </w:rPr>
        <w:t xml:space="preserve">And lastly, the final limitation on this lesson study would be its duration. This research study was conducted over a period of two lesson on one day. Many factors needed to be taken into consideration in this instance. These two lesson observations took place on a Monday morning, this is relevant to the behaviour/mood/well-being of the students. The factors needed to be considered: Are they well rested from the weekend? Have they had breakfast? Are they able to fully concentrate during the lesson? Could pupils in this class be having an off day, causing them to underperform compared to their usual standard? Is there anyone who is off sick? Would the absence of a particular pupil affect classroom behaviour? </w:t>
      </w:r>
    </w:p>
    <w:p w14:paraId="52740D72" w14:textId="4FBA438E" w:rsidR="07B9C0A1" w:rsidRPr="003B4E6F" w:rsidRDefault="07B9C0A1" w:rsidP="003B4E6F">
      <w:pPr>
        <w:spacing w:line="360" w:lineRule="auto"/>
        <w:rPr>
          <w:rFonts w:ascii="Arial" w:eastAsia="Calibri" w:hAnsi="Arial" w:cs="Arial"/>
          <w:sz w:val="22"/>
          <w:szCs w:val="22"/>
        </w:rPr>
      </w:pPr>
    </w:p>
    <w:p w14:paraId="4232A568" w14:textId="1DA6D796"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In my future research studies, I will aim to look at a wider selection of pupils in order to gather more precise data. In turn, I would like to collate this data into graph/chart format for results to be instantly and clearly visible. To do this, I would collect more quantifiable data, similar to that of the Leuven Scale of Active Engagement in Learning (Lavers. F, 2008) by adopting a 1 to 5 score-based system for the questionnaires, rather than just using qualitative data. </w:t>
      </w:r>
    </w:p>
    <w:p w14:paraId="1960BB3D" w14:textId="1A7EB074"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If I had my chance to do this study again, I would conduct my lesson research within the same academic subject, in my instance Art. In my opinion, it was quite unfair to compare such contrasting subjects and in turn contrasting teaching styles (myself and my partner). This was evident to me when discovering my partner liked her classroom to be silent, no child to put their hand up to ask a question unless she allowed questions to be asked. An environment in which the pupil is expected to understand the topic the first time around without any additional help. Whereas, my teaching style couldn’t have been farther away. I encouraged chatting amongst tables, I allowed pupils to walk around the classroom if necessary (to retrieve art supplies, sharpen pencils etc), I provided live teacher demonstration, where I gathered the entire class around one table to watch me perform the task I expected of them. During this demonstration, I encouraged questions and asked the class questions to ensure understanding. I encouraged hands up questions to be asked and </w:t>
      </w:r>
      <w:r w:rsidRPr="003B4E6F">
        <w:rPr>
          <w:rFonts w:ascii="Arial" w:eastAsia="Calibri" w:hAnsi="Arial" w:cs="Arial"/>
          <w:sz w:val="22"/>
          <w:szCs w:val="22"/>
        </w:rPr>
        <w:lastRenderedPageBreak/>
        <w:t xml:space="preserve">in turn would ask the whole class the same question if I felt it benefitted everyone knowing the answer. In my opinion, overall my teaching style and classroom environment was a far more pleasant experience to be in than my partners. This experience has highlighted the kind of teacher I want to be. To make the study more reliable, we would have to have a teacher delivering the two lessons in a similar style, in order for the results to be considered valid. </w:t>
      </w:r>
    </w:p>
    <w:p w14:paraId="1052D1C2" w14:textId="49519423" w:rsidR="07B9C0A1"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To make the study completely fair the two lessons would have to be in the same academic subject, and on the same topic. Only then could we really see the impact of a no visible success criteria versus a </w:t>
      </w:r>
      <w:proofErr w:type="gramStart"/>
      <w:r w:rsidRPr="003B4E6F">
        <w:rPr>
          <w:rFonts w:ascii="Arial" w:eastAsia="Calibri" w:hAnsi="Arial" w:cs="Arial"/>
          <w:sz w:val="22"/>
          <w:szCs w:val="22"/>
        </w:rPr>
        <w:t>visible success criteria</w:t>
      </w:r>
      <w:proofErr w:type="gramEnd"/>
      <w:r w:rsidRPr="003B4E6F">
        <w:rPr>
          <w:rFonts w:ascii="Arial" w:eastAsia="Calibri" w:hAnsi="Arial" w:cs="Arial"/>
          <w:sz w:val="22"/>
          <w:szCs w:val="22"/>
        </w:rPr>
        <w:t xml:space="preserve"> and be able to compare it accurately.</w:t>
      </w:r>
    </w:p>
    <w:p w14:paraId="57CE22F2" w14:textId="61DD1524" w:rsidR="07B9C0A1" w:rsidRPr="003B4E6F" w:rsidRDefault="07B9C0A1" w:rsidP="003B4E6F">
      <w:pPr>
        <w:spacing w:line="360" w:lineRule="auto"/>
        <w:rPr>
          <w:rFonts w:ascii="Arial" w:eastAsia="Calibri" w:hAnsi="Arial" w:cs="Arial"/>
          <w:sz w:val="22"/>
          <w:szCs w:val="22"/>
        </w:rPr>
      </w:pPr>
    </w:p>
    <w:p w14:paraId="4DCEE5DC" w14:textId="1689B434" w:rsidR="15886A78" w:rsidRPr="003B4E6F" w:rsidRDefault="15886A78" w:rsidP="003B4E6F">
      <w:pPr>
        <w:spacing w:line="360" w:lineRule="auto"/>
        <w:rPr>
          <w:rFonts w:ascii="Arial" w:hAnsi="Arial" w:cs="Arial"/>
          <w:color w:val="FF0000"/>
          <w:sz w:val="22"/>
          <w:szCs w:val="22"/>
        </w:rPr>
      </w:pPr>
      <w:r w:rsidRPr="003B4E6F">
        <w:rPr>
          <w:rFonts w:ascii="Arial" w:eastAsia="Calibri" w:hAnsi="Arial" w:cs="Arial"/>
          <w:sz w:val="22"/>
          <w:szCs w:val="22"/>
        </w:rPr>
        <w:t xml:space="preserve">Additionally, as the study only took place over a 2-lesson period, I feel to have more reliable data, more of a longitudinal study needed to take place. </w:t>
      </w:r>
      <w:r w:rsidRPr="003B4E6F">
        <w:rPr>
          <w:rFonts w:ascii="Arial" w:hAnsi="Arial" w:cs="Arial"/>
          <w:sz w:val="22"/>
          <w:szCs w:val="22"/>
        </w:rPr>
        <w:t xml:space="preserve">Kermis and McTaggart (1982) and Dudley (2015) suggested a multi-lesson approach for a lesson study, so by increasing the amount of lessons and analysing more data, would lead to fairer results. </w:t>
      </w:r>
    </w:p>
    <w:p w14:paraId="74B51990" w14:textId="47350831" w:rsidR="15886A78" w:rsidRPr="003B4E6F" w:rsidRDefault="15886A78" w:rsidP="003B4E6F">
      <w:pPr>
        <w:spacing w:line="360" w:lineRule="auto"/>
        <w:rPr>
          <w:rFonts w:ascii="Arial" w:eastAsia="Calibri" w:hAnsi="Arial" w:cs="Arial"/>
          <w:sz w:val="22"/>
          <w:szCs w:val="22"/>
        </w:rPr>
      </w:pPr>
      <w:r w:rsidRPr="003B4E6F">
        <w:rPr>
          <w:rFonts w:ascii="Arial" w:hAnsi="Arial" w:cs="Arial"/>
          <w:sz w:val="22"/>
          <w:szCs w:val="22"/>
        </w:rPr>
        <w:t xml:space="preserve">Furthermore, </w:t>
      </w:r>
      <w:proofErr w:type="spellStart"/>
      <w:r w:rsidRPr="003B4E6F">
        <w:rPr>
          <w:rFonts w:ascii="Arial" w:hAnsi="Arial" w:cs="Arial"/>
          <w:sz w:val="22"/>
          <w:szCs w:val="22"/>
        </w:rPr>
        <w:t>Hackshaw</w:t>
      </w:r>
      <w:proofErr w:type="spellEnd"/>
      <w:r w:rsidRPr="003B4E6F">
        <w:rPr>
          <w:rFonts w:ascii="Arial" w:hAnsi="Arial" w:cs="Arial"/>
          <w:sz w:val="22"/>
          <w:szCs w:val="22"/>
        </w:rPr>
        <w:t xml:space="preserve"> (2008) mentioned how data becomes more reliable the larger the pool sample: “</w:t>
      </w:r>
      <w:r w:rsidRPr="003B4E6F">
        <w:rPr>
          <w:rFonts w:ascii="Arial" w:eastAsia="Calibri" w:hAnsi="Arial" w:cs="Arial"/>
          <w:sz w:val="22"/>
          <w:szCs w:val="22"/>
        </w:rPr>
        <w:t>large studies produce narrow intervals and, therefore, more precise results” (</w:t>
      </w:r>
      <w:proofErr w:type="spellStart"/>
      <w:r w:rsidRPr="003B4E6F">
        <w:rPr>
          <w:rFonts w:ascii="Arial" w:eastAsia="Calibri" w:hAnsi="Arial" w:cs="Arial"/>
          <w:sz w:val="22"/>
          <w:szCs w:val="22"/>
        </w:rPr>
        <w:t>Hackshaw</w:t>
      </w:r>
      <w:proofErr w:type="spellEnd"/>
      <w:r w:rsidRPr="003B4E6F">
        <w:rPr>
          <w:rFonts w:ascii="Arial" w:eastAsia="Calibri" w:hAnsi="Arial" w:cs="Arial"/>
          <w:sz w:val="22"/>
          <w:szCs w:val="22"/>
        </w:rPr>
        <w:t xml:space="preserve">. A, 2008). With this in mind, if I were to perform this study once again, I would increase the number of pupils questioned, in order to gain more reliable and valid data to analyse. </w:t>
      </w:r>
    </w:p>
    <w:p w14:paraId="7B213F87" w14:textId="743EBA0A"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Lastly, I would carry out my research over a number of days not just one day like in this instance. I would instead choose one weekday for example a Tuesday, choose the timeslot for the lesson to take place and repeat this research lesson every week with the same day and time in place to secure continuity and reliability. This would improve the strength of my research findings and alleviate my previous limitations or assumptions of pupils having an off day or not performing to their best abilities.</w:t>
      </w:r>
    </w:p>
    <w:p w14:paraId="5CE0922F" w14:textId="5732E306" w:rsidR="15886A78" w:rsidRPr="003B4E6F" w:rsidRDefault="07B9C0A1" w:rsidP="003B4E6F">
      <w:pPr>
        <w:spacing w:line="360" w:lineRule="auto"/>
        <w:rPr>
          <w:rFonts w:ascii="Arial" w:eastAsia="Calibri" w:hAnsi="Arial" w:cs="Arial"/>
          <w:color w:val="C00000"/>
          <w:sz w:val="22"/>
          <w:szCs w:val="22"/>
        </w:rPr>
      </w:pPr>
      <w:r w:rsidRPr="003B4E6F">
        <w:rPr>
          <w:rFonts w:ascii="Arial" w:eastAsia="Calibri" w:hAnsi="Arial" w:cs="Arial"/>
          <w:sz w:val="22"/>
          <w:szCs w:val="22"/>
        </w:rPr>
        <w:t xml:space="preserve"> </w:t>
      </w:r>
    </w:p>
    <w:p w14:paraId="5E38D475" w14:textId="77080144"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After careful consideration, I have come to the conclusion that a </w:t>
      </w:r>
      <w:proofErr w:type="gramStart"/>
      <w:r w:rsidRPr="003B4E6F">
        <w:rPr>
          <w:rFonts w:ascii="Arial" w:eastAsia="Calibri" w:hAnsi="Arial" w:cs="Arial"/>
          <w:sz w:val="22"/>
          <w:szCs w:val="22"/>
        </w:rPr>
        <w:t>visible success criteria</w:t>
      </w:r>
      <w:proofErr w:type="gramEnd"/>
      <w:r w:rsidRPr="003B4E6F">
        <w:rPr>
          <w:rFonts w:ascii="Arial" w:eastAsia="Calibri" w:hAnsi="Arial" w:cs="Arial"/>
          <w:sz w:val="22"/>
          <w:szCs w:val="22"/>
        </w:rPr>
        <w:t xml:space="preserve"> is indeed useful in facilitating engagement. However, I also agree with</w:t>
      </w:r>
    </w:p>
    <w:p w14:paraId="247BD15D" w14:textId="1AF23B8F"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 who implies that providing students with a success criteria and nothing else is meaningless, and that further assistance is required on the teacher’s part in showing pupils what they are aiming </w:t>
      </w:r>
      <w:proofErr w:type="gramStart"/>
      <w:r w:rsidRPr="003B4E6F">
        <w:rPr>
          <w:rFonts w:ascii="Arial" w:eastAsia="Calibri" w:hAnsi="Arial" w:cs="Arial"/>
          <w:sz w:val="22"/>
          <w:szCs w:val="22"/>
        </w:rPr>
        <w:t>for.</w:t>
      </w:r>
      <w:proofErr w:type="gramEnd"/>
      <w:r w:rsidRPr="003B4E6F">
        <w:rPr>
          <w:rFonts w:ascii="Arial" w:eastAsia="Calibri" w:hAnsi="Arial" w:cs="Arial"/>
          <w:sz w:val="22"/>
          <w:szCs w:val="22"/>
        </w:rPr>
        <w:t xml:space="preserve"> Luckily, I had the experience of seeing a </w:t>
      </w:r>
      <w:proofErr w:type="gramStart"/>
      <w:r w:rsidRPr="003B4E6F">
        <w:rPr>
          <w:rFonts w:ascii="Arial" w:eastAsia="Calibri" w:hAnsi="Arial" w:cs="Arial"/>
          <w:sz w:val="22"/>
          <w:szCs w:val="22"/>
        </w:rPr>
        <w:t>success criteria</w:t>
      </w:r>
      <w:proofErr w:type="gramEnd"/>
      <w:r w:rsidRPr="003B4E6F">
        <w:rPr>
          <w:rFonts w:ascii="Arial" w:eastAsia="Calibri" w:hAnsi="Arial" w:cs="Arial"/>
          <w:sz w:val="22"/>
          <w:szCs w:val="22"/>
        </w:rPr>
        <w:t xml:space="preserve"> being implemented with additional teacher assistance, designed and planned from our reflection notes, this additional assistance was used in Research Lesson 2, which proved to be highly successful. This result in turn actually answered a much broader question than we initially thought of as research partners. Rather than the initial proposed research question, if given the chance to repeat this research project again I would retitled it: </w:t>
      </w:r>
      <w:r w:rsidRPr="003B4E6F">
        <w:rPr>
          <w:rFonts w:ascii="Arial" w:eastAsia="Calibri" w:hAnsi="Arial" w:cs="Arial"/>
          <w:i/>
          <w:iCs/>
          <w:sz w:val="22"/>
          <w:szCs w:val="22"/>
        </w:rPr>
        <w:t xml:space="preserve">How Effective is a Visual Success </w:t>
      </w:r>
      <w:r w:rsidRPr="003B4E6F">
        <w:rPr>
          <w:rFonts w:ascii="Arial" w:eastAsia="Calibri" w:hAnsi="Arial" w:cs="Arial"/>
          <w:i/>
          <w:iCs/>
          <w:sz w:val="22"/>
          <w:szCs w:val="22"/>
        </w:rPr>
        <w:lastRenderedPageBreak/>
        <w:t>Criteria and Modelling in Facilitating Engagement in the Classroom?</w:t>
      </w:r>
      <w:r w:rsidRPr="003B4E6F">
        <w:rPr>
          <w:rFonts w:ascii="Arial" w:eastAsia="Calibri" w:hAnsi="Arial" w:cs="Arial"/>
          <w:sz w:val="22"/>
          <w:szCs w:val="22"/>
        </w:rPr>
        <w:t xml:space="preserve"> I feel that this newly updated title would better suit the aims I, as a researcher, set out to achieve. </w:t>
      </w:r>
    </w:p>
    <w:p w14:paraId="54531E73" w14:textId="037FC2DA"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Personally speaking, I found the method used for collecting data via questionnaire/schedule format, to be a good start. It enabled me to understand what is needed to undertake a successful lesson study; but has also highlighted key limitations such as sample size (2 lessons) and research duration (2 lessons during the course of one day). I now know that in order to gain a more substantial and accurate result I need to take into consideration varying factors such as the ones noted as limitations. </w:t>
      </w:r>
    </w:p>
    <w:p w14:paraId="54403114" w14:textId="426E300A"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One strength and one aspect I would in fact keep and use again would be the use of a questionnaire when interviewing sample research pupils. This gave a personal insight into the thoughts of the pupils in my class and made me consider their feelings of the lesson, not just my own. Overall, I did find this to be extremely useful as well as validating.</w:t>
      </w:r>
    </w:p>
    <w:p w14:paraId="718D3BF8" w14:textId="6896B3B4"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On the other hand, a personal downfall in this case would be the lack of piloting before carrying out these research methods. Had I the opportunity and the chance to trial out these methods beforehand, I would have realised many of these limitations beforehand and would have altered my approach. </w:t>
      </w:r>
    </w:p>
    <w:p w14:paraId="55CB9E2E" w14:textId="46027863"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Looking forward, I am now in the position where I have trialled out these research methods; of which I will mostly look to expand further on.</w:t>
      </w:r>
    </w:p>
    <w:p w14:paraId="7F781966" w14:textId="7590A5D5" w:rsidR="15886A78" w:rsidRPr="003B4E6F" w:rsidRDefault="07B9C0A1" w:rsidP="003B4E6F">
      <w:pPr>
        <w:spacing w:line="360" w:lineRule="auto"/>
        <w:rPr>
          <w:rFonts w:ascii="Arial" w:eastAsia="Calibri" w:hAnsi="Arial" w:cs="Arial"/>
          <w:sz w:val="22"/>
          <w:szCs w:val="22"/>
        </w:rPr>
      </w:pPr>
      <w:r w:rsidRPr="003B4E6F">
        <w:rPr>
          <w:rFonts w:ascii="Arial" w:eastAsia="Calibri" w:hAnsi="Arial" w:cs="Arial"/>
          <w:sz w:val="22"/>
          <w:szCs w:val="22"/>
        </w:rPr>
        <w:t xml:space="preserve">In my next school placement (PTE2), I will continue to implement the use of a visible success criteria as well as providing sufficient scaffolding that aids in the learner’s ability to remain on task and work independently. Given my researches successes and limitations, it is a strong personal belief that providing a </w:t>
      </w:r>
      <w:proofErr w:type="gramStart"/>
      <w:r w:rsidRPr="003B4E6F">
        <w:rPr>
          <w:rFonts w:ascii="Arial" w:eastAsia="Calibri" w:hAnsi="Arial" w:cs="Arial"/>
          <w:sz w:val="22"/>
          <w:szCs w:val="22"/>
        </w:rPr>
        <w:t>visible success criteria</w:t>
      </w:r>
      <w:proofErr w:type="gramEnd"/>
      <w:r w:rsidRPr="003B4E6F">
        <w:rPr>
          <w:rFonts w:ascii="Arial" w:eastAsia="Calibri" w:hAnsi="Arial" w:cs="Arial"/>
          <w:sz w:val="22"/>
          <w:szCs w:val="22"/>
        </w:rPr>
        <w:t xml:space="preserve"> is key to facilitating engagement, productivity, progression and learner confidence.</w:t>
      </w:r>
    </w:p>
    <w:p w14:paraId="05A2F172" w14:textId="72F59F4C" w:rsidR="15886A78" w:rsidRDefault="15886A78" w:rsidP="15886A78">
      <w:pPr>
        <w:rPr>
          <w:rFonts w:ascii="Calibri" w:eastAsia="Calibri" w:hAnsi="Calibri" w:cs="Calibri"/>
          <w:color w:val="C00000"/>
          <w:sz w:val="36"/>
          <w:szCs w:val="36"/>
        </w:rPr>
      </w:pPr>
    </w:p>
    <w:p w14:paraId="53ED0D43" w14:textId="4822977C" w:rsidR="003B4E6F" w:rsidRDefault="003B4E6F" w:rsidP="15886A78">
      <w:pPr>
        <w:rPr>
          <w:rFonts w:ascii="Calibri" w:eastAsia="Calibri" w:hAnsi="Calibri" w:cs="Calibri"/>
          <w:color w:val="C00000"/>
          <w:sz w:val="36"/>
          <w:szCs w:val="36"/>
        </w:rPr>
      </w:pPr>
    </w:p>
    <w:p w14:paraId="721A4935" w14:textId="75777C4C" w:rsidR="003B4E6F" w:rsidRDefault="003B4E6F" w:rsidP="15886A78">
      <w:pPr>
        <w:rPr>
          <w:rFonts w:ascii="Calibri" w:eastAsia="Calibri" w:hAnsi="Calibri" w:cs="Calibri"/>
          <w:color w:val="C00000"/>
          <w:sz w:val="36"/>
          <w:szCs w:val="36"/>
        </w:rPr>
      </w:pPr>
    </w:p>
    <w:p w14:paraId="03E86E2B" w14:textId="06D71329" w:rsidR="003B4E6F" w:rsidRDefault="003B4E6F" w:rsidP="15886A78">
      <w:pPr>
        <w:rPr>
          <w:rFonts w:ascii="Calibri" w:eastAsia="Calibri" w:hAnsi="Calibri" w:cs="Calibri"/>
          <w:color w:val="C00000"/>
          <w:sz w:val="36"/>
          <w:szCs w:val="36"/>
        </w:rPr>
      </w:pPr>
    </w:p>
    <w:p w14:paraId="0406AD77" w14:textId="0F397019" w:rsidR="003B4E6F" w:rsidRDefault="003B4E6F" w:rsidP="15886A78">
      <w:pPr>
        <w:rPr>
          <w:rFonts w:ascii="Calibri" w:eastAsia="Calibri" w:hAnsi="Calibri" w:cs="Calibri"/>
          <w:color w:val="C00000"/>
          <w:sz w:val="36"/>
          <w:szCs w:val="36"/>
        </w:rPr>
      </w:pPr>
    </w:p>
    <w:p w14:paraId="298E1599" w14:textId="4ADF4FFE" w:rsidR="003B4E6F" w:rsidRDefault="003B4E6F" w:rsidP="15886A78">
      <w:pPr>
        <w:rPr>
          <w:rFonts w:ascii="Calibri" w:eastAsia="Calibri" w:hAnsi="Calibri" w:cs="Calibri"/>
          <w:color w:val="C00000"/>
          <w:sz w:val="36"/>
          <w:szCs w:val="36"/>
        </w:rPr>
      </w:pPr>
    </w:p>
    <w:p w14:paraId="740CB310" w14:textId="263E6D51" w:rsidR="003B4E6F" w:rsidRDefault="003B4E6F" w:rsidP="15886A78">
      <w:pPr>
        <w:rPr>
          <w:rFonts w:ascii="Calibri" w:eastAsia="Calibri" w:hAnsi="Calibri" w:cs="Calibri"/>
          <w:color w:val="C00000"/>
          <w:sz w:val="36"/>
          <w:szCs w:val="36"/>
        </w:rPr>
      </w:pPr>
    </w:p>
    <w:p w14:paraId="43F483AF" w14:textId="166CA073" w:rsidR="003B4E6F" w:rsidRDefault="003B4E6F" w:rsidP="15886A78">
      <w:pPr>
        <w:rPr>
          <w:rFonts w:ascii="Calibri" w:eastAsia="Calibri" w:hAnsi="Calibri" w:cs="Calibri"/>
          <w:color w:val="C00000"/>
          <w:sz w:val="36"/>
          <w:szCs w:val="36"/>
        </w:rPr>
      </w:pPr>
    </w:p>
    <w:p w14:paraId="60542761" w14:textId="177798A5" w:rsidR="003B4E6F" w:rsidRDefault="003B4E6F" w:rsidP="15886A78">
      <w:pPr>
        <w:rPr>
          <w:rFonts w:ascii="Calibri" w:eastAsia="Calibri" w:hAnsi="Calibri" w:cs="Calibri"/>
          <w:color w:val="C00000"/>
          <w:sz w:val="36"/>
          <w:szCs w:val="36"/>
        </w:rPr>
      </w:pPr>
    </w:p>
    <w:p w14:paraId="6227B4B3" w14:textId="77777777" w:rsidR="003B4E6F" w:rsidRPr="008B49A3" w:rsidRDefault="003B4E6F" w:rsidP="008B49A3">
      <w:pPr>
        <w:jc w:val="both"/>
        <w:rPr>
          <w:rFonts w:ascii="Arial" w:eastAsia="Calibri" w:hAnsi="Arial" w:cs="Arial"/>
          <w:color w:val="000000" w:themeColor="text1"/>
          <w:sz w:val="28"/>
          <w:szCs w:val="28"/>
          <w:u w:val="single"/>
        </w:rPr>
      </w:pPr>
    </w:p>
    <w:p w14:paraId="037AB72C" w14:textId="3F0E33EA" w:rsidR="07B9C0A1" w:rsidRPr="008B49A3" w:rsidRDefault="07B9C0A1" w:rsidP="008B49A3">
      <w:pPr>
        <w:jc w:val="both"/>
        <w:rPr>
          <w:rFonts w:ascii="Arial" w:hAnsi="Arial" w:cs="Arial"/>
          <w:b/>
          <w:bCs/>
          <w:color w:val="000000" w:themeColor="text1"/>
          <w:sz w:val="28"/>
          <w:szCs w:val="28"/>
          <w:u w:val="single"/>
        </w:rPr>
      </w:pPr>
      <w:r w:rsidRPr="008B49A3">
        <w:rPr>
          <w:rFonts w:ascii="Arial" w:hAnsi="Arial" w:cs="Arial"/>
          <w:b/>
          <w:bCs/>
          <w:color w:val="000000" w:themeColor="text1"/>
          <w:sz w:val="28"/>
          <w:szCs w:val="28"/>
          <w:u w:val="single"/>
        </w:rPr>
        <w:t>Reference List</w:t>
      </w:r>
    </w:p>
    <w:p w14:paraId="3D837D2C" w14:textId="581849B9" w:rsidR="07B9C0A1" w:rsidRDefault="07B9C0A1" w:rsidP="07B9C0A1">
      <w:pPr>
        <w:rPr>
          <w:rFonts w:ascii="Arial" w:eastAsia="Arial" w:hAnsi="Arial" w:cs="Arial"/>
          <w:sz w:val="22"/>
          <w:szCs w:val="22"/>
        </w:rPr>
      </w:pPr>
    </w:p>
    <w:p w14:paraId="5083CF57" w14:textId="41044548" w:rsidR="07B9C0A1" w:rsidRDefault="07B9C0A1" w:rsidP="07B9C0A1">
      <w:pPr>
        <w:rPr>
          <w:rFonts w:ascii="Arial" w:eastAsia="Arial" w:hAnsi="Arial" w:cs="Arial"/>
          <w:sz w:val="22"/>
          <w:szCs w:val="22"/>
        </w:rPr>
      </w:pPr>
      <w:r w:rsidRPr="07B9C0A1">
        <w:rPr>
          <w:rFonts w:ascii="Arial" w:eastAsia="Arial" w:hAnsi="Arial" w:cs="Arial"/>
          <w:sz w:val="22"/>
          <w:szCs w:val="22"/>
        </w:rPr>
        <w:lastRenderedPageBreak/>
        <w:t xml:space="preserve">Bennett, N., </w:t>
      </w:r>
      <w:proofErr w:type="spellStart"/>
      <w:r w:rsidRPr="07B9C0A1">
        <w:rPr>
          <w:rFonts w:ascii="Arial" w:eastAsia="Arial" w:hAnsi="Arial" w:cs="Arial"/>
          <w:sz w:val="22"/>
          <w:szCs w:val="22"/>
        </w:rPr>
        <w:t>Glatter</w:t>
      </w:r>
      <w:proofErr w:type="spellEnd"/>
      <w:r w:rsidRPr="07B9C0A1">
        <w:rPr>
          <w:rFonts w:ascii="Arial" w:eastAsia="Arial" w:hAnsi="Arial" w:cs="Arial"/>
          <w:sz w:val="22"/>
          <w:szCs w:val="22"/>
        </w:rPr>
        <w:t xml:space="preserve">, R. and </w:t>
      </w:r>
      <w:proofErr w:type="spellStart"/>
      <w:r w:rsidRPr="07B9C0A1">
        <w:rPr>
          <w:rFonts w:ascii="Arial" w:eastAsia="Arial" w:hAnsi="Arial" w:cs="Arial"/>
          <w:sz w:val="22"/>
          <w:szCs w:val="22"/>
        </w:rPr>
        <w:t>Levacic</w:t>
      </w:r>
      <w:proofErr w:type="spellEnd"/>
      <w:r w:rsidRPr="07B9C0A1">
        <w:rPr>
          <w:rFonts w:ascii="Arial" w:eastAsia="Arial" w:hAnsi="Arial" w:cs="Arial"/>
          <w:sz w:val="22"/>
          <w:szCs w:val="22"/>
        </w:rPr>
        <w:t xml:space="preserve">, R. (1994). </w:t>
      </w:r>
      <w:r w:rsidRPr="07B9C0A1">
        <w:rPr>
          <w:rFonts w:ascii="Arial" w:eastAsia="Arial" w:hAnsi="Arial" w:cs="Arial"/>
          <w:i/>
          <w:iCs/>
          <w:sz w:val="22"/>
          <w:szCs w:val="22"/>
        </w:rPr>
        <w:t>Improving educational management through research and consultancy</w:t>
      </w:r>
      <w:r w:rsidRPr="07B9C0A1">
        <w:rPr>
          <w:rFonts w:ascii="Arial" w:eastAsia="Arial" w:hAnsi="Arial" w:cs="Arial"/>
          <w:sz w:val="22"/>
          <w:szCs w:val="22"/>
        </w:rPr>
        <w:t>. Milton Keynes: Open University Press, Cop.</w:t>
      </w:r>
    </w:p>
    <w:p w14:paraId="7FD0CC67" w14:textId="79704350" w:rsidR="07B9C0A1" w:rsidRDefault="07B9C0A1" w:rsidP="07B9C0A1">
      <w:pPr>
        <w:rPr>
          <w:rFonts w:ascii="Arial" w:eastAsia="Arial" w:hAnsi="Arial" w:cs="Arial"/>
          <w:sz w:val="22"/>
          <w:szCs w:val="22"/>
        </w:rPr>
      </w:pPr>
    </w:p>
    <w:p w14:paraId="429B2FD7" w14:textId="0586DA22" w:rsidR="07B9C0A1" w:rsidRDefault="07B9C0A1" w:rsidP="07B9C0A1">
      <w:pPr>
        <w:rPr>
          <w:rFonts w:ascii="Arial" w:eastAsia="Arial" w:hAnsi="Arial" w:cs="Arial"/>
          <w:sz w:val="22"/>
          <w:szCs w:val="22"/>
        </w:rPr>
      </w:pPr>
      <w:r w:rsidRPr="07B9C0A1">
        <w:rPr>
          <w:rFonts w:ascii="Arial" w:eastAsia="Arial" w:hAnsi="Arial" w:cs="Arial"/>
          <w:sz w:val="22"/>
          <w:szCs w:val="22"/>
        </w:rPr>
        <w:t>Mr Andrews Online Ltd. (2017) [online]. [Accessed 18 February 2020]. Available at: https://mrandrewsonline.co.uk/wagoll-what-a-good-one-looks-like/</w:t>
      </w:r>
    </w:p>
    <w:p w14:paraId="0932B8E4" w14:textId="2918F0F4" w:rsidR="07B9C0A1" w:rsidRDefault="07B9C0A1" w:rsidP="07B9C0A1">
      <w:pPr>
        <w:rPr>
          <w:rFonts w:ascii="Arial" w:eastAsia="Arial" w:hAnsi="Arial" w:cs="Arial"/>
          <w:sz w:val="22"/>
          <w:szCs w:val="22"/>
        </w:rPr>
      </w:pPr>
    </w:p>
    <w:p w14:paraId="6687C299" w14:textId="31FF4219"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Fisher, D., Frey, N., </w:t>
      </w:r>
      <w:proofErr w:type="spellStart"/>
      <w:r w:rsidRPr="07B9C0A1">
        <w:rPr>
          <w:rFonts w:ascii="Arial" w:eastAsia="Arial" w:hAnsi="Arial" w:cs="Arial"/>
          <w:sz w:val="22"/>
          <w:szCs w:val="22"/>
        </w:rPr>
        <w:t>Quaglia</w:t>
      </w:r>
      <w:proofErr w:type="spellEnd"/>
      <w:r w:rsidRPr="07B9C0A1">
        <w:rPr>
          <w:rFonts w:ascii="Arial" w:eastAsia="Arial" w:hAnsi="Arial" w:cs="Arial"/>
          <w:sz w:val="22"/>
          <w:szCs w:val="22"/>
        </w:rPr>
        <w:t xml:space="preserve">, R.J., Smith, D. and </w:t>
      </w:r>
      <w:proofErr w:type="spellStart"/>
      <w:r w:rsidRPr="07B9C0A1">
        <w:rPr>
          <w:rFonts w:ascii="Arial" w:eastAsia="Arial" w:hAnsi="Arial" w:cs="Arial"/>
          <w:sz w:val="22"/>
          <w:szCs w:val="22"/>
        </w:rPr>
        <w:t>Lande</w:t>
      </w:r>
      <w:proofErr w:type="spellEnd"/>
      <w:r w:rsidRPr="07B9C0A1">
        <w:rPr>
          <w:rFonts w:ascii="Arial" w:eastAsia="Arial" w:hAnsi="Arial" w:cs="Arial"/>
          <w:sz w:val="22"/>
          <w:szCs w:val="22"/>
        </w:rPr>
        <w:t xml:space="preserve">, L.L. (2018). </w:t>
      </w:r>
      <w:r w:rsidRPr="07B9C0A1">
        <w:rPr>
          <w:rFonts w:ascii="Arial" w:eastAsia="Arial" w:hAnsi="Arial" w:cs="Arial"/>
          <w:i/>
          <w:iCs/>
          <w:sz w:val="22"/>
          <w:szCs w:val="22"/>
        </w:rPr>
        <w:t>Engagement by design: creating learning environments where students thrive</w:t>
      </w:r>
      <w:r w:rsidRPr="07B9C0A1">
        <w:rPr>
          <w:rFonts w:ascii="Arial" w:eastAsia="Arial" w:hAnsi="Arial" w:cs="Arial"/>
          <w:sz w:val="22"/>
          <w:szCs w:val="22"/>
        </w:rPr>
        <w:t>. Thousand Oaks, California: Corwin Literacy.</w:t>
      </w:r>
    </w:p>
    <w:p w14:paraId="39A4EABE" w14:textId="345FD5A1" w:rsidR="07B9C0A1" w:rsidRDefault="07B9C0A1" w:rsidP="07B9C0A1">
      <w:pPr>
        <w:rPr>
          <w:rFonts w:ascii="Arial" w:eastAsia="Arial" w:hAnsi="Arial" w:cs="Arial"/>
          <w:sz w:val="22"/>
          <w:szCs w:val="22"/>
        </w:rPr>
      </w:pPr>
    </w:p>
    <w:p w14:paraId="051023A2" w14:textId="353B1B35" w:rsidR="07B9C0A1" w:rsidRDefault="07B9C0A1" w:rsidP="07B9C0A1">
      <w:pPr>
        <w:rPr>
          <w:rFonts w:ascii="Arial" w:eastAsia="Arial" w:hAnsi="Arial" w:cs="Arial"/>
          <w:i/>
          <w:iCs/>
          <w:sz w:val="22"/>
          <w:szCs w:val="22"/>
        </w:rPr>
      </w:pPr>
      <w:proofErr w:type="spellStart"/>
      <w:r w:rsidRPr="07B9C0A1">
        <w:rPr>
          <w:rFonts w:ascii="Arial" w:eastAsia="Arial" w:hAnsi="Arial" w:cs="Arial"/>
          <w:sz w:val="22"/>
          <w:szCs w:val="22"/>
        </w:rPr>
        <w:t>Hackshaw</w:t>
      </w:r>
      <w:proofErr w:type="spellEnd"/>
      <w:r w:rsidRPr="07B9C0A1">
        <w:rPr>
          <w:rFonts w:ascii="Arial" w:eastAsia="Arial" w:hAnsi="Arial" w:cs="Arial"/>
          <w:sz w:val="22"/>
          <w:szCs w:val="22"/>
        </w:rPr>
        <w:t xml:space="preserve">, A. (2008). </w:t>
      </w:r>
      <w:r w:rsidRPr="07B9C0A1">
        <w:rPr>
          <w:rFonts w:ascii="Arial" w:eastAsia="Arial" w:hAnsi="Arial" w:cs="Arial"/>
          <w:i/>
          <w:iCs/>
          <w:sz w:val="22"/>
          <w:szCs w:val="22"/>
        </w:rPr>
        <w:t>European Respiratory Journal 2008</w:t>
      </w:r>
    </w:p>
    <w:p w14:paraId="3D775A10" w14:textId="10A444CC" w:rsidR="07B9C0A1" w:rsidRDefault="07B9C0A1" w:rsidP="07B9C0A1">
      <w:pPr>
        <w:rPr>
          <w:rFonts w:ascii="Arial" w:eastAsia="Arial" w:hAnsi="Arial" w:cs="Arial"/>
          <w:sz w:val="22"/>
          <w:szCs w:val="22"/>
        </w:rPr>
      </w:pPr>
    </w:p>
    <w:p w14:paraId="7C1D3123" w14:textId="574AD653" w:rsidR="07B9C0A1" w:rsidRDefault="07B9C0A1" w:rsidP="07B9C0A1">
      <w:pPr>
        <w:rPr>
          <w:rFonts w:ascii="Arial" w:eastAsia="Arial" w:hAnsi="Arial" w:cs="Arial"/>
          <w:sz w:val="22"/>
          <w:szCs w:val="22"/>
        </w:rPr>
      </w:pPr>
      <w:proofErr w:type="spellStart"/>
      <w:r w:rsidRPr="07B9C0A1">
        <w:rPr>
          <w:rFonts w:ascii="Arial" w:eastAsia="Arial" w:hAnsi="Arial" w:cs="Arial"/>
          <w:sz w:val="22"/>
          <w:szCs w:val="22"/>
        </w:rPr>
        <w:t>Haston</w:t>
      </w:r>
      <w:proofErr w:type="spellEnd"/>
      <w:r w:rsidRPr="07B9C0A1">
        <w:rPr>
          <w:rFonts w:ascii="Arial" w:eastAsia="Arial" w:hAnsi="Arial" w:cs="Arial"/>
          <w:sz w:val="22"/>
          <w:szCs w:val="22"/>
        </w:rPr>
        <w:t xml:space="preserve">, W. (2007). Teacher Modelling as an Effective Teaching Strategy. </w:t>
      </w:r>
      <w:r w:rsidRPr="07B9C0A1">
        <w:rPr>
          <w:rFonts w:ascii="Arial" w:eastAsia="Arial" w:hAnsi="Arial" w:cs="Arial"/>
          <w:i/>
          <w:iCs/>
          <w:sz w:val="22"/>
          <w:szCs w:val="22"/>
        </w:rPr>
        <w:t>Music Educators Journal</w:t>
      </w:r>
      <w:r w:rsidRPr="07B9C0A1">
        <w:rPr>
          <w:rFonts w:ascii="Arial" w:eastAsia="Arial" w:hAnsi="Arial" w:cs="Arial"/>
          <w:sz w:val="22"/>
          <w:szCs w:val="22"/>
        </w:rPr>
        <w:t>, 93(4), pp.26–30.</w:t>
      </w:r>
    </w:p>
    <w:p w14:paraId="5D98215E" w14:textId="574AD653" w:rsidR="07B9C0A1" w:rsidRDefault="07B9C0A1" w:rsidP="07B9C0A1">
      <w:pPr>
        <w:rPr>
          <w:rFonts w:ascii="Arial" w:eastAsia="Arial" w:hAnsi="Arial" w:cs="Arial"/>
          <w:sz w:val="22"/>
          <w:szCs w:val="22"/>
        </w:rPr>
      </w:pPr>
    </w:p>
    <w:p w14:paraId="7A15F98C" w14:textId="2D1BE827"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Lev </w:t>
      </w:r>
      <w:proofErr w:type="spellStart"/>
      <w:r w:rsidRPr="07B9C0A1">
        <w:rPr>
          <w:rFonts w:ascii="Arial" w:eastAsia="Arial" w:hAnsi="Arial" w:cs="Arial"/>
          <w:sz w:val="22"/>
          <w:szCs w:val="22"/>
        </w:rPr>
        <w:t>Semenovich</w:t>
      </w:r>
      <w:proofErr w:type="spellEnd"/>
      <w:r w:rsidRPr="07B9C0A1">
        <w:rPr>
          <w:rFonts w:ascii="Arial" w:eastAsia="Arial" w:hAnsi="Arial" w:cs="Arial"/>
          <w:sz w:val="22"/>
          <w:szCs w:val="22"/>
        </w:rPr>
        <w:t xml:space="preserve"> </w:t>
      </w:r>
      <w:proofErr w:type="spellStart"/>
      <w:r w:rsidRPr="07B9C0A1">
        <w:rPr>
          <w:rFonts w:ascii="Arial" w:eastAsia="Arial" w:hAnsi="Arial" w:cs="Arial"/>
          <w:sz w:val="22"/>
          <w:szCs w:val="22"/>
        </w:rPr>
        <w:t>Vygotskij</w:t>
      </w:r>
      <w:proofErr w:type="spellEnd"/>
      <w:r w:rsidRPr="07B9C0A1">
        <w:rPr>
          <w:rFonts w:ascii="Arial" w:eastAsia="Arial" w:hAnsi="Arial" w:cs="Arial"/>
          <w:sz w:val="22"/>
          <w:szCs w:val="22"/>
        </w:rPr>
        <w:t xml:space="preserve"> and Cole, M. (1978). </w:t>
      </w:r>
      <w:r w:rsidRPr="07B9C0A1">
        <w:rPr>
          <w:rFonts w:ascii="Arial" w:eastAsia="Arial" w:hAnsi="Arial" w:cs="Arial"/>
          <w:i/>
          <w:iCs/>
          <w:sz w:val="22"/>
          <w:szCs w:val="22"/>
        </w:rPr>
        <w:t xml:space="preserve">Mind in </w:t>
      </w:r>
      <w:proofErr w:type="gramStart"/>
      <w:r w:rsidRPr="07B9C0A1">
        <w:rPr>
          <w:rFonts w:ascii="Arial" w:eastAsia="Arial" w:hAnsi="Arial" w:cs="Arial"/>
          <w:i/>
          <w:iCs/>
          <w:sz w:val="22"/>
          <w:szCs w:val="22"/>
        </w:rPr>
        <w:t>society :</w:t>
      </w:r>
      <w:proofErr w:type="gramEnd"/>
      <w:r w:rsidRPr="07B9C0A1">
        <w:rPr>
          <w:rFonts w:ascii="Arial" w:eastAsia="Arial" w:hAnsi="Arial" w:cs="Arial"/>
          <w:i/>
          <w:iCs/>
          <w:sz w:val="22"/>
          <w:szCs w:val="22"/>
        </w:rPr>
        <w:t xml:space="preserve"> the development of higher psychological processes</w:t>
      </w:r>
      <w:r w:rsidRPr="07B9C0A1">
        <w:rPr>
          <w:rFonts w:ascii="Arial" w:eastAsia="Arial" w:hAnsi="Arial" w:cs="Arial"/>
          <w:sz w:val="22"/>
          <w:szCs w:val="22"/>
        </w:rPr>
        <w:t>. Cambridge, Mass. Harvard Univ. Press.</w:t>
      </w:r>
    </w:p>
    <w:p w14:paraId="1C7E59A0" w14:textId="4FF05400" w:rsidR="07B9C0A1" w:rsidRDefault="07B9C0A1" w:rsidP="07B9C0A1">
      <w:pPr>
        <w:ind w:left="360"/>
        <w:rPr>
          <w:rFonts w:ascii="Arial" w:eastAsia="Arial" w:hAnsi="Arial" w:cs="Arial"/>
          <w:sz w:val="22"/>
          <w:szCs w:val="22"/>
        </w:rPr>
      </w:pPr>
    </w:p>
    <w:p w14:paraId="21614C8C" w14:textId="4B3F171F" w:rsidR="07B9C0A1" w:rsidRDefault="07B9C0A1" w:rsidP="07B9C0A1">
      <w:pPr>
        <w:rPr>
          <w:rFonts w:ascii="Arial" w:eastAsia="Arial" w:hAnsi="Arial" w:cs="Arial"/>
          <w:sz w:val="22"/>
          <w:szCs w:val="22"/>
        </w:rPr>
      </w:pPr>
      <w:proofErr w:type="spellStart"/>
      <w:r w:rsidRPr="07B9C0A1">
        <w:rPr>
          <w:rFonts w:ascii="Arial" w:eastAsia="Arial" w:hAnsi="Arial" w:cs="Arial"/>
          <w:sz w:val="22"/>
          <w:szCs w:val="22"/>
        </w:rPr>
        <w:t>Dauncey</w:t>
      </w:r>
      <w:proofErr w:type="spellEnd"/>
      <w:r w:rsidRPr="07B9C0A1">
        <w:rPr>
          <w:rFonts w:ascii="Arial" w:eastAsia="Arial" w:hAnsi="Arial" w:cs="Arial"/>
          <w:sz w:val="22"/>
          <w:szCs w:val="22"/>
        </w:rPr>
        <w:t xml:space="preserve">, M. (2015). </w:t>
      </w:r>
      <w:r w:rsidRPr="07B9C0A1">
        <w:rPr>
          <w:rFonts w:ascii="Arial" w:eastAsia="Arial" w:hAnsi="Arial" w:cs="Arial"/>
          <w:i/>
          <w:iCs/>
          <w:sz w:val="22"/>
          <w:szCs w:val="22"/>
        </w:rPr>
        <w:t>Donaldson Review: The ‘purposes’ and content of a Curriculum for Wales</w:t>
      </w:r>
      <w:r w:rsidRPr="07B9C0A1">
        <w:rPr>
          <w:rFonts w:ascii="Arial" w:eastAsia="Arial" w:hAnsi="Arial" w:cs="Arial"/>
          <w:sz w:val="22"/>
          <w:szCs w:val="22"/>
        </w:rPr>
        <w:t xml:space="preserve">. [online] IN BRIEF. Available at: </w:t>
      </w:r>
      <w:hyperlink r:id="rId8">
        <w:r w:rsidRPr="07B9C0A1">
          <w:rPr>
            <w:rStyle w:val="Hyperlink"/>
            <w:rFonts w:ascii="Arial" w:eastAsia="Arial" w:hAnsi="Arial" w:cs="Arial"/>
            <w:color w:val="auto"/>
            <w:sz w:val="22"/>
            <w:szCs w:val="22"/>
          </w:rPr>
          <w:t>https://seneddresearch.blog/2015/03/17/donaldson-review-the-purposes-and-content-of-a-curriculum-for-wales/</w:t>
        </w:r>
      </w:hyperlink>
      <w:r w:rsidRPr="07B9C0A1">
        <w:rPr>
          <w:rFonts w:ascii="Arial" w:eastAsia="Arial" w:hAnsi="Arial" w:cs="Arial"/>
          <w:sz w:val="22"/>
          <w:szCs w:val="22"/>
        </w:rPr>
        <w:t>.</w:t>
      </w:r>
    </w:p>
    <w:p w14:paraId="257A9ABD" w14:textId="2D03623B" w:rsidR="07B9C0A1" w:rsidRDefault="07B9C0A1" w:rsidP="07B9C0A1">
      <w:pPr>
        <w:ind w:left="360"/>
        <w:rPr>
          <w:rFonts w:ascii="Arial" w:eastAsia="Arial" w:hAnsi="Arial" w:cs="Arial"/>
          <w:sz w:val="22"/>
          <w:szCs w:val="22"/>
        </w:rPr>
      </w:pPr>
    </w:p>
    <w:p w14:paraId="70C39757" w14:textId="786A8695" w:rsidR="07B9C0A1" w:rsidRDefault="07B9C0A1" w:rsidP="07B9C0A1">
      <w:pPr>
        <w:rPr>
          <w:rFonts w:ascii="Arial" w:eastAsia="Arial" w:hAnsi="Arial" w:cs="Arial"/>
          <w:sz w:val="22"/>
          <w:szCs w:val="22"/>
        </w:rPr>
      </w:pPr>
      <w:proofErr w:type="spellStart"/>
      <w:r w:rsidRPr="07B9C0A1">
        <w:rPr>
          <w:rFonts w:ascii="Arial" w:eastAsia="Arial" w:hAnsi="Arial" w:cs="Arial"/>
          <w:sz w:val="22"/>
          <w:szCs w:val="22"/>
        </w:rPr>
        <w:t>Kemmis</w:t>
      </w:r>
      <w:proofErr w:type="spellEnd"/>
      <w:r w:rsidRPr="07B9C0A1">
        <w:rPr>
          <w:rFonts w:ascii="Arial" w:eastAsia="Arial" w:hAnsi="Arial" w:cs="Arial"/>
          <w:sz w:val="22"/>
          <w:szCs w:val="22"/>
        </w:rPr>
        <w:t>, S., &amp; McTaggart, R. (1982). The Action Research Planner. Victoria: Deakin University Press.</w:t>
      </w:r>
    </w:p>
    <w:p w14:paraId="079A8EA2" w14:textId="1AB959DE" w:rsidR="07B9C0A1" w:rsidRDefault="07B9C0A1" w:rsidP="07B9C0A1">
      <w:pPr>
        <w:ind w:left="360"/>
        <w:rPr>
          <w:rFonts w:ascii="Arial" w:eastAsia="Arial" w:hAnsi="Arial" w:cs="Arial"/>
          <w:sz w:val="22"/>
          <w:szCs w:val="22"/>
        </w:rPr>
      </w:pPr>
    </w:p>
    <w:p w14:paraId="01A5E211" w14:textId="7EDADF82"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Dudley, P. (2015). </w:t>
      </w:r>
      <w:r w:rsidRPr="07B9C0A1">
        <w:rPr>
          <w:rFonts w:ascii="Arial" w:eastAsia="Arial" w:hAnsi="Arial" w:cs="Arial"/>
          <w:i/>
          <w:iCs/>
          <w:sz w:val="22"/>
          <w:szCs w:val="22"/>
        </w:rPr>
        <w:t>Lesson Study: a handbook</w:t>
      </w:r>
      <w:r w:rsidRPr="07B9C0A1">
        <w:rPr>
          <w:rFonts w:ascii="Arial" w:eastAsia="Arial" w:hAnsi="Arial" w:cs="Arial"/>
          <w:sz w:val="22"/>
          <w:szCs w:val="22"/>
        </w:rPr>
        <w:t xml:space="preserve">. [online]. Available at: </w:t>
      </w:r>
      <w:hyperlink r:id="rId9">
        <w:r w:rsidRPr="07B9C0A1">
          <w:rPr>
            <w:rStyle w:val="Hyperlink"/>
            <w:rFonts w:ascii="Arial" w:eastAsia="Arial" w:hAnsi="Arial" w:cs="Arial"/>
            <w:color w:val="auto"/>
            <w:sz w:val="22"/>
            <w:szCs w:val="22"/>
          </w:rPr>
          <w:t>http://lessonstudy.co.uk/wp-content/uploads/2012/03/new-handbook-revisedMay14.pdf</w:t>
        </w:r>
      </w:hyperlink>
      <w:r w:rsidRPr="07B9C0A1">
        <w:rPr>
          <w:rFonts w:ascii="Arial" w:eastAsia="Arial" w:hAnsi="Arial" w:cs="Arial"/>
          <w:sz w:val="22"/>
          <w:szCs w:val="22"/>
        </w:rPr>
        <w:t xml:space="preserve">  </w:t>
      </w:r>
    </w:p>
    <w:p w14:paraId="742ADA14" w14:textId="3D1A833B"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 </w:t>
      </w:r>
    </w:p>
    <w:p w14:paraId="15E8A9CA" w14:textId="5DFCEDDA" w:rsidR="07B9C0A1" w:rsidRDefault="07B9C0A1" w:rsidP="07B9C0A1">
      <w:pPr>
        <w:rPr>
          <w:rFonts w:ascii="Arial" w:eastAsia="Arial" w:hAnsi="Arial" w:cs="Arial"/>
          <w:sz w:val="22"/>
          <w:szCs w:val="22"/>
        </w:rPr>
      </w:pPr>
      <w:proofErr w:type="spellStart"/>
      <w:r w:rsidRPr="07B9C0A1">
        <w:rPr>
          <w:rFonts w:ascii="Arial" w:eastAsia="Arial" w:hAnsi="Arial" w:cs="Arial"/>
          <w:sz w:val="22"/>
          <w:szCs w:val="22"/>
        </w:rPr>
        <w:t>Vygotskij</w:t>
      </w:r>
      <w:proofErr w:type="spellEnd"/>
      <w:r w:rsidRPr="07B9C0A1">
        <w:rPr>
          <w:rFonts w:ascii="Arial" w:eastAsia="Arial" w:hAnsi="Arial" w:cs="Arial"/>
          <w:sz w:val="22"/>
          <w:szCs w:val="22"/>
        </w:rPr>
        <w:t xml:space="preserve">, L.S. (1962). </w:t>
      </w:r>
      <w:r w:rsidRPr="07B9C0A1">
        <w:rPr>
          <w:rFonts w:ascii="Arial" w:eastAsia="Arial" w:hAnsi="Arial" w:cs="Arial"/>
          <w:i/>
          <w:iCs/>
          <w:sz w:val="22"/>
          <w:szCs w:val="22"/>
        </w:rPr>
        <w:t>Thought and language</w:t>
      </w:r>
      <w:r w:rsidRPr="07B9C0A1">
        <w:rPr>
          <w:rFonts w:ascii="Arial" w:eastAsia="Arial" w:hAnsi="Arial" w:cs="Arial"/>
          <w:sz w:val="22"/>
          <w:szCs w:val="22"/>
        </w:rPr>
        <w:t xml:space="preserve">. Cambridge, Mass.: </w:t>
      </w:r>
      <w:proofErr w:type="spellStart"/>
      <w:r w:rsidRPr="07B9C0A1">
        <w:rPr>
          <w:rFonts w:ascii="Arial" w:eastAsia="Arial" w:hAnsi="Arial" w:cs="Arial"/>
          <w:sz w:val="22"/>
          <w:szCs w:val="22"/>
        </w:rPr>
        <w:t>Mit</w:t>
      </w:r>
      <w:proofErr w:type="spellEnd"/>
      <w:r w:rsidRPr="07B9C0A1">
        <w:rPr>
          <w:rFonts w:ascii="Arial" w:eastAsia="Arial" w:hAnsi="Arial" w:cs="Arial"/>
          <w:sz w:val="22"/>
          <w:szCs w:val="22"/>
        </w:rPr>
        <w:t xml:space="preserve"> Press.</w:t>
      </w:r>
    </w:p>
    <w:p w14:paraId="40F1AC49" w14:textId="75D0D2C0" w:rsidR="07B9C0A1" w:rsidRDefault="07B9C0A1" w:rsidP="07B9C0A1">
      <w:pPr>
        <w:rPr>
          <w:rFonts w:ascii="Arial" w:eastAsia="Arial" w:hAnsi="Arial" w:cs="Arial"/>
          <w:sz w:val="22"/>
          <w:szCs w:val="22"/>
        </w:rPr>
      </w:pPr>
    </w:p>
    <w:p w14:paraId="53F16F94" w14:textId="0BFC43E6"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GlowScotland.org (2014) [online]. [Accessed 18 February 2020]. Available at: </w:t>
      </w:r>
      <w:hyperlink r:id="rId10"/>
      <w:r w:rsidRPr="07B9C0A1">
        <w:rPr>
          <w:rFonts w:ascii="Arial" w:eastAsia="Arial" w:hAnsi="Arial" w:cs="Arial"/>
          <w:sz w:val="22"/>
          <w:szCs w:val="22"/>
          <w:u w:val="single"/>
        </w:rPr>
        <w:t>https://blogs.glowscotland.org.uk/er/public/EastRenfrewshireLAR/uploads/sites/5239/2014/02/Clarifying_and_Sharing_LIs__SC.pdf</w:t>
      </w:r>
    </w:p>
    <w:p w14:paraId="3FCDF9E7" w14:textId="5DE6C8B8" w:rsidR="07B9C0A1" w:rsidRDefault="07B9C0A1" w:rsidP="07B9C0A1">
      <w:pPr>
        <w:rPr>
          <w:rFonts w:ascii="Arial" w:eastAsia="Arial" w:hAnsi="Arial" w:cs="Arial"/>
          <w:sz w:val="22"/>
          <w:szCs w:val="22"/>
        </w:rPr>
      </w:pPr>
    </w:p>
    <w:p w14:paraId="1BCF1FD9" w14:textId="1D7582C1"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Lavers, F. (2008). </w:t>
      </w:r>
      <w:r w:rsidRPr="07B9C0A1">
        <w:rPr>
          <w:rFonts w:ascii="Arial" w:eastAsia="Arial" w:hAnsi="Arial" w:cs="Arial"/>
          <w:i/>
          <w:iCs/>
          <w:sz w:val="22"/>
          <w:szCs w:val="22"/>
        </w:rPr>
        <w:t xml:space="preserve">HMIE Good Practice Conference: Dynamic Learning in the Early Years. </w:t>
      </w:r>
      <w:r w:rsidRPr="07B9C0A1">
        <w:rPr>
          <w:rFonts w:ascii="Arial" w:eastAsia="Arial" w:hAnsi="Arial" w:cs="Arial"/>
          <w:sz w:val="22"/>
          <w:szCs w:val="22"/>
        </w:rPr>
        <w:t xml:space="preserve">[online]. Available at: </w:t>
      </w:r>
      <w:hyperlink r:id="rId11">
        <w:r w:rsidRPr="07B9C0A1">
          <w:rPr>
            <w:rStyle w:val="Hyperlink"/>
            <w:rFonts w:ascii="Arial" w:eastAsia="Arial" w:hAnsi="Arial" w:cs="Arial"/>
            <w:color w:val="auto"/>
            <w:sz w:val="22"/>
            <w:szCs w:val="22"/>
          </w:rPr>
          <w:t>https://www.teachertoolkit.co.uk/wp-content/uploads/2016/03/LeuvenScale_tcm4-735285.pdf</w:t>
        </w:r>
      </w:hyperlink>
      <w:r w:rsidRPr="07B9C0A1">
        <w:rPr>
          <w:rFonts w:ascii="Arial" w:eastAsia="Arial" w:hAnsi="Arial" w:cs="Arial"/>
          <w:sz w:val="22"/>
          <w:szCs w:val="22"/>
        </w:rPr>
        <w:t xml:space="preserve"> [Accessed 17 Feb. 2020]</w:t>
      </w:r>
    </w:p>
    <w:p w14:paraId="622954CC" w14:textId="2105837E" w:rsidR="07B9C0A1" w:rsidRDefault="07B9C0A1" w:rsidP="07B9C0A1">
      <w:pPr>
        <w:rPr>
          <w:rFonts w:ascii="Arial" w:eastAsia="Arial" w:hAnsi="Arial" w:cs="Arial"/>
          <w:sz w:val="22"/>
          <w:szCs w:val="22"/>
        </w:rPr>
      </w:pPr>
    </w:p>
    <w:p w14:paraId="40002597" w14:textId="52EB8616"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Spalding, C. (2017). </w:t>
      </w:r>
      <w:r w:rsidRPr="07B9C0A1">
        <w:rPr>
          <w:rFonts w:ascii="Arial" w:eastAsia="Arial" w:hAnsi="Arial" w:cs="Arial"/>
          <w:i/>
          <w:iCs/>
          <w:sz w:val="22"/>
          <w:szCs w:val="22"/>
        </w:rPr>
        <w:t>“Are you modelling good work in English, or are you just spoon-feeding your students?”</w:t>
      </w:r>
      <w:r w:rsidRPr="07B9C0A1">
        <w:rPr>
          <w:rFonts w:ascii="Arial" w:eastAsia="Arial" w:hAnsi="Arial" w:cs="Arial"/>
          <w:sz w:val="22"/>
          <w:szCs w:val="22"/>
        </w:rPr>
        <w:t xml:space="preserve"> [online] </w:t>
      </w:r>
      <w:proofErr w:type="spellStart"/>
      <w:r w:rsidRPr="07B9C0A1">
        <w:rPr>
          <w:rFonts w:ascii="Arial" w:eastAsia="Arial" w:hAnsi="Arial" w:cs="Arial"/>
          <w:sz w:val="22"/>
          <w:szCs w:val="22"/>
        </w:rPr>
        <w:t>Tes</w:t>
      </w:r>
      <w:proofErr w:type="spellEnd"/>
      <w:r w:rsidRPr="07B9C0A1">
        <w:rPr>
          <w:rFonts w:ascii="Arial" w:eastAsia="Arial" w:hAnsi="Arial" w:cs="Arial"/>
          <w:sz w:val="22"/>
          <w:szCs w:val="22"/>
        </w:rPr>
        <w:t>. Available at: https://www.tes.com/news/are-you-modelling-good-work-english-or-are-you-just-spoon-feeding-your-students [Accessed 18 Feb. 2020].</w:t>
      </w:r>
    </w:p>
    <w:p w14:paraId="352E15FA" w14:textId="468654E0" w:rsidR="07B9C0A1" w:rsidRDefault="07B9C0A1" w:rsidP="07B9C0A1">
      <w:pPr>
        <w:rPr>
          <w:rFonts w:ascii="Arial" w:eastAsia="Arial" w:hAnsi="Arial" w:cs="Arial"/>
          <w:sz w:val="22"/>
          <w:szCs w:val="22"/>
        </w:rPr>
      </w:pPr>
    </w:p>
    <w:p w14:paraId="37AC7507" w14:textId="628A5A16" w:rsidR="07B9C0A1" w:rsidRDefault="07B9C0A1" w:rsidP="07B9C0A1">
      <w:pPr>
        <w:rPr>
          <w:rFonts w:ascii="Arial" w:eastAsia="Arial" w:hAnsi="Arial" w:cs="Arial"/>
          <w:sz w:val="22"/>
          <w:szCs w:val="22"/>
        </w:rPr>
      </w:pPr>
      <w:proofErr w:type="spellStart"/>
      <w:r w:rsidRPr="07B9C0A1">
        <w:rPr>
          <w:rFonts w:ascii="Arial" w:eastAsia="Arial" w:hAnsi="Arial" w:cs="Arial"/>
          <w:sz w:val="22"/>
          <w:szCs w:val="22"/>
        </w:rPr>
        <w:t>Haston</w:t>
      </w:r>
      <w:proofErr w:type="spellEnd"/>
      <w:r w:rsidRPr="07B9C0A1">
        <w:rPr>
          <w:rFonts w:ascii="Arial" w:eastAsia="Arial" w:hAnsi="Arial" w:cs="Arial"/>
          <w:sz w:val="22"/>
          <w:szCs w:val="22"/>
        </w:rPr>
        <w:t xml:space="preserve">, W. (2007). Teacher Modelling as an Effective Teaching Strategy. </w:t>
      </w:r>
      <w:r w:rsidRPr="07B9C0A1">
        <w:rPr>
          <w:rFonts w:ascii="Arial" w:eastAsia="Arial" w:hAnsi="Arial" w:cs="Arial"/>
          <w:i/>
          <w:iCs/>
          <w:sz w:val="22"/>
          <w:szCs w:val="22"/>
        </w:rPr>
        <w:t>Music Educators Journal</w:t>
      </w:r>
      <w:r w:rsidRPr="07B9C0A1">
        <w:rPr>
          <w:rFonts w:ascii="Arial" w:eastAsia="Arial" w:hAnsi="Arial" w:cs="Arial"/>
          <w:sz w:val="22"/>
          <w:szCs w:val="22"/>
        </w:rPr>
        <w:t>, 93(4), pp.26–30.</w:t>
      </w:r>
    </w:p>
    <w:p w14:paraId="12ECFC44" w14:textId="1DBAA09E" w:rsidR="07B9C0A1" w:rsidRDefault="07B9C0A1" w:rsidP="07B9C0A1">
      <w:pPr>
        <w:rPr>
          <w:rFonts w:ascii="Arial" w:eastAsia="Arial" w:hAnsi="Arial" w:cs="Arial"/>
          <w:sz w:val="22"/>
          <w:szCs w:val="22"/>
        </w:rPr>
      </w:pPr>
    </w:p>
    <w:p w14:paraId="01CC5C4A" w14:textId="2CE8C888"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Skill (2013). </w:t>
      </w:r>
      <w:r w:rsidRPr="07B9C0A1">
        <w:rPr>
          <w:rFonts w:ascii="Arial" w:eastAsia="Arial" w:hAnsi="Arial" w:cs="Arial"/>
          <w:i/>
          <w:iCs/>
          <w:sz w:val="22"/>
          <w:szCs w:val="22"/>
        </w:rPr>
        <w:t>Definition: Hawthorne Effect</w:t>
      </w:r>
      <w:r w:rsidRPr="07B9C0A1">
        <w:rPr>
          <w:rFonts w:ascii="Arial" w:eastAsia="Arial" w:hAnsi="Arial" w:cs="Arial"/>
          <w:sz w:val="22"/>
          <w:szCs w:val="22"/>
        </w:rPr>
        <w:t xml:space="preserve">. [online] Association for Qualitative Research (AQR). Available at: </w:t>
      </w:r>
      <w:hyperlink r:id="rId12">
        <w:r w:rsidRPr="07B9C0A1">
          <w:rPr>
            <w:rStyle w:val="Hyperlink"/>
            <w:rFonts w:ascii="Arial" w:eastAsia="Arial" w:hAnsi="Arial" w:cs="Arial"/>
            <w:color w:val="auto"/>
            <w:sz w:val="22"/>
            <w:szCs w:val="22"/>
          </w:rPr>
          <w:t>https://www.aqr.org.uk/glossary/hawthorne-effect</w:t>
        </w:r>
      </w:hyperlink>
      <w:r w:rsidRPr="07B9C0A1">
        <w:rPr>
          <w:rFonts w:ascii="Arial" w:eastAsia="Arial" w:hAnsi="Arial" w:cs="Arial"/>
          <w:sz w:val="22"/>
          <w:szCs w:val="22"/>
        </w:rPr>
        <w:t>.</w:t>
      </w:r>
    </w:p>
    <w:p w14:paraId="24164AFA" w14:textId="363624D8" w:rsidR="07B9C0A1" w:rsidRDefault="07B9C0A1" w:rsidP="07B9C0A1">
      <w:pPr>
        <w:rPr>
          <w:rFonts w:ascii="Arial" w:eastAsia="Arial" w:hAnsi="Arial" w:cs="Arial"/>
          <w:sz w:val="22"/>
          <w:szCs w:val="22"/>
        </w:rPr>
      </w:pPr>
    </w:p>
    <w:p w14:paraId="006FDA7D" w14:textId="245444DD"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Cohen, L., Manion, L. and Morrison, K. (2018). </w:t>
      </w:r>
      <w:r w:rsidRPr="07B9C0A1">
        <w:rPr>
          <w:rFonts w:ascii="Arial" w:eastAsia="Arial" w:hAnsi="Arial" w:cs="Arial"/>
          <w:i/>
          <w:iCs/>
          <w:sz w:val="22"/>
          <w:szCs w:val="22"/>
        </w:rPr>
        <w:t>Research methods in education</w:t>
      </w:r>
      <w:r w:rsidRPr="07B9C0A1">
        <w:rPr>
          <w:rFonts w:ascii="Arial" w:eastAsia="Arial" w:hAnsi="Arial" w:cs="Arial"/>
          <w:sz w:val="22"/>
          <w:szCs w:val="22"/>
        </w:rPr>
        <w:t>. New York Routledge.</w:t>
      </w:r>
    </w:p>
    <w:p w14:paraId="7DE23F02" w14:textId="45E7BEDB" w:rsidR="07B9C0A1" w:rsidRDefault="07B9C0A1" w:rsidP="07B9C0A1">
      <w:pPr>
        <w:rPr>
          <w:rFonts w:ascii="Arial" w:eastAsia="Arial" w:hAnsi="Arial" w:cs="Arial"/>
          <w:sz w:val="22"/>
          <w:szCs w:val="22"/>
        </w:rPr>
      </w:pPr>
    </w:p>
    <w:p w14:paraId="1FD4CE90" w14:textId="58DACA8D"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Ho, A.D. and Kane, T.J. (2013). </w:t>
      </w:r>
      <w:r w:rsidRPr="07B9C0A1">
        <w:rPr>
          <w:rFonts w:ascii="Arial" w:eastAsia="Arial" w:hAnsi="Arial" w:cs="Arial"/>
          <w:i/>
          <w:iCs/>
          <w:sz w:val="22"/>
          <w:szCs w:val="22"/>
        </w:rPr>
        <w:t>The Reliability of Classroom Observations by School Personnel. Research Paper. MET Project</w:t>
      </w:r>
      <w:r w:rsidRPr="07B9C0A1">
        <w:rPr>
          <w:rFonts w:ascii="Arial" w:eastAsia="Arial" w:hAnsi="Arial" w:cs="Arial"/>
          <w:sz w:val="22"/>
          <w:szCs w:val="22"/>
        </w:rPr>
        <w:t xml:space="preserve">. [online] </w:t>
      </w:r>
      <w:r w:rsidRPr="07B9C0A1">
        <w:rPr>
          <w:rFonts w:ascii="Arial" w:eastAsia="Arial" w:hAnsi="Arial" w:cs="Arial"/>
          <w:i/>
          <w:iCs/>
          <w:sz w:val="22"/>
          <w:szCs w:val="22"/>
        </w:rPr>
        <w:t>ERIC</w:t>
      </w:r>
      <w:r w:rsidRPr="07B9C0A1">
        <w:rPr>
          <w:rFonts w:ascii="Arial" w:eastAsia="Arial" w:hAnsi="Arial" w:cs="Arial"/>
          <w:sz w:val="22"/>
          <w:szCs w:val="22"/>
        </w:rPr>
        <w:t>. Bill &amp; Melinda Gates Foundation. Available at: https://eric.ed.gov/?id=ED540957 [Accessed 19 Feb. 2020].</w:t>
      </w:r>
    </w:p>
    <w:p w14:paraId="2D866125" w14:textId="6303DA38" w:rsidR="07B9C0A1" w:rsidRDefault="07B9C0A1" w:rsidP="07B9C0A1">
      <w:pPr>
        <w:rPr>
          <w:rFonts w:ascii="Arial" w:eastAsia="Arial" w:hAnsi="Arial" w:cs="Arial"/>
          <w:sz w:val="22"/>
          <w:szCs w:val="22"/>
        </w:rPr>
      </w:pPr>
    </w:p>
    <w:p w14:paraId="160C3D7B" w14:textId="0C620640" w:rsidR="07B9C0A1" w:rsidRDefault="07B9C0A1" w:rsidP="07B9C0A1">
      <w:pPr>
        <w:rPr>
          <w:rFonts w:ascii="Arial" w:eastAsia="Arial" w:hAnsi="Arial" w:cs="Arial"/>
          <w:sz w:val="22"/>
          <w:szCs w:val="22"/>
        </w:rPr>
      </w:pPr>
      <w:r w:rsidRPr="07B9C0A1">
        <w:rPr>
          <w:rFonts w:ascii="Arial" w:eastAsia="Arial" w:hAnsi="Arial" w:cs="Arial"/>
          <w:sz w:val="22"/>
          <w:szCs w:val="22"/>
        </w:rPr>
        <w:lastRenderedPageBreak/>
        <w:t xml:space="preserve">Grigg, R. (2015). </w:t>
      </w:r>
      <w:r w:rsidRPr="07B9C0A1">
        <w:rPr>
          <w:rFonts w:ascii="Arial" w:eastAsia="Arial" w:hAnsi="Arial" w:cs="Arial"/>
          <w:i/>
          <w:iCs/>
          <w:sz w:val="22"/>
          <w:szCs w:val="22"/>
        </w:rPr>
        <w:t>Becoming an outstanding primary school teacher</w:t>
      </w:r>
      <w:r w:rsidRPr="07B9C0A1">
        <w:rPr>
          <w:rFonts w:ascii="Arial" w:eastAsia="Arial" w:hAnsi="Arial" w:cs="Arial"/>
          <w:sz w:val="22"/>
          <w:szCs w:val="22"/>
        </w:rPr>
        <w:t>. Abingdon, Oxon: Routledge.</w:t>
      </w:r>
    </w:p>
    <w:p w14:paraId="05D9288D" w14:textId="5E2325DE" w:rsidR="07B9C0A1" w:rsidRDefault="07B9C0A1" w:rsidP="07B9C0A1">
      <w:pPr>
        <w:rPr>
          <w:rFonts w:ascii="Arial" w:eastAsia="Arial" w:hAnsi="Arial" w:cs="Arial"/>
          <w:sz w:val="22"/>
          <w:szCs w:val="22"/>
        </w:rPr>
      </w:pPr>
    </w:p>
    <w:p w14:paraId="760F64BF" w14:textId="27F559F6"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Salazar, M. K. (1990) ‘Interviewer Bias: How it Affects Survey Research’, </w:t>
      </w:r>
      <w:r w:rsidRPr="07B9C0A1">
        <w:rPr>
          <w:rFonts w:ascii="Arial" w:eastAsia="Arial" w:hAnsi="Arial" w:cs="Arial"/>
          <w:i/>
          <w:iCs/>
          <w:sz w:val="22"/>
          <w:szCs w:val="22"/>
        </w:rPr>
        <w:t>AAOHN Journal</w:t>
      </w:r>
      <w:r w:rsidRPr="07B9C0A1">
        <w:rPr>
          <w:rFonts w:ascii="Arial" w:eastAsia="Arial" w:hAnsi="Arial" w:cs="Arial"/>
          <w:sz w:val="22"/>
          <w:szCs w:val="22"/>
        </w:rPr>
        <w:t xml:space="preserve">, 38(12), pp. 567–572. </w:t>
      </w:r>
      <w:proofErr w:type="spellStart"/>
      <w:r w:rsidRPr="07B9C0A1">
        <w:rPr>
          <w:rFonts w:ascii="Arial" w:eastAsia="Arial" w:hAnsi="Arial" w:cs="Arial"/>
          <w:sz w:val="22"/>
          <w:szCs w:val="22"/>
        </w:rPr>
        <w:t>doi</w:t>
      </w:r>
      <w:proofErr w:type="spellEnd"/>
      <w:r w:rsidRPr="07B9C0A1">
        <w:rPr>
          <w:rFonts w:ascii="Arial" w:eastAsia="Arial" w:hAnsi="Arial" w:cs="Arial"/>
          <w:sz w:val="22"/>
          <w:szCs w:val="22"/>
        </w:rPr>
        <w:t xml:space="preserve">: </w:t>
      </w:r>
      <w:hyperlink r:id="rId13">
        <w:r w:rsidRPr="07B9C0A1">
          <w:rPr>
            <w:rStyle w:val="Hyperlink"/>
            <w:rFonts w:ascii="Arial" w:eastAsia="Arial" w:hAnsi="Arial" w:cs="Arial"/>
            <w:color w:val="auto"/>
            <w:sz w:val="22"/>
            <w:szCs w:val="22"/>
          </w:rPr>
          <w:t>10.1177/216507999003801203</w:t>
        </w:r>
      </w:hyperlink>
      <w:r w:rsidRPr="07B9C0A1">
        <w:rPr>
          <w:rFonts w:ascii="Arial" w:eastAsia="Arial" w:hAnsi="Arial" w:cs="Arial"/>
          <w:sz w:val="22"/>
          <w:szCs w:val="22"/>
        </w:rPr>
        <w:t>.</w:t>
      </w:r>
    </w:p>
    <w:p w14:paraId="30AF770B" w14:textId="68691114" w:rsidR="07B9C0A1" w:rsidRDefault="07B9C0A1" w:rsidP="07B9C0A1">
      <w:pPr>
        <w:rPr>
          <w:rFonts w:ascii="Arial" w:eastAsia="Arial" w:hAnsi="Arial" w:cs="Arial"/>
          <w:sz w:val="22"/>
          <w:szCs w:val="22"/>
        </w:rPr>
      </w:pPr>
    </w:p>
    <w:p w14:paraId="0D5A7B82" w14:textId="23345BE3" w:rsidR="07B9C0A1" w:rsidRDefault="07B9C0A1" w:rsidP="07B9C0A1">
      <w:pPr>
        <w:rPr>
          <w:rFonts w:ascii="Arial" w:eastAsia="Arial" w:hAnsi="Arial" w:cs="Arial"/>
          <w:sz w:val="22"/>
          <w:szCs w:val="22"/>
        </w:rPr>
      </w:pPr>
      <w:r w:rsidRPr="07B9C0A1">
        <w:rPr>
          <w:rFonts w:ascii="Arial" w:eastAsia="Arial" w:hAnsi="Arial" w:cs="Arial"/>
          <w:sz w:val="22"/>
          <w:szCs w:val="22"/>
        </w:rPr>
        <w:t xml:space="preserve">Bell, E., Bryman, A. and Harley, B. (2011). </w:t>
      </w:r>
      <w:r w:rsidRPr="07B9C0A1">
        <w:rPr>
          <w:rFonts w:ascii="Arial" w:eastAsia="Arial" w:hAnsi="Arial" w:cs="Arial"/>
          <w:i/>
          <w:iCs/>
          <w:sz w:val="22"/>
          <w:szCs w:val="22"/>
        </w:rPr>
        <w:t>Business research methods.</w:t>
      </w:r>
      <w:r w:rsidRPr="07B9C0A1">
        <w:rPr>
          <w:rFonts w:ascii="Arial" w:eastAsia="Arial" w:hAnsi="Arial" w:cs="Arial"/>
          <w:sz w:val="22"/>
          <w:szCs w:val="22"/>
        </w:rPr>
        <w:t xml:space="preserve"> Oxford: Oxford University Press.</w:t>
      </w:r>
    </w:p>
    <w:p w14:paraId="789F5368" w14:textId="7D96BEA5" w:rsidR="07B9C0A1" w:rsidRDefault="07B9C0A1" w:rsidP="07B9C0A1">
      <w:pPr>
        <w:rPr>
          <w:rFonts w:ascii="Calibri" w:eastAsia="Calibri" w:hAnsi="Calibri" w:cs="Calibri"/>
          <w:sz w:val="36"/>
          <w:szCs w:val="36"/>
        </w:rPr>
      </w:pPr>
    </w:p>
    <w:p w14:paraId="55DE2488" w14:textId="0CDFCDE9" w:rsidR="07B9C0A1" w:rsidRDefault="07B9C0A1" w:rsidP="07B9C0A1"/>
    <w:sectPr w:rsidR="07B9C0A1" w:rsidSect="004572A2">
      <w:headerReference w:type="default"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214F3" w14:textId="77777777" w:rsidR="00AB3987" w:rsidRDefault="00AB3987">
      <w:r>
        <w:separator/>
      </w:r>
    </w:p>
  </w:endnote>
  <w:endnote w:type="continuationSeparator" w:id="0">
    <w:p w14:paraId="1D53944E" w14:textId="77777777" w:rsidR="00AB3987" w:rsidRDefault="00AB3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7"/>
      <w:gridCol w:w="3007"/>
      <w:gridCol w:w="3007"/>
    </w:tblGrid>
    <w:tr w:rsidR="19BE62B4" w14:paraId="41E9BAFB" w14:textId="77777777" w:rsidTr="19BE62B4">
      <w:tc>
        <w:tcPr>
          <w:tcW w:w="3007" w:type="dxa"/>
        </w:tcPr>
        <w:p w14:paraId="6F682AFD" w14:textId="2D93FF06" w:rsidR="19BE62B4" w:rsidRDefault="19BE62B4" w:rsidP="19BE62B4">
          <w:pPr>
            <w:pStyle w:val="Header"/>
            <w:ind w:left="-115"/>
          </w:pPr>
        </w:p>
      </w:tc>
      <w:tc>
        <w:tcPr>
          <w:tcW w:w="3007" w:type="dxa"/>
        </w:tcPr>
        <w:p w14:paraId="25209E66" w14:textId="48E68DAF" w:rsidR="19BE62B4" w:rsidRDefault="19BE62B4" w:rsidP="19BE62B4">
          <w:pPr>
            <w:pStyle w:val="Header"/>
            <w:jc w:val="center"/>
          </w:pPr>
        </w:p>
      </w:tc>
      <w:tc>
        <w:tcPr>
          <w:tcW w:w="3007" w:type="dxa"/>
        </w:tcPr>
        <w:p w14:paraId="6BAE8914" w14:textId="4DF3566A" w:rsidR="19BE62B4" w:rsidRDefault="19BE62B4" w:rsidP="19BE62B4">
          <w:pPr>
            <w:pStyle w:val="Header"/>
            <w:ind w:right="-115"/>
            <w:jc w:val="right"/>
          </w:pPr>
          <w:r>
            <w:fldChar w:fldCharType="begin"/>
          </w:r>
          <w:r>
            <w:instrText>PAGE</w:instrText>
          </w:r>
          <w:r w:rsidR="00E06686">
            <w:fldChar w:fldCharType="separate"/>
          </w:r>
          <w:r w:rsidR="00E06686">
            <w:rPr>
              <w:noProof/>
            </w:rPr>
            <w:t>1</w:t>
          </w:r>
          <w:r>
            <w:fldChar w:fldCharType="end"/>
          </w:r>
        </w:p>
      </w:tc>
    </w:tr>
  </w:tbl>
  <w:p w14:paraId="38631B8F" w14:textId="37F0D050" w:rsidR="19BE62B4" w:rsidRDefault="19BE62B4" w:rsidP="19BE6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B9BD2" w14:textId="77777777" w:rsidR="00AB3987" w:rsidRDefault="00AB3987">
      <w:r>
        <w:separator/>
      </w:r>
    </w:p>
  </w:footnote>
  <w:footnote w:type="continuationSeparator" w:id="0">
    <w:p w14:paraId="3B80B7CF" w14:textId="77777777" w:rsidR="00AB3987" w:rsidRDefault="00AB39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7"/>
      <w:gridCol w:w="3007"/>
      <w:gridCol w:w="3007"/>
    </w:tblGrid>
    <w:tr w:rsidR="19BE62B4" w14:paraId="137F056C" w14:textId="77777777" w:rsidTr="19BE62B4">
      <w:tc>
        <w:tcPr>
          <w:tcW w:w="3007" w:type="dxa"/>
        </w:tcPr>
        <w:p w14:paraId="66FDE820" w14:textId="64EDD1BA" w:rsidR="19BE62B4" w:rsidRDefault="19BE62B4" w:rsidP="19BE62B4">
          <w:pPr>
            <w:pStyle w:val="Header"/>
            <w:ind w:left="-115"/>
          </w:pPr>
        </w:p>
      </w:tc>
      <w:tc>
        <w:tcPr>
          <w:tcW w:w="3007" w:type="dxa"/>
        </w:tcPr>
        <w:p w14:paraId="002754A9" w14:textId="5A859ED4" w:rsidR="19BE62B4" w:rsidRDefault="19BE62B4" w:rsidP="19BE62B4">
          <w:pPr>
            <w:pStyle w:val="Header"/>
            <w:jc w:val="center"/>
          </w:pPr>
        </w:p>
      </w:tc>
      <w:tc>
        <w:tcPr>
          <w:tcW w:w="3007" w:type="dxa"/>
        </w:tcPr>
        <w:p w14:paraId="0FE38E3A" w14:textId="42D8AF09" w:rsidR="19BE62B4" w:rsidRDefault="19BE62B4" w:rsidP="19BE62B4">
          <w:pPr>
            <w:pStyle w:val="Header"/>
            <w:ind w:right="-115"/>
            <w:jc w:val="right"/>
          </w:pPr>
        </w:p>
      </w:tc>
    </w:tr>
  </w:tbl>
  <w:p w14:paraId="04928D57" w14:textId="34246FBB" w:rsidR="19BE62B4" w:rsidRDefault="19BE62B4" w:rsidP="19BE62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F50C0"/>
    <w:multiLevelType w:val="hybridMultilevel"/>
    <w:tmpl w:val="1568AC4A"/>
    <w:lvl w:ilvl="0" w:tplc="0B144D26">
      <w:start w:val="1"/>
      <w:numFmt w:val="bullet"/>
      <w:lvlText w:val=""/>
      <w:lvlJc w:val="left"/>
      <w:pPr>
        <w:ind w:left="720" w:hanging="360"/>
      </w:pPr>
      <w:rPr>
        <w:rFonts w:ascii="Symbol" w:hAnsi="Symbol" w:hint="default"/>
      </w:rPr>
    </w:lvl>
    <w:lvl w:ilvl="1" w:tplc="119E4CB6">
      <w:start w:val="1"/>
      <w:numFmt w:val="bullet"/>
      <w:lvlText w:val="o"/>
      <w:lvlJc w:val="left"/>
      <w:pPr>
        <w:ind w:left="1440" w:hanging="360"/>
      </w:pPr>
      <w:rPr>
        <w:rFonts w:ascii="Courier New" w:hAnsi="Courier New" w:hint="default"/>
      </w:rPr>
    </w:lvl>
    <w:lvl w:ilvl="2" w:tplc="5F604D2A">
      <w:start w:val="1"/>
      <w:numFmt w:val="bullet"/>
      <w:lvlText w:val=""/>
      <w:lvlJc w:val="left"/>
      <w:pPr>
        <w:ind w:left="2160" w:hanging="360"/>
      </w:pPr>
      <w:rPr>
        <w:rFonts w:ascii="Wingdings" w:hAnsi="Wingdings" w:hint="default"/>
      </w:rPr>
    </w:lvl>
    <w:lvl w:ilvl="3" w:tplc="D1E26CCA">
      <w:start w:val="1"/>
      <w:numFmt w:val="bullet"/>
      <w:lvlText w:val=""/>
      <w:lvlJc w:val="left"/>
      <w:pPr>
        <w:ind w:left="2880" w:hanging="360"/>
      </w:pPr>
      <w:rPr>
        <w:rFonts w:ascii="Symbol" w:hAnsi="Symbol" w:hint="default"/>
      </w:rPr>
    </w:lvl>
    <w:lvl w:ilvl="4" w:tplc="E6D29BA0">
      <w:start w:val="1"/>
      <w:numFmt w:val="bullet"/>
      <w:lvlText w:val="o"/>
      <w:lvlJc w:val="left"/>
      <w:pPr>
        <w:ind w:left="3600" w:hanging="360"/>
      </w:pPr>
      <w:rPr>
        <w:rFonts w:ascii="Courier New" w:hAnsi="Courier New" w:hint="default"/>
      </w:rPr>
    </w:lvl>
    <w:lvl w:ilvl="5" w:tplc="D8946970">
      <w:start w:val="1"/>
      <w:numFmt w:val="bullet"/>
      <w:lvlText w:val=""/>
      <w:lvlJc w:val="left"/>
      <w:pPr>
        <w:ind w:left="4320" w:hanging="360"/>
      </w:pPr>
      <w:rPr>
        <w:rFonts w:ascii="Wingdings" w:hAnsi="Wingdings" w:hint="default"/>
      </w:rPr>
    </w:lvl>
    <w:lvl w:ilvl="6" w:tplc="815AF916">
      <w:start w:val="1"/>
      <w:numFmt w:val="bullet"/>
      <w:lvlText w:val=""/>
      <w:lvlJc w:val="left"/>
      <w:pPr>
        <w:ind w:left="5040" w:hanging="360"/>
      </w:pPr>
      <w:rPr>
        <w:rFonts w:ascii="Symbol" w:hAnsi="Symbol" w:hint="default"/>
      </w:rPr>
    </w:lvl>
    <w:lvl w:ilvl="7" w:tplc="55061AE4">
      <w:start w:val="1"/>
      <w:numFmt w:val="bullet"/>
      <w:lvlText w:val="o"/>
      <w:lvlJc w:val="left"/>
      <w:pPr>
        <w:ind w:left="5760" w:hanging="360"/>
      </w:pPr>
      <w:rPr>
        <w:rFonts w:ascii="Courier New" w:hAnsi="Courier New" w:hint="default"/>
      </w:rPr>
    </w:lvl>
    <w:lvl w:ilvl="8" w:tplc="FD86C42E">
      <w:start w:val="1"/>
      <w:numFmt w:val="bullet"/>
      <w:lvlText w:val=""/>
      <w:lvlJc w:val="left"/>
      <w:pPr>
        <w:ind w:left="6480" w:hanging="360"/>
      </w:pPr>
      <w:rPr>
        <w:rFonts w:ascii="Wingdings" w:hAnsi="Wingdings" w:hint="default"/>
      </w:rPr>
    </w:lvl>
  </w:abstractNum>
  <w:abstractNum w:abstractNumId="1" w15:restartNumberingAfterBreak="0">
    <w:nsid w:val="17D9118B"/>
    <w:multiLevelType w:val="hybridMultilevel"/>
    <w:tmpl w:val="7AE2D060"/>
    <w:lvl w:ilvl="0" w:tplc="75247256">
      <w:start w:val="1"/>
      <w:numFmt w:val="bullet"/>
      <w:lvlText w:val=""/>
      <w:lvlJc w:val="left"/>
      <w:pPr>
        <w:ind w:left="720" w:hanging="360"/>
      </w:pPr>
      <w:rPr>
        <w:rFonts w:ascii="Symbol" w:hAnsi="Symbol" w:hint="default"/>
      </w:rPr>
    </w:lvl>
    <w:lvl w:ilvl="1" w:tplc="D5863118">
      <w:start w:val="1"/>
      <w:numFmt w:val="bullet"/>
      <w:lvlText w:val="o"/>
      <w:lvlJc w:val="left"/>
      <w:pPr>
        <w:ind w:left="1440" w:hanging="360"/>
      </w:pPr>
      <w:rPr>
        <w:rFonts w:ascii="Courier New" w:hAnsi="Courier New" w:hint="default"/>
      </w:rPr>
    </w:lvl>
    <w:lvl w:ilvl="2" w:tplc="D4E846DE">
      <w:start w:val="1"/>
      <w:numFmt w:val="bullet"/>
      <w:lvlText w:val=""/>
      <w:lvlJc w:val="left"/>
      <w:pPr>
        <w:ind w:left="2160" w:hanging="360"/>
      </w:pPr>
      <w:rPr>
        <w:rFonts w:ascii="Wingdings" w:hAnsi="Wingdings" w:hint="default"/>
      </w:rPr>
    </w:lvl>
    <w:lvl w:ilvl="3" w:tplc="196CBC2E">
      <w:start w:val="1"/>
      <w:numFmt w:val="bullet"/>
      <w:lvlText w:val=""/>
      <w:lvlJc w:val="left"/>
      <w:pPr>
        <w:ind w:left="2880" w:hanging="360"/>
      </w:pPr>
      <w:rPr>
        <w:rFonts w:ascii="Symbol" w:hAnsi="Symbol" w:hint="default"/>
      </w:rPr>
    </w:lvl>
    <w:lvl w:ilvl="4" w:tplc="D4928130">
      <w:start w:val="1"/>
      <w:numFmt w:val="bullet"/>
      <w:lvlText w:val="o"/>
      <w:lvlJc w:val="left"/>
      <w:pPr>
        <w:ind w:left="3600" w:hanging="360"/>
      </w:pPr>
      <w:rPr>
        <w:rFonts w:ascii="Courier New" w:hAnsi="Courier New" w:hint="default"/>
      </w:rPr>
    </w:lvl>
    <w:lvl w:ilvl="5" w:tplc="829AC862">
      <w:start w:val="1"/>
      <w:numFmt w:val="bullet"/>
      <w:lvlText w:val=""/>
      <w:lvlJc w:val="left"/>
      <w:pPr>
        <w:ind w:left="4320" w:hanging="360"/>
      </w:pPr>
      <w:rPr>
        <w:rFonts w:ascii="Wingdings" w:hAnsi="Wingdings" w:hint="default"/>
      </w:rPr>
    </w:lvl>
    <w:lvl w:ilvl="6" w:tplc="02385B06">
      <w:start w:val="1"/>
      <w:numFmt w:val="bullet"/>
      <w:lvlText w:val=""/>
      <w:lvlJc w:val="left"/>
      <w:pPr>
        <w:ind w:left="5040" w:hanging="360"/>
      </w:pPr>
      <w:rPr>
        <w:rFonts w:ascii="Symbol" w:hAnsi="Symbol" w:hint="default"/>
      </w:rPr>
    </w:lvl>
    <w:lvl w:ilvl="7" w:tplc="4F641656">
      <w:start w:val="1"/>
      <w:numFmt w:val="bullet"/>
      <w:lvlText w:val="o"/>
      <w:lvlJc w:val="left"/>
      <w:pPr>
        <w:ind w:left="5760" w:hanging="360"/>
      </w:pPr>
      <w:rPr>
        <w:rFonts w:ascii="Courier New" w:hAnsi="Courier New" w:hint="default"/>
      </w:rPr>
    </w:lvl>
    <w:lvl w:ilvl="8" w:tplc="2B14045E">
      <w:start w:val="1"/>
      <w:numFmt w:val="bullet"/>
      <w:lvlText w:val=""/>
      <w:lvlJc w:val="left"/>
      <w:pPr>
        <w:ind w:left="6480" w:hanging="360"/>
      </w:pPr>
      <w:rPr>
        <w:rFonts w:ascii="Wingdings" w:hAnsi="Wingdings" w:hint="default"/>
      </w:rPr>
    </w:lvl>
  </w:abstractNum>
  <w:abstractNum w:abstractNumId="2" w15:restartNumberingAfterBreak="0">
    <w:nsid w:val="27115E4D"/>
    <w:multiLevelType w:val="hybridMultilevel"/>
    <w:tmpl w:val="DC986402"/>
    <w:lvl w:ilvl="0" w:tplc="1934399C">
      <w:start w:val="1"/>
      <w:numFmt w:val="bullet"/>
      <w:lvlText w:val=""/>
      <w:lvlJc w:val="left"/>
      <w:pPr>
        <w:ind w:left="720" w:hanging="360"/>
      </w:pPr>
      <w:rPr>
        <w:rFonts w:ascii="Symbol" w:hAnsi="Symbol" w:hint="default"/>
      </w:rPr>
    </w:lvl>
    <w:lvl w:ilvl="1" w:tplc="5F5EF468">
      <w:start w:val="1"/>
      <w:numFmt w:val="bullet"/>
      <w:lvlText w:val="o"/>
      <w:lvlJc w:val="left"/>
      <w:pPr>
        <w:ind w:left="1440" w:hanging="360"/>
      </w:pPr>
      <w:rPr>
        <w:rFonts w:ascii="Courier New" w:hAnsi="Courier New" w:hint="default"/>
      </w:rPr>
    </w:lvl>
    <w:lvl w:ilvl="2" w:tplc="CE4A9862">
      <w:start w:val="1"/>
      <w:numFmt w:val="bullet"/>
      <w:lvlText w:val=""/>
      <w:lvlJc w:val="left"/>
      <w:pPr>
        <w:ind w:left="2160" w:hanging="360"/>
      </w:pPr>
      <w:rPr>
        <w:rFonts w:ascii="Wingdings" w:hAnsi="Wingdings" w:hint="default"/>
      </w:rPr>
    </w:lvl>
    <w:lvl w:ilvl="3" w:tplc="6DDAB5FE">
      <w:start w:val="1"/>
      <w:numFmt w:val="bullet"/>
      <w:lvlText w:val=""/>
      <w:lvlJc w:val="left"/>
      <w:pPr>
        <w:ind w:left="2880" w:hanging="360"/>
      </w:pPr>
      <w:rPr>
        <w:rFonts w:ascii="Symbol" w:hAnsi="Symbol" w:hint="default"/>
      </w:rPr>
    </w:lvl>
    <w:lvl w:ilvl="4" w:tplc="73760072">
      <w:start w:val="1"/>
      <w:numFmt w:val="bullet"/>
      <w:lvlText w:val="o"/>
      <w:lvlJc w:val="left"/>
      <w:pPr>
        <w:ind w:left="3600" w:hanging="360"/>
      </w:pPr>
      <w:rPr>
        <w:rFonts w:ascii="Courier New" w:hAnsi="Courier New" w:hint="default"/>
      </w:rPr>
    </w:lvl>
    <w:lvl w:ilvl="5" w:tplc="6D721752">
      <w:start w:val="1"/>
      <w:numFmt w:val="bullet"/>
      <w:lvlText w:val=""/>
      <w:lvlJc w:val="left"/>
      <w:pPr>
        <w:ind w:left="4320" w:hanging="360"/>
      </w:pPr>
      <w:rPr>
        <w:rFonts w:ascii="Wingdings" w:hAnsi="Wingdings" w:hint="default"/>
      </w:rPr>
    </w:lvl>
    <w:lvl w:ilvl="6" w:tplc="E25A2176">
      <w:start w:val="1"/>
      <w:numFmt w:val="bullet"/>
      <w:lvlText w:val=""/>
      <w:lvlJc w:val="left"/>
      <w:pPr>
        <w:ind w:left="5040" w:hanging="360"/>
      </w:pPr>
      <w:rPr>
        <w:rFonts w:ascii="Symbol" w:hAnsi="Symbol" w:hint="default"/>
      </w:rPr>
    </w:lvl>
    <w:lvl w:ilvl="7" w:tplc="1C1A5670">
      <w:start w:val="1"/>
      <w:numFmt w:val="bullet"/>
      <w:lvlText w:val="o"/>
      <w:lvlJc w:val="left"/>
      <w:pPr>
        <w:ind w:left="5760" w:hanging="360"/>
      </w:pPr>
      <w:rPr>
        <w:rFonts w:ascii="Courier New" w:hAnsi="Courier New" w:hint="default"/>
      </w:rPr>
    </w:lvl>
    <w:lvl w:ilvl="8" w:tplc="94C033D8">
      <w:start w:val="1"/>
      <w:numFmt w:val="bullet"/>
      <w:lvlText w:val=""/>
      <w:lvlJc w:val="left"/>
      <w:pPr>
        <w:ind w:left="6480" w:hanging="360"/>
      </w:pPr>
      <w:rPr>
        <w:rFonts w:ascii="Wingdings" w:hAnsi="Wingdings" w:hint="default"/>
      </w:rPr>
    </w:lvl>
  </w:abstractNum>
  <w:abstractNum w:abstractNumId="3" w15:restartNumberingAfterBreak="0">
    <w:nsid w:val="2B686E9E"/>
    <w:multiLevelType w:val="hybridMultilevel"/>
    <w:tmpl w:val="F05EF4C6"/>
    <w:lvl w:ilvl="0" w:tplc="1AF0F26A">
      <w:start w:val="1"/>
      <w:numFmt w:val="bullet"/>
      <w:lvlText w:val=""/>
      <w:lvlJc w:val="left"/>
      <w:pPr>
        <w:ind w:left="720" w:hanging="360"/>
      </w:pPr>
      <w:rPr>
        <w:rFonts w:ascii="Symbol" w:hAnsi="Symbol" w:hint="default"/>
      </w:rPr>
    </w:lvl>
    <w:lvl w:ilvl="1" w:tplc="77661208">
      <w:start w:val="1"/>
      <w:numFmt w:val="bullet"/>
      <w:lvlText w:val="o"/>
      <w:lvlJc w:val="left"/>
      <w:pPr>
        <w:ind w:left="1440" w:hanging="360"/>
      </w:pPr>
      <w:rPr>
        <w:rFonts w:ascii="Courier New" w:hAnsi="Courier New" w:hint="default"/>
      </w:rPr>
    </w:lvl>
    <w:lvl w:ilvl="2" w:tplc="FB361102">
      <w:start w:val="1"/>
      <w:numFmt w:val="bullet"/>
      <w:lvlText w:val=""/>
      <w:lvlJc w:val="left"/>
      <w:pPr>
        <w:ind w:left="2160" w:hanging="360"/>
      </w:pPr>
      <w:rPr>
        <w:rFonts w:ascii="Wingdings" w:hAnsi="Wingdings" w:hint="default"/>
      </w:rPr>
    </w:lvl>
    <w:lvl w:ilvl="3" w:tplc="B8066C14">
      <w:start w:val="1"/>
      <w:numFmt w:val="bullet"/>
      <w:lvlText w:val=""/>
      <w:lvlJc w:val="left"/>
      <w:pPr>
        <w:ind w:left="2880" w:hanging="360"/>
      </w:pPr>
      <w:rPr>
        <w:rFonts w:ascii="Symbol" w:hAnsi="Symbol" w:hint="default"/>
      </w:rPr>
    </w:lvl>
    <w:lvl w:ilvl="4" w:tplc="C5A874F8">
      <w:start w:val="1"/>
      <w:numFmt w:val="bullet"/>
      <w:lvlText w:val="o"/>
      <w:lvlJc w:val="left"/>
      <w:pPr>
        <w:ind w:left="3600" w:hanging="360"/>
      </w:pPr>
      <w:rPr>
        <w:rFonts w:ascii="Courier New" w:hAnsi="Courier New" w:hint="default"/>
      </w:rPr>
    </w:lvl>
    <w:lvl w:ilvl="5" w:tplc="F38285DE">
      <w:start w:val="1"/>
      <w:numFmt w:val="bullet"/>
      <w:lvlText w:val=""/>
      <w:lvlJc w:val="left"/>
      <w:pPr>
        <w:ind w:left="4320" w:hanging="360"/>
      </w:pPr>
      <w:rPr>
        <w:rFonts w:ascii="Wingdings" w:hAnsi="Wingdings" w:hint="default"/>
      </w:rPr>
    </w:lvl>
    <w:lvl w:ilvl="6" w:tplc="0144E48A">
      <w:start w:val="1"/>
      <w:numFmt w:val="bullet"/>
      <w:lvlText w:val=""/>
      <w:lvlJc w:val="left"/>
      <w:pPr>
        <w:ind w:left="5040" w:hanging="360"/>
      </w:pPr>
      <w:rPr>
        <w:rFonts w:ascii="Symbol" w:hAnsi="Symbol" w:hint="default"/>
      </w:rPr>
    </w:lvl>
    <w:lvl w:ilvl="7" w:tplc="42F8B5FC">
      <w:start w:val="1"/>
      <w:numFmt w:val="bullet"/>
      <w:lvlText w:val="o"/>
      <w:lvlJc w:val="left"/>
      <w:pPr>
        <w:ind w:left="5760" w:hanging="360"/>
      </w:pPr>
      <w:rPr>
        <w:rFonts w:ascii="Courier New" w:hAnsi="Courier New" w:hint="default"/>
      </w:rPr>
    </w:lvl>
    <w:lvl w:ilvl="8" w:tplc="1074B22A">
      <w:start w:val="1"/>
      <w:numFmt w:val="bullet"/>
      <w:lvlText w:val=""/>
      <w:lvlJc w:val="left"/>
      <w:pPr>
        <w:ind w:left="6480" w:hanging="360"/>
      </w:pPr>
      <w:rPr>
        <w:rFonts w:ascii="Wingdings" w:hAnsi="Wingdings" w:hint="default"/>
      </w:rPr>
    </w:lvl>
  </w:abstractNum>
  <w:abstractNum w:abstractNumId="4" w15:restartNumberingAfterBreak="0">
    <w:nsid w:val="2BC56AA8"/>
    <w:multiLevelType w:val="hybridMultilevel"/>
    <w:tmpl w:val="E454F0A2"/>
    <w:lvl w:ilvl="0" w:tplc="0CD6E224">
      <w:start w:val="1"/>
      <w:numFmt w:val="bullet"/>
      <w:lvlText w:val=""/>
      <w:lvlJc w:val="left"/>
      <w:pPr>
        <w:ind w:left="720" w:hanging="360"/>
      </w:pPr>
      <w:rPr>
        <w:rFonts w:ascii="Symbol" w:hAnsi="Symbol" w:hint="default"/>
      </w:rPr>
    </w:lvl>
    <w:lvl w:ilvl="1" w:tplc="2DB613BA">
      <w:start w:val="1"/>
      <w:numFmt w:val="bullet"/>
      <w:lvlText w:val="o"/>
      <w:lvlJc w:val="left"/>
      <w:pPr>
        <w:ind w:left="1440" w:hanging="360"/>
      </w:pPr>
      <w:rPr>
        <w:rFonts w:ascii="Courier New" w:hAnsi="Courier New" w:hint="default"/>
      </w:rPr>
    </w:lvl>
    <w:lvl w:ilvl="2" w:tplc="0A38459E">
      <w:start w:val="1"/>
      <w:numFmt w:val="bullet"/>
      <w:lvlText w:val=""/>
      <w:lvlJc w:val="left"/>
      <w:pPr>
        <w:ind w:left="2160" w:hanging="360"/>
      </w:pPr>
      <w:rPr>
        <w:rFonts w:ascii="Wingdings" w:hAnsi="Wingdings" w:hint="default"/>
      </w:rPr>
    </w:lvl>
    <w:lvl w:ilvl="3" w:tplc="26CCB5E2">
      <w:start w:val="1"/>
      <w:numFmt w:val="bullet"/>
      <w:lvlText w:val=""/>
      <w:lvlJc w:val="left"/>
      <w:pPr>
        <w:ind w:left="2880" w:hanging="360"/>
      </w:pPr>
      <w:rPr>
        <w:rFonts w:ascii="Symbol" w:hAnsi="Symbol" w:hint="default"/>
      </w:rPr>
    </w:lvl>
    <w:lvl w:ilvl="4" w:tplc="13EA7C22">
      <w:start w:val="1"/>
      <w:numFmt w:val="bullet"/>
      <w:lvlText w:val="o"/>
      <w:lvlJc w:val="left"/>
      <w:pPr>
        <w:ind w:left="3600" w:hanging="360"/>
      </w:pPr>
      <w:rPr>
        <w:rFonts w:ascii="Courier New" w:hAnsi="Courier New" w:hint="default"/>
      </w:rPr>
    </w:lvl>
    <w:lvl w:ilvl="5" w:tplc="A0E4E1D2">
      <w:start w:val="1"/>
      <w:numFmt w:val="bullet"/>
      <w:lvlText w:val=""/>
      <w:lvlJc w:val="left"/>
      <w:pPr>
        <w:ind w:left="4320" w:hanging="360"/>
      </w:pPr>
      <w:rPr>
        <w:rFonts w:ascii="Wingdings" w:hAnsi="Wingdings" w:hint="default"/>
      </w:rPr>
    </w:lvl>
    <w:lvl w:ilvl="6" w:tplc="CA163F48">
      <w:start w:val="1"/>
      <w:numFmt w:val="bullet"/>
      <w:lvlText w:val=""/>
      <w:lvlJc w:val="left"/>
      <w:pPr>
        <w:ind w:left="5040" w:hanging="360"/>
      </w:pPr>
      <w:rPr>
        <w:rFonts w:ascii="Symbol" w:hAnsi="Symbol" w:hint="default"/>
      </w:rPr>
    </w:lvl>
    <w:lvl w:ilvl="7" w:tplc="2824360C">
      <w:start w:val="1"/>
      <w:numFmt w:val="bullet"/>
      <w:lvlText w:val="o"/>
      <w:lvlJc w:val="left"/>
      <w:pPr>
        <w:ind w:left="5760" w:hanging="360"/>
      </w:pPr>
      <w:rPr>
        <w:rFonts w:ascii="Courier New" w:hAnsi="Courier New" w:hint="default"/>
      </w:rPr>
    </w:lvl>
    <w:lvl w:ilvl="8" w:tplc="D722AAFC">
      <w:start w:val="1"/>
      <w:numFmt w:val="bullet"/>
      <w:lvlText w:val=""/>
      <w:lvlJc w:val="left"/>
      <w:pPr>
        <w:ind w:left="6480" w:hanging="360"/>
      </w:pPr>
      <w:rPr>
        <w:rFonts w:ascii="Wingdings" w:hAnsi="Wingdings" w:hint="default"/>
      </w:rPr>
    </w:lvl>
  </w:abstractNum>
  <w:abstractNum w:abstractNumId="5" w15:restartNumberingAfterBreak="0">
    <w:nsid w:val="3AD25821"/>
    <w:multiLevelType w:val="hybridMultilevel"/>
    <w:tmpl w:val="52226CE6"/>
    <w:lvl w:ilvl="0" w:tplc="35185384">
      <w:start w:val="1"/>
      <w:numFmt w:val="bullet"/>
      <w:lvlText w:val=""/>
      <w:lvlJc w:val="left"/>
      <w:pPr>
        <w:ind w:left="720" w:hanging="360"/>
      </w:pPr>
      <w:rPr>
        <w:rFonts w:ascii="Symbol" w:hAnsi="Symbol" w:hint="default"/>
      </w:rPr>
    </w:lvl>
    <w:lvl w:ilvl="1" w:tplc="5EEA9834">
      <w:start w:val="1"/>
      <w:numFmt w:val="bullet"/>
      <w:lvlText w:val="o"/>
      <w:lvlJc w:val="left"/>
      <w:pPr>
        <w:ind w:left="1440" w:hanging="360"/>
      </w:pPr>
      <w:rPr>
        <w:rFonts w:ascii="Courier New" w:hAnsi="Courier New" w:hint="default"/>
      </w:rPr>
    </w:lvl>
    <w:lvl w:ilvl="2" w:tplc="AFACE430">
      <w:start w:val="1"/>
      <w:numFmt w:val="bullet"/>
      <w:lvlText w:val=""/>
      <w:lvlJc w:val="left"/>
      <w:pPr>
        <w:ind w:left="2160" w:hanging="360"/>
      </w:pPr>
      <w:rPr>
        <w:rFonts w:ascii="Wingdings" w:hAnsi="Wingdings" w:hint="default"/>
      </w:rPr>
    </w:lvl>
    <w:lvl w:ilvl="3" w:tplc="ADD40CC6">
      <w:start w:val="1"/>
      <w:numFmt w:val="bullet"/>
      <w:lvlText w:val=""/>
      <w:lvlJc w:val="left"/>
      <w:pPr>
        <w:ind w:left="2880" w:hanging="360"/>
      </w:pPr>
      <w:rPr>
        <w:rFonts w:ascii="Symbol" w:hAnsi="Symbol" w:hint="default"/>
      </w:rPr>
    </w:lvl>
    <w:lvl w:ilvl="4" w:tplc="816A500E">
      <w:start w:val="1"/>
      <w:numFmt w:val="bullet"/>
      <w:lvlText w:val="o"/>
      <w:lvlJc w:val="left"/>
      <w:pPr>
        <w:ind w:left="3600" w:hanging="360"/>
      </w:pPr>
      <w:rPr>
        <w:rFonts w:ascii="Courier New" w:hAnsi="Courier New" w:hint="default"/>
      </w:rPr>
    </w:lvl>
    <w:lvl w:ilvl="5" w:tplc="850ED310">
      <w:start w:val="1"/>
      <w:numFmt w:val="bullet"/>
      <w:lvlText w:val=""/>
      <w:lvlJc w:val="left"/>
      <w:pPr>
        <w:ind w:left="4320" w:hanging="360"/>
      </w:pPr>
      <w:rPr>
        <w:rFonts w:ascii="Wingdings" w:hAnsi="Wingdings" w:hint="default"/>
      </w:rPr>
    </w:lvl>
    <w:lvl w:ilvl="6" w:tplc="8B56D5E0">
      <w:start w:val="1"/>
      <w:numFmt w:val="bullet"/>
      <w:lvlText w:val=""/>
      <w:lvlJc w:val="left"/>
      <w:pPr>
        <w:ind w:left="5040" w:hanging="360"/>
      </w:pPr>
      <w:rPr>
        <w:rFonts w:ascii="Symbol" w:hAnsi="Symbol" w:hint="default"/>
      </w:rPr>
    </w:lvl>
    <w:lvl w:ilvl="7" w:tplc="921CE8FA">
      <w:start w:val="1"/>
      <w:numFmt w:val="bullet"/>
      <w:lvlText w:val="o"/>
      <w:lvlJc w:val="left"/>
      <w:pPr>
        <w:ind w:left="5760" w:hanging="360"/>
      </w:pPr>
      <w:rPr>
        <w:rFonts w:ascii="Courier New" w:hAnsi="Courier New" w:hint="default"/>
      </w:rPr>
    </w:lvl>
    <w:lvl w:ilvl="8" w:tplc="7256D17E">
      <w:start w:val="1"/>
      <w:numFmt w:val="bullet"/>
      <w:lvlText w:val=""/>
      <w:lvlJc w:val="left"/>
      <w:pPr>
        <w:ind w:left="6480" w:hanging="360"/>
      </w:pPr>
      <w:rPr>
        <w:rFonts w:ascii="Wingdings" w:hAnsi="Wingdings" w:hint="default"/>
      </w:rPr>
    </w:lvl>
  </w:abstractNum>
  <w:abstractNum w:abstractNumId="6" w15:restartNumberingAfterBreak="0">
    <w:nsid w:val="65460CEC"/>
    <w:multiLevelType w:val="hybridMultilevel"/>
    <w:tmpl w:val="BDE0E164"/>
    <w:lvl w:ilvl="0" w:tplc="3926C4BA">
      <w:start w:val="1"/>
      <w:numFmt w:val="bullet"/>
      <w:lvlText w:val=""/>
      <w:lvlJc w:val="left"/>
      <w:pPr>
        <w:ind w:left="720" w:hanging="360"/>
      </w:pPr>
      <w:rPr>
        <w:rFonts w:ascii="Symbol" w:hAnsi="Symbol" w:hint="default"/>
      </w:rPr>
    </w:lvl>
    <w:lvl w:ilvl="1" w:tplc="CE0AEAA0">
      <w:start w:val="1"/>
      <w:numFmt w:val="bullet"/>
      <w:lvlText w:val="o"/>
      <w:lvlJc w:val="left"/>
      <w:pPr>
        <w:ind w:left="1440" w:hanging="360"/>
      </w:pPr>
      <w:rPr>
        <w:rFonts w:ascii="Courier New" w:hAnsi="Courier New" w:hint="default"/>
      </w:rPr>
    </w:lvl>
    <w:lvl w:ilvl="2" w:tplc="AA40C6DE">
      <w:start w:val="1"/>
      <w:numFmt w:val="bullet"/>
      <w:lvlText w:val=""/>
      <w:lvlJc w:val="left"/>
      <w:pPr>
        <w:ind w:left="2160" w:hanging="360"/>
      </w:pPr>
      <w:rPr>
        <w:rFonts w:ascii="Wingdings" w:hAnsi="Wingdings" w:hint="default"/>
      </w:rPr>
    </w:lvl>
    <w:lvl w:ilvl="3" w:tplc="CA662D5E">
      <w:start w:val="1"/>
      <w:numFmt w:val="bullet"/>
      <w:lvlText w:val=""/>
      <w:lvlJc w:val="left"/>
      <w:pPr>
        <w:ind w:left="2880" w:hanging="360"/>
      </w:pPr>
      <w:rPr>
        <w:rFonts w:ascii="Symbol" w:hAnsi="Symbol" w:hint="default"/>
      </w:rPr>
    </w:lvl>
    <w:lvl w:ilvl="4" w:tplc="E33AC85C">
      <w:start w:val="1"/>
      <w:numFmt w:val="bullet"/>
      <w:lvlText w:val="o"/>
      <w:lvlJc w:val="left"/>
      <w:pPr>
        <w:ind w:left="3600" w:hanging="360"/>
      </w:pPr>
      <w:rPr>
        <w:rFonts w:ascii="Courier New" w:hAnsi="Courier New" w:hint="default"/>
      </w:rPr>
    </w:lvl>
    <w:lvl w:ilvl="5" w:tplc="2FF07EE4">
      <w:start w:val="1"/>
      <w:numFmt w:val="bullet"/>
      <w:lvlText w:val=""/>
      <w:lvlJc w:val="left"/>
      <w:pPr>
        <w:ind w:left="4320" w:hanging="360"/>
      </w:pPr>
      <w:rPr>
        <w:rFonts w:ascii="Wingdings" w:hAnsi="Wingdings" w:hint="default"/>
      </w:rPr>
    </w:lvl>
    <w:lvl w:ilvl="6" w:tplc="7B5636B4">
      <w:start w:val="1"/>
      <w:numFmt w:val="bullet"/>
      <w:lvlText w:val=""/>
      <w:lvlJc w:val="left"/>
      <w:pPr>
        <w:ind w:left="5040" w:hanging="360"/>
      </w:pPr>
      <w:rPr>
        <w:rFonts w:ascii="Symbol" w:hAnsi="Symbol" w:hint="default"/>
      </w:rPr>
    </w:lvl>
    <w:lvl w:ilvl="7" w:tplc="0540DD88">
      <w:start w:val="1"/>
      <w:numFmt w:val="bullet"/>
      <w:lvlText w:val="o"/>
      <w:lvlJc w:val="left"/>
      <w:pPr>
        <w:ind w:left="5760" w:hanging="360"/>
      </w:pPr>
      <w:rPr>
        <w:rFonts w:ascii="Courier New" w:hAnsi="Courier New" w:hint="default"/>
      </w:rPr>
    </w:lvl>
    <w:lvl w:ilvl="8" w:tplc="67C0B90A">
      <w:start w:val="1"/>
      <w:numFmt w:val="bullet"/>
      <w:lvlText w:val=""/>
      <w:lvlJc w:val="left"/>
      <w:pPr>
        <w:ind w:left="6480" w:hanging="360"/>
      </w:pPr>
      <w:rPr>
        <w:rFonts w:ascii="Wingdings" w:hAnsi="Wingdings" w:hint="default"/>
      </w:rPr>
    </w:lvl>
  </w:abstractNum>
  <w:abstractNum w:abstractNumId="7" w15:restartNumberingAfterBreak="0">
    <w:nsid w:val="67126B13"/>
    <w:multiLevelType w:val="hybridMultilevel"/>
    <w:tmpl w:val="F26CC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2D163B"/>
    <w:multiLevelType w:val="hybridMultilevel"/>
    <w:tmpl w:val="FC46949A"/>
    <w:lvl w:ilvl="0" w:tplc="4EE896AE">
      <w:start w:val="1"/>
      <w:numFmt w:val="bullet"/>
      <w:lvlText w:val=""/>
      <w:lvlJc w:val="left"/>
      <w:pPr>
        <w:ind w:left="720" w:hanging="360"/>
      </w:pPr>
      <w:rPr>
        <w:rFonts w:ascii="Symbol" w:hAnsi="Symbol" w:hint="default"/>
      </w:rPr>
    </w:lvl>
    <w:lvl w:ilvl="1" w:tplc="06181558">
      <w:start w:val="1"/>
      <w:numFmt w:val="bullet"/>
      <w:lvlText w:val="o"/>
      <w:lvlJc w:val="left"/>
      <w:pPr>
        <w:ind w:left="1440" w:hanging="360"/>
      </w:pPr>
      <w:rPr>
        <w:rFonts w:ascii="Courier New" w:hAnsi="Courier New" w:hint="default"/>
      </w:rPr>
    </w:lvl>
    <w:lvl w:ilvl="2" w:tplc="3DC066B6">
      <w:start w:val="1"/>
      <w:numFmt w:val="bullet"/>
      <w:lvlText w:val=""/>
      <w:lvlJc w:val="left"/>
      <w:pPr>
        <w:ind w:left="2160" w:hanging="360"/>
      </w:pPr>
      <w:rPr>
        <w:rFonts w:ascii="Wingdings" w:hAnsi="Wingdings" w:hint="default"/>
      </w:rPr>
    </w:lvl>
    <w:lvl w:ilvl="3" w:tplc="AF084B64">
      <w:start w:val="1"/>
      <w:numFmt w:val="bullet"/>
      <w:lvlText w:val=""/>
      <w:lvlJc w:val="left"/>
      <w:pPr>
        <w:ind w:left="2880" w:hanging="360"/>
      </w:pPr>
      <w:rPr>
        <w:rFonts w:ascii="Symbol" w:hAnsi="Symbol" w:hint="default"/>
      </w:rPr>
    </w:lvl>
    <w:lvl w:ilvl="4" w:tplc="D14A9E1E">
      <w:start w:val="1"/>
      <w:numFmt w:val="bullet"/>
      <w:lvlText w:val="o"/>
      <w:lvlJc w:val="left"/>
      <w:pPr>
        <w:ind w:left="3600" w:hanging="360"/>
      </w:pPr>
      <w:rPr>
        <w:rFonts w:ascii="Courier New" w:hAnsi="Courier New" w:hint="default"/>
      </w:rPr>
    </w:lvl>
    <w:lvl w:ilvl="5" w:tplc="8FD0AD1E">
      <w:start w:val="1"/>
      <w:numFmt w:val="bullet"/>
      <w:lvlText w:val=""/>
      <w:lvlJc w:val="left"/>
      <w:pPr>
        <w:ind w:left="4320" w:hanging="360"/>
      </w:pPr>
      <w:rPr>
        <w:rFonts w:ascii="Wingdings" w:hAnsi="Wingdings" w:hint="default"/>
      </w:rPr>
    </w:lvl>
    <w:lvl w:ilvl="6" w:tplc="FAA0717C">
      <w:start w:val="1"/>
      <w:numFmt w:val="bullet"/>
      <w:lvlText w:val=""/>
      <w:lvlJc w:val="left"/>
      <w:pPr>
        <w:ind w:left="5040" w:hanging="360"/>
      </w:pPr>
      <w:rPr>
        <w:rFonts w:ascii="Symbol" w:hAnsi="Symbol" w:hint="default"/>
      </w:rPr>
    </w:lvl>
    <w:lvl w:ilvl="7" w:tplc="FE34C254">
      <w:start w:val="1"/>
      <w:numFmt w:val="bullet"/>
      <w:lvlText w:val="o"/>
      <w:lvlJc w:val="left"/>
      <w:pPr>
        <w:ind w:left="5760" w:hanging="360"/>
      </w:pPr>
      <w:rPr>
        <w:rFonts w:ascii="Courier New" w:hAnsi="Courier New" w:hint="default"/>
      </w:rPr>
    </w:lvl>
    <w:lvl w:ilvl="8" w:tplc="815053A0">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87F"/>
    <w:rsid w:val="000A4737"/>
    <w:rsid w:val="000E3553"/>
    <w:rsid w:val="001457E3"/>
    <w:rsid w:val="00182DE5"/>
    <w:rsid w:val="001F5A7B"/>
    <w:rsid w:val="00303AB7"/>
    <w:rsid w:val="00377C61"/>
    <w:rsid w:val="003B4E6F"/>
    <w:rsid w:val="004572A2"/>
    <w:rsid w:val="004F6CAE"/>
    <w:rsid w:val="00513B72"/>
    <w:rsid w:val="005451D3"/>
    <w:rsid w:val="0076087F"/>
    <w:rsid w:val="008B49A3"/>
    <w:rsid w:val="009A5512"/>
    <w:rsid w:val="009D1FEA"/>
    <w:rsid w:val="00A028A1"/>
    <w:rsid w:val="00AB3987"/>
    <w:rsid w:val="00B55095"/>
    <w:rsid w:val="00B6524A"/>
    <w:rsid w:val="00BF7E30"/>
    <w:rsid w:val="00C3305E"/>
    <w:rsid w:val="00C8009E"/>
    <w:rsid w:val="00D951B4"/>
    <w:rsid w:val="00DB1302"/>
    <w:rsid w:val="00E06686"/>
    <w:rsid w:val="00EC4E01"/>
    <w:rsid w:val="00EE36CD"/>
    <w:rsid w:val="07B9C0A1"/>
    <w:rsid w:val="15886A78"/>
    <w:rsid w:val="19BE6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B0DA04"/>
  <w15:chartTrackingRefBased/>
  <w15:docId w15:val="{E62020EA-4AD5-1F43-8B83-97C9A5C4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E30"/>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eddresearch.blog/2015/03/17/donaldson-review-the-purposes-and-content-of-a-curriculum-for-wales/" TargetMode="External"/><Relationship Id="rId13" Type="http://schemas.openxmlformats.org/officeDocument/2006/relationships/hyperlink" Target="https://doi.org/10.1177/216507999003801203" TargetMode="External"/><Relationship Id="rId3" Type="http://schemas.openxmlformats.org/officeDocument/2006/relationships/settings" Target="settings.xml"/><Relationship Id="rId7" Type="http://schemas.openxmlformats.org/officeDocument/2006/relationships/hyperlink" Target="https://blogs.glowscotland.org.uk/er/public/EastRenfrewshireLAR/uploads/sites/5239/2014/02/Clarifying_and_Sharing_LIs__SC.pdf" TargetMode="External"/><Relationship Id="rId12" Type="http://schemas.openxmlformats.org/officeDocument/2006/relationships/hyperlink" Target="https://www.aqr.org.uk/glossary/hawthorne-effec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ertoolkit.co.uk/wp-content/uploads/2016/03/LeuvenScale_tcm4-735285.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blogs.glowscotland.org.uk/er/public/EastRenfrewshireLAR/uploads/sites/5239/2014/02/Clarifying_and_Sharing_LIs__SC.pdf" TargetMode="External"/><Relationship Id="rId4" Type="http://schemas.openxmlformats.org/officeDocument/2006/relationships/webSettings" Target="webSettings.xml"/><Relationship Id="rId9" Type="http://schemas.openxmlformats.org/officeDocument/2006/relationships/hyperlink" Target="http://lessonstudy.co.uk/wp-content/uploads/2012/03/new-handbook-revisedMay14.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4640</Words>
  <Characters>26448</Characters>
  <Application>Microsoft Office Word</Application>
  <DocSecurity>0</DocSecurity>
  <Lines>220</Lines>
  <Paragraphs>62</Paragraphs>
  <ScaleCrop>false</ScaleCrop>
  <Company/>
  <LinksUpToDate>false</LinksUpToDate>
  <CharactersWithSpaces>31026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Hurley (0951270)</dc:creator>
  <cp:keywords/>
  <dc:description/>
  <cp:lastModifiedBy>Karin Hurley (0951270)</cp:lastModifiedBy>
  <cp:revision>3</cp:revision>
  <dcterms:created xsi:type="dcterms:W3CDTF">2020-02-20T00:02:00Z</dcterms:created>
  <dcterms:modified xsi:type="dcterms:W3CDTF">2020-02-20T00:09:00Z</dcterms:modified>
</cp:coreProperties>
</file>