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9B0807" w14:textId="77777777" w:rsidR="00541D4F" w:rsidRDefault="00541D4F" w:rsidP="00541D4F">
      <w:pPr>
        <w:jc w:val="center"/>
      </w:pPr>
    </w:p>
    <w:p w14:paraId="3A6668DD" w14:textId="77777777" w:rsidR="00541D4F" w:rsidRDefault="00541D4F" w:rsidP="00541D4F">
      <w:pPr>
        <w:jc w:val="center"/>
      </w:pPr>
    </w:p>
    <w:p w14:paraId="587437F0" w14:textId="77777777" w:rsidR="00541D4F" w:rsidRDefault="00541D4F" w:rsidP="00541D4F">
      <w:pPr>
        <w:jc w:val="center"/>
      </w:pPr>
    </w:p>
    <w:p w14:paraId="04567276" w14:textId="77777777" w:rsidR="00541D4F" w:rsidRDefault="00541D4F" w:rsidP="00541D4F">
      <w:pPr>
        <w:jc w:val="center"/>
      </w:pPr>
    </w:p>
    <w:p w14:paraId="3D1E3BA5" w14:textId="77777777" w:rsidR="00541D4F" w:rsidRDefault="00541D4F" w:rsidP="00541D4F">
      <w:pPr>
        <w:jc w:val="center"/>
      </w:pPr>
    </w:p>
    <w:p w14:paraId="5E6A4A47" w14:textId="77777777" w:rsidR="00541D4F" w:rsidRDefault="00541D4F" w:rsidP="00541D4F">
      <w:pPr>
        <w:jc w:val="center"/>
      </w:pPr>
    </w:p>
    <w:p w14:paraId="3EEA202E" w14:textId="77777777" w:rsidR="00541D4F" w:rsidRDefault="00541D4F" w:rsidP="00541D4F">
      <w:pPr>
        <w:jc w:val="center"/>
      </w:pPr>
    </w:p>
    <w:p w14:paraId="7E206276" w14:textId="747D1FD1" w:rsidR="00541D4F" w:rsidRDefault="00E76FD9" w:rsidP="00541D4F">
      <w:pPr>
        <w:jc w:val="center"/>
      </w:pPr>
      <w:r>
        <w:rPr>
          <w:noProof/>
        </w:rPr>
        <w:drawing>
          <wp:inline distT="0" distB="0" distL="0" distR="0" wp14:anchorId="20A7AB0A" wp14:editId="2FB86D70">
            <wp:extent cx="5524500" cy="2762250"/>
            <wp:effectExtent l="0" t="0" r="0" b="0"/>
            <wp:docPr id="99421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24500" cy="2762250"/>
                    </a:xfrm>
                    <a:prstGeom prst="rect">
                      <a:avLst/>
                    </a:prstGeom>
                    <a:noFill/>
                  </pic:spPr>
                </pic:pic>
              </a:graphicData>
            </a:graphic>
          </wp:inline>
        </w:drawing>
      </w:r>
    </w:p>
    <w:p w14:paraId="109A0D6D" w14:textId="77777777" w:rsidR="00541D4F" w:rsidRDefault="00541D4F" w:rsidP="00541D4F">
      <w:pPr>
        <w:jc w:val="center"/>
      </w:pPr>
    </w:p>
    <w:p w14:paraId="3EFD1C5B" w14:textId="77777777" w:rsidR="00541D4F" w:rsidRDefault="00541D4F" w:rsidP="00541D4F">
      <w:pPr>
        <w:jc w:val="center"/>
      </w:pPr>
    </w:p>
    <w:p w14:paraId="16335880" w14:textId="77777777" w:rsidR="00541D4F" w:rsidRDefault="00541D4F" w:rsidP="00541D4F">
      <w:pPr>
        <w:jc w:val="center"/>
      </w:pPr>
    </w:p>
    <w:p w14:paraId="2EBD25C5" w14:textId="77777777" w:rsidR="00541D4F" w:rsidRDefault="00541D4F" w:rsidP="00541D4F">
      <w:pPr>
        <w:jc w:val="center"/>
      </w:pPr>
    </w:p>
    <w:p w14:paraId="5CF400C7" w14:textId="77777777" w:rsidR="00050F5F" w:rsidRDefault="00541D4F" w:rsidP="00050F5F">
      <w:pPr>
        <w:jc w:val="center"/>
        <w:rPr>
          <w:sz w:val="56"/>
          <w:szCs w:val="56"/>
        </w:rPr>
      </w:pPr>
      <w:r w:rsidRPr="00050F5F">
        <w:rPr>
          <w:sz w:val="56"/>
          <w:szCs w:val="56"/>
        </w:rPr>
        <w:t>Human Resource Management</w:t>
      </w:r>
    </w:p>
    <w:p w14:paraId="1FA17DF4" w14:textId="545506D5" w:rsidR="00541D4F" w:rsidRDefault="00541D4F" w:rsidP="00050F5F">
      <w:pPr>
        <w:jc w:val="center"/>
        <w:rPr>
          <w:sz w:val="36"/>
          <w:szCs w:val="36"/>
        </w:rPr>
      </w:pPr>
      <w:r w:rsidRPr="00050F5F">
        <w:rPr>
          <w:sz w:val="36"/>
          <w:szCs w:val="36"/>
        </w:rPr>
        <w:t>LCMB7000</w:t>
      </w:r>
    </w:p>
    <w:p w14:paraId="727FBA0D" w14:textId="62D5B1DF" w:rsidR="00050F5F" w:rsidRDefault="00852CDA" w:rsidP="00050F5F">
      <w:pPr>
        <w:jc w:val="center"/>
        <w:rPr>
          <w:sz w:val="44"/>
          <w:szCs w:val="44"/>
        </w:rPr>
      </w:pPr>
      <w:r>
        <w:rPr>
          <w:sz w:val="44"/>
          <w:szCs w:val="44"/>
        </w:rPr>
        <w:lastRenderedPageBreak/>
        <w:t>Student Name</w:t>
      </w:r>
      <w:r w:rsidR="00403835">
        <w:rPr>
          <w:sz w:val="44"/>
          <w:szCs w:val="44"/>
        </w:rPr>
        <w:t xml:space="preserve">: Riya Bhatt </w:t>
      </w:r>
    </w:p>
    <w:p w14:paraId="4ABC0DFD" w14:textId="6CA7EC02" w:rsidR="00403835" w:rsidRDefault="00131095" w:rsidP="00131095">
      <w:pPr>
        <w:rPr>
          <w:sz w:val="44"/>
          <w:szCs w:val="44"/>
        </w:rPr>
      </w:pPr>
      <w:r>
        <w:rPr>
          <w:sz w:val="44"/>
          <w:szCs w:val="44"/>
        </w:rPr>
        <w:t xml:space="preserve">                     </w:t>
      </w:r>
      <w:r w:rsidR="00403835">
        <w:rPr>
          <w:sz w:val="44"/>
          <w:szCs w:val="44"/>
        </w:rPr>
        <w:t>Student Id</w:t>
      </w:r>
      <w:r w:rsidR="00EF1B02">
        <w:rPr>
          <w:sz w:val="44"/>
          <w:szCs w:val="44"/>
        </w:rPr>
        <w:t>: 2223984</w:t>
      </w:r>
    </w:p>
    <w:p w14:paraId="2F474ADC" w14:textId="7A896C3A" w:rsidR="00EF1B02" w:rsidRDefault="00131095" w:rsidP="00050F5F">
      <w:pPr>
        <w:jc w:val="center"/>
        <w:rPr>
          <w:sz w:val="44"/>
          <w:szCs w:val="44"/>
        </w:rPr>
      </w:pPr>
      <w:r>
        <w:rPr>
          <w:sz w:val="44"/>
          <w:szCs w:val="44"/>
        </w:rPr>
        <w:t xml:space="preserve">             </w:t>
      </w:r>
      <w:r w:rsidR="00871806">
        <w:rPr>
          <w:sz w:val="44"/>
          <w:szCs w:val="44"/>
        </w:rPr>
        <w:t xml:space="preserve"> </w:t>
      </w:r>
      <w:r>
        <w:rPr>
          <w:sz w:val="44"/>
          <w:szCs w:val="44"/>
        </w:rPr>
        <w:t xml:space="preserve"> </w:t>
      </w:r>
      <w:r w:rsidR="00EF1B02">
        <w:rPr>
          <w:sz w:val="44"/>
          <w:szCs w:val="44"/>
        </w:rPr>
        <w:t>Lecturer</w:t>
      </w:r>
      <w:r w:rsidR="00A35E9F">
        <w:rPr>
          <w:sz w:val="44"/>
          <w:szCs w:val="44"/>
        </w:rPr>
        <w:t xml:space="preserve">’s Name: </w:t>
      </w:r>
      <w:r w:rsidR="00FF4E07">
        <w:rPr>
          <w:sz w:val="44"/>
          <w:szCs w:val="44"/>
        </w:rPr>
        <w:t>Mushfiqur Kulothungan</w:t>
      </w:r>
    </w:p>
    <w:p w14:paraId="2CD0BD48" w14:textId="77777777" w:rsidR="00871806" w:rsidRPr="00852CDA" w:rsidRDefault="00871806" w:rsidP="00050F5F">
      <w:pPr>
        <w:jc w:val="center"/>
        <w:rPr>
          <w:sz w:val="44"/>
          <w:szCs w:val="44"/>
        </w:rPr>
      </w:pPr>
    </w:p>
    <w:p w14:paraId="34A4C082" w14:textId="2F7A022F" w:rsidR="00541D4F" w:rsidRDefault="00541D4F" w:rsidP="00541D4F">
      <w:pPr>
        <w:jc w:val="center"/>
      </w:pPr>
    </w:p>
    <w:p w14:paraId="76B29F6F" w14:textId="3D9B67C6" w:rsidR="00541D4F" w:rsidRDefault="00541D4F">
      <w:pPr>
        <w:widowControl/>
        <w:autoSpaceDE/>
        <w:autoSpaceDN/>
        <w:spacing w:after="160" w:line="259" w:lineRule="auto"/>
        <w:jc w:val="left"/>
      </w:pPr>
      <w:r>
        <w:br w:type="page"/>
      </w:r>
    </w:p>
    <w:sdt>
      <w:sdtPr>
        <w:rPr>
          <w:rFonts w:ascii="Times New Roman" w:eastAsia="Tahoma" w:hAnsi="Times New Roman" w:cs="Tahoma"/>
          <w:color w:val="auto"/>
          <w:sz w:val="24"/>
          <w:szCs w:val="22"/>
          <w:lang w:val="en-GB"/>
        </w:rPr>
        <w:id w:val="1772439372"/>
        <w:docPartObj>
          <w:docPartGallery w:val="Table of Contents"/>
          <w:docPartUnique/>
        </w:docPartObj>
      </w:sdtPr>
      <w:sdtEndPr>
        <w:rPr>
          <w:b/>
          <w:bCs/>
        </w:rPr>
      </w:sdtEndPr>
      <w:sdtContent>
        <w:p w14:paraId="3E079D86" w14:textId="79C81A2E" w:rsidR="00262A3A" w:rsidRDefault="00262A3A">
          <w:pPr>
            <w:pStyle w:val="TOCHeading"/>
          </w:pPr>
          <w:r>
            <w:rPr>
              <w:lang w:val="en-GB"/>
            </w:rPr>
            <w:t>Contents</w:t>
          </w:r>
        </w:p>
        <w:p w14:paraId="29DF0B89" w14:textId="4872DABF" w:rsidR="00262A3A" w:rsidRDefault="00262A3A">
          <w:pPr>
            <w:pStyle w:val="TOC1"/>
            <w:tabs>
              <w:tab w:val="right" w:leader="dot" w:pos="9350"/>
            </w:tabs>
            <w:rPr>
              <w:noProof/>
            </w:rPr>
          </w:pPr>
          <w:r>
            <w:fldChar w:fldCharType="begin"/>
          </w:r>
          <w:r>
            <w:instrText xml:space="preserve"> TOC \o "1-3" \h \z \u </w:instrText>
          </w:r>
          <w:r>
            <w:fldChar w:fldCharType="separate"/>
          </w:r>
          <w:hyperlink w:anchor="_Toc131881336" w:history="1">
            <w:r w:rsidRPr="00DE6886">
              <w:rPr>
                <w:rStyle w:val="Hyperlink"/>
                <w:noProof/>
              </w:rPr>
              <w:t>Introduction</w:t>
            </w:r>
            <w:r>
              <w:rPr>
                <w:noProof/>
                <w:webHidden/>
              </w:rPr>
              <w:tab/>
            </w:r>
            <w:r>
              <w:rPr>
                <w:noProof/>
                <w:webHidden/>
              </w:rPr>
              <w:fldChar w:fldCharType="begin"/>
            </w:r>
            <w:r>
              <w:rPr>
                <w:noProof/>
                <w:webHidden/>
              </w:rPr>
              <w:instrText xml:space="preserve"> PAGEREF _Toc131881336 \h </w:instrText>
            </w:r>
            <w:r>
              <w:rPr>
                <w:noProof/>
                <w:webHidden/>
              </w:rPr>
            </w:r>
            <w:r>
              <w:rPr>
                <w:noProof/>
                <w:webHidden/>
              </w:rPr>
              <w:fldChar w:fldCharType="separate"/>
            </w:r>
            <w:r>
              <w:rPr>
                <w:noProof/>
                <w:webHidden/>
              </w:rPr>
              <w:t>2</w:t>
            </w:r>
            <w:r>
              <w:rPr>
                <w:noProof/>
                <w:webHidden/>
              </w:rPr>
              <w:fldChar w:fldCharType="end"/>
            </w:r>
          </w:hyperlink>
        </w:p>
        <w:p w14:paraId="6CCA403D" w14:textId="137521C3" w:rsidR="00262A3A" w:rsidRDefault="00E76FD9">
          <w:pPr>
            <w:pStyle w:val="TOC1"/>
            <w:tabs>
              <w:tab w:val="right" w:leader="dot" w:pos="9350"/>
            </w:tabs>
            <w:rPr>
              <w:noProof/>
            </w:rPr>
          </w:pPr>
          <w:hyperlink w:anchor="_Toc131881337" w:history="1">
            <w:r w:rsidR="00262A3A" w:rsidRPr="00DE6886">
              <w:rPr>
                <w:rStyle w:val="Hyperlink"/>
                <w:noProof/>
              </w:rPr>
              <w:t>Current state of the labor market in the UK</w:t>
            </w:r>
            <w:r w:rsidR="00262A3A">
              <w:rPr>
                <w:noProof/>
                <w:webHidden/>
              </w:rPr>
              <w:tab/>
            </w:r>
            <w:r w:rsidR="00262A3A">
              <w:rPr>
                <w:noProof/>
                <w:webHidden/>
              </w:rPr>
              <w:fldChar w:fldCharType="begin"/>
            </w:r>
            <w:r w:rsidR="00262A3A">
              <w:rPr>
                <w:noProof/>
                <w:webHidden/>
              </w:rPr>
              <w:instrText xml:space="preserve"> PAGEREF _Toc131881337 \h </w:instrText>
            </w:r>
            <w:r w:rsidR="00262A3A">
              <w:rPr>
                <w:noProof/>
                <w:webHidden/>
              </w:rPr>
            </w:r>
            <w:r w:rsidR="00262A3A">
              <w:rPr>
                <w:noProof/>
                <w:webHidden/>
              </w:rPr>
              <w:fldChar w:fldCharType="separate"/>
            </w:r>
            <w:r w:rsidR="00262A3A">
              <w:rPr>
                <w:noProof/>
                <w:webHidden/>
              </w:rPr>
              <w:t>2</w:t>
            </w:r>
            <w:r w:rsidR="00262A3A">
              <w:rPr>
                <w:noProof/>
                <w:webHidden/>
              </w:rPr>
              <w:fldChar w:fldCharType="end"/>
            </w:r>
          </w:hyperlink>
        </w:p>
        <w:p w14:paraId="260F4A37" w14:textId="7BD4D3F9" w:rsidR="00262A3A" w:rsidRDefault="00E76FD9">
          <w:pPr>
            <w:pStyle w:val="TOC1"/>
            <w:tabs>
              <w:tab w:val="right" w:leader="dot" w:pos="9350"/>
            </w:tabs>
            <w:rPr>
              <w:noProof/>
            </w:rPr>
          </w:pPr>
          <w:hyperlink w:anchor="_Toc131881338" w:history="1">
            <w:r w:rsidR="00262A3A" w:rsidRPr="00DE6886">
              <w:rPr>
                <w:rStyle w:val="Hyperlink"/>
                <w:rFonts w:eastAsia="Times New Roman"/>
                <w:noProof/>
              </w:rPr>
              <w:t>Human Resourcing Strategies in the post covid</w:t>
            </w:r>
            <w:r w:rsidR="00262A3A">
              <w:rPr>
                <w:noProof/>
                <w:webHidden/>
              </w:rPr>
              <w:tab/>
            </w:r>
            <w:r w:rsidR="00262A3A">
              <w:rPr>
                <w:noProof/>
                <w:webHidden/>
              </w:rPr>
              <w:fldChar w:fldCharType="begin"/>
            </w:r>
            <w:r w:rsidR="00262A3A">
              <w:rPr>
                <w:noProof/>
                <w:webHidden/>
              </w:rPr>
              <w:instrText xml:space="preserve"> PAGEREF _Toc131881338 \h </w:instrText>
            </w:r>
            <w:r w:rsidR="00262A3A">
              <w:rPr>
                <w:noProof/>
                <w:webHidden/>
              </w:rPr>
            </w:r>
            <w:r w:rsidR="00262A3A">
              <w:rPr>
                <w:noProof/>
                <w:webHidden/>
              </w:rPr>
              <w:fldChar w:fldCharType="separate"/>
            </w:r>
            <w:r w:rsidR="00262A3A">
              <w:rPr>
                <w:noProof/>
                <w:webHidden/>
              </w:rPr>
              <w:t>5</w:t>
            </w:r>
            <w:r w:rsidR="00262A3A">
              <w:rPr>
                <w:noProof/>
                <w:webHidden/>
              </w:rPr>
              <w:fldChar w:fldCharType="end"/>
            </w:r>
          </w:hyperlink>
        </w:p>
        <w:p w14:paraId="339EE2BE" w14:textId="0B00E7A0" w:rsidR="00262A3A" w:rsidRDefault="00E76FD9">
          <w:pPr>
            <w:pStyle w:val="TOC1"/>
            <w:tabs>
              <w:tab w:val="right" w:leader="dot" w:pos="9350"/>
            </w:tabs>
            <w:rPr>
              <w:noProof/>
            </w:rPr>
          </w:pPr>
          <w:hyperlink w:anchor="_Toc131881339" w:history="1">
            <w:r w:rsidR="00262A3A" w:rsidRPr="00DE6886">
              <w:rPr>
                <w:rStyle w:val="Hyperlink"/>
                <w:rFonts w:eastAsia="Times New Roman"/>
                <w:noProof/>
              </w:rPr>
              <w:t>Human Resourcing strategies in the post-Brexit External environment</w:t>
            </w:r>
            <w:r w:rsidR="00262A3A">
              <w:rPr>
                <w:noProof/>
                <w:webHidden/>
              </w:rPr>
              <w:tab/>
            </w:r>
            <w:r w:rsidR="00262A3A">
              <w:rPr>
                <w:noProof/>
                <w:webHidden/>
              </w:rPr>
              <w:fldChar w:fldCharType="begin"/>
            </w:r>
            <w:r w:rsidR="00262A3A">
              <w:rPr>
                <w:noProof/>
                <w:webHidden/>
              </w:rPr>
              <w:instrText xml:space="preserve"> PAGEREF _Toc131881339 \h </w:instrText>
            </w:r>
            <w:r w:rsidR="00262A3A">
              <w:rPr>
                <w:noProof/>
                <w:webHidden/>
              </w:rPr>
            </w:r>
            <w:r w:rsidR="00262A3A">
              <w:rPr>
                <w:noProof/>
                <w:webHidden/>
              </w:rPr>
              <w:fldChar w:fldCharType="separate"/>
            </w:r>
            <w:r w:rsidR="00262A3A">
              <w:rPr>
                <w:noProof/>
                <w:webHidden/>
              </w:rPr>
              <w:t>7</w:t>
            </w:r>
            <w:r w:rsidR="00262A3A">
              <w:rPr>
                <w:noProof/>
                <w:webHidden/>
              </w:rPr>
              <w:fldChar w:fldCharType="end"/>
            </w:r>
          </w:hyperlink>
        </w:p>
        <w:p w14:paraId="716D66CA" w14:textId="707AA118" w:rsidR="00262A3A" w:rsidRDefault="00E76FD9">
          <w:pPr>
            <w:pStyle w:val="TOC1"/>
            <w:tabs>
              <w:tab w:val="right" w:leader="dot" w:pos="9350"/>
            </w:tabs>
            <w:rPr>
              <w:noProof/>
            </w:rPr>
          </w:pPr>
          <w:hyperlink w:anchor="_Toc131881340" w:history="1">
            <w:r w:rsidR="00262A3A" w:rsidRPr="00DE6886">
              <w:rPr>
                <w:rStyle w:val="Hyperlink"/>
                <w:noProof/>
              </w:rPr>
              <w:t>Conclusion</w:t>
            </w:r>
            <w:r w:rsidR="00262A3A">
              <w:rPr>
                <w:noProof/>
                <w:webHidden/>
              </w:rPr>
              <w:tab/>
            </w:r>
            <w:r w:rsidR="00262A3A">
              <w:rPr>
                <w:noProof/>
                <w:webHidden/>
              </w:rPr>
              <w:fldChar w:fldCharType="begin"/>
            </w:r>
            <w:r w:rsidR="00262A3A">
              <w:rPr>
                <w:noProof/>
                <w:webHidden/>
              </w:rPr>
              <w:instrText xml:space="preserve"> PAGEREF _Toc131881340 \h </w:instrText>
            </w:r>
            <w:r w:rsidR="00262A3A">
              <w:rPr>
                <w:noProof/>
                <w:webHidden/>
              </w:rPr>
            </w:r>
            <w:r w:rsidR="00262A3A">
              <w:rPr>
                <w:noProof/>
                <w:webHidden/>
              </w:rPr>
              <w:fldChar w:fldCharType="separate"/>
            </w:r>
            <w:r w:rsidR="00262A3A">
              <w:rPr>
                <w:noProof/>
                <w:webHidden/>
              </w:rPr>
              <w:t>9</w:t>
            </w:r>
            <w:r w:rsidR="00262A3A">
              <w:rPr>
                <w:noProof/>
                <w:webHidden/>
              </w:rPr>
              <w:fldChar w:fldCharType="end"/>
            </w:r>
          </w:hyperlink>
        </w:p>
        <w:p w14:paraId="0D0D5670" w14:textId="064B7309" w:rsidR="00262A3A" w:rsidRDefault="00E76FD9">
          <w:pPr>
            <w:pStyle w:val="TOC1"/>
            <w:tabs>
              <w:tab w:val="right" w:leader="dot" w:pos="9350"/>
            </w:tabs>
            <w:rPr>
              <w:noProof/>
            </w:rPr>
          </w:pPr>
          <w:hyperlink w:anchor="_Toc131881341" w:history="1">
            <w:r w:rsidR="00262A3A" w:rsidRPr="00DE6886">
              <w:rPr>
                <w:rStyle w:val="Hyperlink"/>
                <w:noProof/>
              </w:rPr>
              <w:t>References</w:t>
            </w:r>
            <w:r w:rsidR="00262A3A">
              <w:rPr>
                <w:noProof/>
                <w:webHidden/>
              </w:rPr>
              <w:tab/>
            </w:r>
            <w:r w:rsidR="00262A3A">
              <w:rPr>
                <w:noProof/>
                <w:webHidden/>
              </w:rPr>
              <w:fldChar w:fldCharType="begin"/>
            </w:r>
            <w:r w:rsidR="00262A3A">
              <w:rPr>
                <w:noProof/>
                <w:webHidden/>
              </w:rPr>
              <w:instrText xml:space="preserve"> PAGEREF _Toc131881341 \h </w:instrText>
            </w:r>
            <w:r w:rsidR="00262A3A">
              <w:rPr>
                <w:noProof/>
                <w:webHidden/>
              </w:rPr>
            </w:r>
            <w:r w:rsidR="00262A3A">
              <w:rPr>
                <w:noProof/>
                <w:webHidden/>
              </w:rPr>
              <w:fldChar w:fldCharType="separate"/>
            </w:r>
            <w:r w:rsidR="00262A3A">
              <w:rPr>
                <w:noProof/>
                <w:webHidden/>
              </w:rPr>
              <w:t>10</w:t>
            </w:r>
            <w:r w:rsidR="00262A3A">
              <w:rPr>
                <w:noProof/>
                <w:webHidden/>
              </w:rPr>
              <w:fldChar w:fldCharType="end"/>
            </w:r>
          </w:hyperlink>
        </w:p>
        <w:p w14:paraId="4532E396" w14:textId="1788E50E" w:rsidR="00262A3A" w:rsidRDefault="00262A3A">
          <w:r>
            <w:rPr>
              <w:b/>
              <w:bCs/>
              <w:lang w:val="en-GB"/>
            </w:rPr>
            <w:fldChar w:fldCharType="end"/>
          </w:r>
        </w:p>
      </w:sdtContent>
    </w:sdt>
    <w:p w14:paraId="33AE3F46" w14:textId="10E0C633" w:rsidR="00262A3A" w:rsidRDefault="00262A3A">
      <w:pPr>
        <w:widowControl/>
        <w:autoSpaceDE/>
        <w:autoSpaceDN/>
        <w:spacing w:after="160" w:line="259" w:lineRule="auto"/>
        <w:jc w:val="left"/>
        <w:rPr>
          <w:rFonts w:eastAsiaTheme="majorEastAsia" w:cstheme="majorBidi"/>
          <w:b/>
          <w:color w:val="2F5496" w:themeColor="accent1" w:themeShade="BF"/>
          <w:szCs w:val="32"/>
        </w:rPr>
      </w:pPr>
      <w:r>
        <w:br w:type="page"/>
      </w:r>
    </w:p>
    <w:p w14:paraId="0DE8F9EA" w14:textId="2F3231D3" w:rsidR="00541D4F" w:rsidRDefault="00905026" w:rsidP="00905026">
      <w:pPr>
        <w:pStyle w:val="Heading1"/>
      </w:pPr>
      <w:bookmarkStart w:id="0" w:name="_Toc131881336"/>
      <w:r>
        <w:lastRenderedPageBreak/>
        <w:t>Introduction</w:t>
      </w:r>
      <w:bookmarkEnd w:id="0"/>
    </w:p>
    <w:p w14:paraId="4FBF6630" w14:textId="01EAC3F5" w:rsidR="00905026" w:rsidRDefault="00905026" w:rsidP="00905026">
      <w:r w:rsidRPr="00905026">
        <w:t>Human resource management, or HRM, is the standard method for managing an organization's human resources, including the recruitment, selection, and retention of workers; the provision of guidance; the influence of arrangement and improvement; the evaluation of agents' presence; the selection of pay and benefits; the encouragement of workers; the maintenance of genuine relationships between workers and their specialist organizations; the provision of government assistance and sound assessments in compliances with work customs that must be adhered to; and so on (Stone et al., 2020). Human resource management (HRM) is the department in an organization responsible for overseeing all employee-related matters, including but not limited to: human resource planning and administration; human resource assessment; recruitment; planning and executing upcoming employee meetings; HR quality assurance; employee orientation; and employee benefits. Employee benefits and incentives, performance reviews, career planning, zero tolerance for sexual harassment and other forms of workplace abuse, workplace safety, resource analysis, and compliance with local, state, and federal employment regulations are all responsibilities of an employer. One full-time, competent human resources professional for every one hundred sales representatives is an incontrovertible guideline for HR staffing basics. Factors such as the centralization of human resources, the location of the specialists they serve, the expertise of their delegated representatives, and the complexity of the organization as a whole may all affect the company's true size (</w:t>
      </w:r>
      <w:proofErr w:type="spellStart"/>
      <w:r w:rsidRPr="00905026">
        <w:t>Stoneet</w:t>
      </w:r>
      <w:proofErr w:type="spellEnd"/>
      <w:r w:rsidRPr="00905026">
        <w:t xml:space="preserve"> al., 2020).</w:t>
      </w:r>
    </w:p>
    <w:p w14:paraId="266C3F15" w14:textId="44275837" w:rsidR="00905026" w:rsidRDefault="007747A7" w:rsidP="007747A7">
      <w:pPr>
        <w:pStyle w:val="Heading1"/>
      </w:pPr>
      <w:bookmarkStart w:id="1" w:name="_Toc131881337"/>
      <w:r w:rsidRPr="007747A7">
        <w:t>Current state of the labor market in the UK</w:t>
      </w:r>
      <w:bookmarkEnd w:id="1"/>
    </w:p>
    <w:p w14:paraId="3470064E" w14:textId="05C9F18F" w:rsidR="002E1F1D" w:rsidRPr="002E1F1D" w:rsidRDefault="006A1998" w:rsidP="002E1F1D">
      <w:r w:rsidRPr="006A1998">
        <w:t xml:space="preserve">The UK government's reforms to the labor market beginning in 1979 are often portrayed as a "freedom" approach meant to foster a "versatile" labor market. Although the United Kingdom's labor market was deregulated relative to those of other European nations in 1979, it is by no means </w:t>
      </w:r>
      <w:r w:rsidRPr="006A1998">
        <w:lastRenderedPageBreak/>
        <w:t xml:space="preserve">evident that subsequent labor market strategies have progressively increased workers' independence (Boon et al., 2019). This research may provide new light on the discussion taking place inside the EU about the directions in which </w:t>
      </w:r>
      <w:proofErr w:type="spellStart"/>
      <w:r w:rsidRPr="006A1998">
        <w:t>workmarket</w:t>
      </w:r>
      <w:proofErr w:type="spellEnd"/>
      <w:r w:rsidRPr="006A1998">
        <w:t xml:space="preserve"> methodology should go since the UK labor market's experience does not seem to be in line with those of other EU member states. The UK business rate rose by 0.2 percentage points during the quarter, reaching 75.6%, although this is still lower than it was before the Covid epidemic. Although the number of full-time delegates rose to an all-time high throughout the quarter, this was more than offset by a fall in the number of contract workers. As of the end of the third quarter, the employment rate for Britons aged 15 to 65 had dropped by 0.1 percentage points to 74.5%, which is still lower than it was before the Covid epidemic (Boon et al., 2019). Nonetheless, the number of 16-plus-year-olds in the labor force grew by 161,000 over the quarter. During the most recent multi-month term, there was an increase in the number of full-time representatives. But the number of people working part-time has grown during the last three months. For May 2022, the most reliable count of pay rolling delegates indicates a steady growth, from 29.5 million in April 2022 (after being recalculated) to a new high of 29.6 million in May 2022. (Boon et al., 2019). In February and April of 2022, the number of weeks with a real big number of hours worked increased by 12.2 million hours, to 1.04 billion hours. In any event, this is 7.6 million less than before the </w:t>
      </w:r>
      <w:proofErr w:type="spellStart"/>
      <w:r w:rsidRPr="006A1998">
        <w:t>Covidian</w:t>
      </w:r>
      <w:proofErr w:type="spellEnd"/>
      <w:r w:rsidRPr="006A1998">
        <w:t xml:space="preserve"> epidemic. Normal workweeks have restored to pre-Covid levels, with the usual hours worked by short specialists being 0.6 hours more than they were before the epidemic. Because of this, businesses are operating with fewer people and fewer full-time employees than they did before Covid. From February to April 2022, the unemployment rate fell by 0.2 percentage points, to 3.8%. The last three-month period had the largest increase in the number of unemployed people who had been out of work for at least six months since late 2020. (Boon et al., 2019). Nevertheless, this was countered by historic drops in </w:t>
      </w:r>
      <w:r w:rsidRPr="006A1998">
        <w:lastRenderedPageBreak/>
        <w:t xml:space="preserve">the long-term unemployed; the number of those who had been looking for work for more than seven months fell to a record low. The number of those who had been unemployed for more than a year also continued to fall. The rate of economic inactivity fell by 0.1 percentage points from February to April 2022, reaching 21.3%. (Boon et al., 2019). Those who are financially inactive due to lack of education drove the decline in financial idling during the last three months. As compared to other European nations, the UK job market weathered the Great Recession very successfully. The unemployment rate rose by around three percentage points, fell to a manageable level very quickly, and has been below its pre-recession low since sometime in 2016. The other side of this instance of disease victory is a plateau in professional development and compensation. While productivity gains had been steady at roughly 2% per year before to the crisis, they have now slowed to a crawl. The combined impact of this and Brexit's fallout pose serious challenges for the British administration (Boon et al., 2019). While the United Kingdom is a member of the European Union (EU), its labor market has long been considered the most "American" of Europe's. Workers in the UK rank worst in Europe when it comes to the </w:t>
      </w:r>
      <w:proofErr w:type="gramStart"/>
      <w:r w:rsidRPr="006A1998">
        <w:t>importance</w:t>
      </w:r>
      <w:proofErr w:type="gramEnd"/>
      <w:r w:rsidRPr="006A1998">
        <w:t xml:space="preserve"> they place on job stability. The United States, Canada, and New Zealand are among the few developed nations that provide their citizens with less security guarantees than the rest of the world (Ngoc </w:t>
      </w:r>
      <w:proofErr w:type="spellStart"/>
      <w:r w:rsidRPr="006A1998">
        <w:t>Su</w:t>
      </w:r>
      <w:proofErr w:type="spellEnd"/>
      <w:r w:rsidRPr="006A1998">
        <w:t xml:space="preserve"> et al., 2021). That the United Kingdom has long been a desirable migration destination for people of average and above-average intelligence is another undeniable feature. The reduction in long-term unemployment is a major concern for both financial professionals and governments. Long-term unemployment may indicate problems in labor market institutions and the need for reform, whereas short-term unemployment is a significant indication of the redistribution of ability within the labor market. Long-term unemployment has serious societal consequences because a disproportionate number of individuals bear the brunt of a recession (Ngoc </w:t>
      </w:r>
      <w:proofErr w:type="spellStart"/>
      <w:r w:rsidRPr="006A1998">
        <w:t>Su</w:t>
      </w:r>
      <w:proofErr w:type="spellEnd"/>
      <w:r w:rsidRPr="006A1998">
        <w:t xml:space="preserve"> et al., 2021). It's a </w:t>
      </w:r>
      <w:r w:rsidRPr="006A1998">
        <w:lastRenderedPageBreak/>
        <w:t xml:space="preserve">major contributor to poverty and negatively affects people's mental and physical health. In addition, if workers are cut off from the labor market for an extended period of time, their human resources may deteriorate, making it much more difficult for them to acquire a new line of work in the future. This might set off a feedback loop that accelerates the underlying rate of joblessness. Around 40% of UK unemployed workers during recovery had been jobless for over a year (Ngoc </w:t>
      </w:r>
      <w:proofErr w:type="spellStart"/>
      <w:r w:rsidRPr="006A1998">
        <w:t>Su</w:t>
      </w:r>
      <w:proofErr w:type="spellEnd"/>
      <w:r w:rsidRPr="006A1998">
        <w:t xml:space="preserve"> et al., 2021). Yet, when compared to other European countries, this figure pales in significance. Long- and very long-term unemployment rates in the EA18 were almost 20 percentage points higher than in the UK. Long-term unemployment in the EA18 is just recently returning to pre-downturn levels, whereas in the UK long-term unemployment started declining again in 2013 and settled around 2017. Unemployment among young workers is particularly worrisome since it portends higher overall unemployment rates in the future. High unemployment among the young may be a warning sign for the economy as a whole since unemployed youngsters are less likely to continue their education or get work-related experience (Boon et al., 2019).</w:t>
      </w:r>
    </w:p>
    <w:p w14:paraId="5D4BE89B" w14:textId="3A5A3DE8" w:rsidR="002E1F1D" w:rsidRDefault="002E1F1D" w:rsidP="002E1F1D">
      <w:pPr>
        <w:pStyle w:val="Heading1"/>
        <w:rPr>
          <w:rFonts w:eastAsia="Times New Roman"/>
        </w:rPr>
      </w:pPr>
      <w:bookmarkStart w:id="2" w:name="_Toc131881338"/>
      <w:r w:rsidRPr="002E1F1D">
        <w:rPr>
          <w:rFonts w:eastAsia="Times New Roman"/>
        </w:rPr>
        <w:t>Human Resourcing Strategies in the post covid</w:t>
      </w:r>
      <w:bookmarkEnd w:id="2"/>
    </w:p>
    <w:p w14:paraId="3305AFF8" w14:textId="1F262FEC" w:rsidR="00A85032" w:rsidRPr="00A85032" w:rsidRDefault="00635DC5" w:rsidP="00A85032">
      <w:r w:rsidRPr="00635DC5">
        <w:t>Human resource strategies are a kind of administrative competence focused on attracting, retaining, and motivating members of an organization's human resources department. It's based on the disaffection of its users. Human resource executives set up organizational frameworks to maximize the effectiveness of their workforce in meeting their organization's goals. includes the strategies, routines, and organizational frameworks that shape how workers perceive, direct, and carry out their work (</w:t>
      </w:r>
      <w:proofErr w:type="spellStart"/>
      <w:r w:rsidRPr="00635DC5">
        <w:t>Mihut</w:t>
      </w:r>
      <w:proofErr w:type="spellEnd"/>
      <w:r w:rsidRPr="00635DC5">
        <w:t xml:space="preserve">, 2021). Human resource management (HRM) is the art of effectively putting people resources (HR) to work toward an organization's objectives. It is the "people side" of business administration, with its own set of practices, procedures, and guidelines that directly affect employees. Organizational HR leadership and management's use of human resource </w:t>
      </w:r>
      <w:r w:rsidRPr="00635DC5">
        <w:lastRenderedPageBreak/>
        <w:t>strategies—including frameworks, cycles, and systems—to increase employees' positive identification with the company's mission and goals (</w:t>
      </w:r>
      <w:proofErr w:type="spellStart"/>
      <w:r w:rsidRPr="00635DC5">
        <w:t>Mihut</w:t>
      </w:r>
      <w:proofErr w:type="spellEnd"/>
      <w:r w:rsidRPr="00635DC5">
        <w:t xml:space="preserve">, 2021). From February 2020, people all across the globe have been infected with a horrific disease called COVID-19, which was caused by </w:t>
      </w:r>
      <w:proofErr w:type="spellStart"/>
      <w:r w:rsidRPr="00635DC5">
        <w:t>Coronainfection</w:t>
      </w:r>
      <w:proofErr w:type="spellEnd"/>
      <w:r w:rsidRPr="00635DC5">
        <w:t xml:space="preserve">. Organizations throughout the world have varying degrees of difficulty in responding to the aftermath of the COVID-19 epidemic (Wachter, 2020). On April 6th, they estimated that 20 million jobs had been eliminated, which is more than were lost throughout the whole of the Great Recession. After COVID - 19 periods, it's likely that the unemployment rate will rise. To say that the COVID19 outbreak is both a challenge for top-level management and an enormous opportunity to promote the kind of trust and accountability that characterize a "Trust-Based" culture. Recognizing and implementing the proper representative tactics and savvy approaches to deal with remote work emerges as the most bothersome and the most important challenge, even if issues might appear at different phases like location, industry, and company growth (Wachter, 2020). Organizations are adapting to the pandemic circumstance by introducing new procedures and hunting for imaginative experts to execute fresh intents to shatter the glass that stands in the way of endurance. In the midst of the current crisis, a forward-thinking organization is the greatest hope for everyone's survival. As a result, workers and customers will benefit from better circumstances. There is a pressing demand for innovation in H-practices (Wachter, 2020). The key to dealing with and overcoming the challenges posed by the pandemic condition is to come up with unique approaches to manage the employees efficiently and effectively to generate the most productivity while assuring representative satisfaction. Human resource management practices will be the most obvious determinant of how employees behave inside organizations and how they respond to the company's responsibility to the success of its business partners (Wachter, 2020). After Covid-19, organizations will need to make significant </w:t>
      </w:r>
      <w:r w:rsidRPr="00635DC5">
        <w:lastRenderedPageBreak/>
        <w:t xml:space="preserve">adjustments to their strategy and methods of operating. They need the dedication of their representatives more than ever to get through this challenging time. Employees may experience feelings of isolation, helplessness, and frustration. Hence, the role of human resources professionals as transition specialists becomes crucial (Wachter, 2020). Standardized methods for cycle, plans, and commitment are difficult to achieve in the face of social upheaval, posing another </w:t>
      </w:r>
      <w:proofErr w:type="spellStart"/>
      <w:r w:rsidRPr="00635DC5">
        <w:t>another</w:t>
      </w:r>
      <w:proofErr w:type="spellEnd"/>
      <w:r w:rsidRPr="00635DC5">
        <w:t xml:space="preserve"> challenge for HR specialists. Given the plethora of challenges, human resources will be the lifeline of any organization and must handle the post-Covid situation with extraordinary caution and steadfastness. These issues are centered on people all over the globe who are affected by the revolutionary shift in HR roles that has occurred after the release of the Covidien study (Wachter, 2020).</w:t>
      </w:r>
    </w:p>
    <w:p w14:paraId="790F7B54" w14:textId="47B1345A" w:rsidR="006A1998" w:rsidRDefault="00A85032" w:rsidP="00A85032">
      <w:pPr>
        <w:pStyle w:val="Heading1"/>
        <w:rPr>
          <w:rFonts w:eastAsia="Times New Roman"/>
        </w:rPr>
      </w:pPr>
      <w:bookmarkStart w:id="3" w:name="_Toc131881339"/>
      <w:r w:rsidRPr="00A85032">
        <w:rPr>
          <w:rFonts w:eastAsia="Times New Roman"/>
        </w:rPr>
        <w:t>Human Resourcing strategies in the post-Brexit External environment</w:t>
      </w:r>
      <w:bookmarkEnd w:id="3"/>
    </w:p>
    <w:p w14:paraId="74323955" w14:textId="1CC3198F" w:rsidR="001315BF" w:rsidRPr="001315BF" w:rsidRDefault="00412E8C" w:rsidP="001315BF">
      <w:r w:rsidRPr="00412E8C">
        <w:t xml:space="preserve">Dealing with Brexit is no easy task. This has been a long time coming, and although everyone is aware that businesses on both sides of the lake have done all in their power to prepare for it, there will inevitably be some unexpected roadblocks to overcome as the process works its way through its actual cycle. When the United Kingdom officially left the European Union on January 30, 2020 (Wachter, 2020), EU citizens already living in the country were given until June 29, 2021 to apply to stay. About a million requests have not been completed as of this writing, out of a total of 6,015,400 that began around June 30, 2021. The level of exposure is mind-boggling, or they understand the responsibilities you, as an HR expert, take on for the sake of the business (Wachter, 2020). Discussions leading up to the requirement focused mostly on public opinion, movement, or cost, with little emphasis on the climate. In the political contest of 2018, none of these things is a given. Yet, the environment has emerged as a major topic as the Brexit series has unfolded since the UK's natural strategy had been greatly influenced by its EU membership (Azizi et al., 2021). </w:t>
      </w:r>
      <w:r w:rsidRPr="00412E8C">
        <w:lastRenderedPageBreak/>
        <w:t xml:space="preserve">According to a recent government poll on the likely effects of Brexit on departments, 79% of the Department of Environment, Food, and Rural Affairs' activity has some connection to the European Union. A number of studies have acknowledged the complexity of localizing the natural acquis and the associated administrative framework, and they have raised serious concerns about the potential unintended or long-term consequences of Brexit on the UK's climate policy. The choice to attack EU </w:t>
      </w:r>
      <w:proofErr w:type="spellStart"/>
      <w:r w:rsidRPr="00412E8C">
        <w:t>naturalguidelines</w:t>
      </w:r>
      <w:proofErr w:type="spellEnd"/>
      <w:r w:rsidRPr="00412E8C">
        <w:t>, which have been called "green tape," might have far-reaching party-political repercussions, as could the possibility of coupling euro-cynicism with hostility to the environment. This shift has politicized ecological strategy in ways that might undermine long-term vital preparedness and security, both of which are essential if important goals like decarbonization are to be achieved (Azizi et al., 2021). The concept of natural strategy as a decrepit approach area also raises crucial broader holy questions about the relationship between Westminster and the backwards nations. There is reason to believe that the eventual consequences of the Brexit cycle will have negative repercussions for UK natural policy, even if there is still considerable uncertainty about those results (</w:t>
      </w:r>
      <w:proofErr w:type="spellStart"/>
      <w:r w:rsidRPr="00412E8C">
        <w:t>Fitriyani</w:t>
      </w:r>
      <w:proofErr w:type="spellEnd"/>
      <w:r w:rsidRPr="00412E8C">
        <w:t xml:space="preserve"> </w:t>
      </w:r>
      <w:proofErr w:type="spellStart"/>
      <w:r w:rsidRPr="00412E8C">
        <w:t>etal</w:t>
      </w:r>
      <w:proofErr w:type="spellEnd"/>
      <w:r w:rsidRPr="00412E8C">
        <w:t xml:space="preserve">., 2020). A major worry expressed by </w:t>
      </w:r>
      <w:proofErr w:type="spellStart"/>
      <w:r w:rsidRPr="00412E8C">
        <w:t>greengatherings</w:t>
      </w:r>
      <w:proofErr w:type="spellEnd"/>
      <w:r w:rsidRPr="00412E8C">
        <w:t xml:space="preserve"> in the immediate aftermath of the mandate was that Brexit will lead to more flimsy natural rules. They drew attention to the fact that the most popular method of quitting the EU might lead to administrative gaps in the UK's natural arrangement, holes in administration, unfavorable co-appointment and strategy uncertainty throughout the UK, and the deliberate conserving of approaches. Here, we analyze the many factors that have contributed to this problem and determine how effective the government's approach has been thus far or is likely to be in the future (</w:t>
      </w:r>
      <w:proofErr w:type="spellStart"/>
      <w:r w:rsidRPr="00412E8C">
        <w:t>Fitriyani</w:t>
      </w:r>
      <w:proofErr w:type="spellEnd"/>
      <w:r w:rsidRPr="00412E8C">
        <w:t xml:space="preserve"> et al., 2020) Brexit might create serious natural administrative gaps in addition to the ones that are already anticipated. At present, the European Union is involved in every stage of the process of developing and implementing a plan in the United Kingdom (</w:t>
      </w:r>
      <w:proofErr w:type="spellStart"/>
      <w:r w:rsidRPr="00412E8C">
        <w:t>Moradlou</w:t>
      </w:r>
      <w:proofErr w:type="spellEnd"/>
      <w:r w:rsidRPr="00412E8C">
        <w:t xml:space="preserve"> et al., 2021). The United </w:t>
      </w:r>
      <w:r w:rsidRPr="00412E8C">
        <w:lastRenderedPageBreak/>
        <w:t>Kingdom benefits from being able to rely on support from the European Command and range of organizations. They include the European</w:t>
      </w:r>
      <w:r w:rsidR="00370F10">
        <w:t xml:space="preserve"> </w:t>
      </w:r>
      <w:r w:rsidRPr="00412E8C">
        <w:t>Atmosphere Activity and the European Compounds Agency, as well as other member nations of the European Union. After Brexit, it's likely that this documentation of proficiency or progress will be difficult to get (</w:t>
      </w:r>
      <w:proofErr w:type="spellStart"/>
      <w:r w:rsidRPr="00412E8C">
        <w:t>Fitriyani</w:t>
      </w:r>
      <w:proofErr w:type="spellEnd"/>
      <w:r w:rsidRPr="00412E8C">
        <w:t xml:space="preserve"> et al.,2020)</w:t>
      </w:r>
    </w:p>
    <w:p w14:paraId="2688DBA5" w14:textId="73AB4588" w:rsidR="007747A7" w:rsidRDefault="001315BF" w:rsidP="001315BF">
      <w:pPr>
        <w:pStyle w:val="Heading1"/>
      </w:pPr>
      <w:bookmarkStart w:id="4" w:name="_Toc131881340"/>
      <w:r>
        <w:t>Conclusion</w:t>
      </w:r>
      <w:bookmarkEnd w:id="4"/>
    </w:p>
    <w:p w14:paraId="0C9776CF" w14:textId="4F535860" w:rsidR="00412E8C" w:rsidRDefault="00C37F5C" w:rsidP="00412E8C">
      <w:r w:rsidRPr="00C37F5C">
        <w:t>Because of the post-Coronavirus environment, pioneers have the rare chance to engage in introspective thinking, which might be challenging in the context of a conventional firm. Many businesses may be compelled by the pandemic situation to improve work procedures in order to keep the firm running and to promptly adapt to technology as best they can. This method will be used not just during the lockdown but also in regular times in the future. The truth in today's modern workplace is predicated on taking risks and making use of decentralization. The 'Grim Reaper of Europe' symbol is a reminder that the process by which the United Kingdom has adopted the European Union's natural rules throughout time has not always been straightforward. The UK's strategy-makers failed to account for the cost of implementing strategies designed for a different form of strategy-making framework and the potential impact of EU membership on the country's indigenous natural order. The story of the Europeanization of the UK natural approach includes the UK's common assistance and priests learning to play the Brussels game better and looking to effect EU strategy rather than perpetually, and often fruitlessly, trying to influence EU policy from the outside.</w:t>
      </w:r>
    </w:p>
    <w:p w14:paraId="4B724007" w14:textId="790F2E9F" w:rsidR="00C37F5C" w:rsidRDefault="00C37F5C">
      <w:pPr>
        <w:widowControl/>
        <w:autoSpaceDE/>
        <w:autoSpaceDN/>
        <w:spacing w:after="160" w:line="259" w:lineRule="auto"/>
        <w:jc w:val="left"/>
      </w:pPr>
      <w:r>
        <w:br w:type="page"/>
      </w:r>
    </w:p>
    <w:p w14:paraId="567C810C" w14:textId="680851FB" w:rsidR="00C37F5C" w:rsidRDefault="0080251E" w:rsidP="0080251E">
      <w:pPr>
        <w:pStyle w:val="Heading1"/>
      </w:pPr>
      <w:bookmarkStart w:id="5" w:name="_Toc131881341"/>
      <w:r>
        <w:lastRenderedPageBreak/>
        <w:t>References</w:t>
      </w:r>
      <w:bookmarkEnd w:id="5"/>
    </w:p>
    <w:p w14:paraId="28841270" w14:textId="77777777" w:rsidR="00E228CB" w:rsidRDefault="00E228CB" w:rsidP="00E228CB">
      <w:pPr>
        <w:pStyle w:val="ListParagraph"/>
        <w:numPr>
          <w:ilvl w:val="0"/>
          <w:numId w:val="1"/>
        </w:numPr>
      </w:pPr>
      <w:r>
        <w:t xml:space="preserve">Stone, R. J., Cox, A., &amp; Gavin, M. (2020). Human Resource Management, 10th Edition. John Wiley &amp; Sons. </w:t>
      </w:r>
      <w:hyperlink r:id="rId7" w:anchor="v=onepage&amp;q=human%20resource%20management&amp;f=false" w:tgtFrame="_new" w:history="1">
        <w:r w:rsidRPr="00E228CB">
          <w:rPr>
            <w:rStyle w:val="Hyperlink"/>
            <w:rFonts w:ascii="Segoe UI" w:hAnsi="Segoe UI" w:cs="Segoe UI"/>
            <w:sz w:val="21"/>
            <w:szCs w:val="21"/>
            <w:bdr w:val="single" w:sz="2" w:space="0" w:color="D9D9E3" w:frame="1"/>
          </w:rPr>
          <w:t>https://books.google.co.in/books?hl=en&amp;lr=&amp;id=uCIgEAAAQBAJ&amp;oi=fnd&amp;pg=PR13&amp;dq=human+resource+management&amp;ots=PJLJUA4OF2&amp;sig=nc48s5M4XUusMV4V2oIO4X3jPDI&amp;redir_esc=y#v=onepage&amp;q=human%20resource%20management&amp;f=false</w:t>
        </w:r>
      </w:hyperlink>
    </w:p>
    <w:p w14:paraId="6DC40915" w14:textId="77777777" w:rsidR="00E228CB" w:rsidRDefault="00E228CB" w:rsidP="00E228CB">
      <w:pPr>
        <w:pStyle w:val="ListParagraph"/>
        <w:numPr>
          <w:ilvl w:val="0"/>
          <w:numId w:val="1"/>
        </w:numPr>
      </w:pPr>
      <w:r>
        <w:t xml:space="preserve">Boon, C., Hartog, D. N. D., &amp; </w:t>
      </w:r>
      <w:proofErr w:type="spellStart"/>
      <w:r>
        <w:t>Lepak</w:t>
      </w:r>
      <w:proofErr w:type="spellEnd"/>
      <w:r>
        <w:t xml:space="preserve">, D. P. (2019). A systematic review of human resource management systems and their measurement. Journal of Management, 45(6), 2498-2537. </w:t>
      </w:r>
      <w:hyperlink r:id="rId8" w:tgtFrame="_new" w:history="1">
        <w:r w:rsidRPr="00E228CB">
          <w:rPr>
            <w:rStyle w:val="Hyperlink"/>
            <w:rFonts w:ascii="Segoe UI" w:hAnsi="Segoe UI" w:cs="Segoe UI"/>
            <w:sz w:val="21"/>
            <w:szCs w:val="21"/>
            <w:bdr w:val="single" w:sz="2" w:space="0" w:color="D9D9E3" w:frame="1"/>
          </w:rPr>
          <w:t>https://doi.org/10.1177/0149206318818718</w:t>
        </w:r>
      </w:hyperlink>
    </w:p>
    <w:p w14:paraId="149D65E4" w14:textId="77777777" w:rsidR="00E228CB" w:rsidRDefault="00E228CB" w:rsidP="00E228CB">
      <w:pPr>
        <w:pStyle w:val="ListParagraph"/>
        <w:numPr>
          <w:ilvl w:val="0"/>
          <w:numId w:val="1"/>
        </w:numPr>
      </w:pPr>
      <w:r>
        <w:t xml:space="preserve">Ngoc </w:t>
      </w:r>
      <w:proofErr w:type="spellStart"/>
      <w:r>
        <w:t>Su</w:t>
      </w:r>
      <w:proofErr w:type="spellEnd"/>
      <w:r>
        <w:t xml:space="preserve">, D., Luc </w:t>
      </w:r>
      <w:proofErr w:type="spellStart"/>
      <w:r>
        <w:t>Tra</w:t>
      </w:r>
      <w:proofErr w:type="spellEnd"/>
      <w:r>
        <w:t xml:space="preserve">, D., </w:t>
      </w:r>
      <w:proofErr w:type="spellStart"/>
      <w:r>
        <w:t>Thi</w:t>
      </w:r>
      <w:proofErr w:type="spellEnd"/>
      <w:r>
        <w:t xml:space="preserve"> Huynh, H. M., Nguyen, H. H. T., &amp; </w:t>
      </w:r>
      <w:proofErr w:type="spellStart"/>
      <w:r>
        <w:t>O'Mahony</w:t>
      </w:r>
      <w:proofErr w:type="spellEnd"/>
      <w:r>
        <w:t xml:space="preserve">, B. (2021). Enhancing resilience in the Covid-19 crisis: lessons from human resource management practices in Vietnam. Current Issues in Tourism, 24(22), 1-17. </w:t>
      </w:r>
      <w:hyperlink r:id="rId9" w:tgtFrame="_new" w:history="1">
        <w:r w:rsidRPr="00E228CB">
          <w:rPr>
            <w:rStyle w:val="Hyperlink"/>
            <w:rFonts w:ascii="Segoe UI" w:hAnsi="Segoe UI" w:cs="Segoe UI"/>
            <w:sz w:val="21"/>
            <w:szCs w:val="21"/>
            <w:bdr w:val="single" w:sz="2" w:space="0" w:color="D9D9E3" w:frame="1"/>
          </w:rPr>
          <w:t>https://doi.org/10.1080/13683500.2020.1863930</w:t>
        </w:r>
      </w:hyperlink>
    </w:p>
    <w:p w14:paraId="755A87A9" w14:textId="77777777" w:rsidR="00E228CB" w:rsidRDefault="00E228CB" w:rsidP="00E228CB">
      <w:pPr>
        <w:pStyle w:val="ListParagraph"/>
        <w:numPr>
          <w:ilvl w:val="0"/>
          <w:numId w:val="1"/>
        </w:numPr>
      </w:pPr>
      <w:proofErr w:type="spellStart"/>
      <w:r>
        <w:t>Mihut</w:t>
      </w:r>
      <w:proofErr w:type="spellEnd"/>
      <w:r>
        <w:t xml:space="preserve">, G. (2021). Does university prestige lead to discrimination in the labor market? Evidence from a labor market field experiment in three countries. Studies in Higher Education, 1-16. </w:t>
      </w:r>
      <w:hyperlink r:id="rId10" w:tgtFrame="_new" w:history="1">
        <w:r w:rsidRPr="00E228CB">
          <w:rPr>
            <w:rStyle w:val="Hyperlink"/>
            <w:rFonts w:ascii="Segoe UI" w:hAnsi="Segoe UI" w:cs="Segoe UI"/>
            <w:sz w:val="21"/>
            <w:szCs w:val="21"/>
            <w:bdr w:val="single" w:sz="2" w:space="0" w:color="D9D9E3" w:frame="1"/>
          </w:rPr>
          <w:t>https://doi.org/10.1080/03075079.2020.1870949</w:t>
        </w:r>
      </w:hyperlink>
    </w:p>
    <w:p w14:paraId="2D134233" w14:textId="77777777" w:rsidR="00E228CB" w:rsidRDefault="00E228CB" w:rsidP="00E228CB">
      <w:pPr>
        <w:pStyle w:val="ListParagraph"/>
        <w:numPr>
          <w:ilvl w:val="0"/>
          <w:numId w:val="1"/>
        </w:numPr>
      </w:pPr>
      <w:r>
        <w:t xml:space="preserve">Bell, D. N. F., &amp; Blanchflower, D. G. (2020). US AND UK LABOUR MARKETS BEFORE AND DURING THE COVID-19 CRASH. National Institute Economic Review, 252(1), R52-R69. </w:t>
      </w:r>
      <w:hyperlink r:id="rId11" w:tgtFrame="_new" w:history="1">
        <w:r w:rsidRPr="00E228CB">
          <w:rPr>
            <w:rStyle w:val="Hyperlink"/>
            <w:rFonts w:ascii="Segoe UI" w:hAnsi="Segoe UI" w:cs="Segoe UI"/>
            <w:sz w:val="21"/>
            <w:szCs w:val="21"/>
            <w:bdr w:val="single" w:sz="2" w:space="0" w:color="D9D9E3" w:frame="1"/>
          </w:rPr>
          <w:t>https://doi.org/10.1017/nie.2020.14</w:t>
        </w:r>
      </w:hyperlink>
    </w:p>
    <w:p w14:paraId="56DF7644" w14:textId="77777777" w:rsidR="00E228CB" w:rsidRDefault="00E228CB" w:rsidP="00E228CB">
      <w:pPr>
        <w:pStyle w:val="ListParagraph"/>
        <w:numPr>
          <w:ilvl w:val="0"/>
          <w:numId w:val="1"/>
        </w:numPr>
      </w:pPr>
      <w:r>
        <w:t xml:space="preserve">Wachter, T. von. (2020). The Persistent Effects of Initial Labor Market Conditions for Young Adults and Their Sources. Journal of Economic Perspectives, 34(4), 168-194. </w:t>
      </w:r>
      <w:hyperlink r:id="rId12" w:tgtFrame="_new" w:history="1">
        <w:r w:rsidRPr="00E228CB">
          <w:rPr>
            <w:rStyle w:val="Hyperlink"/>
            <w:rFonts w:ascii="Segoe UI" w:hAnsi="Segoe UI" w:cs="Segoe UI"/>
            <w:sz w:val="21"/>
            <w:szCs w:val="21"/>
            <w:bdr w:val="single" w:sz="2" w:space="0" w:color="D9D9E3" w:frame="1"/>
          </w:rPr>
          <w:t>https://doi.org/10.1257/jep.34.4.168</w:t>
        </w:r>
      </w:hyperlink>
    </w:p>
    <w:p w14:paraId="55C90371" w14:textId="77777777" w:rsidR="00E228CB" w:rsidRDefault="00E228CB" w:rsidP="00E228CB">
      <w:pPr>
        <w:pStyle w:val="ListParagraph"/>
        <w:numPr>
          <w:ilvl w:val="0"/>
          <w:numId w:val="1"/>
        </w:numPr>
      </w:pPr>
      <w:proofErr w:type="spellStart"/>
      <w:r>
        <w:t>Fitriyani</w:t>
      </w:r>
      <w:proofErr w:type="spellEnd"/>
      <w:r>
        <w:t xml:space="preserve">, I., </w:t>
      </w:r>
      <w:proofErr w:type="spellStart"/>
      <w:r>
        <w:t>Sudiyarti</w:t>
      </w:r>
      <w:proofErr w:type="spellEnd"/>
      <w:r>
        <w:t xml:space="preserve">, N., &amp; </w:t>
      </w:r>
      <w:proofErr w:type="spellStart"/>
      <w:r>
        <w:t>Fietroh</w:t>
      </w:r>
      <w:proofErr w:type="spellEnd"/>
      <w:r>
        <w:t xml:space="preserve">, M. N. (2020). Strategi </w:t>
      </w:r>
      <w:proofErr w:type="spellStart"/>
      <w:r>
        <w:t>Manajemen</w:t>
      </w:r>
      <w:proofErr w:type="spellEnd"/>
      <w:r>
        <w:t xml:space="preserve"> </w:t>
      </w:r>
      <w:proofErr w:type="spellStart"/>
      <w:r>
        <w:t>Bisnis</w:t>
      </w:r>
      <w:proofErr w:type="spellEnd"/>
      <w:r>
        <w:t xml:space="preserve"> </w:t>
      </w:r>
      <w:proofErr w:type="spellStart"/>
      <w:r>
        <w:t>Pasca</w:t>
      </w:r>
      <w:proofErr w:type="spellEnd"/>
      <w:r>
        <w:t xml:space="preserve"> </w:t>
      </w:r>
      <w:proofErr w:type="spellStart"/>
      <w:r>
        <w:lastRenderedPageBreak/>
        <w:t>Pandemi</w:t>
      </w:r>
      <w:proofErr w:type="spellEnd"/>
      <w:r>
        <w:t xml:space="preserve"> Covid-19. Indonesian Journal of Social Sciences and Humanities, 1(2), 87-95. </w:t>
      </w:r>
      <w:hyperlink r:id="rId13" w:tgtFrame="_new" w:history="1">
        <w:r w:rsidRPr="00E228CB">
          <w:rPr>
            <w:rStyle w:val="Hyperlink"/>
            <w:rFonts w:ascii="Segoe UI" w:hAnsi="Segoe UI" w:cs="Segoe UI"/>
            <w:sz w:val="21"/>
            <w:szCs w:val="21"/>
            <w:bdr w:val="single" w:sz="2" w:space="0" w:color="D9D9E3" w:frame="1"/>
          </w:rPr>
          <w:t>https://journal.publication-center.com/index.php/ijssh/article/view/106</w:t>
        </w:r>
      </w:hyperlink>
    </w:p>
    <w:p w14:paraId="1B95DFBE" w14:textId="77777777" w:rsidR="00E228CB" w:rsidRDefault="00E228CB" w:rsidP="00E228CB">
      <w:pPr>
        <w:pStyle w:val="ListParagraph"/>
        <w:numPr>
          <w:ilvl w:val="0"/>
          <w:numId w:val="1"/>
        </w:numPr>
      </w:pPr>
      <w:r>
        <w:t xml:space="preserve">Azizi, M. R., </w:t>
      </w:r>
      <w:proofErr w:type="spellStart"/>
      <w:r>
        <w:t>Atlasi</w:t>
      </w:r>
      <w:proofErr w:type="spellEnd"/>
      <w:r>
        <w:t xml:space="preserve">, R., </w:t>
      </w:r>
      <w:proofErr w:type="spellStart"/>
      <w:r>
        <w:t>Ziapour</w:t>
      </w:r>
      <w:proofErr w:type="spellEnd"/>
      <w:r>
        <w:t xml:space="preserve">, A., Abbas, J., &amp; </w:t>
      </w:r>
      <w:proofErr w:type="spellStart"/>
      <w:r>
        <w:t>Naemi</w:t>
      </w:r>
      <w:proofErr w:type="spellEnd"/>
      <w:r>
        <w:t xml:space="preserve">, R. (2021). Innovative human resource management strategies during the COVID-19 pandemic: A systematic narrative review approach. </w:t>
      </w:r>
      <w:proofErr w:type="spellStart"/>
      <w:r>
        <w:t>Heliyon</w:t>
      </w:r>
      <w:proofErr w:type="spellEnd"/>
      <w:r>
        <w:t xml:space="preserve">, 7(6), e07233. </w:t>
      </w:r>
      <w:hyperlink r:id="rId14" w:tgtFrame="_new" w:history="1">
        <w:r w:rsidRPr="00E228CB">
          <w:rPr>
            <w:rStyle w:val="Hyperlink"/>
            <w:rFonts w:ascii="Segoe UI" w:hAnsi="Segoe UI" w:cs="Segoe UI"/>
            <w:sz w:val="21"/>
            <w:szCs w:val="21"/>
            <w:bdr w:val="single" w:sz="2" w:space="0" w:color="D9D9E3" w:frame="1"/>
          </w:rPr>
          <w:t>https://doi.org/10.1016/j.heliyon.2021.e07233</w:t>
        </w:r>
      </w:hyperlink>
    </w:p>
    <w:p w14:paraId="760C401A" w14:textId="77777777" w:rsidR="00E228CB" w:rsidRDefault="00E228CB" w:rsidP="00E228CB">
      <w:pPr>
        <w:pStyle w:val="ListParagraph"/>
        <w:numPr>
          <w:ilvl w:val="0"/>
          <w:numId w:val="1"/>
        </w:numPr>
      </w:pPr>
      <w:proofErr w:type="spellStart"/>
      <w:r>
        <w:t>Moradlou</w:t>
      </w:r>
      <w:proofErr w:type="spellEnd"/>
      <w:r>
        <w:t xml:space="preserve">, H., </w:t>
      </w:r>
      <w:proofErr w:type="spellStart"/>
      <w:r>
        <w:t>Fratocchi</w:t>
      </w:r>
      <w:proofErr w:type="spellEnd"/>
      <w:r>
        <w:t xml:space="preserve">, L., </w:t>
      </w:r>
      <w:proofErr w:type="spellStart"/>
      <w:r>
        <w:t>Skipworth</w:t>
      </w:r>
      <w:proofErr w:type="spellEnd"/>
      <w:r>
        <w:t xml:space="preserve">, H., &amp; Ghadge, A. (2021). Post-Brexit back-shoring strategies: what did UK manufacturing companies could learn from the past? Production Planning &amp; Control, 1-18. </w:t>
      </w:r>
      <w:hyperlink r:id="rId15" w:tgtFrame="_new" w:history="1">
        <w:r w:rsidRPr="00E228CB">
          <w:rPr>
            <w:rStyle w:val="Hyperlink"/>
            <w:rFonts w:ascii="Segoe UI" w:hAnsi="Segoe UI" w:cs="Segoe UI"/>
            <w:sz w:val="21"/>
            <w:szCs w:val="21"/>
            <w:bdr w:val="single" w:sz="2" w:space="0" w:color="D9D9E3" w:frame="1"/>
          </w:rPr>
          <w:t>https://doi.org/10.1080/09537287.2020.1863500</w:t>
        </w:r>
      </w:hyperlink>
    </w:p>
    <w:p w14:paraId="1F62A811" w14:textId="215FDF75" w:rsidR="0080251E" w:rsidRDefault="009D126A" w:rsidP="00E228CB">
      <w:pPr>
        <w:pStyle w:val="ListParagraph"/>
        <w:numPr>
          <w:ilvl w:val="0"/>
          <w:numId w:val="1"/>
        </w:numPr>
      </w:pPr>
      <w:r w:rsidRPr="009D126A">
        <w:t>Smith, M. (2019). The European Union and the Global Arena: In Search of Post-Brexit Roles.</w:t>
      </w:r>
      <w:r w:rsidR="00AD0A65">
        <w:t xml:space="preserve"> </w:t>
      </w:r>
      <w:r w:rsidRPr="009D126A">
        <w:t>Politics and Governance,7(3), 83.</w:t>
      </w:r>
      <w:r w:rsidR="008A3C6F">
        <w:t xml:space="preserve"> </w:t>
      </w:r>
      <w:hyperlink r:id="rId16" w:history="1">
        <w:r w:rsidR="008A3C6F" w:rsidRPr="00763A5F">
          <w:rPr>
            <w:rStyle w:val="Hyperlink"/>
          </w:rPr>
          <w:t>https://doi.org/10.17645/pag.v7i3.2133</w:t>
        </w:r>
      </w:hyperlink>
    </w:p>
    <w:p w14:paraId="5CFFD2C7" w14:textId="77777777" w:rsidR="008A3C6F" w:rsidRDefault="008A3C6F" w:rsidP="0080251E"/>
    <w:p w14:paraId="36783D9B" w14:textId="77777777" w:rsidR="009D126A" w:rsidRPr="0080251E" w:rsidRDefault="009D126A" w:rsidP="0080251E"/>
    <w:sectPr w:rsidR="009D126A" w:rsidRPr="0080251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517F93"/>
    <w:multiLevelType w:val="hybridMultilevel"/>
    <w:tmpl w:val="171AB3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1DC5D17"/>
    <w:multiLevelType w:val="hybridMultilevel"/>
    <w:tmpl w:val="1492AA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AA44495"/>
    <w:multiLevelType w:val="hybridMultilevel"/>
    <w:tmpl w:val="B4D24D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1001411">
    <w:abstractNumId w:val="2"/>
  </w:num>
  <w:num w:numId="2" w16cid:durableId="1835415919">
    <w:abstractNumId w:val="0"/>
  </w:num>
  <w:num w:numId="3" w16cid:durableId="6335662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D4F"/>
    <w:rsid w:val="00050F5F"/>
    <w:rsid w:val="00131095"/>
    <w:rsid w:val="001315BF"/>
    <w:rsid w:val="00262A3A"/>
    <w:rsid w:val="002E1F1D"/>
    <w:rsid w:val="00370F10"/>
    <w:rsid w:val="00403835"/>
    <w:rsid w:val="00412E8C"/>
    <w:rsid w:val="00423780"/>
    <w:rsid w:val="004768B2"/>
    <w:rsid w:val="00541D4F"/>
    <w:rsid w:val="00635DC5"/>
    <w:rsid w:val="006A1998"/>
    <w:rsid w:val="007747A7"/>
    <w:rsid w:val="0080251E"/>
    <w:rsid w:val="008409F0"/>
    <w:rsid w:val="00852CDA"/>
    <w:rsid w:val="00871806"/>
    <w:rsid w:val="008A2B83"/>
    <w:rsid w:val="008A3C6F"/>
    <w:rsid w:val="008B41EA"/>
    <w:rsid w:val="00905026"/>
    <w:rsid w:val="009A4E42"/>
    <w:rsid w:val="009D126A"/>
    <w:rsid w:val="00A35E9F"/>
    <w:rsid w:val="00A85032"/>
    <w:rsid w:val="00AD0A65"/>
    <w:rsid w:val="00B275F9"/>
    <w:rsid w:val="00C37F5C"/>
    <w:rsid w:val="00CD478E"/>
    <w:rsid w:val="00D51F6F"/>
    <w:rsid w:val="00E228CB"/>
    <w:rsid w:val="00E76FD9"/>
    <w:rsid w:val="00EF1B02"/>
    <w:rsid w:val="00FA243D"/>
    <w:rsid w:val="00FF4E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84B053A"/>
  <w15:chartTrackingRefBased/>
  <w15:docId w15:val="{D19BF57C-4570-4479-B081-13DC1B1F4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ahom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275F9"/>
    <w:pPr>
      <w:widowControl w:val="0"/>
      <w:autoSpaceDE w:val="0"/>
      <w:autoSpaceDN w:val="0"/>
      <w:spacing w:after="0" w:line="480" w:lineRule="auto"/>
      <w:jc w:val="both"/>
    </w:pPr>
    <w:rPr>
      <w:rFonts w:ascii="Times New Roman" w:hAnsi="Times New Roman" w:cs="Tahoma"/>
      <w:sz w:val="24"/>
    </w:rPr>
  </w:style>
  <w:style w:type="paragraph" w:styleId="Heading1">
    <w:name w:val="heading 1"/>
    <w:basedOn w:val="Normal"/>
    <w:next w:val="Normal"/>
    <w:link w:val="Heading1Char"/>
    <w:autoRedefine/>
    <w:uiPriority w:val="9"/>
    <w:qFormat/>
    <w:rsid w:val="004768B2"/>
    <w:pPr>
      <w:keepNext/>
      <w:keepLines/>
      <w:outlineLvl w:val="0"/>
    </w:pPr>
    <w:rPr>
      <w:rFonts w:eastAsiaTheme="majorEastAsia" w:cstheme="majorBidi"/>
      <w:b/>
      <w:color w:val="2F5496" w:themeColor="accent1" w:themeShade="BF"/>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8B2"/>
    <w:rPr>
      <w:rFonts w:ascii="Times New Roman" w:eastAsiaTheme="majorEastAsia" w:hAnsi="Times New Roman" w:cstheme="majorBidi"/>
      <w:b/>
      <w:color w:val="2F5496" w:themeColor="accent1" w:themeShade="BF"/>
      <w:sz w:val="24"/>
      <w:szCs w:val="32"/>
      <w:lang w:val="en-GB"/>
    </w:rPr>
  </w:style>
  <w:style w:type="character" w:styleId="Hyperlink">
    <w:name w:val="Hyperlink"/>
    <w:basedOn w:val="DefaultParagraphFont"/>
    <w:uiPriority w:val="99"/>
    <w:unhideWhenUsed/>
    <w:rsid w:val="008A3C6F"/>
    <w:rPr>
      <w:color w:val="0563C1" w:themeColor="hyperlink"/>
      <w:u w:val="single"/>
    </w:rPr>
  </w:style>
  <w:style w:type="character" w:styleId="UnresolvedMention">
    <w:name w:val="Unresolved Mention"/>
    <w:basedOn w:val="DefaultParagraphFont"/>
    <w:uiPriority w:val="99"/>
    <w:semiHidden/>
    <w:unhideWhenUsed/>
    <w:rsid w:val="008A3C6F"/>
    <w:rPr>
      <w:color w:val="605E5C"/>
      <w:shd w:val="clear" w:color="auto" w:fill="E1DFDD"/>
    </w:rPr>
  </w:style>
  <w:style w:type="paragraph" w:styleId="NormalWeb">
    <w:name w:val="Normal (Web)"/>
    <w:basedOn w:val="Normal"/>
    <w:uiPriority w:val="99"/>
    <w:semiHidden/>
    <w:unhideWhenUsed/>
    <w:rsid w:val="00E228CB"/>
    <w:pPr>
      <w:widowControl/>
      <w:autoSpaceDE/>
      <w:autoSpaceDN/>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E228CB"/>
    <w:pPr>
      <w:ind w:left="720"/>
      <w:contextualSpacing/>
    </w:pPr>
  </w:style>
  <w:style w:type="paragraph" w:styleId="TOCHeading">
    <w:name w:val="TOC Heading"/>
    <w:basedOn w:val="Heading1"/>
    <w:next w:val="Normal"/>
    <w:uiPriority w:val="39"/>
    <w:unhideWhenUsed/>
    <w:qFormat/>
    <w:rsid w:val="00262A3A"/>
    <w:pPr>
      <w:widowControl/>
      <w:autoSpaceDE/>
      <w:autoSpaceDN/>
      <w:spacing w:before="240"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262A3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256568">
      <w:bodyDiv w:val="1"/>
      <w:marLeft w:val="0"/>
      <w:marRight w:val="0"/>
      <w:marTop w:val="0"/>
      <w:marBottom w:val="0"/>
      <w:divBdr>
        <w:top w:val="none" w:sz="0" w:space="0" w:color="auto"/>
        <w:left w:val="none" w:sz="0" w:space="0" w:color="auto"/>
        <w:bottom w:val="none" w:sz="0" w:space="0" w:color="auto"/>
        <w:right w:val="none" w:sz="0" w:space="0" w:color="auto"/>
      </w:divBdr>
      <w:divsChild>
        <w:div w:id="1554388063">
          <w:marLeft w:val="0"/>
          <w:marRight w:val="0"/>
          <w:marTop w:val="0"/>
          <w:marBottom w:val="0"/>
          <w:divBdr>
            <w:top w:val="single" w:sz="2" w:space="0" w:color="auto"/>
            <w:left w:val="single" w:sz="2" w:space="0" w:color="auto"/>
            <w:bottom w:val="single" w:sz="2" w:space="0" w:color="auto"/>
            <w:right w:val="single" w:sz="2" w:space="0" w:color="auto"/>
          </w:divBdr>
        </w:div>
        <w:div w:id="527255930">
          <w:marLeft w:val="0"/>
          <w:marRight w:val="0"/>
          <w:marTop w:val="0"/>
          <w:marBottom w:val="0"/>
          <w:divBdr>
            <w:top w:val="single" w:sz="2" w:space="0" w:color="auto"/>
            <w:left w:val="single" w:sz="2" w:space="0" w:color="auto"/>
            <w:bottom w:val="single" w:sz="2" w:space="0" w:color="auto"/>
            <w:right w:val="single" w:sz="2" w:space="0" w:color="auto"/>
          </w:divBdr>
        </w:div>
        <w:div w:id="1587809234">
          <w:marLeft w:val="0"/>
          <w:marRight w:val="0"/>
          <w:marTop w:val="0"/>
          <w:marBottom w:val="0"/>
          <w:divBdr>
            <w:top w:val="single" w:sz="2" w:space="0" w:color="auto"/>
            <w:left w:val="single" w:sz="2" w:space="0" w:color="auto"/>
            <w:bottom w:val="single" w:sz="2" w:space="0" w:color="auto"/>
            <w:right w:val="single" w:sz="2" w:space="0" w:color="auto"/>
          </w:divBdr>
        </w:div>
        <w:div w:id="2107001261">
          <w:marLeft w:val="0"/>
          <w:marRight w:val="0"/>
          <w:marTop w:val="0"/>
          <w:marBottom w:val="0"/>
          <w:divBdr>
            <w:top w:val="single" w:sz="2" w:space="0" w:color="auto"/>
            <w:left w:val="single" w:sz="2" w:space="0" w:color="auto"/>
            <w:bottom w:val="single" w:sz="2" w:space="0" w:color="auto"/>
            <w:right w:val="single" w:sz="2" w:space="0" w:color="auto"/>
          </w:divBdr>
        </w:div>
        <w:div w:id="261914593">
          <w:marLeft w:val="0"/>
          <w:marRight w:val="0"/>
          <w:marTop w:val="0"/>
          <w:marBottom w:val="0"/>
          <w:divBdr>
            <w:top w:val="single" w:sz="2" w:space="0" w:color="auto"/>
            <w:left w:val="single" w:sz="2" w:space="0" w:color="auto"/>
            <w:bottom w:val="single" w:sz="2" w:space="0" w:color="auto"/>
            <w:right w:val="single" w:sz="2" w:space="0" w:color="auto"/>
          </w:divBdr>
        </w:div>
        <w:div w:id="2137138843">
          <w:marLeft w:val="0"/>
          <w:marRight w:val="0"/>
          <w:marTop w:val="0"/>
          <w:marBottom w:val="0"/>
          <w:divBdr>
            <w:top w:val="single" w:sz="2" w:space="0" w:color="auto"/>
            <w:left w:val="single" w:sz="2" w:space="0" w:color="auto"/>
            <w:bottom w:val="single" w:sz="2" w:space="0" w:color="auto"/>
            <w:right w:val="single" w:sz="2" w:space="0" w:color="auto"/>
          </w:divBdr>
        </w:div>
      </w:divsChild>
    </w:div>
    <w:div w:id="650255176">
      <w:bodyDiv w:val="1"/>
      <w:marLeft w:val="0"/>
      <w:marRight w:val="0"/>
      <w:marTop w:val="0"/>
      <w:marBottom w:val="0"/>
      <w:divBdr>
        <w:top w:val="none" w:sz="0" w:space="0" w:color="auto"/>
        <w:left w:val="none" w:sz="0" w:space="0" w:color="auto"/>
        <w:bottom w:val="none" w:sz="0" w:space="0" w:color="auto"/>
        <w:right w:val="none" w:sz="0" w:space="0" w:color="auto"/>
      </w:divBdr>
      <w:divsChild>
        <w:div w:id="335575760">
          <w:marLeft w:val="0"/>
          <w:marRight w:val="0"/>
          <w:marTop w:val="0"/>
          <w:marBottom w:val="0"/>
          <w:divBdr>
            <w:top w:val="single" w:sz="2" w:space="0" w:color="auto"/>
            <w:left w:val="single" w:sz="2" w:space="0" w:color="auto"/>
            <w:bottom w:val="single" w:sz="2" w:space="0" w:color="auto"/>
            <w:right w:val="single" w:sz="2" w:space="0" w:color="auto"/>
          </w:divBdr>
        </w:div>
      </w:divsChild>
    </w:div>
    <w:div w:id="815029383">
      <w:bodyDiv w:val="1"/>
      <w:marLeft w:val="0"/>
      <w:marRight w:val="0"/>
      <w:marTop w:val="0"/>
      <w:marBottom w:val="0"/>
      <w:divBdr>
        <w:top w:val="none" w:sz="0" w:space="0" w:color="auto"/>
        <w:left w:val="none" w:sz="0" w:space="0" w:color="auto"/>
        <w:bottom w:val="none" w:sz="0" w:space="0" w:color="auto"/>
        <w:right w:val="none" w:sz="0" w:space="0" w:color="auto"/>
      </w:divBdr>
      <w:divsChild>
        <w:div w:id="773869135">
          <w:marLeft w:val="0"/>
          <w:marRight w:val="0"/>
          <w:marTop w:val="0"/>
          <w:marBottom w:val="0"/>
          <w:divBdr>
            <w:top w:val="single" w:sz="2" w:space="0" w:color="auto"/>
            <w:left w:val="single" w:sz="2" w:space="0" w:color="auto"/>
            <w:bottom w:val="single" w:sz="2" w:space="0" w:color="auto"/>
            <w:right w:val="single" w:sz="2" w:space="0" w:color="auto"/>
          </w:divBdr>
        </w:div>
        <w:div w:id="1152792282">
          <w:marLeft w:val="0"/>
          <w:marRight w:val="0"/>
          <w:marTop w:val="0"/>
          <w:marBottom w:val="0"/>
          <w:divBdr>
            <w:top w:val="single" w:sz="2" w:space="0" w:color="auto"/>
            <w:left w:val="single" w:sz="2" w:space="0" w:color="auto"/>
            <w:bottom w:val="single" w:sz="2" w:space="0" w:color="auto"/>
            <w:right w:val="single" w:sz="2" w:space="0" w:color="auto"/>
          </w:divBdr>
        </w:div>
        <w:div w:id="1470590582">
          <w:marLeft w:val="0"/>
          <w:marRight w:val="0"/>
          <w:marTop w:val="0"/>
          <w:marBottom w:val="0"/>
          <w:divBdr>
            <w:top w:val="single" w:sz="2" w:space="0" w:color="auto"/>
            <w:left w:val="single" w:sz="2" w:space="0" w:color="auto"/>
            <w:bottom w:val="single" w:sz="2" w:space="0" w:color="auto"/>
            <w:right w:val="single" w:sz="2" w:space="0" w:color="auto"/>
          </w:divBdr>
        </w:div>
        <w:div w:id="1383673955">
          <w:marLeft w:val="0"/>
          <w:marRight w:val="0"/>
          <w:marTop w:val="0"/>
          <w:marBottom w:val="0"/>
          <w:divBdr>
            <w:top w:val="single" w:sz="2" w:space="0" w:color="auto"/>
            <w:left w:val="single" w:sz="2" w:space="0" w:color="auto"/>
            <w:bottom w:val="single" w:sz="2" w:space="0" w:color="auto"/>
            <w:right w:val="single" w:sz="2" w:space="0" w:color="auto"/>
          </w:divBdr>
        </w:div>
        <w:div w:id="1321151467">
          <w:marLeft w:val="0"/>
          <w:marRight w:val="0"/>
          <w:marTop w:val="0"/>
          <w:marBottom w:val="0"/>
          <w:divBdr>
            <w:top w:val="single" w:sz="2" w:space="0" w:color="auto"/>
            <w:left w:val="single" w:sz="2" w:space="0" w:color="auto"/>
            <w:bottom w:val="single" w:sz="2" w:space="0" w:color="auto"/>
            <w:right w:val="single" w:sz="2" w:space="0" w:color="auto"/>
          </w:divBdr>
        </w:div>
        <w:div w:id="2051877448">
          <w:marLeft w:val="0"/>
          <w:marRight w:val="0"/>
          <w:marTop w:val="0"/>
          <w:marBottom w:val="0"/>
          <w:divBdr>
            <w:top w:val="single" w:sz="2" w:space="0" w:color="auto"/>
            <w:left w:val="single" w:sz="2" w:space="0" w:color="auto"/>
            <w:bottom w:val="single" w:sz="2" w:space="0" w:color="auto"/>
            <w:right w:val="single" w:sz="2" w:space="0" w:color="auto"/>
          </w:divBdr>
        </w:div>
      </w:divsChild>
    </w:div>
    <w:div w:id="1101603181">
      <w:bodyDiv w:val="1"/>
      <w:marLeft w:val="0"/>
      <w:marRight w:val="0"/>
      <w:marTop w:val="0"/>
      <w:marBottom w:val="0"/>
      <w:divBdr>
        <w:top w:val="none" w:sz="0" w:space="0" w:color="auto"/>
        <w:left w:val="none" w:sz="0" w:space="0" w:color="auto"/>
        <w:bottom w:val="none" w:sz="0" w:space="0" w:color="auto"/>
        <w:right w:val="none" w:sz="0" w:space="0" w:color="auto"/>
      </w:divBdr>
      <w:divsChild>
        <w:div w:id="472646958">
          <w:marLeft w:val="0"/>
          <w:marRight w:val="0"/>
          <w:marTop w:val="0"/>
          <w:marBottom w:val="0"/>
          <w:divBdr>
            <w:top w:val="single" w:sz="2" w:space="0" w:color="auto"/>
            <w:left w:val="single" w:sz="2" w:space="0" w:color="auto"/>
            <w:bottom w:val="single" w:sz="6" w:space="0" w:color="auto"/>
            <w:right w:val="single" w:sz="2" w:space="0" w:color="auto"/>
          </w:divBdr>
          <w:divsChild>
            <w:div w:id="2022119606">
              <w:marLeft w:val="0"/>
              <w:marRight w:val="0"/>
              <w:marTop w:val="100"/>
              <w:marBottom w:val="100"/>
              <w:divBdr>
                <w:top w:val="single" w:sz="2" w:space="0" w:color="D9D9E3"/>
                <w:left w:val="single" w:sz="2" w:space="0" w:color="D9D9E3"/>
                <w:bottom w:val="single" w:sz="2" w:space="0" w:color="D9D9E3"/>
                <w:right w:val="single" w:sz="2" w:space="0" w:color="D9D9E3"/>
              </w:divBdr>
              <w:divsChild>
                <w:div w:id="667640155">
                  <w:marLeft w:val="0"/>
                  <w:marRight w:val="0"/>
                  <w:marTop w:val="0"/>
                  <w:marBottom w:val="0"/>
                  <w:divBdr>
                    <w:top w:val="single" w:sz="2" w:space="0" w:color="D9D9E3"/>
                    <w:left w:val="single" w:sz="2" w:space="0" w:color="D9D9E3"/>
                    <w:bottom w:val="single" w:sz="2" w:space="0" w:color="D9D9E3"/>
                    <w:right w:val="single" w:sz="2" w:space="0" w:color="D9D9E3"/>
                  </w:divBdr>
                  <w:divsChild>
                    <w:div w:id="23677514">
                      <w:marLeft w:val="0"/>
                      <w:marRight w:val="0"/>
                      <w:marTop w:val="0"/>
                      <w:marBottom w:val="0"/>
                      <w:divBdr>
                        <w:top w:val="single" w:sz="2" w:space="0" w:color="D9D9E3"/>
                        <w:left w:val="single" w:sz="2" w:space="0" w:color="D9D9E3"/>
                        <w:bottom w:val="single" w:sz="2" w:space="0" w:color="D9D9E3"/>
                        <w:right w:val="single" w:sz="2" w:space="0" w:color="D9D9E3"/>
                      </w:divBdr>
                      <w:divsChild>
                        <w:div w:id="1223442767">
                          <w:marLeft w:val="0"/>
                          <w:marRight w:val="0"/>
                          <w:marTop w:val="0"/>
                          <w:marBottom w:val="0"/>
                          <w:divBdr>
                            <w:top w:val="single" w:sz="2" w:space="0" w:color="D9D9E3"/>
                            <w:left w:val="single" w:sz="2" w:space="0" w:color="D9D9E3"/>
                            <w:bottom w:val="single" w:sz="2" w:space="0" w:color="D9D9E3"/>
                            <w:right w:val="single" w:sz="2" w:space="0" w:color="D9D9E3"/>
                          </w:divBdr>
                          <w:divsChild>
                            <w:div w:id="565877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51026633">
      <w:bodyDiv w:val="1"/>
      <w:marLeft w:val="0"/>
      <w:marRight w:val="0"/>
      <w:marTop w:val="0"/>
      <w:marBottom w:val="0"/>
      <w:divBdr>
        <w:top w:val="none" w:sz="0" w:space="0" w:color="auto"/>
        <w:left w:val="none" w:sz="0" w:space="0" w:color="auto"/>
        <w:bottom w:val="none" w:sz="0" w:space="0" w:color="auto"/>
        <w:right w:val="none" w:sz="0" w:space="0" w:color="auto"/>
      </w:divBdr>
      <w:divsChild>
        <w:div w:id="1209948769">
          <w:marLeft w:val="0"/>
          <w:marRight w:val="0"/>
          <w:marTop w:val="0"/>
          <w:marBottom w:val="0"/>
          <w:divBdr>
            <w:top w:val="single" w:sz="2" w:space="0" w:color="auto"/>
            <w:left w:val="single" w:sz="2" w:space="0" w:color="auto"/>
            <w:bottom w:val="single" w:sz="2" w:space="0" w:color="auto"/>
            <w:right w:val="single" w:sz="2" w:space="0" w:color="auto"/>
          </w:divBdr>
        </w:div>
        <w:div w:id="1419594262">
          <w:marLeft w:val="0"/>
          <w:marRight w:val="0"/>
          <w:marTop w:val="0"/>
          <w:marBottom w:val="0"/>
          <w:divBdr>
            <w:top w:val="single" w:sz="2" w:space="0" w:color="auto"/>
            <w:left w:val="single" w:sz="2" w:space="0" w:color="auto"/>
            <w:bottom w:val="single" w:sz="2" w:space="0" w:color="auto"/>
            <w:right w:val="single" w:sz="2" w:space="0" w:color="auto"/>
          </w:divBdr>
        </w:div>
      </w:divsChild>
    </w:div>
    <w:div w:id="2068995849">
      <w:bodyDiv w:val="1"/>
      <w:marLeft w:val="0"/>
      <w:marRight w:val="0"/>
      <w:marTop w:val="0"/>
      <w:marBottom w:val="0"/>
      <w:divBdr>
        <w:top w:val="none" w:sz="0" w:space="0" w:color="auto"/>
        <w:left w:val="none" w:sz="0" w:space="0" w:color="auto"/>
        <w:bottom w:val="none" w:sz="0" w:space="0" w:color="auto"/>
        <w:right w:val="none" w:sz="0" w:space="0" w:color="auto"/>
      </w:divBdr>
      <w:divsChild>
        <w:div w:id="876622641">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149206318818718" TargetMode="External"/><Relationship Id="rId13" Type="http://schemas.openxmlformats.org/officeDocument/2006/relationships/hyperlink" Target="https://journal.publication-center.com/index.php/ijssh/article/view/106"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books.google.co.in/books?hl=en&amp;lr=&amp;id=uCIgEAAAQBAJ&amp;oi=fnd&amp;pg=PR13&amp;dq=human+resource+management&amp;ots=PJLJUA4OF2&amp;sig=nc48s5M4XUusMV4V2oIO4X3jPDI&amp;redir_esc=y" TargetMode="External"/><Relationship Id="rId12" Type="http://schemas.openxmlformats.org/officeDocument/2006/relationships/hyperlink" Target="https://doi.org/10.1257/jep.34.4.168"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7645/pag.v7i3.2133"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17/nie.2020.14" TargetMode="External"/><Relationship Id="rId5" Type="http://schemas.openxmlformats.org/officeDocument/2006/relationships/webSettings" Target="webSettings.xml"/><Relationship Id="rId15" Type="http://schemas.openxmlformats.org/officeDocument/2006/relationships/hyperlink" Target="https://doi.org/10.1080/09537287.2020.1863500" TargetMode="External"/><Relationship Id="rId10" Type="http://schemas.openxmlformats.org/officeDocument/2006/relationships/hyperlink" Target="https://doi.org/10.1080/03075079.2020.1870949" TargetMode="External"/><Relationship Id="rId4" Type="http://schemas.openxmlformats.org/officeDocument/2006/relationships/settings" Target="settings.xml"/><Relationship Id="rId9" Type="http://schemas.openxmlformats.org/officeDocument/2006/relationships/hyperlink" Target="https://doi.org/10.1080/13683500.2020.1863930" TargetMode="External"/><Relationship Id="rId14" Type="http://schemas.openxmlformats.org/officeDocument/2006/relationships/hyperlink" Target="https://doi.org/10.1016/j.heliyon.2021.e072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072EF8-225B-40EF-BB2A-FF3B0D0C4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3080</Words>
  <Characters>17557</Characters>
  <Application>Microsoft Office Word</Application>
  <DocSecurity>0</DocSecurity>
  <Lines>146</Lines>
  <Paragraphs>41</Paragraphs>
  <ScaleCrop>false</ScaleCrop>
  <Company/>
  <LinksUpToDate>false</LinksUpToDate>
  <CharactersWithSpaces>20596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MK</dc:creator>
  <cp:keywords/>
  <dc:description/>
  <cp:lastModifiedBy>RIYA BHATT</cp:lastModifiedBy>
  <cp:revision>33</cp:revision>
  <dcterms:created xsi:type="dcterms:W3CDTF">2023-04-08T16:17:00Z</dcterms:created>
  <dcterms:modified xsi:type="dcterms:W3CDTF">2023-04-24T09:46:00Z</dcterms:modified>
</cp:coreProperties>
</file>