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80"/>
          <w:szCs w:val="80"/>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80"/>
          <w:szCs w:val="80"/>
        </w:rPr>
      </w:pPr>
      <w:r w:rsidDel="00000000" w:rsidR="00000000" w:rsidRPr="00000000">
        <w:rPr>
          <w:rFonts w:ascii="Times New Roman" w:cs="Times New Roman" w:eastAsia="Times New Roman" w:hAnsi="Times New Roman"/>
          <w:b w:val="1"/>
          <w:sz w:val="80"/>
          <w:szCs w:val="80"/>
          <w:rtl w:val="0"/>
        </w:rPr>
        <w:t xml:space="preserve">Management Accounting</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432" w:right="0" w:hanging="432"/>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PART A</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1. Sales price variance and sales volume contribution variance</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2. Material price planning variance and material price operational variance</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3. Critically analyzing key merits and demerits in relation to use of variances in assessing manager’s performance:</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 B</w:t>
              <w:tab/>
              <w:t xml:space="preserve">10</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FamaQ gives XLG competitive advantage</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Demand for chemical X and Y has increased by 45% which is likely to continue according to market research</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The cost of making a unit of Fama Q in the UK is £3 with delivery times reducing by 15 working days</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numPr>
          <w:ilvl w:val="0"/>
          <w:numId w:val="1"/>
        </w:numPr>
        <w:ind w:left="432" w:hanging="432"/>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3">
      <w:pPr>
        <w:spacing w:line="360" w:lineRule="auto"/>
        <w:ind w:firstLine="432"/>
        <w:jc w:val="both"/>
        <w:rPr/>
      </w:pPr>
      <w:r w:rsidDel="00000000" w:rsidR="00000000" w:rsidRPr="00000000">
        <w:rPr>
          <w:rFonts w:ascii="Times New Roman" w:cs="Times New Roman" w:eastAsia="Times New Roman" w:hAnsi="Times New Roman"/>
          <w:sz w:val="24"/>
          <w:szCs w:val="24"/>
          <w:rtl w:val="0"/>
        </w:rPr>
        <w:t xml:space="preserve">Managerial accounting is the method of establishing organizational objectives by defining, evaluating, analyzing, presenting and transmitting guidance to stakeholders. Accounting management reports on all accounts designed to remind managers of operating business processes. This includes information related to the prices of the corporation's goods and services. Budgeting is also used to measure organizational planning decisions </w:t>
      </w:r>
      <w:r w:rsidDel="00000000" w:rsidR="00000000" w:rsidRPr="00000000">
        <w:rPr>
          <w:rFonts w:ascii="Times New Roman" w:cs="Times New Roman" w:eastAsia="Times New Roman" w:hAnsi="Times New Roman"/>
          <w:color w:val="222222"/>
          <w:sz w:val="24"/>
          <w:szCs w:val="24"/>
          <w:highlight w:val="white"/>
          <w:rtl w:val="0"/>
        </w:rPr>
        <w:t xml:space="preserve">(Agrawal and Cooper, 2017)</w:t>
      </w:r>
      <w:r w:rsidDel="00000000" w:rsidR="00000000" w:rsidRPr="00000000">
        <w:rPr>
          <w:rFonts w:ascii="Times New Roman" w:cs="Times New Roman" w:eastAsia="Times New Roman" w:hAnsi="Times New Roman"/>
          <w:sz w:val="24"/>
          <w:szCs w:val="24"/>
          <w:rtl w:val="0"/>
        </w:rPr>
        <w:t xml:space="preserve">. Accounting firms in the administration use annual reviews to note differences from total budget outcomes. The study deals with the key elements of managerial accounting required to quantify the renewable growth of the event. The whole study is composed of 2 parts: A and B. The first element covers realistic sums linked to various variability estimates are based on the XLG Business case study. It also includes thorough assessment of the benefits and disadvantages of incorporating variability in the examination of the results of time management. Whereas the other component concerns risk, importation of Farma Q and how this can impact XLG Company throughout lock-down based on the aforementioned study given can result.</w:t>
      </w:r>
      <w:r w:rsidDel="00000000" w:rsidR="00000000" w:rsidRPr="00000000">
        <w:rPr>
          <w:rtl w:val="0"/>
        </w:rPr>
      </w:r>
    </w:p>
    <w:p w:rsidR="00000000" w:rsidDel="00000000" w:rsidP="00000000" w:rsidRDefault="00000000" w:rsidRPr="00000000" w14:paraId="00000014">
      <w:pPr>
        <w:pStyle w:val="Heading1"/>
        <w:numPr>
          <w:ilvl w:val="0"/>
          <w:numId w:val="1"/>
        </w:numPr>
        <w:ind w:left="432" w:hanging="432"/>
        <w:rPr>
          <w:highlight w:val="white"/>
        </w:rPr>
      </w:pPr>
      <w:bookmarkStart w:colFirst="0" w:colLast="0" w:name="_3rdcrjn" w:id="1"/>
      <w:bookmarkEnd w:id="1"/>
      <w:r w:rsidDel="00000000" w:rsidR="00000000" w:rsidRPr="00000000">
        <w:rPr>
          <w:highlight w:val="white"/>
          <w:rtl w:val="0"/>
        </w:rPr>
        <w:t xml:space="preserve">PART A</w:t>
      </w:r>
    </w:p>
    <w:p w:rsidR="00000000" w:rsidDel="00000000" w:rsidP="00000000" w:rsidRDefault="00000000" w:rsidRPr="00000000" w14:paraId="00000015">
      <w:pPr>
        <w:pStyle w:val="Heading2"/>
        <w:numPr>
          <w:ilvl w:val="1"/>
          <w:numId w:val="1"/>
        </w:numPr>
        <w:spacing w:before="113" w:line="360" w:lineRule="auto"/>
        <w:ind w:left="576" w:hanging="576"/>
        <w:jc w:val="both"/>
        <w:rPr>
          <w:rFonts w:ascii="Times New Roman" w:cs="Times New Roman" w:eastAsia="Times New Roman" w:hAnsi="Times New Roman"/>
          <w:b w:val="0"/>
          <w:color w:val="000000"/>
          <w:sz w:val="24"/>
          <w:szCs w:val="24"/>
          <w:highlight w:val="white"/>
          <w:u w:val="single"/>
        </w:rPr>
      </w:pPr>
      <w:bookmarkStart w:colFirst="0" w:colLast="0" w:name="_26in1rg" w:id="2"/>
      <w:bookmarkEnd w:id="2"/>
      <w:r w:rsidDel="00000000" w:rsidR="00000000" w:rsidRPr="00000000">
        <w:rPr>
          <w:rFonts w:ascii="Times New Roman" w:cs="Times New Roman" w:eastAsia="Times New Roman" w:hAnsi="Times New Roman"/>
          <w:b w:val="0"/>
          <w:color w:val="000000"/>
          <w:sz w:val="24"/>
          <w:szCs w:val="24"/>
          <w:highlight w:val="white"/>
          <w:u w:val="single"/>
          <w:rtl w:val="0"/>
        </w:rPr>
        <w:t xml:space="preserve">1. Sales price variance and sales volume contribution variance</w:t>
      </w:r>
    </w:p>
    <w:tbl>
      <w:tblPr>
        <w:tblStyle w:val="Table1"/>
        <w:tblW w:w="9362.0" w:type="dxa"/>
        <w:jc w:val="left"/>
        <w:tblInd w:w="55.0" w:type="pct"/>
        <w:tblLayout w:type="fixed"/>
        <w:tblLook w:val="0000"/>
      </w:tblPr>
      <w:tblGrid>
        <w:gridCol w:w="4713"/>
        <w:gridCol w:w="2323"/>
        <w:gridCol w:w="2326"/>
        <w:tblGridChange w:id="0">
          <w:tblGrid>
            <w:gridCol w:w="4713"/>
            <w:gridCol w:w="2323"/>
            <w:gridCol w:w="2326"/>
          </w:tblGrid>
        </w:tblGridChange>
      </w:tblGrid>
      <w:tr>
        <w:trPr>
          <w:trHeight w:val="242"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Given Information:</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19">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Total units sold:</w:t>
            </w:r>
          </w:p>
        </w:tc>
        <w:tc>
          <w:tcPr>
            <w:gridSpan w:val="2"/>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A">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1600</w:t>
            </w:r>
            <w:r w:rsidDel="00000000" w:rsidR="00000000" w:rsidRPr="00000000">
              <w:rPr>
                <w:rtl w:val="0"/>
              </w:rPr>
            </w:r>
          </w:p>
        </w:tc>
      </w:tr>
      <w:tr>
        <w:trPr>
          <w:trHeight w:val="253"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1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Material price variance: </w:t>
            </w:r>
          </w:p>
        </w:tc>
        <w:tc>
          <w:tcPr>
            <w:gridSpan w:val="2"/>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£ 27000 F</w:t>
            </w:r>
            <w:r w:rsidDel="00000000" w:rsidR="00000000" w:rsidRPr="00000000">
              <w:rPr>
                <w:rtl w:val="0"/>
              </w:rPr>
            </w:r>
          </w:p>
        </w:tc>
      </w:tr>
      <w:tr>
        <w:trPr>
          <w:trHeight w:val="505" w:hRule="atLeast"/>
        </w:trPr>
        <w:tc>
          <w:tcPr>
            <w:gridSpan w:val="3"/>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Sales and Contribution:</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23">
            <w:pPr>
              <w:spacing w:line="36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Chemical X</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Chemical Y</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25">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Budgeted total sales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26">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units</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7">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595 units</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2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Actual Sales Volume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29">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850 units</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A">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750 units</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2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standard sales price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2C">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£ 35</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D">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£ 30</w:t>
            </w: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2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Actual sales price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2F">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£ 45</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0">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£ 37</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31">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32">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3">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34">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Standard margin</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35">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£ 25</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6">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£ 20</w:t>
            </w:r>
            <w:r w:rsidDel="00000000" w:rsidR="00000000" w:rsidRPr="00000000">
              <w:rPr>
                <w:rtl w:val="0"/>
              </w:rPr>
            </w:r>
          </w:p>
        </w:tc>
      </w:tr>
    </w:tbl>
    <w:p w:rsidR="00000000" w:rsidDel="00000000" w:rsidP="00000000" w:rsidRDefault="00000000" w:rsidRPr="00000000" w14:paraId="00000037">
      <w:pPr>
        <w:spacing w:line="360" w:lineRule="auto"/>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Sales price variance</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9">
      <w:pPr>
        <w:spacing w:line="360" w:lineRule="auto"/>
        <w:ind w:firstLine="720"/>
        <w:jc w:val="both"/>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rtl w:val="0"/>
        </w:rPr>
        <w:t xml:space="preserve">Sales price variation is the difference between the number of amount that a business plans to charge for its items and/or services, and the sum of funds that it sells things for. Variations in selling prices are considered to be either "advantageous," or considered expensive greater than anticipated, or "undesirable" if they operate for much less than the advertised or normal price </w:t>
      </w:r>
      <w:r w:rsidDel="00000000" w:rsidR="00000000" w:rsidRPr="00000000">
        <w:rPr>
          <w:rFonts w:ascii="Times New Roman" w:cs="Times New Roman" w:eastAsia="Times New Roman" w:hAnsi="Times New Roman"/>
          <w:color w:val="222222"/>
          <w:sz w:val="24"/>
          <w:szCs w:val="24"/>
          <w:highlight w:val="white"/>
          <w:rtl w:val="0"/>
        </w:rPr>
        <w:t xml:space="preserve">(Amiruddin, 2016)</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tbl>
      <w:tblPr>
        <w:tblStyle w:val="Table2"/>
        <w:tblW w:w="9362.0" w:type="dxa"/>
        <w:jc w:val="left"/>
        <w:tblInd w:w="55.0" w:type="pct"/>
        <w:tblLayout w:type="fixed"/>
        <w:tblLook w:val="0000"/>
      </w:tblPr>
      <w:tblGrid>
        <w:gridCol w:w="4713"/>
        <w:gridCol w:w="2323"/>
        <w:gridCol w:w="2326"/>
        <w:tblGridChange w:id="0">
          <w:tblGrid>
            <w:gridCol w:w="4713"/>
            <w:gridCol w:w="2323"/>
            <w:gridCol w:w="2326"/>
          </w:tblGrid>
        </w:tblGridChange>
      </w:tblGrid>
      <w:tr>
        <w:trPr>
          <w:trHeight w:val="242" w:hRule="atLeast"/>
        </w:trPr>
        <w:tc>
          <w:tcPr>
            <w:tcBorders>
              <w:top w:color="000000" w:space="0" w:sz="4" w:val="single"/>
              <w:left w:color="000000" w:space="0" w:sz="4" w:val="single"/>
              <w:bottom w:color="000000" w:space="0" w:sz="4" w:val="single"/>
            </w:tcBorders>
            <w:shd w:fill="auto" w:val="clear"/>
            <w:vAlign w:val="bottom"/>
          </w:tcPr>
          <w:p w:rsidR="00000000" w:rsidDel="00000000" w:rsidP="00000000" w:rsidRDefault="00000000" w:rsidRPr="00000000" w14:paraId="0000003A">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X</w:t>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bottom"/>
          </w:tcPr>
          <w:p w:rsidR="00000000" w:rsidDel="00000000" w:rsidP="00000000" w:rsidRDefault="00000000" w:rsidRPr="00000000" w14:paraId="0000003B">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C">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3D">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Sales Price Variance ( X ) =</w:t>
            </w:r>
          </w:p>
        </w:tc>
        <w:tc>
          <w:tcPr>
            <w:gridSpan w:val="2"/>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Actual Price – Standard Price ) * Actual Unit</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0">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41">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( 45 – 35 ) * 850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2">
            <w:pPr>
              <w:spacing w:line="360" w:lineRule="auto"/>
              <w:jc w:val="right"/>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3">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44">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8500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6">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47">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8">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9">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Y</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4A">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B">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Sales Price Variance ( Y ) =</w:t>
            </w:r>
          </w:p>
        </w:tc>
        <w:tc>
          <w:tcPr>
            <w:gridSpan w:val="2"/>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Actual Price – Standard Price ) * Actual Unit</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4F">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50">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( 37 – 30 ) * 750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1">
            <w:pPr>
              <w:spacing w:line="360" w:lineRule="auto"/>
              <w:jc w:val="right"/>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52">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53">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5250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w:t>
            </w:r>
            <w:r w:rsidDel="00000000" w:rsidR="00000000" w:rsidRPr="00000000">
              <w:rPr>
                <w:rtl w:val="0"/>
              </w:rPr>
            </w:r>
          </w:p>
        </w:tc>
      </w:tr>
    </w:tbl>
    <w:p w:rsidR="00000000" w:rsidDel="00000000" w:rsidP="00000000" w:rsidRDefault="00000000" w:rsidRPr="00000000" w14:paraId="00000055">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Sales volume contribution variance:</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Variance in sales volume (also recognized as variability in sales quantities) occurs when a particular amount of components purchased differs from the standard or planned amount of output sold throughout a stated amount of time. The difference between the estimated unit sales at the standard price and the standard unit sales at the standard price can be described as. If the minimum amount of unit sales equals the planned number of output selling, the difference in overall sales would've been beneficial but if, but at the other direction, the total amount of unit sales meets the planned number of output sold, it will be undesirable </w:t>
      </w:r>
      <w:r w:rsidDel="00000000" w:rsidR="00000000" w:rsidRPr="00000000">
        <w:rPr>
          <w:rFonts w:ascii="Times New Roman" w:cs="Times New Roman" w:eastAsia="Times New Roman" w:hAnsi="Times New Roman"/>
          <w:color w:val="222222"/>
          <w:sz w:val="24"/>
          <w:szCs w:val="24"/>
          <w:highlight w:val="white"/>
          <w:rtl w:val="0"/>
        </w:rPr>
        <w:t xml:space="preserve">(Dahal, 2018)</w:t>
      </w:r>
      <w:r w:rsidDel="00000000" w:rsidR="00000000" w:rsidRPr="00000000">
        <w:rPr>
          <w:rFonts w:ascii="Times New Roman" w:cs="Times New Roman" w:eastAsia="Times New Roman" w:hAnsi="Times New Roman"/>
          <w:sz w:val="24"/>
          <w:szCs w:val="24"/>
          <w:highlight w:val="white"/>
          <w:rtl w:val="0"/>
        </w:rPr>
        <w:t xml:space="preserve">.</w:t>
      </w:r>
    </w:p>
    <w:tbl>
      <w:tblPr>
        <w:tblStyle w:val="Table3"/>
        <w:tblW w:w="9362.0" w:type="dxa"/>
        <w:jc w:val="left"/>
        <w:tblInd w:w="55.0" w:type="pct"/>
        <w:tblLayout w:type="fixed"/>
        <w:tblLook w:val="0000"/>
      </w:tblPr>
      <w:tblGrid>
        <w:gridCol w:w="4700"/>
        <w:gridCol w:w="2336"/>
        <w:gridCol w:w="2326"/>
        <w:tblGridChange w:id="0">
          <w:tblGrid>
            <w:gridCol w:w="4700"/>
            <w:gridCol w:w="2336"/>
            <w:gridCol w:w="2326"/>
          </w:tblGrid>
        </w:tblGridChange>
      </w:tblGrid>
      <w:tr>
        <w:tc>
          <w:tcPr>
            <w:tcBorders>
              <w:top w:color="000000" w:space="0" w:sz="4" w:val="single"/>
              <w:left w:color="000000" w:space="0" w:sz="4" w:val="single"/>
              <w:bottom w:color="000000" w:space="0" w:sz="4" w:val="single"/>
            </w:tcBorders>
            <w:shd w:fill="auto" w:val="clear"/>
            <w:vAlign w:val="bottom"/>
          </w:tcPr>
          <w:p w:rsidR="00000000" w:rsidDel="00000000" w:rsidP="00000000" w:rsidRDefault="00000000" w:rsidRPr="00000000" w14:paraId="0000005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Sales volume contribution variance =</w:t>
            </w:r>
          </w:p>
        </w:tc>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(Actual number of units sold × Budgeted price per unit) – (budgeted number of units sold × Budgeted price per unit)</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5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X</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5C">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D">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5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Sales volume contribution variance ( X )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5F">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( 850 * 35 ) – ( 595 * 35 )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0">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61">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62">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8925</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64">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Y</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65">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6">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67">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Sales volume contribution variance (Y)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6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( 750 * 30 ) – (595 * 30 )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9">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6A">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6B">
            <w:pPr>
              <w:spacing w:line="360" w:lineRule="auto"/>
              <w:jc w:val="righ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4650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F</w:t>
            </w:r>
            <w:r w:rsidDel="00000000" w:rsidR="00000000" w:rsidRPr="00000000">
              <w:rPr>
                <w:rtl w:val="0"/>
              </w:rPr>
            </w:r>
          </w:p>
        </w:tc>
      </w:tr>
    </w:tbl>
    <w:p w:rsidR="00000000" w:rsidDel="00000000" w:rsidP="00000000" w:rsidRDefault="00000000" w:rsidRPr="00000000" w14:paraId="0000006D">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E">
      <w:pPr>
        <w:pStyle w:val="Heading2"/>
        <w:numPr>
          <w:ilvl w:val="1"/>
          <w:numId w:val="1"/>
        </w:numPr>
        <w:spacing w:before="113" w:line="360" w:lineRule="auto"/>
        <w:ind w:left="576" w:hanging="576"/>
        <w:jc w:val="both"/>
        <w:rPr>
          <w:rFonts w:ascii="Times New Roman" w:cs="Times New Roman" w:eastAsia="Times New Roman" w:hAnsi="Times New Roman"/>
          <w:b w:val="0"/>
          <w:color w:val="000000"/>
          <w:sz w:val="24"/>
          <w:szCs w:val="24"/>
          <w:highlight w:val="white"/>
          <w:u w:val="single"/>
        </w:rPr>
      </w:pPr>
      <w:bookmarkStart w:colFirst="0" w:colLast="0" w:name="_lnxbz9" w:id="3"/>
      <w:bookmarkEnd w:id="3"/>
      <w:r w:rsidDel="00000000" w:rsidR="00000000" w:rsidRPr="00000000">
        <w:rPr>
          <w:rFonts w:ascii="Times New Roman" w:cs="Times New Roman" w:eastAsia="Times New Roman" w:hAnsi="Times New Roman"/>
          <w:b w:val="0"/>
          <w:color w:val="000000"/>
          <w:sz w:val="24"/>
          <w:szCs w:val="24"/>
          <w:highlight w:val="white"/>
          <w:u w:val="single"/>
          <w:rtl w:val="0"/>
        </w:rPr>
        <w:t xml:space="preserve">2. Material price planning variance and material price operational variance</w:t>
      </w:r>
    </w:p>
    <w:tbl>
      <w:tblPr>
        <w:tblStyle w:val="Table4"/>
        <w:tblW w:w="9362.0" w:type="dxa"/>
        <w:jc w:val="left"/>
        <w:tblInd w:w="55.0" w:type="pct"/>
        <w:tblLayout w:type="fixed"/>
        <w:tblLook w:val="0000"/>
      </w:tblPr>
      <w:tblGrid>
        <w:gridCol w:w="4713"/>
        <w:gridCol w:w="4649"/>
        <w:tblGridChange w:id="0">
          <w:tblGrid>
            <w:gridCol w:w="4713"/>
            <w:gridCol w:w="4649"/>
          </w:tblGrid>
        </w:tblGridChange>
      </w:tblGrid>
      <w:tr>
        <w:trPr>
          <w:trHeight w:val="242" w:hRule="atLeast"/>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Given Information:</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71">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original standard price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£2.50 per-unit</w:t>
            </w:r>
            <w:r w:rsidDel="00000000" w:rsidR="00000000" w:rsidRPr="00000000">
              <w:rPr>
                <w:rtl w:val="0"/>
              </w:rPr>
            </w:r>
          </w:p>
        </w:tc>
      </w:tr>
      <w:tr>
        <w:trPr>
          <w:trHeight w:val="253"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73">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Increased(revised) unit price</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£4.50</w:t>
            </w:r>
            <w:r w:rsidDel="00000000" w:rsidR="00000000" w:rsidRPr="00000000">
              <w:rPr>
                <w:rtl w:val="0"/>
              </w:rPr>
            </w:r>
          </w:p>
        </w:tc>
      </w:tr>
    </w:tbl>
    <w:p w:rsidR="00000000" w:rsidDel="00000000" w:rsidP="00000000" w:rsidRDefault="00000000" w:rsidRPr="00000000" w14:paraId="00000075">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5"/>
        <w:tblW w:w="9362.0" w:type="dxa"/>
        <w:jc w:val="left"/>
        <w:tblInd w:w="55.0" w:type="pct"/>
        <w:tblLayout w:type="fixed"/>
        <w:tblLook w:val="0000"/>
      </w:tblPr>
      <w:tblGrid>
        <w:gridCol w:w="5067"/>
        <w:gridCol w:w="2366"/>
        <w:gridCol w:w="1929"/>
        <w:tblGridChange w:id="0">
          <w:tblGrid>
            <w:gridCol w:w="5067"/>
            <w:gridCol w:w="2366"/>
            <w:gridCol w:w="1929"/>
          </w:tblGrid>
        </w:tblGridChange>
      </w:tblGrid>
      <w:tr>
        <w:trPr>
          <w:trHeight w:val="477"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Material price operational variance:</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79">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X</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7A">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B">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7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Original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7D">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2.5 * 25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37187.5</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7F">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 Revised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0">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4.5 * 25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66937.5</w:t>
            </w: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82">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Material price operational variance (A – B)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3">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-29750</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85">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6">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7">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8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Y</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9">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A">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8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Original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2.5 * 20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29750</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8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 Revised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8F">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4.5 * 20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53550</w:t>
            </w: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91">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Material price operational variance (A – B)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92">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-23800</w:t>
            </w:r>
            <w:r w:rsidDel="00000000" w:rsidR="00000000" w:rsidRPr="00000000">
              <w:rPr>
                <w:rtl w:val="0"/>
              </w:rPr>
            </w:r>
          </w:p>
        </w:tc>
      </w:tr>
    </w:tbl>
    <w:p w:rsidR="00000000" w:rsidDel="00000000" w:rsidP="00000000" w:rsidRDefault="00000000" w:rsidRPr="00000000" w14:paraId="00000094">
      <w:pPr>
        <w:spacing w:line="360" w:lineRule="auto"/>
        <w:rPr>
          <w:rFonts w:ascii="Times New Roman" w:cs="Times New Roman" w:eastAsia="Times New Roman" w:hAnsi="Times New Roman"/>
          <w:sz w:val="24"/>
          <w:szCs w:val="24"/>
          <w:highlight w:val="white"/>
        </w:rPr>
      </w:pPr>
      <w:r w:rsidDel="00000000" w:rsidR="00000000" w:rsidRPr="00000000">
        <w:rPr>
          <w:rtl w:val="0"/>
        </w:rPr>
      </w:r>
    </w:p>
    <w:tbl>
      <w:tblPr>
        <w:tblStyle w:val="Table6"/>
        <w:tblW w:w="9362.0" w:type="dxa"/>
        <w:jc w:val="left"/>
        <w:tblInd w:w="55.0" w:type="pct"/>
        <w:tblLayout w:type="fixed"/>
        <w:tblLook w:val="0000"/>
      </w:tblPr>
      <w:tblGrid>
        <w:gridCol w:w="4713"/>
        <w:gridCol w:w="2323"/>
        <w:gridCol w:w="2326"/>
        <w:tblGridChange w:id="0">
          <w:tblGrid>
            <w:gridCol w:w="4713"/>
            <w:gridCol w:w="2323"/>
            <w:gridCol w:w="2326"/>
          </w:tblGrid>
        </w:tblGridChange>
      </w:tblGrid>
      <w:tr>
        <w:trPr>
          <w:trHeight w:val="477"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white"/>
                <w:rtl w:val="0"/>
              </w:rPr>
              <w:t xml:space="preserve">Material price planning variance:</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9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X</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99">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A">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9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Revised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9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4.5 * 25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D">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66937.5</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9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 Actual Sales Quantity x Standard Margin</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9F">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850 * 25</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0">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21250</w:t>
            </w: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A1">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Material price planning variance  (A – B)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A2">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3">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45687.5</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A4">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A5">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6">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A7">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u w:val="single"/>
                <w:rtl w:val="0"/>
              </w:rPr>
              <w:t xml:space="preserve">Chemicals X</w:t>
            </w:r>
            <w:r w:rsidDel="00000000" w:rsidR="00000000" w:rsidRPr="00000000">
              <w:rPr>
                <w:rtl w:val="0"/>
              </w:rPr>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A8">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9">
            <w:pPr>
              <w:spacing w:line="360" w:lineRule="auto"/>
              <w:rPr>
                <w:rFonts w:ascii="Times New Roman" w:cs="Times New Roman" w:eastAsia="Times New Roman" w:hAnsi="Times New Roman"/>
                <w:sz w:val="24"/>
                <w:szCs w:val="24"/>
                <w:highlight w:val="white"/>
              </w:rPr>
            </w:pP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AA">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Revised budgeted sales x Standard Margin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A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595 * 4.5 * 20 =</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C">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53550</w:t>
            </w:r>
            <w:r w:rsidDel="00000000" w:rsidR="00000000" w:rsidRPr="00000000">
              <w:rPr>
                <w:rtl w:val="0"/>
              </w:rPr>
            </w:r>
          </w:p>
        </w:tc>
      </w:tr>
      <w:tr>
        <w:trPr>
          <w:trHeight w:val="242"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AD">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 Actual Sales Quantity x Standard Margin</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A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750 * 20</w:t>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F">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15000</w:t>
            </w:r>
            <w:r w:rsidDel="00000000" w:rsidR="00000000" w:rsidRPr="00000000">
              <w:rPr>
                <w:rtl w:val="0"/>
              </w:rPr>
            </w:r>
          </w:p>
        </w:tc>
      </w:tr>
      <w:tr>
        <w:trPr>
          <w:trHeight w:val="477" w:hRule="atLeast"/>
        </w:trPr>
        <w:tc>
          <w:tcPr>
            <w:tcBorders>
              <w:left w:color="000000" w:space="0" w:sz="4" w:val="single"/>
              <w:bottom w:color="000000" w:space="0" w:sz="4" w:val="single"/>
            </w:tcBorders>
            <w:shd w:fill="auto" w:val="clear"/>
            <w:vAlign w:val="bottom"/>
          </w:tcPr>
          <w:p w:rsidR="00000000" w:rsidDel="00000000" w:rsidP="00000000" w:rsidRDefault="00000000" w:rsidRPr="00000000" w14:paraId="000000B0">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Material price planning variance  (A – B) =</w:t>
            </w:r>
          </w:p>
        </w:tc>
        <w:tc>
          <w:tcPr>
            <w:tcBorders>
              <w:left w:color="000000" w:space="0" w:sz="4" w:val="single"/>
              <w:bottom w:color="000000" w:space="0" w:sz="4" w:val="single"/>
            </w:tcBorders>
            <w:shd w:fill="auto" w:val="clear"/>
            <w:vAlign w:val="bottom"/>
          </w:tcPr>
          <w:p w:rsidR="00000000" w:rsidDel="00000000" w:rsidP="00000000" w:rsidRDefault="00000000" w:rsidRPr="00000000" w14:paraId="000000B1">
            <w:pPr>
              <w:spacing w:line="360" w:lineRule="auto"/>
              <w:rPr>
                <w:rFonts w:ascii="Times New Roman" w:cs="Times New Roman" w:eastAsia="Times New Roman" w:hAnsi="Times New Roman"/>
                <w:sz w:val="24"/>
                <w:szCs w:val="24"/>
                <w:highlight w:val="whit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2">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38550</w:t>
            </w:r>
            <w:r w:rsidDel="00000000" w:rsidR="00000000" w:rsidRPr="00000000">
              <w:rPr>
                <w:rtl w:val="0"/>
              </w:rPr>
            </w:r>
          </w:p>
        </w:tc>
      </w:tr>
    </w:tbl>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pStyle w:val="Heading2"/>
        <w:spacing w:line="360" w:lineRule="auto"/>
        <w:jc w:val="both"/>
        <w:rPr>
          <w:rFonts w:ascii="Times New Roman" w:cs="Times New Roman" w:eastAsia="Times New Roman" w:hAnsi="Times New Roman"/>
          <w:b w:val="0"/>
          <w:color w:val="000000"/>
          <w:sz w:val="24"/>
          <w:szCs w:val="24"/>
          <w:highlight w:val="white"/>
          <w:u w:val="single"/>
        </w:rPr>
      </w:pPr>
      <w:bookmarkStart w:colFirst="0" w:colLast="0" w:name="_35nkun2" w:id="4"/>
      <w:bookmarkEnd w:id="4"/>
      <w:r w:rsidDel="00000000" w:rsidR="00000000" w:rsidRPr="00000000">
        <w:rPr>
          <w:rFonts w:ascii="Times New Roman" w:cs="Times New Roman" w:eastAsia="Times New Roman" w:hAnsi="Times New Roman"/>
          <w:b w:val="0"/>
          <w:color w:val="000000"/>
          <w:sz w:val="24"/>
          <w:szCs w:val="24"/>
          <w:highlight w:val="white"/>
          <w:u w:val="single"/>
          <w:rtl w:val="0"/>
        </w:rPr>
        <w:t xml:space="preserve">3. Critically analyzing key merits and demerits in relation to use of variances in assessing manager’s performance:</w:t>
      </w:r>
    </w:p>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Acceptable the use of such a cost allocation is an important way for the company to accomplish its long-term goals. Whenever an organization recognizes variability in an element including such material, labor, etc., it necessitates considering the major effect from such an element not only in trying to report its monthly declarations, as well as in replying to such a variance, this should directly impact risk management toward these reaching its mission. Variation analysis is a measurable measurement of variability between actual and expected behavior. This analysis is used to create corporate power. This will allow employees to make big changes and important choice that could make the business more successful in the future </w:t>
      </w:r>
      <w:r w:rsidDel="00000000" w:rsidR="00000000" w:rsidRPr="00000000">
        <w:rPr>
          <w:rFonts w:ascii="Times New Roman" w:cs="Times New Roman" w:eastAsia="Times New Roman" w:hAnsi="Times New Roman"/>
          <w:color w:val="222222"/>
          <w:sz w:val="24"/>
          <w:szCs w:val="24"/>
          <w:highlight w:val="white"/>
          <w:rtl w:val="0"/>
        </w:rPr>
        <w:t xml:space="preserve">(Damayanti and Pentiana, 2018)</w:t>
      </w:r>
      <w:r w:rsidDel="00000000" w:rsidR="00000000" w:rsidRPr="00000000">
        <w:rPr>
          <w:rFonts w:ascii="Times New Roman" w:cs="Times New Roman" w:eastAsia="Times New Roman" w:hAnsi="Times New Roman"/>
          <w:sz w:val="24"/>
          <w:szCs w:val="24"/>
          <w:rtl w:val="0"/>
        </w:rPr>
        <w:t xml:space="preserve">. It's worth noting that the analysis of differences doesn't answer business outcome problems. Additionally, it gives professional accountants and managers an indication of in which they can search for possible issues with material. A variation represents both the disparity between structured commodity and the specific resource needed for the activities. There may be a variance due to fluctuations in volume or impartiality. If the true input is higher than the usual cost or the expected cost, an undesirable difference is the disparity. If the actual cost is higher than average cost or the expected cost, the difference is a desirable variance. Thus significant variance estimate is good percentage, pessimistic variance is unfavorable variance. Variability interconnects with certain variances. Distinctions between variations, whether negatively or positively, are important in strategic thinking </w:t>
      </w:r>
      <w:r w:rsidDel="00000000" w:rsidR="00000000" w:rsidRPr="00000000">
        <w:rPr>
          <w:rFonts w:ascii="Times New Roman" w:cs="Times New Roman" w:eastAsia="Times New Roman" w:hAnsi="Times New Roman"/>
          <w:color w:val="222222"/>
          <w:sz w:val="24"/>
          <w:szCs w:val="24"/>
          <w:highlight w:val="white"/>
          <w:rtl w:val="0"/>
        </w:rPr>
        <w:t xml:space="preserve">(Datar and Rajan, 2018)</w:t>
      </w:r>
      <w:r w:rsidDel="00000000" w:rsidR="00000000" w:rsidRPr="00000000">
        <w:rPr>
          <w:rFonts w:ascii="Times New Roman" w:cs="Times New Roman" w:eastAsia="Times New Roman" w:hAnsi="Times New Roman"/>
          <w:sz w:val="24"/>
          <w:szCs w:val="24"/>
          <w:rtl w:val="0"/>
        </w:rPr>
        <w:t xml:space="preserve">. A detailed debate on the main benefits and demerit points of the use of differences in the evaluation of organizational results follows in this respect:</w:t>
      </w:r>
    </w:p>
    <w:p w:rsidR="00000000" w:rsidDel="00000000" w:rsidP="00000000" w:rsidRDefault="00000000" w:rsidRPr="00000000" w14:paraId="000000B6">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Merits</w:t>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Verification of divergence from norm or planned seems to be the first value of the study of the differences. Such arrival will start concentrating the evaluation on the management teams. The relevant details for this withdrawal shall be given to the management, in particular for incorrect decision (cost is beyond anticipated).</w:t>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second benefit of the variation would be its value in spending controls. In case of adverse variance management takes fair critically assess. When sufficient descriptions are not given and reasonable control actions are implemented, rationale of an unfavorable variation is assessed in first place </w:t>
      </w:r>
      <w:r w:rsidDel="00000000" w:rsidR="00000000" w:rsidRPr="00000000">
        <w:rPr>
          <w:rFonts w:ascii="Times New Roman" w:cs="Times New Roman" w:eastAsia="Times New Roman" w:hAnsi="Times New Roman"/>
          <w:color w:val="222222"/>
          <w:sz w:val="24"/>
          <w:szCs w:val="24"/>
          <w:highlight w:val="white"/>
          <w:rtl w:val="0"/>
        </w:rPr>
        <w:t xml:space="preserve">(Egan and Tweedie, 2018)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Future adjustment of budget projections is the third value of variance or variability assessments. Unless, in addition to an incorrect budget estimate, there is no logical explanation for uncertainty, the outlook for capacity should be updated or revised.</w:t>
      </w:r>
    </w:p>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fourth value of this variation is to assess the output of the administrators and, in specific, the supervisor controller. Favorable sign indicates stronger manger efficiency, whereas unfavorable variance means poor performance.</w:t>
      </w:r>
    </w:p>
    <w:p w:rsidR="00000000" w:rsidDel="00000000" w:rsidP="00000000" w:rsidRDefault="00000000" w:rsidRPr="00000000" w14:paraId="000000B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fifth benefit of variance development is to examine a system of responsibilities and functions inside the corporation. Defining obligations and roles improves the efficiency and control mechanism in regard the organisation. </w:t>
      </w:r>
    </w:p>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simulation of differences or the examination of differences creates an accountability structure inside the firm. All are liable for the results of unfavorable variances </w:t>
      </w:r>
      <w:r w:rsidDel="00000000" w:rsidR="00000000" w:rsidRPr="00000000">
        <w:rPr>
          <w:rFonts w:ascii="Times New Roman" w:cs="Times New Roman" w:eastAsia="Times New Roman" w:hAnsi="Times New Roman"/>
          <w:color w:val="222222"/>
          <w:sz w:val="24"/>
          <w:szCs w:val="24"/>
          <w:highlight w:val="white"/>
          <w:rtl w:val="0"/>
        </w:rPr>
        <w:t xml:space="preserve">(Eisenberg, 2016)</w:t>
      </w:r>
      <w:r w:rsidDel="00000000" w:rsidR="00000000" w:rsidRPr="00000000">
        <w:rPr>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(Feger and Mermet,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some circumstances, budget vs. actual differences may suggest that the company's business variety or directed consumer market needs to be reassessed. There's now a lot of exaggeration regarding preparing a budget. If such assumptions contribute to expenditure blow-up, this could be because the fundamental projections for a variety of variables are entirely inaccurate. This can be as simple as an economic crisis or as complicated as issues when it comes to delivering goods out again to customers. The necessary changes inside the business could be seen at the conclusion from each day.</w:t>
      </w:r>
    </w:p>
    <w:p w:rsidR="00000000" w:rsidDel="00000000" w:rsidP="00000000" w:rsidRDefault="00000000" w:rsidRPr="00000000" w14:paraId="000000B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Assists the company in achieving its strategic objectives and ensuring the effective utilization of the capital of the organization. This also helps to create standards for the concerned parties. If the multiple regression analysis presents a set of results that produce large differences in the study, it may indicate there have been significant issues with the budget preparation. Problems may lead to the use of inaccurate information or details, or software inaccurate data when used to prepare either expenditure or a specific analysis reports that occur </w:t>
      </w:r>
      <w:r w:rsidDel="00000000" w:rsidR="00000000" w:rsidRPr="00000000">
        <w:rPr>
          <w:rFonts w:ascii="Times New Roman" w:cs="Times New Roman" w:eastAsia="Times New Roman" w:hAnsi="Times New Roman"/>
          <w:color w:val="222222"/>
          <w:sz w:val="24"/>
          <w:szCs w:val="24"/>
          <w:highlight w:val="white"/>
          <w:rtl w:val="0"/>
        </w:rPr>
        <w:t xml:space="preserve">(Grabner, Posch and Wabnegg, 2018)</w:t>
      </w:r>
      <w:r w:rsidDel="00000000" w:rsidR="00000000" w:rsidRPr="00000000">
        <w:rPr>
          <w:rFonts w:ascii="Times New Roman" w:cs="Times New Roman" w:eastAsia="Times New Roman" w:hAnsi="Times New Roman"/>
          <w:sz w:val="24"/>
          <w:szCs w:val="24"/>
          <w:rtl w:val="0"/>
        </w:rPr>
        <w:t xml:space="preserve">. Variance evaluation is also a valuable way of checking the costing method of the company. By making efforts to strengthen the financial planning system, the company needs to get to be a lot more effective. </w:t>
      </w:r>
    </w:p>
    <w:p w:rsidR="00000000" w:rsidDel="00000000" w:rsidP="00000000" w:rsidRDefault="00000000" w:rsidRPr="00000000" w14:paraId="000000BF">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Demerits </w:t>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Accounting staff records discrepancies at the end of every season before sending the reports to managers. Company needs information much faster for most circumstances so it chooses to concentrate on automatic indications or on-site actions.</w:t>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Many variance / variance variables are not included in accounting records, and accounting departments will study and evaluate information such as routing research, spending on supplies and payroll records to examine the causes of such differences. This bring-on procedure is cost-effective only if the supervisors have been able to solve the problems effectively on the grounds of the data obtained.</w:t>
      </w:r>
    </w:p>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Where budgeting does not take place on the basis of a detailed analysis of each element, the annual budget can be treated broadly, that may vary from the exact statistics. With such a situation it cannot make much sense to evaluate differences </w:t>
      </w:r>
      <w:r w:rsidDel="00000000" w:rsidR="00000000" w:rsidRPr="00000000">
        <w:rPr>
          <w:rFonts w:ascii="Times New Roman" w:cs="Times New Roman" w:eastAsia="Times New Roman" w:hAnsi="Times New Roman"/>
          <w:color w:val="222222"/>
          <w:sz w:val="24"/>
          <w:szCs w:val="24"/>
          <w:highlight w:val="white"/>
          <w:rtl w:val="0"/>
        </w:rPr>
        <w:t xml:space="preserve">(Kosov, Mashinistova, and Kharakoz, 2016)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variation study has a major drawback in that it takes far longer to evaluate the effect of the variability and it may therefore prolong the corrective behavior. The monitoring method leads to a considerable reduction in time-frame and thus will significantly hinder the implementation of prevention measures.</w:t>
      </w:r>
    </w:p>
    <w:p w:rsidR="00000000" w:rsidDel="00000000" w:rsidP="00000000" w:rsidRDefault="00000000" w:rsidRPr="00000000" w14:paraId="000000C4">
      <w:pPr>
        <w:pStyle w:val="Heading1"/>
        <w:numPr>
          <w:ilvl w:val="0"/>
          <w:numId w:val="1"/>
        </w:numPr>
        <w:ind w:left="432" w:hanging="432"/>
        <w:rPr/>
      </w:pPr>
      <w:bookmarkStart w:colFirst="0" w:colLast="0" w:name="_1ksv4uv" w:id="5"/>
      <w:bookmarkEnd w:id="5"/>
      <w:r w:rsidDel="00000000" w:rsidR="00000000" w:rsidRPr="00000000">
        <w:rPr>
          <w:rtl w:val="0"/>
        </w:rPr>
        <w:t xml:space="preserve">PART B</w:t>
      </w:r>
    </w:p>
    <w:p w:rsidR="00000000" w:rsidDel="00000000" w:rsidP="00000000" w:rsidRDefault="00000000" w:rsidRPr="00000000" w14:paraId="000000C5">
      <w:pPr>
        <w:pStyle w:val="Heading2"/>
        <w:numPr>
          <w:ilvl w:val="1"/>
          <w:numId w:val="1"/>
        </w:numPr>
        <w:spacing w:before="113" w:line="360" w:lineRule="auto"/>
        <w:ind w:left="576" w:hanging="576"/>
        <w:jc w:val="both"/>
        <w:rPr>
          <w:rFonts w:ascii="Times New Roman" w:cs="Times New Roman" w:eastAsia="Times New Roman" w:hAnsi="Times New Roman"/>
          <w:b w:val="0"/>
          <w:color w:val="000000"/>
          <w:sz w:val="24"/>
          <w:szCs w:val="24"/>
          <w:u w:val="single"/>
        </w:rPr>
      </w:pPr>
      <w:bookmarkStart w:colFirst="0" w:colLast="0" w:name="_44sinio" w:id="6"/>
      <w:bookmarkEnd w:id="6"/>
      <w:r w:rsidDel="00000000" w:rsidR="00000000" w:rsidRPr="00000000">
        <w:rPr>
          <w:rFonts w:ascii="Times New Roman" w:cs="Times New Roman" w:eastAsia="Times New Roman" w:hAnsi="Times New Roman"/>
          <w:b w:val="0"/>
          <w:color w:val="000000"/>
          <w:sz w:val="24"/>
          <w:szCs w:val="24"/>
          <w:u w:val="single"/>
          <w:rtl w:val="0"/>
        </w:rPr>
        <w:t xml:space="preserve">1. FamaQ gives XLG competitive advantage </w:t>
      </w:r>
    </w:p>
    <w:p w:rsidR="00000000" w:rsidDel="00000000" w:rsidP="00000000" w:rsidRDefault="00000000" w:rsidRPr="00000000" w14:paraId="000000C6">
      <w:pPr>
        <w:spacing w:line="360" w:lineRule="auto"/>
        <w:ind w:firstLine="57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accurate that Fama Q provides the XLG company a competitive advantage as it is the corporation's dominant cleaning agent and XLG takes protection to protect its UK dominant market position from its rivals. For the Chemical X, the selling price difference is £8500 that is in a favorable situation and for Chemical Y it is £5250 that is also in support. Chemical X and Y's market volume output variation is £8925 and £4650 separately so both are in the XLG Corporation’s favorable situation. From the other extreme, the commodity price operating difference for the Chemical X is detrimental which again is -£29750 and for Chemical Y is -£23800 which is also unfavorable as implies it is not advantageous to the companies and also some competitive </w:t>
      </w:r>
      <w:r w:rsidDel="00000000" w:rsidR="00000000" w:rsidRPr="00000000">
        <w:rPr>
          <w:rFonts w:ascii="Times New Roman" w:cs="Times New Roman" w:eastAsia="Times New Roman" w:hAnsi="Times New Roman"/>
          <w:color w:val="222222"/>
          <w:sz w:val="24"/>
          <w:szCs w:val="24"/>
          <w:highlight w:val="white"/>
          <w:rtl w:val="0"/>
        </w:rPr>
        <w:t xml:space="preserve">(Machado, 2016)</w:t>
      </w:r>
      <w:r w:rsidDel="00000000" w:rsidR="00000000" w:rsidRPr="00000000">
        <w:rPr>
          <w:rFonts w:ascii="Times New Roman" w:cs="Times New Roman" w:eastAsia="Times New Roman" w:hAnsi="Times New Roman"/>
          <w:sz w:val="24"/>
          <w:szCs w:val="24"/>
          <w:rtl w:val="0"/>
        </w:rPr>
        <w:t xml:space="preserve">. Additionally, the difference in the commodity price preparation is £45687.5 and £38550 accordingly for Chemical X and Y. XLG Company can avoid sourcing from Brazil and instead concentrate on manufacturing through-house save the shipping costs. XLG Business will concentrate on digital shopping because of the corona virus that is distributed around the country. </w:t>
      </w:r>
    </w:p>
    <w:p w:rsidR="00000000" w:rsidDel="00000000" w:rsidP="00000000" w:rsidRDefault="00000000" w:rsidRPr="00000000" w14:paraId="000000C7">
      <w:pPr>
        <w:spacing w:line="360" w:lineRule="auto"/>
        <w:ind w:firstLine="57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Fama Q provides the XLG strong competitive edge, although in the lockdown cost per share tends to increase to £4.50 and XLG has to pay Fama Q £3.70, which is becoming expensive to them. Because of elevated air travel fees which also boost the sales price of cleaning items, companies have to start shipping from Brazil. It has been established from the prices of sales and commodity aspects that perhaps the importation of commodity through Brazil by air transformation raises the average cost of every product.</w:t>
      </w:r>
    </w:p>
    <w:p w:rsidR="00000000" w:rsidDel="00000000" w:rsidP="00000000" w:rsidRDefault="00000000" w:rsidRPr="00000000" w14:paraId="000000C8">
      <w:pPr>
        <w:pStyle w:val="Heading2"/>
        <w:spacing w:line="360" w:lineRule="auto"/>
        <w:jc w:val="both"/>
        <w:rPr>
          <w:rFonts w:ascii="Times New Roman" w:cs="Times New Roman" w:eastAsia="Times New Roman" w:hAnsi="Times New Roman"/>
          <w:b w:val="0"/>
          <w:color w:val="000000"/>
          <w:sz w:val="24"/>
          <w:szCs w:val="24"/>
          <w:u w:val="single"/>
        </w:rPr>
      </w:pPr>
      <w:bookmarkStart w:colFirst="0" w:colLast="0" w:name="_2jxsxqh" w:id="7"/>
      <w:bookmarkEnd w:id="7"/>
      <w:r w:rsidDel="00000000" w:rsidR="00000000" w:rsidRPr="00000000">
        <w:rPr>
          <w:rFonts w:ascii="Times New Roman" w:cs="Times New Roman" w:eastAsia="Times New Roman" w:hAnsi="Times New Roman"/>
          <w:b w:val="0"/>
          <w:color w:val="000000"/>
          <w:sz w:val="24"/>
          <w:szCs w:val="24"/>
          <w:u w:val="single"/>
          <w:rtl w:val="0"/>
        </w:rPr>
        <w:t xml:space="preserve">2. Demand for chemical X and Y has increased by 45% which is likely to continue according to market research</w:t>
      </w:r>
    </w:p>
    <w:p w:rsidR="00000000" w:rsidDel="00000000" w:rsidP="00000000" w:rsidRDefault="00000000" w:rsidRPr="00000000" w14:paraId="000000C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 for Chemical X and Y is growing by 45 percent, so companies can start their development according to consumer research that they require to avoid purchasing Brazilian goods. Due to the nature of a disease outbreak scenario in the country and worldwide, the organisation and any individual of the nation who has to suffer is affected. Instructional process cost of the product is £2.50 per product, however owing to this global epidemic circumstance it will raise the product priced at £ 4.50 per item and as a consequence XLG Corporation will have to pay £ 3.70 per department to Fama Q. It will reduce the production margin of the business that is not advantageous caused by air transportation of massive value content </w:t>
      </w:r>
      <w:r w:rsidDel="00000000" w:rsidR="00000000" w:rsidRPr="00000000">
        <w:rPr>
          <w:rFonts w:ascii="Times New Roman" w:cs="Times New Roman" w:eastAsia="Times New Roman" w:hAnsi="Times New Roman"/>
          <w:color w:val="222222"/>
          <w:sz w:val="24"/>
          <w:szCs w:val="24"/>
          <w:highlight w:val="white"/>
          <w:rtl w:val="0"/>
        </w:rPr>
        <w:t xml:space="preserve">(Rybicka, 2018)</w:t>
      </w:r>
      <w:r w:rsidDel="00000000" w:rsidR="00000000" w:rsidRPr="00000000">
        <w:rPr>
          <w:rFonts w:ascii="Times New Roman" w:cs="Times New Roman" w:eastAsia="Times New Roman" w:hAnsi="Times New Roman"/>
          <w:sz w:val="24"/>
          <w:szCs w:val="24"/>
          <w:rtl w:val="0"/>
        </w:rPr>
        <w:t xml:space="preserve">. In this case, in order to raise their selling price, they must avoid shipping stuff from Brazil and find their replacement or manufacture themselves in the UK to reduce their costs. Since original production price rises due to the increased shipping costs, this may reduce demand or decrease the profitability for XLG Business as well.</w:t>
      </w:r>
    </w:p>
    <w:p w:rsidR="00000000" w:rsidDel="00000000" w:rsidP="00000000" w:rsidRDefault="00000000" w:rsidRPr="00000000" w14:paraId="000000CA">
      <w:pPr>
        <w:pStyle w:val="Heading2"/>
        <w:spacing w:line="360" w:lineRule="auto"/>
        <w:jc w:val="both"/>
        <w:rPr>
          <w:rFonts w:ascii="Times New Roman" w:cs="Times New Roman" w:eastAsia="Times New Roman" w:hAnsi="Times New Roman"/>
          <w:b w:val="0"/>
          <w:color w:val="000000"/>
          <w:sz w:val="24"/>
          <w:szCs w:val="24"/>
          <w:u w:val="single"/>
        </w:rPr>
      </w:pPr>
      <w:bookmarkStart w:colFirst="0" w:colLast="0" w:name="_z337ya" w:id="8"/>
      <w:bookmarkEnd w:id="8"/>
      <w:r w:rsidDel="00000000" w:rsidR="00000000" w:rsidRPr="00000000">
        <w:rPr>
          <w:rFonts w:ascii="Times New Roman" w:cs="Times New Roman" w:eastAsia="Times New Roman" w:hAnsi="Times New Roman"/>
          <w:b w:val="0"/>
          <w:color w:val="000000"/>
          <w:sz w:val="24"/>
          <w:szCs w:val="24"/>
          <w:u w:val="single"/>
          <w:rtl w:val="0"/>
        </w:rPr>
        <w:t xml:space="preserve">3. The cost of making a unit of Fama Q in the UK is £3 with delivery times reducing by 15 working days</w:t>
      </w:r>
    </w:p>
    <w:p w:rsidR="00000000" w:rsidDel="00000000" w:rsidP="00000000" w:rsidRDefault="00000000" w:rsidRPr="00000000" w14:paraId="000000C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Manufacturing goods in the United Kingdom minimizes production costs as well as reducing delivery schedule that is very significant in helping to attract more customers. Since consumers favor certain products or companies that supply raw materials at minimal prices. If industry receives lower costs by producing Fama Q products in the British otherwise businesses have to maintain this cycle and avoid purchasing from Brazil before the scenario is usual.</w:t>
      </w:r>
    </w:p>
    <w:p w:rsidR="00000000" w:rsidDel="00000000" w:rsidP="00000000" w:rsidRDefault="00000000" w:rsidRPr="00000000" w14:paraId="000000CC">
      <w:pPr>
        <w:spacing w:line="360" w:lineRule="auto"/>
        <w:ind w:firstLine="43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XLG Corporation is already charging £3.70 to Fama Q and once they begin manufacturing in the Kingdom they have £ 3 per product which takes 15 days fewer periods to manufacture goods </w:t>
      </w:r>
      <w:r w:rsidDel="00000000" w:rsidR="00000000" w:rsidRPr="00000000">
        <w:rPr>
          <w:rFonts w:ascii="Times New Roman" w:cs="Times New Roman" w:eastAsia="Times New Roman" w:hAnsi="Times New Roman"/>
          <w:color w:val="222222"/>
          <w:sz w:val="24"/>
          <w:szCs w:val="24"/>
          <w:highlight w:val="white"/>
          <w:rtl w:val="0"/>
        </w:rPr>
        <w:t xml:space="preserve">(Setiawan, Rahmawati and Widagdo, 2019)</w:t>
      </w:r>
      <w:r w:rsidDel="00000000" w:rsidR="00000000" w:rsidRPr="00000000">
        <w:rPr>
          <w:rFonts w:ascii="Times New Roman" w:cs="Times New Roman" w:eastAsia="Times New Roman" w:hAnsi="Times New Roman"/>
          <w:sz w:val="24"/>
          <w:szCs w:val="24"/>
          <w:rtl w:val="0"/>
        </w:rPr>
        <w:t xml:space="preserve">. The fast turnaround choice falls under the happiness of the consumer and their purchase process that boosts the image of the organisation or actually increases their market opportunity. XLG Corporation wants to change its emphasis and start producing goods in the UK because it minimizes costs by rising shipping and taxation costs. Shipping goods from out of the UK often takes several workdays that may lead the consumer to withdraw the request.</w:t>
      </w:r>
    </w:p>
    <w:p w:rsidR="00000000" w:rsidDel="00000000" w:rsidP="00000000" w:rsidRDefault="00000000" w:rsidRPr="00000000" w14:paraId="000000CD">
      <w:pPr>
        <w:spacing w:line="360" w:lineRule="auto"/>
        <w:ind w:firstLine="43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evaluating all the facts and variables that contribute to further cost production and an immediate rise in the appraised value, executives must define and make sound decisions that they will implement with regard to the business in order to retain the sustainability and consumer demand for goods &amp; products in this disease outbreak situation. Lookdown satiations create tremendous problems for the environment where corporate sustainability is very challenging; citizens strive to maintain their employment secure and income producing companies. In this tough position, it is the institution's best chance to preserve its competitiveness </w:t>
      </w:r>
      <w:r w:rsidDel="00000000" w:rsidR="00000000" w:rsidRPr="00000000">
        <w:rPr>
          <w:rFonts w:ascii="Times New Roman" w:cs="Times New Roman" w:eastAsia="Times New Roman" w:hAnsi="Times New Roman"/>
          <w:color w:val="222222"/>
          <w:sz w:val="24"/>
          <w:szCs w:val="24"/>
          <w:highlight w:val="white"/>
          <w:rtl w:val="0"/>
        </w:rPr>
        <w:t xml:space="preserve">(van Helden, 2019)</w:t>
      </w:r>
      <w:r w:rsidDel="00000000" w:rsidR="00000000" w:rsidRPr="00000000">
        <w:rPr>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(Vetrov, Vandina and Galustov, 2017)</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E">
      <w:pPr>
        <w:pStyle w:val="Heading1"/>
        <w:numPr>
          <w:ilvl w:val="0"/>
          <w:numId w:val="1"/>
        </w:numPr>
        <w:ind w:left="432" w:hanging="432"/>
        <w:rPr/>
      </w:pPr>
      <w:bookmarkStart w:colFirst="0" w:colLast="0" w:name="_3j2qqm3" w:id="9"/>
      <w:bookmarkEnd w:id="9"/>
      <w:r w:rsidDel="00000000" w:rsidR="00000000" w:rsidRPr="00000000">
        <w:rPr>
          <w:rtl w:val="0"/>
        </w:rPr>
        <w:t xml:space="preserve">CONCLUSION</w:t>
      </w:r>
    </w:p>
    <w:p w:rsidR="00000000" w:rsidDel="00000000" w:rsidP="00000000" w:rsidRDefault="00000000" w:rsidRPr="00000000" w14:paraId="000000CF">
      <w:pPr>
        <w:spacing w:line="360" w:lineRule="auto"/>
        <w:ind w:firstLine="43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ascertained from the current conversation that business environment generates so many problems and also difficulties that also support the growth and profit of the organization. Utilizing management accounting notions, managers need to make informed business decisions according to the present situation that the organization is facing. Responsible for setting the productivity conditions in company activities by recognizing revenue and inventory variances, and often evaluate what behaviour is in favour in output or not. Each company is affected in the lockout circumstances, so it is easier to consider the circumstances and find potential ways to escape from this tough position. </w:t>
      </w:r>
    </w:p>
    <w:p w:rsidR="00000000" w:rsidDel="00000000" w:rsidP="00000000" w:rsidRDefault="00000000" w:rsidRPr="00000000" w14:paraId="000000D0">
      <w:pPr>
        <w:rPr>
          <w:rFonts w:ascii="Times New Roman" w:cs="Times New Roman" w:eastAsia="Times New Roman" w:hAnsi="Times New Roman"/>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D1">
      <w:pPr>
        <w:pStyle w:val="Heading1"/>
        <w:numPr>
          <w:ilvl w:val="0"/>
          <w:numId w:val="1"/>
        </w:numPr>
        <w:ind w:left="432" w:hanging="432"/>
        <w:rPr/>
      </w:pPr>
      <w:bookmarkStart w:colFirst="0" w:colLast="0" w:name="_17dp8vu" w:id="10"/>
      <w:bookmarkEnd w:id="10"/>
      <w:r w:rsidDel="00000000" w:rsidR="00000000" w:rsidRPr="00000000">
        <w:rPr>
          <w:rtl w:val="0"/>
        </w:rPr>
        <w:t xml:space="preserve">REFERENCES</w:t>
      </w:r>
    </w:p>
    <w:p w:rsidR="00000000" w:rsidDel="00000000" w:rsidP="00000000" w:rsidRDefault="00000000" w:rsidRPr="00000000" w14:paraId="000000D2">
      <w:pPr>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Books and Journals</w:t>
      </w:r>
    </w:p>
    <w:p w:rsidR="00000000" w:rsidDel="00000000" w:rsidP="00000000" w:rsidRDefault="00000000" w:rsidRPr="00000000" w14:paraId="000000D3">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Agrawal, A. and Cooper, T., 2017. Corporate governance consequences of accounting scandals: Evidence from top management, CFO and auditor turnover. </w:t>
      </w:r>
      <w:r w:rsidDel="00000000" w:rsidR="00000000" w:rsidRPr="00000000">
        <w:rPr>
          <w:rFonts w:ascii="Times New Roman" w:cs="Times New Roman" w:eastAsia="Times New Roman" w:hAnsi="Times New Roman"/>
          <w:i w:val="1"/>
          <w:color w:val="222222"/>
          <w:sz w:val="24"/>
          <w:szCs w:val="24"/>
          <w:highlight w:val="white"/>
          <w:rtl w:val="0"/>
        </w:rPr>
        <w:t xml:space="preserve">Quarterly Journal of Finance</w:t>
      </w:r>
      <w:r w:rsidDel="00000000" w:rsidR="00000000" w:rsidRPr="00000000">
        <w:rPr>
          <w:rFonts w:ascii="Times New Roman" w:cs="Times New Roman" w:eastAsia="Times New Roman" w:hAnsi="Times New Roman"/>
          <w:color w:val="222222"/>
          <w:sz w:val="24"/>
          <w:szCs w:val="24"/>
          <w:highlight w:val="white"/>
          <w:rtl w:val="0"/>
        </w:rPr>
        <w:t xml:space="preserve">. 7(01). p.1650014.</w:t>
      </w:r>
    </w:p>
    <w:p w:rsidR="00000000" w:rsidDel="00000000" w:rsidP="00000000" w:rsidRDefault="00000000" w:rsidRPr="00000000" w14:paraId="000000D4">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Amiruddin, G. P., 2016. Environmental management accounting: identifying future potentials. </w:t>
      </w:r>
      <w:r w:rsidDel="00000000" w:rsidR="00000000" w:rsidRPr="00000000">
        <w:rPr>
          <w:rFonts w:ascii="Times New Roman" w:cs="Times New Roman" w:eastAsia="Times New Roman" w:hAnsi="Times New Roman"/>
          <w:i w:val="1"/>
          <w:color w:val="222222"/>
          <w:sz w:val="24"/>
          <w:szCs w:val="24"/>
          <w:highlight w:val="white"/>
          <w:rtl w:val="0"/>
        </w:rPr>
        <w:t xml:space="preserve">Asia-Pacific Management Accounting Journal (APMAJ)</w:t>
      </w:r>
      <w:r w:rsidDel="00000000" w:rsidR="00000000" w:rsidRPr="00000000">
        <w:rPr>
          <w:rFonts w:ascii="Times New Roman" w:cs="Times New Roman" w:eastAsia="Times New Roman" w:hAnsi="Times New Roman"/>
          <w:color w:val="222222"/>
          <w:sz w:val="24"/>
          <w:szCs w:val="24"/>
          <w:highlight w:val="white"/>
          <w:rtl w:val="0"/>
        </w:rPr>
        <w:t xml:space="preserve">. 11(1). pp.80-94.</w:t>
      </w:r>
    </w:p>
    <w:p w:rsidR="00000000" w:rsidDel="00000000" w:rsidP="00000000" w:rsidRDefault="00000000" w:rsidRPr="00000000" w14:paraId="000000D5">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Dahal, R. K., 2018. Management Accounting and Control System. </w:t>
      </w:r>
      <w:r w:rsidDel="00000000" w:rsidR="00000000" w:rsidRPr="00000000">
        <w:rPr>
          <w:rFonts w:ascii="Times New Roman" w:cs="Times New Roman" w:eastAsia="Times New Roman" w:hAnsi="Times New Roman"/>
          <w:i w:val="1"/>
          <w:color w:val="222222"/>
          <w:sz w:val="24"/>
          <w:szCs w:val="24"/>
          <w:highlight w:val="white"/>
          <w:rtl w:val="0"/>
        </w:rPr>
        <w:t xml:space="preserve">NCC Journal</w:t>
      </w:r>
      <w:r w:rsidDel="00000000" w:rsidR="00000000" w:rsidRPr="00000000">
        <w:rPr>
          <w:rFonts w:ascii="Times New Roman" w:cs="Times New Roman" w:eastAsia="Times New Roman" w:hAnsi="Times New Roman"/>
          <w:color w:val="222222"/>
          <w:sz w:val="24"/>
          <w:szCs w:val="24"/>
          <w:highlight w:val="white"/>
          <w:rtl w:val="0"/>
        </w:rPr>
        <w:t xml:space="preserve">. 3(1). pp.153-166.</w:t>
      </w:r>
    </w:p>
    <w:p w:rsidR="00000000" w:rsidDel="00000000" w:rsidP="00000000" w:rsidRDefault="00000000" w:rsidRPr="00000000" w14:paraId="000000D6">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Damayanti, D. and Pentiana, D., 2018. Global Warming" in the Perspective of Environmental Management Accounting (EMA). </w:t>
      </w:r>
      <w:r w:rsidDel="00000000" w:rsidR="00000000" w:rsidRPr="00000000">
        <w:rPr>
          <w:rFonts w:ascii="Times New Roman" w:cs="Times New Roman" w:eastAsia="Times New Roman" w:hAnsi="Times New Roman"/>
          <w:i w:val="1"/>
          <w:color w:val="222222"/>
          <w:sz w:val="24"/>
          <w:szCs w:val="24"/>
          <w:highlight w:val="white"/>
          <w:rtl w:val="0"/>
        </w:rPr>
        <w:t xml:space="preserve">Jurnal Ilmiah ESAI</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0D7">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Datar, S. M. and Rajan, M., 2018. Horngren's cost accounting: A managerial emphasis.</w:t>
      </w:r>
    </w:p>
    <w:p w:rsidR="00000000" w:rsidDel="00000000" w:rsidP="00000000" w:rsidRDefault="00000000" w:rsidRPr="00000000" w14:paraId="000000D8">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Egan, M. and Tweedie, D., 2018. A “green” accountant is difficult to find: Can accountants contribute to sustainability management initiatives?. </w:t>
      </w:r>
      <w:r w:rsidDel="00000000" w:rsidR="00000000" w:rsidRPr="00000000">
        <w:rPr>
          <w:rFonts w:ascii="Times New Roman" w:cs="Times New Roman" w:eastAsia="Times New Roman" w:hAnsi="Times New Roman"/>
          <w:i w:val="1"/>
          <w:color w:val="222222"/>
          <w:sz w:val="24"/>
          <w:szCs w:val="24"/>
          <w:highlight w:val="white"/>
          <w:rtl w:val="0"/>
        </w:rPr>
        <w:t xml:space="preserve">Accounting, Auditing &amp; Accountability Journal</w:t>
      </w:r>
      <w:r w:rsidDel="00000000" w:rsidR="00000000" w:rsidRPr="00000000">
        <w:rPr>
          <w:rFonts w:ascii="Times New Roman" w:cs="Times New Roman" w:eastAsia="Times New Roman" w:hAnsi="Times New Roman"/>
          <w:color w:val="222222"/>
          <w:sz w:val="24"/>
          <w:szCs w:val="24"/>
          <w:highlight w:val="white"/>
          <w:rtl w:val="0"/>
        </w:rPr>
        <w:t xml:space="preserve">. 31(6). pp.1749-1773.</w:t>
      </w:r>
    </w:p>
    <w:p w:rsidR="00000000" w:rsidDel="00000000" w:rsidP="00000000" w:rsidRDefault="00000000" w:rsidRPr="00000000" w14:paraId="000000D9">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Eisenberg, P., 2016. Performance Measurement and Management Promotion through Non-Financial Measures: A Management Accounting Perspective. </w:t>
      </w:r>
      <w:r w:rsidDel="00000000" w:rsidR="00000000" w:rsidRPr="00000000">
        <w:rPr>
          <w:rFonts w:ascii="Times New Roman" w:cs="Times New Roman" w:eastAsia="Times New Roman" w:hAnsi="Times New Roman"/>
          <w:i w:val="1"/>
          <w:color w:val="222222"/>
          <w:sz w:val="24"/>
          <w:szCs w:val="24"/>
          <w:highlight w:val="white"/>
          <w:rtl w:val="0"/>
        </w:rPr>
        <w:t xml:space="preserve">MPRA Paper</w:t>
      </w:r>
      <w:r w:rsidDel="00000000" w:rsidR="00000000" w:rsidRPr="00000000">
        <w:rPr>
          <w:rFonts w:ascii="Times New Roman" w:cs="Times New Roman" w:eastAsia="Times New Roman" w:hAnsi="Times New Roman"/>
          <w:color w:val="222222"/>
          <w:sz w:val="24"/>
          <w:szCs w:val="24"/>
          <w:highlight w:val="white"/>
          <w:rtl w:val="0"/>
        </w:rPr>
        <w:t xml:space="preserve">, (75409), pp.50-64.</w:t>
      </w:r>
    </w:p>
    <w:p w:rsidR="00000000" w:rsidDel="00000000" w:rsidP="00000000" w:rsidRDefault="00000000" w:rsidRPr="00000000" w14:paraId="000000DA">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Feger, C. and Mermet, L., 2017. A blueprint towards accounting for the management of ecosystems. </w:t>
      </w:r>
      <w:r w:rsidDel="00000000" w:rsidR="00000000" w:rsidRPr="00000000">
        <w:rPr>
          <w:rFonts w:ascii="Times New Roman" w:cs="Times New Roman" w:eastAsia="Times New Roman" w:hAnsi="Times New Roman"/>
          <w:i w:val="1"/>
          <w:color w:val="222222"/>
          <w:sz w:val="24"/>
          <w:szCs w:val="24"/>
          <w:highlight w:val="white"/>
          <w:rtl w:val="0"/>
        </w:rPr>
        <w:t xml:space="preserve">Accounting, Auditing &amp; Accountability Journal</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DB">
      <w:pPr>
        <w:spacing w:line="24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Grabner, I., Posch, A. and Wabnegg, M., 2018. Materializing innovation capability: A management control perspective. </w:t>
      </w:r>
      <w:r w:rsidDel="00000000" w:rsidR="00000000" w:rsidRPr="00000000">
        <w:rPr>
          <w:rFonts w:ascii="Times New Roman" w:cs="Times New Roman" w:eastAsia="Times New Roman" w:hAnsi="Times New Roman"/>
          <w:i w:val="1"/>
          <w:color w:val="222222"/>
          <w:sz w:val="24"/>
          <w:szCs w:val="24"/>
          <w:highlight w:val="white"/>
          <w:rtl w:val="0"/>
        </w:rPr>
        <w:t xml:space="preserve">Journal of management accounting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(2), pp.163-185.</w:t>
      </w:r>
      <w:r w:rsidDel="00000000" w:rsidR="00000000" w:rsidRPr="00000000">
        <w:rPr>
          <w:rtl w:val="0"/>
        </w:rPr>
      </w:r>
    </w:p>
    <w:p w:rsidR="00000000" w:rsidDel="00000000" w:rsidP="00000000" w:rsidRDefault="00000000" w:rsidRPr="00000000" w14:paraId="000000DC">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Kosov, M. E., Mashinistova, G. E. and Kharakoz, Y. K., 2016. Features of the organization of managerial cost accounting and cost management. </w:t>
      </w:r>
      <w:r w:rsidDel="00000000" w:rsidR="00000000" w:rsidRPr="00000000">
        <w:rPr>
          <w:rFonts w:ascii="Times New Roman" w:cs="Times New Roman" w:eastAsia="Times New Roman" w:hAnsi="Times New Roman"/>
          <w:i w:val="1"/>
          <w:color w:val="222222"/>
          <w:sz w:val="24"/>
          <w:szCs w:val="24"/>
          <w:highlight w:val="white"/>
          <w:rtl w:val="0"/>
        </w:rPr>
        <w:t xml:space="preserve">Мировая экономика: проблемы безопасности</w:t>
      </w:r>
      <w:r w:rsidDel="00000000" w:rsidR="00000000" w:rsidRPr="00000000">
        <w:rPr>
          <w:rFonts w:ascii="Times New Roman" w:cs="Times New Roman" w:eastAsia="Times New Roman" w:hAnsi="Times New Roman"/>
          <w:color w:val="222222"/>
          <w:sz w:val="24"/>
          <w:szCs w:val="24"/>
          <w:highlight w:val="white"/>
          <w:rtl w:val="0"/>
        </w:rPr>
        <w:t xml:space="preserve">. (1). pp.33-39.</w:t>
      </w:r>
    </w:p>
    <w:p w:rsidR="00000000" w:rsidDel="00000000" w:rsidP="00000000" w:rsidRDefault="00000000" w:rsidRPr="00000000" w14:paraId="000000DD">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Machado, M., 2016. Management accounting software and accounting practices: empirical study on SME enterprises. </w:t>
      </w:r>
      <w:r w:rsidDel="00000000" w:rsidR="00000000" w:rsidRPr="00000000">
        <w:rPr>
          <w:rFonts w:ascii="Times New Roman" w:cs="Times New Roman" w:eastAsia="Times New Roman" w:hAnsi="Times New Roman"/>
          <w:i w:val="1"/>
          <w:color w:val="222222"/>
          <w:sz w:val="24"/>
          <w:szCs w:val="24"/>
          <w:highlight w:val="white"/>
          <w:rtl w:val="0"/>
        </w:rPr>
        <w:t xml:space="preserve">Management accounting software and accounting practices: empirical study on SME enterprises</w:t>
      </w:r>
      <w:r w:rsidDel="00000000" w:rsidR="00000000" w:rsidRPr="00000000">
        <w:rPr>
          <w:rFonts w:ascii="Times New Roman" w:cs="Times New Roman" w:eastAsia="Times New Roman" w:hAnsi="Times New Roman"/>
          <w:color w:val="222222"/>
          <w:sz w:val="24"/>
          <w:szCs w:val="24"/>
          <w:highlight w:val="white"/>
          <w:rtl w:val="0"/>
        </w:rPr>
        <w:t xml:space="preserve">, (1), pp.94-103.</w:t>
      </w:r>
    </w:p>
    <w:p w:rsidR="00000000" w:rsidDel="00000000" w:rsidP="00000000" w:rsidRDefault="00000000" w:rsidRPr="00000000" w14:paraId="000000DE">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Rybicka, K., 2018. New technologies–the impact on contemporary management accounting. </w:t>
      </w:r>
      <w:r w:rsidDel="00000000" w:rsidR="00000000" w:rsidRPr="00000000">
        <w:rPr>
          <w:rFonts w:ascii="Times New Roman" w:cs="Times New Roman" w:eastAsia="Times New Roman" w:hAnsi="Times New Roman"/>
          <w:i w:val="1"/>
          <w:color w:val="222222"/>
          <w:sz w:val="24"/>
          <w:szCs w:val="24"/>
          <w:highlight w:val="white"/>
          <w:rtl w:val="0"/>
        </w:rPr>
        <w:t xml:space="preserve">Prace Naukowe Uniwersytetu Ekonomicznego we Wrocławiu</w:t>
      </w:r>
      <w:r w:rsidDel="00000000" w:rsidR="00000000" w:rsidRPr="00000000">
        <w:rPr>
          <w:rFonts w:ascii="Times New Roman" w:cs="Times New Roman" w:eastAsia="Times New Roman" w:hAnsi="Times New Roman"/>
          <w:color w:val="222222"/>
          <w:sz w:val="24"/>
          <w:szCs w:val="24"/>
          <w:highlight w:val="white"/>
          <w:rtl w:val="0"/>
        </w:rPr>
        <w:t xml:space="preserve">. 515. pp.26-36.</w:t>
      </w:r>
    </w:p>
    <w:p w:rsidR="00000000" w:rsidDel="00000000" w:rsidP="00000000" w:rsidRDefault="00000000" w:rsidRPr="00000000" w14:paraId="000000DF">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Setiawan, A. S., Rahmawati, D. and Widagdo, A. K., 2019. Owners Ethnicity And Strategic Management Accounting. </w:t>
      </w:r>
      <w:r w:rsidDel="00000000" w:rsidR="00000000" w:rsidRPr="00000000">
        <w:rPr>
          <w:rFonts w:ascii="Times New Roman" w:cs="Times New Roman" w:eastAsia="Times New Roman" w:hAnsi="Times New Roman"/>
          <w:i w:val="1"/>
          <w:color w:val="222222"/>
          <w:sz w:val="24"/>
          <w:szCs w:val="24"/>
          <w:highlight w:val="white"/>
          <w:rtl w:val="0"/>
        </w:rPr>
        <w:t xml:space="preserve">Jurnal Akuntansi</w:t>
      </w:r>
      <w:r w:rsidDel="00000000" w:rsidR="00000000" w:rsidRPr="00000000">
        <w:rPr>
          <w:rFonts w:ascii="Times New Roman" w:cs="Times New Roman" w:eastAsia="Times New Roman" w:hAnsi="Times New Roman"/>
          <w:color w:val="222222"/>
          <w:sz w:val="24"/>
          <w:szCs w:val="24"/>
          <w:highlight w:val="white"/>
          <w:rtl w:val="0"/>
        </w:rPr>
        <w:t xml:space="preserve">. 23(2). pp.160-176.</w:t>
      </w:r>
    </w:p>
    <w:p w:rsidR="00000000" w:rsidDel="00000000" w:rsidP="00000000" w:rsidRDefault="00000000" w:rsidRPr="00000000" w14:paraId="000000E0">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van Helden, J., 2019. New development: The practical relevance of public sector accounting research; time to take a stand. </w:t>
      </w:r>
      <w:r w:rsidDel="00000000" w:rsidR="00000000" w:rsidRPr="00000000">
        <w:rPr>
          <w:rFonts w:ascii="Times New Roman" w:cs="Times New Roman" w:eastAsia="Times New Roman" w:hAnsi="Times New Roman"/>
          <w:i w:val="1"/>
          <w:color w:val="222222"/>
          <w:sz w:val="24"/>
          <w:szCs w:val="24"/>
          <w:highlight w:val="white"/>
          <w:rtl w:val="0"/>
        </w:rPr>
        <w:t xml:space="preserve">Public Money &amp;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39</w:t>
      </w:r>
      <w:r w:rsidDel="00000000" w:rsidR="00000000" w:rsidRPr="00000000">
        <w:rPr>
          <w:rFonts w:ascii="Times New Roman" w:cs="Times New Roman" w:eastAsia="Times New Roman" w:hAnsi="Times New Roman"/>
          <w:color w:val="222222"/>
          <w:sz w:val="24"/>
          <w:szCs w:val="24"/>
          <w:highlight w:val="white"/>
          <w:rtl w:val="0"/>
        </w:rPr>
        <w:t xml:space="preserve">(8), pp.595-598.</w:t>
      </w:r>
    </w:p>
    <w:p w:rsidR="00000000" w:rsidDel="00000000" w:rsidP="00000000" w:rsidRDefault="00000000" w:rsidRPr="00000000" w14:paraId="000000E1">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Vetrov, Y. P., Vandina, O. G. and Galustov, A. R., 2017. Strategic management accounting in organizations’ cash flow control. </w:t>
      </w:r>
      <w:r w:rsidDel="00000000" w:rsidR="00000000" w:rsidRPr="00000000">
        <w:rPr>
          <w:rFonts w:ascii="Times New Roman" w:cs="Times New Roman" w:eastAsia="Times New Roman" w:hAnsi="Times New Roman"/>
          <w:i w:val="1"/>
          <w:color w:val="222222"/>
          <w:sz w:val="24"/>
          <w:szCs w:val="24"/>
          <w:highlight w:val="white"/>
          <w:rtl w:val="0"/>
        </w:rPr>
        <w:t xml:space="preserve">Journal of History Culture and Art Research</w:t>
      </w:r>
      <w:r w:rsidDel="00000000" w:rsidR="00000000" w:rsidRPr="00000000">
        <w:rPr>
          <w:rFonts w:ascii="Times New Roman" w:cs="Times New Roman" w:eastAsia="Times New Roman" w:hAnsi="Times New Roman"/>
          <w:color w:val="222222"/>
          <w:sz w:val="24"/>
          <w:szCs w:val="24"/>
          <w:highlight w:val="white"/>
          <w:rtl w:val="0"/>
        </w:rPr>
        <w:t xml:space="preserve">. 6(4). pp.425-435.</w:t>
      </w:r>
    </w:p>
    <w:p w:rsidR="00000000" w:rsidDel="00000000" w:rsidP="00000000" w:rsidRDefault="00000000" w:rsidRPr="00000000" w14:paraId="000000E2">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3">
      <w:pPr>
        <w:spacing w:line="24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
      <w:lvlJc w:val="left"/>
      <w:pPr>
        <w:ind w:left="720" w:hanging="720"/>
      </w:pPr>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113" w:line="360" w:lineRule="auto"/>
      <w:ind w:left="432" w:hanging="432"/>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