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1E7327" w14:textId="301FC361" w:rsidR="004730E2" w:rsidRPr="00C43C94" w:rsidRDefault="004730E2" w:rsidP="004730E2">
      <w:pPr>
        <w:rPr>
          <w:u w:val="single"/>
        </w:rPr>
      </w:pPr>
      <w:r w:rsidRPr="00C43C94">
        <w:rPr>
          <w:u w:val="single"/>
        </w:rPr>
        <w:t>How can we use diet and food consumption patterns from Pompeii [and/or Herculaneum] to investigate degrees of prosperity across the population?</w:t>
      </w:r>
    </w:p>
    <w:p w14:paraId="30DE7C54" w14:textId="77777777" w:rsidR="004730E2" w:rsidRDefault="004730E2" w:rsidP="004730E2"/>
    <w:p w14:paraId="388B4E69" w14:textId="012DA28E" w:rsidR="000E6424" w:rsidRDefault="000E6424" w:rsidP="004730E2">
      <w:r>
        <w:t>Pompeii was a large Roman town (</w:t>
      </w:r>
      <w:r w:rsidR="00C5153B">
        <w:t>nowadays</w:t>
      </w:r>
      <w:r>
        <w:t xml:space="preserve"> considered a city) located in Campania near </w:t>
      </w:r>
      <w:proofErr w:type="gramStart"/>
      <w:r>
        <w:t>Naples,</w:t>
      </w:r>
      <w:proofErr w:type="gramEnd"/>
      <w:r>
        <w:t xml:space="preserve"> the town was destroyed by the Mount Vesuvius eruption in 79 AD. Before the destruction Pompeii was considered to be a thriving urban centre with high amounts of agriculture, trade, production and economy. Pompeii was located near major Mediterranean trade routes as well as fertile volcanic soils which was a </w:t>
      </w:r>
      <w:r w:rsidR="0058539A">
        <w:t>significant</w:t>
      </w:r>
      <w:r>
        <w:t xml:space="preserve"> benefit for local agriculture and </w:t>
      </w:r>
      <w:proofErr w:type="gramStart"/>
      <w:r>
        <w:t>long distance</w:t>
      </w:r>
      <w:proofErr w:type="gramEnd"/>
      <w:r>
        <w:t xml:space="preserve"> exchange</w:t>
      </w:r>
      <w:r w:rsidR="00C43C94">
        <w:t xml:space="preserve">. </w:t>
      </w:r>
    </w:p>
    <w:p w14:paraId="1A023054" w14:textId="0D9E6DEE" w:rsidR="004730E2" w:rsidRDefault="00C43C94" w:rsidP="00C43C94">
      <w:r>
        <w:t xml:space="preserve">When it comes to researching </w:t>
      </w:r>
      <w:proofErr w:type="gramStart"/>
      <w:r>
        <w:t>Pompeii</w:t>
      </w:r>
      <w:proofErr w:type="gramEnd"/>
      <w:r>
        <w:t xml:space="preserve"> we have a lot of information because of the way it was preserved by the eruption, burying the town in ash and pumice. This created a snapshot of Roman life at the time, preserving many things from architecture to food. Using this </w:t>
      </w:r>
      <w:proofErr w:type="gramStart"/>
      <w:r>
        <w:t>evidence</w:t>
      </w:r>
      <w:proofErr w:type="gramEnd"/>
      <w:r>
        <w:t xml:space="preserve"> we are able to infer </w:t>
      </w:r>
      <w:r w:rsidR="008450DD">
        <w:t>much</w:t>
      </w:r>
      <w:r>
        <w:t xml:space="preserve"> about the diet and food consumption of this old Roman town.</w:t>
      </w:r>
    </w:p>
    <w:p w14:paraId="5E821A5B" w14:textId="77777777" w:rsidR="000E6424" w:rsidRDefault="000E6424" w:rsidP="004730E2"/>
    <w:p w14:paraId="77300EA3" w14:textId="4617BC23" w:rsidR="004730E2" w:rsidRDefault="00C43C94" w:rsidP="004730E2">
      <w:r>
        <w:t>Th</w:t>
      </w:r>
      <w:r w:rsidR="00BF630C">
        <w:t>e</w:t>
      </w:r>
      <w:r>
        <w:t xml:space="preserve"> level of preservation at Pompeii gives us the rare opportunity to examine everyday Roman life</w:t>
      </w:r>
      <w:r w:rsidR="00E93E5A">
        <w:t xml:space="preserve">, one of the most revealing aspects being food. While food is a biological need, it also </w:t>
      </w:r>
      <w:r w:rsidR="00DD31CF">
        <w:t>represents</w:t>
      </w:r>
      <w:r w:rsidR="00E93E5A">
        <w:t xml:space="preserve"> various other aspects of life</w:t>
      </w:r>
      <w:r w:rsidR="00DD31CF">
        <w:t>. The food remains found at Pompeii can give us knowledge about the culture and economics of the town, this is because food can depend on resource access, markets and social status. By looking at the archaeobotanical remains, stable isotope data and animal bones we can analyse food consumption patterns to insinuate how prosperity would have been distributed throughout Pompeii and even to its neighbouring town of Herculaneum. We can also look at the manifestations of economic inequality in daily life.</w:t>
      </w:r>
    </w:p>
    <w:p w14:paraId="09AE83A5" w14:textId="17354F94" w:rsidR="004730E2" w:rsidRDefault="00DD31CF" w:rsidP="004730E2">
      <w:r>
        <w:t xml:space="preserve">Food remains found at Pompeii show a complex and flexible food system. The floodplain of the Sarno River was fertile and supported the local cultivation well, however this did not make the town </w:t>
      </w:r>
      <w:r w:rsidR="003E0E1D">
        <w:t>self-sufficient</w:t>
      </w:r>
      <w:r>
        <w:t>. Pompeii was shown to rely on</w:t>
      </w:r>
      <w:r w:rsidR="003E0E1D">
        <w:t xml:space="preserve"> a mix of local produce, regional supply and imports from long distance exchange. This system gave them access to differentiating food provisions which also made it so diet could be a proxy in some ways to show wealth and status.</w:t>
      </w:r>
    </w:p>
    <w:p w14:paraId="5BEFC8FB" w14:textId="1B6A9C79" w:rsidR="004730E2" w:rsidRDefault="003E0E1D" w:rsidP="004730E2">
      <w:r>
        <w:t xml:space="preserve">The base of the Pompeian diet would have been various cereals and </w:t>
      </w:r>
      <w:proofErr w:type="gramStart"/>
      <w:r>
        <w:t>legumes,</w:t>
      </w:r>
      <w:proofErr w:type="gramEnd"/>
      <w:r>
        <w:t xml:space="preserve"> these would have provided </w:t>
      </w:r>
      <w:r w:rsidR="00BD01CD">
        <w:t xml:space="preserve">their main caloric intake. Archaeobotanical evidence also indicates a widespread existence of barley, wheat and pulses, including broad beans and lentils. Analysis done of stable carbon and nitrogen isotopes confirm that the crops were grown under very varied conditions, which also portrays the local cultivation and presence of imported supplies. This diversity in products also reflects the importance of cereals in Roman </w:t>
      </w:r>
      <w:r w:rsidR="00BD01CD">
        <w:lastRenderedPageBreak/>
        <w:t>societies, as the distribution and market availability of grains would have been an important part of daily survival for most of the town’s inhabitants.</w:t>
      </w:r>
    </w:p>
    <w:p w14:paraId="18FE31C2" w14:textId="5A82C1A5" w:rsidR="004730E2" w:rsidRDefault="00D742DB" w:rsidP="004730E2">
      <w:r>
        <w:t xml:space="preserve">Cereals being essential and fairly affordable meant that having access to them was not particularly a signal of wealth or prosperity. However, there is evidence to show uneven investment in the agricultural production such as different manure or water regimes. Barley that had been well watered and broad beans with more intense management would have required more labour and </w:t>
      </w:r>
      <w:proofErr w:type="gramStart"/>
      <w:r>
        <w:t>resources,</w:t>
      </w:r>
      <w:proofErr w:type="gramEnd"/>
      <w:r>
        <w:t xml:space="preserve"> from this we can infer the existence of producers or consumers that had a higher economic capacity. Poorer households would have relied on locally grown produce and minimally processed cereals to focus on a subsistent diet. This means that while these foods would have been widely consumed by all, the quality and reliability would have been inconsistent, prosperity being expressed through the ability to control the management and access to the crops.</w:t>
      </w:r>
    </w:p>
    <w:p w14:paraId="067FBF41" w14:textId="49554F74" w:rsidR="004730E2" w:rsidRDefault="00D742DB" w:rsidP="004730E2">
      <w:r>
        <w:t xml:space="preserve">Looking at animal products also gives us a view into the social classes of Pompeii, with zooarchaeological and isotopic evidence showing diverse but uneven meat consumption throughout the town. </w:t>
      </w:r>
      <w:r w:rsidR="008545EC">
        <w:t>In similar form to the cereals, domestic animals including pigs, sheep, cattle and goats were present in most places, however would have had different management levels depending on the social class of the producer or consumer.</w:t>
      </w:r>
    </w:p>
    <w:p w14:paraId="36193DD2" w14:textId="4D0D09A4" w:rsidR="008545EC" w:rsidRDefault="008545EC" w:rsidP="004730E2">
      <w:r>
        <w:t>Pigs specifically</w:t>
      </w:r>
      <w:r w:rsidR="004D319B">
        <w:t xml:space="preserve"> exhibit variation in nitrogen isotope values, these findings suggest </w:t>
      </w:r>
      <w:r w:rsidR="005375BF">
        <w:t xml:space="preserve">a variation in the diet of the animals, some being fed household scraps or protein rich waste and others being fed more </w:t>
      </w:r>
      <w:proofErr w:type="gramStart"/>
      <w:r w:rsidR="005375BF">
        <w:t>plant based</w:t>
      </w:r>
      <w:proofErr w:type="gramEnd"/>
      <w:r w:rsidR="005375BF">
        <w:t xml:space="preserve"> diets</w:t>
      </w:r>
    </w:p>
    <w:p w14:paraId="647804E0" w14:textId="628A3331" w:rsidR="004730E2" w:rsidRDefault="005375BF" w:rsidP="004730E2">
      <w:r>
        <w:t xml:space="preserve">This difference also implies that there may have been different ways or amounts of meat consumption within different households. To access pork or beef regularly </w:t>
      </w:r>
      <w:r w:rsidR="00140C87">
        <w:t>would likely have required disposable income as well as participating in market exchange and storage space. Wealthier consumers would have been able to obtain better quality meat and more frequent consumption, with poorer households often relying on cheaper products such as offal and only occasionally consuming meat.</w:t>
      </w:r>
    </w:p>
    <w:p w14:paraId="54DF53C3" w14:textId="660541AD" w:rsidR="00A45C59" w:rsidRDefault="009356F5" w:rsidP="004730E2">
      <w:r>
        <w:t xml:space="preserve">Imported foods would have also been </w:t>
      </w:r>
      <w:r w:rsidR="009D5446">
        <w:t xml:space="preserve">a signifier of </w:t>
      </w:r>
      <w:r w:rsidR="00D23776">
        <w:t>economic wealth</w:t>
      </w:r>
      <w:r w:rsidR="0097106B">
        <w:t xml:space="preserve"> and social class, people in higher social classes would have had the opportunity to </w:t>
      </w:r>
      <w:r w:rsidR="00391901">
        <w:t xml:space="preserve">eat imported foods such as dates and sometimes legumes more often, with it being a rarer luxury for those of </w:t>
      </w:r>
      <w:r w:rsidR="008B777D">
        <w:t>lower social class.</w:t>
      </w:r>
    </w:p>
    <w:p w14:paraId="36506AFF" w14:textId="757D8C22" w:rsidR="008B777D" w:rsidRDefault="008B777D" w:rsidP="004730E2">
      <w:r>
        <w:t xml:space="preserve">Pompeii was also a rather fancy place </w:t>
      </w:r>
      <w:r w:rsidR="00AA7CF3">
        <w:t>architecture-wise</w:t>
      </w:r>
      <w:r>
        <w:t>, with big buildings, an amphitheatr</w:t>
      </w:r>
      <w:r w:rsidR="00DA03D4">
        <w:t>e</w:t>
      </w:r>
      <w:r w:rsidR="007E41B3">
        <w:t xml:space="preserve">, and fancy </w:t>
      </w:r>
      <w:r w:rsidR="004D2F56">
        <w:t>frescoes</w:t>
      </w:r>
      <w:r w:rsidR="00AA7CF3">
        <w:t xml:space="preserve"> made from imported materials. This shows Pompeii as a place with a high social class which also reflects on the food and diet.</w:t>
      </w:r>
    </w:p>
    <w:p w14:paraId="020F9B26" w14:textId="069E0483" w:rsidR="00322272" w:rsidRDefault="008D08BA" w:rsidP="00322272">
      <w:r>
        <w:t xml:space="preserve">Aside from </w:t>
      </w:r>
      <w:r w:rsidR="00322272">
        <w:t xml:space="preserve">economics, diet also operated as a social signal. Roman cultural values associated certain foods with status, refinement, </w:t>
      </w:r>
      <w:r w:rsidR="000C184A">
        <w:t>and</w:t>
      </w:r>
      <w:r w:rsidR="00322272">
        <w:t xml:space="preserve"> moral character. White bread, high-quality wine, and </w:t>
      </w:r>
      <w:r w:rsidR="005B3CD0">
        <w:t>certain</w:t>
      </w:r>
      <w:r w:rsidR="00322272">
        <w:t xml:space="preserve"> meats were </w:t>
      </w:r>
      <w:r w:rsidR="005B3CD0">
        <w:t xml:space="preserve">known to be </w:t>
      </w:r>
      <w:r w:rsidR="00322272">
        <w:t xml:space="preserve">markers of distinction, while coarse grains and simple pulses were </w:t>
      </w:r>
      <w:r w:rsidR="005B3CD0">
        <w:t xml:space="preserve">more often </w:t>
      </w:r>
      <w:r w:rsidR="00322272">
        <w:t xml:space="preserve">associated with poverty or </w:t>
      </w:r>
      <w:r w:rsidR="005B3CD0">
        <w:t xml:space="preserve">a more </w:t>
      </w:r>
      <w:r w:rsidR="00322272">
        <w:t>rural life</w:t>
      </w:r>
      <w:r w:rsidR="005B3CD0">
        <w:t>style</w:t>
      </w:r>
      <w:r w:rsidR="00322272">
        <w:t xml:space="preserve">. Even when </w:t>
      </w:r>
      <w:r w:rsidR="005B3CD0">
        <w:t xml:space="preserve">the actual </w:t>
      </w:r>
      <w:r w:rsidR="00322272">
        <w:t xml:space="preserve">nutritional differences </w:t>
      </w:r>
      <w:r w:rsidR="005B3CD0">
        <w:t xml:space="preserve">in the food </w:t>
      </w:r>
      <w:r w:rsidR="00322272">
        <w:t xml:space="preserve">were modest, symbolic meanings amplified </w:t>
      </w:r>
      <w:r w:rsidR="005B3CD0">
        <w:t>the</w:t>
      </w:r>
      <w:r w:rsidR="00322272">
        <w:t xml:space="preserve"> contrasts.</w:t>
      </w:r>
    </w:p>
    <w:p w14:paraId="4754DD5A" w14:textId="7B584573" w:rsidR="00322272" w:rsidRDefault="00322272" w:rsidP="00322272">
      <w:r>
        <w:t>Food preparation and c</w:t>
      </w:r>
      <w:r w:rsidR="005B3CD0">
        <w:t xml:space="preserve">ontext of the consumption </w:t>
      </w:r>
      <w:r>
        <w:t xml:space="preserve">mattered as well. The presence of bakeries, </w:t>
      </w:r>
      <w:proofErr w:type="spellStart"/>
      <w:r>
        <w:t>thermopolia</w:t>
      </w:r>
      <w:proofErr w:type="spellEnd"/>
      <w:r w:rsidR="00687B03">
        <w:t xml:space="preserve"> (Roman structure </w:t>
      </w:r>
      <w:r w:rsidR="00D07D1B">
        <w:t xml:space="preserve">similar to a modern </w:t>
      </w:r>
      <w:proofErr w:type="gramStart"/>
      <w:r w:rsidR="00D07D1B">
        <w:t>fast</w:t>
      </w:r>
      <w:r w:rsidR="00355D5D">
        <w:t xml:space="preserve"> food</w:t>
      </w:r>
      <w:proofErr w:type="gramEnd"/>
      <w:r w:rsidR="00355D5D">
        <w:t xml:space="preserve"> restaurant)</w:t>
      </w:r>
      <w:r>
        <w:t xml:space="preserve">, and household kitchens </w:t>
      </w:r>
      <w:r w:rsidR="00355D5D">
        <w:t xml:space="preserve">shows different </w:t>
      </w:r>
      <w:r>
        <w:t xml:space="preserve">food strategies across </w:t>
      </w:r>
      <w:r w:rsidR="00355D5D">
        <w:t xml:space="preserve">the </w:t>
      </w:r>
      <w:r>
        <w:t xml:space="preserve">social groups. Wealthier households </w:t>
      </w:r>
      <w:r w:rsidR="006F3B1F">
        <w:t>would</w:t>
      </w:r>
      <w:r>
        <w:t xml:space="preserve"> host private meals featuring diverse ingredients, </w:t>
      </w:r>
      <w:r w:rsidR="006F3B1F">
        <w:t>mean</w:t>
      </w:r>
      <w:r>
        <w:t xml:space="preserve">while poorer residents relied more heavily on </w:t>
      </w:r>
      <w:r w:rsidR="006F3B1F">
        <w:t xml:space="preserve">the </w:t>
      </w:r>
      <w:r>
        <w:t>street food and communal provision</w:t>
      </w:r>
      <w:r w:rsidR="006F3B1F">
        <w:t>s</w:t>
      </w:r>
      <w:r>
        <w:t xml:space="preserve">. These patterns reinforce the idea that prosperity </w:t>
      </w:r>
      <w:r w:rsidR="00672807">
        <w:t>wasn’t only about</w:t>
      </w:r>
      <w:r>
        <w:t xml:space="preserve"> what people ate, but</w:t>
      </w:r>
      <w:r w:rsidR="00672807">
        <w:t xml:space="preserve"> also</w:t>
      </w:r>
      <w:r>
        <w:t xml:space="preserve"> how and where they ate i</w:t>
      </w:r>
      <w:r>
        <w:t>t.</w:t>
      </w:r>
    </w:p>
    <w:p w14:paraId="19F90566" w14:textId="6597942A" w:rsidR="00322272" w:rsidRDefault="00322272" w:rsidP="00322272">
      <w:r>
        <w:t xml:space="preserve">Stable isotope analysis is </w:t>
      </w:r>
      <w:r w:rsidR="00672807">
        <w:t>important</w:t>
      </w:r>
      <w:r>
        <w:t xml:space="preserve"> to </w:t>
      </w:r>
      <w:r w:rsidR="000D608B">
        <w:t>figuring out</w:t>
      </w:r>
      <w:r>
        <w:t xml:space="preserve"> these patterns, </w:t>
      </w:r>
      <w:r w:rsidR="000D608B">
        <w:t>but</w:t>
      </w:r>
      <w:r>
        <w:t xml:space="preserve"> it also </w:t>
      </w:r>
      <w:r w:rsidR="00780A9B">
        <w:t>has</w:t>
      </w:r>
      <w:r>
        <w:t xml:space="preserve"> methodological challenges. Bulk carbon and nitrogen isotope data often show overlapping values between food categories, making it difficult to quantify </w:t>
      </w:r>
      <w:r w:rsidR="00780A9B">
        <w:t>the exact proportions of food. However, t</w:t>
      </w:r>
      <w:r>
        <w:t xml:space="preserve">his overlap </w:t>
      </w:r>
      <w:r w:rsidR="00780A9B">
        <w:t xml:space="preserve">also </w:t>
      </w:r>
      <w:r>
        <w:t>reflects the complexity of Roman diets, where cereals, legumes, terrestrial animals, and fish all contributed to nutrition in varying combinations.</w:t>
      </w:r>
    </w:p>
    <w:p w14:paraId="6495A9BC" w14:textId="073C6F2D" w:rsidR="00322272" w:rsidRDefault="00780A9B" w:rsidP="00322272">
      <w:r>
        <w:t xml:space="preserve">Regardless of the </w:t>
      </w:r>
      <w:r w:rsidR="00BF41BF">
        <w:t xml:space="preserve">difficulties, isotopic data being </w:t>
      </w:r>
      <w:r w:rsidR="00322272">
        <w:t>integrated with archaeobotanical, zooarchaeological, and contextual evidence</w:t>
      </w:r>
      <w:r w:rsidR="00BF41BF">
        <w:t xml:space="preserve"> </w:t>
      </w:r>
      <w:r w:rsidR="00322272">
        <w:t>remain</w:t>
      </w:r>
      <w:r w:rsidR="00BF41BF">
        <w:t>s a</w:t>
      </w:r>
      <w:r w:rsidR="00322272">
        <w:t xml:space="preserve"> powerful</w:t>
      </w:r>
      <w:r w:rsidR="00BF41BF">
        <w:t xml:space="preserve"> tool</w:t>
      </w:r>
      <w:r w:rsidR="00322272">
        <w:t xml:space="preserve">. Variation in isotopic signatures across plant and animal remains </w:t>
      </w:r>
      <w:r w:rsidR="00EF0CC7">
        <w:t>confirms the theorised</w:t>
      </w:r>
      <w:r w:rsidR="00322272">
        <w:t xml:space="preserve"> diversity in </w:t>
      </w:r>
      <w:r w:rsidR="00EF0CC7">
        <w:t xml:space="preserve">the </w:t>
      </w:r>
      <w:r w:rsidR="00322272">
        <w:t>production, sourcing, and management</w:t>
      </w:r>
      <w:r w:rsidR="008A0520">
        <w:t xml:space="preserve"> of the diet of the citizens of Pompeii</w:t>
      </w:r>
      <w:r w:rsidR="00322272">
        <w:t xml:space="preserve">, which in turn reflects </w:t>
      </w:r>
      <w:r w:rsidR="008A0520">
        <w:t>differing economic classes</w:t>
      </w:r>
      <w:r w:rsidR="00322272">
        <w:t xml:space="preserve">. Rather than offering a single </w:t>
      </w:r>
      <w:r w:rsidR="008A0520">
        <w:t xml:space="preserve">solid </w:t>
      </w:r>
      <w:r w:rsidR="00322272">
        <w:t>Pompeian diet the evidence</w:t>
      </w:r>
      <w:r w:rsidR="008A0520">
        <w:t xml:space="preserve"> found</w:t>
      </w:r>
      <w:r w:rsidR="00322272">
        <w:t xml:space="preserve"> points to multiple diets </w:t>
      </w:r>
      <w:r w:rsidR="008A0520">
        <w:t>that differ</w:t>
      </w:r>
      <w:r w:rsidR="00322272">
        <w:t xml:space="preserve"> by wealth, occupation, and social position.</w:t>
      </w:r>
    </w:p>
    <w:p w14:paraId="36F3B0D8" w14:textId="7EB9192D" w:rsidR="00413F8E" w:rsidRDefault="00413F8E" w:rsidP="00413F8E">
      <w:r>
        <w:t>Conclusion</w:t>
      </w:r>
    </w:p>
    <w:p w14:paraId="71F85DDB" w14:textId="14612F63" w:rsidR="008A0520" w:rsidRDefault="00EA475A" w:rsidP="00413F8E">
      <w:r>
        <w:t>The d</w:t>
      </w:r>
      <w:r w:rsidR="00413F8E">
        <w:t xml:space="preserve">iet and food consumption patterns from Pompeii and Herculaneum provide a valuable window </w:t>
      </w:r>
      <w:r>
        <w:t>to the</w:t>
      </w:r>
      <w:r w:rsidR="00413F8E">
        <w:t xml:space="preserve"> degrees of prosperity within Roman urban society. Staples such as cereals formed a shared dietary foundation, but differences in crop management, access to animal protein, consumption of fish, and use of imported foods reveal significant economic inequality. Wealth influenced not </w:t>
      </w:r>
      <w:r>
        <w:t>just</w:t>
      </w:r>
      <w:r w:rsidR="00413F8E">
        <w:t xml:space="preserve"> the quantity of food consumed, but </w:t>
      </w:r>
      <w:r>
        <w:t xml:space="preserve">also </w:t>
      </w:r>
      <w:r w:rsidR="00413F8E">
        <w:t>its quality, variety, and symbolic value.</w:t>
      </w:r>
    </w:p>
    <w:p w14:paraId="016ADD69" w14:textId="77777777" w:rsidR="00AA7CF3" w:rsidRDefault="00AA7CF3" w:rsidP="00413F8E"/>
    <w:p w14:paraId="10EF89DA" w14:textId="52618C3E" w:rsidR="00AA7CF3" w:rsidRDefault="00AA7CF3" w:rsidP="00413F8E">
      <w:r>
        <w:t>Bibliography</w:t>
      </w:r>
    </w:p>
    <w:p w14:paraId="5813AAC4" w14:textId="77777777" w:rsidR="0059726A" w:rsidRDefault="0059726A" w:rsidP="0059726A">
      <w:r>
        <w:t>Bowes, K., 2021. Tracking consumption at Pompeii: the graffiti lists. Journal of Roman Archaeology 34, 552–584. https://doi.org/10.1017/S104775942100060X</w:t>
      </w:r>
    </w:p>
    <w:p w14:paraId="058AF700" w14:textId="77777777" w:rsidR="0059726A" w:rsidRDefault="0059726A" w:rsidP="0059726A">
      <w:r>
        <w:t>Foss, P.W., 1994. Kitchens and dining rooms at Pompeii: The spatial and social relationship of cooking to eating in the Roman household. (Volumes I and II) (Ph.D.). University of Michigan, United States -- Michigan.</w:t>
      </w:r>
    </w:p>
    <w:p w14:paraId="3F326DA7" w14:textId="77777777" w:rsidR="0059726A" w:rsidRDefault="0059726A" w:rsidP="0059726A">
      <w:r>
        <w:t>Pate, F.D., 2016. STABLE CARBON AND NITROGEN ISOTOPE EVIDENCE FOR DIETARY VARIABILITY AT ANCIENT POMPEII, ITALY. Mediterranean Archaeology and Archaeometry 16, 127–127.</w:t>
      </w:r>
    </w:p>
    <w:p w14:paraId="641A2E51" w14:textId="0CA5716B" w:rsidR="00AA7CF3" w:rsidRDefault="0059726A" w:rsidP="0059726A">
      <w:proofErr w:type="spellStart"/>
      <w:r>
        <w:t>Soncin</w:t>
      </w:r>
      <w:proofErr w:type="spellEnd"/>
      <w:r>
        <w:t xml:space="preserve">, S., Amoretti, V., </w:t>
      </w:r>
      <w:proofErr w:type="spellStart"/>
      <w:r>
        <w:t>Comegna</w:t>
      </w:r>
      <w:proofErr w:type="spellEnd"/>
      <w:r>
        <w:t xml:space="preserve">, C., Corbino, C.A., </w:t>
      </w:r>
      <w:proofErr w:type="spellStart"/>
      <w:r>
        <w:t>Mantile</w:t>
      </w:r>
      <w:proofErr w:type="spellEnd"/>
      <w:r>
        <w:t xml:space="preserve">, N., Altieri, S., Di Cicco, M.R., Giacometti, V., Bakker, J., Caso, M., Trentacoste, A., Ellis, S., Tafuri, M.A., Zuchtriegel, G., Craig, O.E., </w:t>
      </w:r>
      <w:proofErr w:type="spellStart"/>
      <w:r>
        <w:t>Lubritto</w:t>
      </w:r>
      <w:proofErr w:type="spellEnd"/>
      <w:r>
        <w:t xml:space="preserve">, C., 2025. Baseline isotopic variability in plants and animals and implications for the reconstruction of human diet in 1 </w:t>
      </w:r>
      <w:proofErr w:type="spellStart"/>
      <w:r>
        <w:t>st</w:t>
      </w:r>
      <w:proofErr w:type="spellEnd"/>
      <w:r>
        <w:t xml:space="preserve"> century AD Pompeii. Sci Rep 15, 28308. https://doi.org/10.1038/s41598-025-12156-7</w:t>
      </w:r>
    </w:p>
    <w:sectPr w:rsidR="00AA7C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0E2"/>
    <w:rsid w:val="000B2845"/>
    <w:rsid w:val="000C184A"/>
    <w:rsid w:val="000C24EA"/>
    <w:rsid w:val="000D608B"/>
    <w:rsid w:val="000E6424"/>
    <w:rsid w:val="00123FCB"/>
    <w:rsid w:val="00140C87"/>
    <w:rsid w:val="002E25C0"/>
    <w:rsid w:val="00322272"/>
    <w:rsid w:val="00355D5D"/>
    <w:rsid w:val="00391901"/>
    <w:rsid w:val="00397C02"/>
    <w:rsid w:val="003E0E1D"/>
    <w:rsid w:val="00413F8E"/>
    <w:rsid w:val="004730E2"/>
    <w:rsid w:val="004D2F56"/>
    <w:rsid w:val="004D319B"/>
    <w:rsid w:val="005375BF"/>
    <w:rsid w:val="0058539A"/>
    <w:rsid w:val="0059726A"/>
    <w:rsid w:val="005B3CD0"/>
    <w:rsid w:val="00672807"/>
    <w:rsid w:val="00687B03"/>
    <w:rsid w:val="006C4702"/>
    <w:rsid w:val="006F3B1F"/>
    <w:rsid w:val="007664E2"/>
    <w:rsid w:val="00780A9B"/>
    <w:rsid w:val="007E41B3"/>
    <w:rsid w:val="008233B8"/>
    <w:rsid w:val="0083436C"/>
    <w:rsid w:val="008450DD"/>
    <w:rsid w:val="008545EC"/>
    <w:rsid w:val="008A0520"/>
    <w:rsid w:val="008B777D"/>
    <w:rsid w:val="008D08BA"/>
    <w:rsid w:val="009356F5"/>
    <w:rsid w:val="009676B8"/>
    <w:rsid w:val="0097106B"/>
    <w:rsid w:val="009D5446"/>
    <w:rsid w:val="00A45C59"/>
    <w:rsid w:val="00AA7CF3"/>
    <w:rsid w:val="00BD01CD"/>
    <w:rsid w:val="00BF41BF"/>
    <w:rsid w:val="00BF630C"/>
    <w:rsid w:val="00C43C94"/>
    <w:rsid w:val="00C5153B"/>
    <w:rsid w:val="00CE6129"/>
    <w:rsid w:val="00CF3200"/>
    <w:rsid w:val="00D07D1B"/>
    <w:rsid w:val="00D23776"/>
    <w:rsid w:val="00D742DB"/>
    <w:rsid w:val="00DA03D4"/>
    <w:rsid w:val="00DD31CF"/>
    <w:rsid w:val="00E93E5A"/>
    <w:rsid w:val="00EA475A"/>
    <w:rsid w:val="00EF0C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97D5A"/>
  <w15:chartTrackingRefBased/>
  <w15:docId w15:val="{11E66335-3265-4539-A02A-D01E17398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30E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730E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730E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730E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730E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730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30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30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30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0E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730E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730E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730E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730E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730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30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30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30E2"/>
    <w:rPr>
      <w:rFonts w:eastAsiaTheme="majorEastAsia" w:cstheme="majorBidi"/>
      <w:color w:val="272727" w:themeColor="text1" w:themeTint="D8"/>
    </w:rPr>
  </w:style>
  <w:style w:type="paragraph" w:styleId="Title">
    <w:name w:val="Title"/>
    <w:basedOn w:val="Normal"/>
    <w:next w:val="Normal"/>
    <w:link w:val="TitleChar"/>
    <w:uiPriority w:val="10"/>
    <w:qFormat/>
    <w:rsid w:val="004730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30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30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30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30E2"/>
    <w:pPr>
      <w:spacing w:before="160"/>
      <w:jc w:val="center"/>
    </w:pPr>
    <w:rPr>
      <w:i/>
      <w:iCs/>
      <w:color w:val="404040" w:themeColor="text1" w:themeTint="BF"/>
    </w:rPr>
  </w:style>
  <w:style w:type="character" w:customStyle="1" w:styleId="QuoteChar">
    <w:name w:val="Quote Char"/>
    <w:basedOn w:val="DefaultParagraphFont"/>
    <w:link w:val="Quote"/>
    <w:uiPriority w:val="29"/>
    <w:rsid w:val="004730E2"/>
    <w:rPr>
      <w:i/>
      <w:iCs/>
      <w:color w:val="404040" w:themeColor="text1" w:themeTint="BF"/>
    </w:rPr>
  </w:style>
  <w:style w:type="paragraph" w:styleId="ListParagraph">
    <w:name w:val="List Paragraph"/>
    <w:basedOn w:val="Normal"/>
    <w:uiPriority w:val="34"/>
    <w:qFormat/>
    <w:rsid w:val="004730E2"/>
    <w:pPr>
      <w:ind w:left="720"/>
      <w:contextualSpacing/>
    </w:pPr>
  </w:style>
  <w:style w:type="character" w:styleId="IntenseEmphasis">
    <w:name w:val="Intense Emphasis"/>
    <w:basedOn w:val="DefaultParagraphFont"/>
    <w:uiPriority w:val="21"/>
    <w:qFormat/>
    <w:rsid w:val="004730E2"/>
    <w:rPr>
      <w:i/>
      <w:iCs/>
      <w:color w:val="2F5496" w:themeColor="accent1" w:themeShade="BF"/>
    </w:rPr>
  </w:style>
  <w:style w:type="paragraph" w:styleId="IntenseQuote">
    <w:name w:val="Intense Quote"/>
    <w:basedOn w:val="Normal"/>
    <w:next w:val="Normal"/>
    <w:link w:val="IntenseQuoteChar"/>
    <w:uiPriority w:val="30"/>
    <w:qFormat/>
    <w:rsid w:val="004730E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730E2"/>
    <w:rPr>
      <w:i/>
      <w:iCs/>
      <w:color w:val="2F5496" w:themeColor="accent1" w:themeShade="BF"/>
    </w:rPr>
  </w:style>
  <w:style w:type="character" w:styleId="IntenseReference">
    <w:name w:val="Intense Reference"/>
    <w:basedOn w:val="DefaultParagraphFont"/>
    <w:uiPriority w:val="32"/>
    <w:qFormat/>
    <w:rsid w:val="004730E2"/>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237</TotalTime>
  <Pages>4</Pages>
  <Words>1310</Words>
  <Characters>7472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Deena Lewis</dc:creator>
  <cp:keywords/>
  <dc:description/>
  <cp:lastModifiedBy>Deena Lewis</cp:lastModifiedBy>
  <cp:revision>44</cp:revision>
  <dcterms:created xsi:type="dcterms:W3CDTF">2026-01-09T10:34:00Z</dcterms:created>
  <dcterms:modified xsi:type="dcterms:W3CDTF">2026-01-09T14:42:00Z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f71b74bf-09b8-471c-8294-90bcdde08dc2</vt:lpwstr>
  </property>
</Properties>
</file>