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231A3B" w14:textId="77777777" w:rsidR="009F7434" w:rsidRDefault="009F7434" w:rsidP="009F7434">
      <w:pPr>
        <w:rPr>
          <w:rFonts w:cstheme="minorHAnsi"/>
        </w:rPr>
      </w:pPr>
      <w:r>
        <w:rPr>
          <w:rFonts w:cstheme="minorHAnsi"/>
        </w:rPr>
        <w:t>Having the correct skills is essential for academic and career success. Identifying the skills needed and developing them is equally so.</w:t>
      </w:r>
    </w:p>
    <w:p w14:paraId="59B2096C" w14:textId="730ECF9A" w:rsidR="009F7434" w:rsidRDefault="009F7434" w:rsidP="009F7434">
      <w:pPr>
        <w:rPr>
          <w:rFonts w:cstheme="minorHAnsi"/>
        </w:rPr>
      </w:pPr>
      <w:proofErr w:type="spellStart"/>
      <w:r>
        <w:rPr>
          <w:rFonts w:cstheme="minorHAnsi"/>
        </w:rPr>
        <w:t>Kierzenkowski</w:t>
      </w:r>
      <w:proofErr w:type="spellEnd"/>
      <w:r>
        <w:rPr>
          <w:rFonts w:cstheme="minorHAnsi"/>
        </w:rPr>
        <w:t xml:space="preserve">, </w:t>
      </w:r>
      <w:proofErr w:type="spellStart"/>
      <w:r w:rsidRPr="004E2346">
        <w:rPr>
          <w:rFonts w:cstheme="minorHAnsi"/>
          <w:color w:val="3A3A3A"/>
          <w:shd w:val="clear" w:color="auto" w:fill="FFFFFF"/>
        </w:rPr>
        <w:t>Paciorek</w:t>
      </w:r>
      <w:proofErr w:type="spellEnd"/>
      <w:r>
        <w:rPr>
          <w:rFonts w:cstheme="minorHAnsi"/>
          <w:color w:val="3A3A3A"/>
          <w:shd w:val="clear" w:color="auto" w:fill="FFFFFF"/>
        </w:rPr>
        <w:t xml:space="preserve"> and </w:t>
      </w:r>
      <w:proofErr w:type="spellStart"/>
      <w:r w:rsidRPr="004E2346">
        <w:rPr>
          <w:rFonts w:cstheme="minorHAnsi"/>
          <w:color w:val="3A3A3A"/>
          <w:shd w:val="clear" w:color="auto" w:fill="FFFFFF"/>
        </w:rPr>
        <w:t>Fulop</w:t>
      </w:r>
      <w:proofErr w:type="spellEnd"/>
      <w:r>
        <w:rPr>
          <w:rFonts w:cstheme="minorHAnsi"/>
        </w:rPr>
        <w:t xml:space="preserve"> emphasised the importance of the right skills in employment in the opening line of volume 1306 of the 2016</w:t>
      </w:r>
      <w:r w:rsidR="00652561">
        <w:rPr>
          <w:rFonts w:cstheme="minorHAnsi"/>
        </w:rPr>
        <w:t>[1]</w:t>
      </w:r>
      <w:r>
        <w:rPr>
          <w:rFonts w:cstheme="minorHAnsi"/>
        </w:rPr>
        <w:t xml:space="preserve"> OECD Economic Department working papers ”Strong and adequate skills are essential to support workers’ productivity and to ensure robust employment outcomes”.</w:t>
      </w:r>
    </w:p>
    <w:p w14:paraId="1E2052B9" w14:textId="77777777" w:rsidR="009F7434" w:rsidRDefault="009F7434" w:rsidP="009F7434">
      <w:pPr>
        <w:rPr>
          <w:rFonts w:cstheme="minorHAnsi"/>
        </w:rPr>
      </w:pPr>
      <w:r>
        <w:rPr>
          <w:rFonts w:cstheme="minorHAnsi"/>
        </w:rPr>
        <w:t>In a 2019 news article[2] Taylor discusses a concerning deficit of essential communication skills in workers entering the workplace. He highlights that missing this valuable soft skill can have nock on effect on other essential skills such as team working skills and can lead to strife inside an employing company.</w:t>
      </w:r>
    </w:p>
    <w:p w14:paraId="5912388E" w14:textId="77777777" w:rsidR="009F7434" w:rsidRPr="00AE5542" w:rsidRDefault="009F7434" w:rsidP="009F7434">
      <w:pPr>
        <w:rPr>
          <w:rFonts w:cstheme="minorHAnsi"/>
        </w:rPr>
      </w:pPr>
      <w:r>
        <w:rPr>
          <w:rFonts w:cstheme="minorHAnsi"/>
        </w:rPr>
        <w:t xml:space="preserve">Lane ,Pierson and </w:t>
      </w:r>
      <w:proofErr w:type="spellStart"/>
      <w:r>
        <w:rPr>
          <w:rFonts w:cstheme="minorHAnsi"/>
        </w:rPr>
        <w:t>Givner</w:t>
      </w:r>
      <w:proofErr w:type="spellEnd"/>
      <w:r>
        <w:rPr>
          <w:rFonts w:cstheme="minorHAnsi"/>
        </w:rPr>
        <w:t xml:space="preserve"> in 2004 [3] talk about how important it is for secondary students to have essential skills and how having a lack of these skills can result in undesired short and long term repercussions. One of the short team issues that can lead to longer term trouble is hindered academic performance, potentially hindering attaining an education after secondary school. This would lead into underemployment or even unemployment.</w:t>
      </w:r>
    </w:p>
    <w:p w14:paraId="2B108604" w14:textId="189C5C37" w:rsidR="009F7434" w:rsidRDefault="009F7434" w:rsidP="009F7434">
      <w:pPr>
        <w:rPr>
          <w:rFonts w:cstheme="minorHAnsi"/>
        </w:rPr>
      </w:pPr>
      <w:r>
        <w:rPr>
          <w:rFonts w:cstheme="minorHAnsi"/>
        </w:rPr>
        <w:t>Interviews and a survey was conducted in 2014[4] with employers to delve into the required skills for employment and how fundamental skills, personal management skills and team working skills are prioritised during recruitment of secondary school graduates. The results showed that on average the majority of employers rated Fundamental skills as medium importance and personal management and team working skills as higher priority.</w:t>
      </w:r>
    </w:p>
    <w:p w14:paraId="418A7416" w14:textId="3B122939" w:rsidR="009F7434" w:rsidRPr="00232FF6" w:rsidRDefault="009F7434" w:rsidP="009F7434">
      <w:pPr>
        <w:rPr>
          <w:rFonts w:cstheme="minorHAnsi"/>
        </w:rPr>
      </w:pPr>
      <w:r>
        <w:rPr>
          <w:rFonts w:cstheme="minorHAnsi"/>
        </w:rPr>
        <w:t>References:</w:t>
      </w:r>
    </w:p>
    <w:p w14:paraId="47FE46E8" w14:textId="77777777" w:rsidR="009F7434" w:rsidRDefault="009F7434" w:rsidP="009F7434">
      <w:pPr>
        <w:spacing w:line="240" w:lineRule="auto"/>
        <w:rPr>
          <w:rFonts w:cstheme="minorHAnsi"/>
          <w:shd w:val="clear" w:color="auto" w:fill="FFFFFF"/>
        </w:rPr>
      </w:pPr>
      <w:r w:rsidRPr="004E2346">
        <w:rPr>
          <w:rFonts w:cstheme="minorHAnsi"/>
          <w:color w:val="3A3A3A"/>
          <w:shd w:val="clear" w:color="auto" w:fill="FFFFFF"/>
        </w:rPr>
        <w:t xml:space="preserve">[1] </w:t>
      </w:r>
      <w:proofErr w:type="spellStart"/>
      <w:r w:rsidRPr="004E2346">
        <w:rPr>
          <w:rFonts w:cstheme="minorHAnsi"/>
          <w:color w:val="3A3A3A"/>
          <w:shd w:val="clear" w:color="auto" w:fill="FFFFFF"/>
        </w:rPr>
        <w:t>Kierzenkowski</w:t>
      </w:r>
      <w:proofErr w:type="spellEnd"/>
      <w:r w:rsidRPr="004E2346">
        <w:rPr>
          <w:rFonts w:cstheme="minorHAnsi"/>
          <w:color w:val="3A3A3A"/>
          <w:shd w:val="clear" w:color="auto" w:fill="FFFFFF"/>
        </w:rPr>
        <w:t xml:space="preserve">, </w:t>
      </w:r>
      <w:proofErr w:type="spellStart"/>
      <w:r w:rsidRPr="004E2346">
        <w:rPr>
          <w:rFonts w:cstheme="minorHAnsi"/>
          <w:color w:val="3A3A3A"/>
          <w:shd w:val="clear" w:color="auto" w:fill="FFFFFF"/>
        </w:rPr>
        <w:t>Rafal</w:t>
      </w:r>
      <w:proofErr w:type="spellEnd"/>
      <w:r w:rsidRPr="004E2346">
        <w:rPr>
          <w:rFonts w:cstheme="minorHAnsi"/>
          <w:color w:val="3A3A3A"/>
          <w:shd w:val="clear" w:color="auto" w:fill="FFFFFF"/>
        </w:rPr>
        <w:t xml:space="preserve">, </w:t>
      </w:r>
      <w:proofErr w:type="spellStart"/>
      <w:r w:rsidRPr="004E2346">
        <w:rPr>
          <w:rFonts w:cstheme="minorHAnsi"/>
          <w:color w:val="3A3A3A"/>
          <w:shd w:val="clear" w:color="auto" w:fill="FFFFFF"/>
        </w:rPr>
        <w:t>Paciorek</w:t>
      </w:r>
      <w:proofErr w:type="spellEnd"/>
      <w:r w:rsidRPr="004E2346">
        <w:rPr>
          <w:rFonts w:cstheme="minorHAnsi"/>
          <w:color w:val="3A3A3A"/>
          <w:shd w:val="clear" w:color="auto" w:fill="FFFFFF"/>
        </w:rPr>
        <w:t xml:space="preserve">, Aleksandra, &amp; </w:t>
      </w:r>
      <w:proofErr w:type="spellStart"/>
      <w:r w:rsidRPr="004E2346">
        <w:rPr>
          <w:rFonts w:cstheme="minorHAnsi"/>
          <w:color w:val="3A3A3A"/>
          <w:shd w:val="clear" w:color="auto" w:fill="FFFFFF"/>
        </w:rPr>
        <w:t>Fulop</w:t>
      </w:r>
      <w:proofErr w:type="spellEnd"/>
      <w:r w:rsidRPr="004E2346">
        <w:rPr>
          <w:rFonts w:cstheme="minorHAnsi"/>
          <w:color w:val="3A3A3A"/>
          <w:shd w:val="clear" w:color="auto" w:fill="FFFFFF"/>
        </w:rPr>
        <w:t>, Gabor. (2016). Boosting skills for all in the Netherlands. In </w:t>
      </w:r>
      <w:r w:rsidRPr="004E2346">
        <w:rPr>
          <w:rFonts w:cstheme="minorHAnsi"/>
          <w:i/>
          <w:iCs/>
          <w:color w:val="3A3A3A"/>
          <w:shd w:val="clear" w:color="auto" w:fill="FFFFFF"/>
        </w:rPr>
        <w:t>OECD Economic Department working papers</w:t>
      </w:r>
      <w:r w:rsidRPr="004E2346">
        <w:rPr>
          <w:rFonts w:cstheme="minorHAnsi"/>
          <w:color w:val="3A3A3A"/>
          <w:shd w:val="clear" w:color="auto" w:fill="FFFFFF"/>
        </w:rPr>
        <w:t> (Vol. 1306, Issue 1306, p. 0_1). OECD Publishing.</w:t>
      </w:r>
      <w:r>
        <w:rPr>
          <w:rFonts w:cstheme="minorHAnsi"/>
          <w:color w:val="3A3A3A"/>
          <w:shd w:val="clear" w:color="auto" w:fill="FFFFFF"/>
        </w:rPr>
        <w:t xml:space="preserve"> </w:t>
      </w:r>
      <w:r w:rsidRPr="00417FD8">
        <w:rPr>
          <w:rFonts w:cstheme="minorHAnsi"/>
          <w:color w:val="3A3A3A"/>
          <w:shd w:val="clear" w:color="auto" w:fill="FFFFFF"/>
        </w:rPr>
        <w:t xml:space="preserve">[Online] Accessible: </w:t>
      </w:r>
      <w:hyperlink r:id="rId4" w:anchor="page4" w:history="1">
        <w:r w:rsidRPr="00417FD8">
          <w:rPr>
            <w:rStyle w:val="Hyperlink"/>
            <w:rFonts w:cstheme="minorHAnsi"/>
            <w:color w:val="auto"/>
            <w:u w:val="none"/>
            <w:shd w:val="clear" w:color="auto" w:fill="FFFFFF"/>
          </w:rPr>
          <w:t>https://read.oecd-ilibrary.org/economics/boosting-skills-for-all-in-the-netherlands_5jlwjg6j6lr1-en#page4</w:t>
        </w:r>
      </w:hyperlink>
      <w:r>
        <w:rPr>
          <w:rFonts w:cstheme="minorHAnsi"/>
          <w:shd w:val="clear" w:color="auto" w:fill="FFFFFF"/>
        </w:rPr>
        <w:t xml:space="preserve"> [Accessed 26/10/2020]</w:t>
      </w:r>
    </w:p>
    <w:p w14:paraId="64876B39" w14:textId="5977DAC6" w:rsidR="009F7434" w:rsidRDefault="009F7434" w:rsidP="009F7434">
      <w:pPr>
        <w:spacing w:line="240" w:lineRule="auto"/>
        <w:rPr>
          <w:rFonts w:cstheme="minorHAnsi"/>
        </w:rPr>
      </w:pPr>
      <w:r w:rsidRPr="00FB02F0">
        <w:rPr>
          <w:rFonts w:cstheme="minorHAnsi"/>
        </w:rPr>
        <w:t>[</w:t>
      </w:r>
      <w:r>
        <w:rPr>
          <w:rFonts w:cstheme="minorHAnsi"/>
        </w:rPr>
        <w:t>2</w:t>
      </w:r>
      <w:r w:rsidRPr="00FB02F0">
        <w:rPr>
          <w:rFonts w:cstheme="minorHAnsi"/>
        </w:rPr>
        <w:t xml:space="preserve">]J. C. Taylor, “Communication skills essential for tech generation,” USA today (Arlington, Va.), USA Today, McLean, </w:t>
      </w:r>
      <w:proofErr w:type="spellStart"/>
      <w:r w:rsidRPr="00FB02F0">
        <w:rPr>
          <w:rFonts w:cstheme="minorHAnsi"/>
        </w:rPr>
        <w:t>Va</w:t>
      </w:r>
      <w:proofErr w:type="spellEnd"/>
      <w:r w:rsidRPr="00FB02F0">
        <w:rPr>
          <w:rFonts w:cstheme="minorHAnsi"/>
        </w:rPr>
        <w:t xml:space="preserve">, p. 04, 2019. </w:t>
      </w:r>
      <w:r>
        <w:rPr>
          <w:rFonts w:cstheme="minorHAnsi"/>
        </w:rPr>
        <w:t xml:space="preserve">[Online] Accessible </w:t>
      </w:r>
      <w:hyperlink r:id="rId5" w:history="1">
        <w:r w:rsidRPr="000E15C6">
          <w:rPr>
            <w:rStyle w:val="Hyperlink"/>
            <w:rFonts w:cstheme="minorHAnsi"/>
            <w:color w:val="auto"/>
            <w:u w:val="none"/>
          </w:rPr>
          <w:t>https://search-proquest-com.ezproxy.uwtsd.ac.uk/docview/2224252319?accountid=130472&amp;rfr_id=info%3Axri%2Fsid%3Aprimo</w:t>
        </w:r>
      </w:hyperlink>
      <w:r w:rsidRPr="000E15C6">
        <w:rPr>
          <w:rFonts w:cstheme="minorHAnsi"/>
        </w:rPr>
        <w:t xml:space="preserve"> </w:t>
      </w:r>
      <w:r>
        <w:rPr>
          <w:rFonts w:cstheme="minorHAnsi"/>
        </w:rPr>
        <w:t>[Accessed 28/11/2020]</w:t>
      </w:r>
    </w:p>
    <w:p w14:paraId="295B7E44" w14:textId="77777777" w:rsidR="009F7434" w:rsidRPr="00057362" w:rsidRDefault="009F7434" w:rsidP="009F7434">
      <w:pPr>
        <w:spacing w:line="240" w:lineRule="auto"/>
        <w:rPr>
          <w:rFonts w:cstheme="minorHAnsi"/>
        </w:rPr>
      </w:pPr>
      <w:r w:rsidRPr="00057362">
        <w:rPr>
          <w:rFonts w:cstheme="minorHAnsi"/>
        </w:rPr>
        <w:t>[</w:t>
      </w:r>
      <w:r>
        <w:rPr>
          <w:rFonts w:cstheme="minorHAnsi"/>
        </w:rPr>
        <w:t>3</w:t>
      </w:r>
      <w:r w:rsidRPr="00057362">
        <w:rPr>
          <w:rFonts w:cstheme="minorHAnsi"/>
        </w:rPr>
        <w:t xml:space="preserve">]Lane, Kathleen Lynne, Pierson, Melinda R, and </w:t>
      </w:r>
      <w:proofErr w:type="spellStart"/>
      <w:r w:rsidRPr="00057362">
        <w:rPr>
          <w:rFonts w:cstheme="minorHAnsi"/>
        </w:rPr>
        <w:t>Givner</w:t>
      </w:r>
      <w:proofErr w:type="spellEnd"/>
      <w:r w:rsidRPr="00057362">
        <w:rPr>
          <w:rFonts w:cstheme="minorHAnsi"/>
        </w:rPr>
        <w:t>, Christine C, “Secondary Teachers</w:t>
      </w:r>
      <w:r>
        <w:rPr>
          <w:rFonts w:cstheme="minorHAnsi"/>
        </w:rPr>
        <w:t>’</w:t>
      </w:r>
      <w:r w:rsidRPr="00057362">
        <w:rPr>
          <w:rFonts w:cstheme="minorHAnsi"/>
        </w:rPr>
        <w:t xml:space="preserve"> Views on Social Competence,” The Journal of special education, vol. 38, no. 3, pp. 174–186, 2004</w:t>
      </w:r>
      <w:r>
        <w:rPr>
          <w:rFonts w:cstheme="minorHAnsi"/>
        </w:rPr>
        <w:t xml:space="preserve">. [Online] Accessible: </w:t>
      </w:r>
      <w:hyperlink r:id="rId6" w:history="1">
        <w:r w:rsidRPr="00B2463F">
          <w:rPr>
            <w:rStyle w:val="Hyperlink"/>
            <w:rFonts w:cstheme="minorHAnsi"/>
            <w:color w:val="auto"/>
            <w:u w:val="none"/>
          </w:rPr>
          <w:t>https://journals-sagepub-com.ezproxy.uwtsd.ac.uk/doi/abs/10.1177/00224669040380030401</w:t>
        </w:r>
      </w:hyperlink>
      <w:r w:rsidRPr="00B2463F">
        <w:rPr>
          <w:rFonts w:cstheme="minorHAnsi"/>
        </w:rPr>
        <w:t xml:space="preserve"> </w:t>
      </w:r>
      <w:r>
        <w:rPr>
          <w:rFonts w:cstheme="minorHAnsi"/>
        </w:rPr>
        <w:t>[Accessed 30/10/2020]</w:t>
      </w:r>
    </w:p>
    <w:p w14:paraId="64B89797" w14:textId="77777777" w:rsidR="009F7434" w:rsidRPr="004E2346" w:rsidRDefault="009F7434" w:rsidP="009F7434">
      <w:pPr>
        <w:spacing w:line="240" w:lineRule="auto"/>
        <w:rPr>
          <w:rFonts w:cstheme="minorHAnsi"/>
        </w:rPr>
      </w:pPr>
      <w:r w:rsidRPr="004E2346">
        <w:rPr>
          <w:rFonts w:cstheme="minorHAnsi"/>
        </w:rPr>
        <w:t>[</w:t>
      </w:r>
      <w:r>
        <w:rPr>
          <w:rFonts w:cstheme="minorHAnsi"/>
        </w:rPr>
        <w:t>4</w:t>
      </w:r>
      <w:r w:rsidRPr="004E2346">
        <w:rPr>
          <w:rFonts w:cstheme="minorHAnsi"/>
        </w:rPr>
        <w:t>]</w:t>
      </w:r>
      <w:r>
        <w:rPr>
          <w:rFonts w:cstheme="minorHAnsi"/>
        </w:rPr>
        <w:t xml:space="preserve"> </w:t>
      </w:r>
      <w:proofErr w:type="spellStart"/>
      <w:r w:rsidRPr="004E2346">
        <w:rPr>
          <w:rFonts w:cstheme="minorHAnsi"/>
        </w:rPr>
        <w:t>Sermsuk</w:t>
      </w:r>
      <w:proofErr w:type="spellEnd"/>
      <w:r w:rsidRPr="004E2346">
        <w:rPr>
          <w:rFonts w:cstheme="minorHAnsi"/>
        </w:rPr>
        <w:t xml:space="preserve">, </w:t>
      </w:r>
      <w:proofErr w:type="spellStart"/>
      <w:r w:rsidRPr="004E2346">
        <w:rPr>
          <w:rFonts w:cstheme="minorHAnsi"/>
        </w:rPr>
        <w:t>Savanee</w:t>
      </w:r>
      <w:proofErr w:type="spellEnd"/>
      <w:r w:rsidRPr="004E2346">
        <w:rPr>
          <w:rFonts w:cstheme="minorHAnsi"/>
        </w:rPr>
        <w:t xml:space="preserve">, </w:t>
      </w:r>
      <w:proofErr w:type="spellStart"/>
      <w:r w:rsidRPr="004E2346">
        <w:rPr>
          <w:rFonts w:cstheme="minorHAnsi"/>
        </w:rPr>
        <w:t>Triwichitkhun</w:t>
      </w:r>
      <w:proofErr w:type="spellEnd"/>
      <w:r w:rsidRPr="004E2346">
        <w:rPr>
          <w:rFonts w:cstheme="minorHAnsi"/>
        </w:rPr>
        <w:t xml:space="preserve">, </w:t>
      </w:r>
      <w:proofErr w:type="spellStart"/>
      <w:r w:rsidRPr="004E2346">
        <w:rPr>
          <w:rFonts w:cstheme="minorHAnsi"/>
        </w:rPr>
        <w:t>Duankamol</w:t>
      </w:r>
      <w:proofErr w:type="spellEnd"/>
      <w:r w:rsidRPr="004E2346">
        <w:rPr>
          <w:rFonts w:cstheme="minorHAnsi"/>
        </w:rPr>
        <w:t xml:space="preserve">, and </w:t>
      </w:r>
      <w:proofErr w:type="spellStart"/>
      <w:r w:rsidRPr="004E2346">
        <w:rPr>
          <w:rFonts w:cstheme="minorHAnsi"/>
        </w:rPr>
        <w:t>Wongwanich</w:t>
      </w:r>
      <w:proofErr w:type="spellEnd"/>
      <w:r w:rsidRPr="004E2346">
        <w:rPr>
          <w:rFonts w:cstheme="minorHAnsi"/>
        </w:rPr>
        <w:t xml:space="preserve">, </w:t>
      </w:r>
      <w:proofErr w:type="spellStart"/>
      <w:r w:rsidRPr="004E2346">
        <w:rPr>
          <w:rFonts w:cstheme="minorHAnsi"/>
        </w:rPr>
        <w:t>Suwimon</w:t>
      </w:r>
      <w:proofErr w:type="spellEnd"/>
      <w:r w:rsidRPr="004E2346">
        <w:rPr>
          <w:rFonts w:cstheme="minorHAnsi"/>
        </w:rPr>
        <w:t xml:space="preserve">, “Employment Conditions and Essential Employability Skills Required by Employers for Secondary School Graduate,” Procedia, social and </w:t>
      </w:r>
      <w:proofErr w:type="spellStart"/>
      <w:r w:rsidRPr="004E2346">
        <w:rPr>
          <w:rFonts w:cstheme="minorHAnsi"/>
        </w:rPr>
        <w:t>behavioral</w:t>
      </w:r>
      <w:proofErr w:type="spellEnd"/>
      <w:r w:rsidRPr="004E2346">
        <w:rPr>
          <w:rFonts w:cstheme="minorHAnsi"/>
        </w:rPr>
        <w:t xml:space="preserve"> sciences, vol. 116, pp. 1848–1854, 2014</w:t>
      </w:r>
      <w:r>
        <w:rPr>
          <w:rFonts w:cstheme="minorHAnsi"/>
        </w:rPr>
        <w:t xml:space="preserve">. [Online] Accessible: </w:t>
      </w:r>
      <w:r w:rsidRPr="003D4BDF">
        <w:rPr>
          <w:rFonts w:cstheme="minorHAnsi"/>
        </w:rPr>
        <w:t>https://www.sciencedirect.com/science/article/pii/S1877042814004996</w:t>
      </w:r>
      <w:r>
        <w:rPr>
          <w:rFonts w:cstheme="minorHAnsi"/>
        </w:rPr>
        <w:t xml:space="preserve"> [Accessed 30/10/2020]</w:t>
      </w:r>
    </w:p>
    <w:p w14:paraId="6610B0CC" w14:textId="77777777" w:rsidR="009F7434" w:rsidRDefault="009F7434" w:rsidP="009F7434">
      <w:pPr>
        <w:rPr>
          <w:rFonts w:cstheme="minorHAnsi"/>
        </w:rPr>
      </w:pPr>
    </w:p>
    <w:p w14:paraId="33688D47" w14:textId="77777777" w:rsidR="0045580B" w:rsidRDefault="00652561"/>
    <w:sectPr w:rsidR="00455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434"/>
    <w:rsid w:val="00072C82"/>
    <w:rsid w:val="00652561"/>
    <w:rsid w:val="007B082E"/>
    <w:rsid w:val="009F7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2C2E"/>
  <w15:chartTrackingRefBased/>
  <w15:docId w15:val="{94ECF45F-1A8A-4DF1-B130-EF8D3E66A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4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4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ezproxy.uwtsd.ac.uk/doi/abs/10.1177/00224669040380030401" TargetMode="External"/><Relationship Id="rId5" Type="http://schemas.openxmlformats.org/officeDocument/2006/relationships/hyperlink" Target="https://search-proquest-com.ezproxy.uwtsd.ac.uk/docview/2224252319?accountid=130472&amp;rfr_id=info%3Axri%2Fsid%3Aprimo" TargetMode="External"/><Relationship Id="rId4" Type="http://schemas.openxmlformats.org/officeDocument/2006/relationships/hyperlink" Target="https://read.oecd-ilibrary.org/economics/boosting-skills-for-all-in-the-netherlands_5jlwjg6j6lr1-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498</Words>
  <Characters>2843</Characters>
  <Application>Microsoft Office Word</Application>
  <DocSecurity>0</DocSecurity>
  <Lines>23</Lines>
  <Paragraphs>6</Paragraphs>
  <ScaleCrop>false</ScaleCrop>
  <Company/>
  <LinksUpToDate>false</LinksUpToDate>
  <CharactersWithSpaces>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Prosser</dc:creator>
  <cp:keywords/>
  <dc:description/>
  <cp:lastModifiedBy>Ryan Prosser</cp:lastModifiedBy>
  <cp:revision>2</cp:revision>
  <dcterms:created xsi:type="dcterms:W3CDTF">2020-11-20T16:35:00Z</dcterms:created>
  <dcterms:modified xsi:type="dcterms:W3CDTF">2020-11-20T16:54:00Z</dcterms:modified>
</cp:coreProperties>
</file>