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5061F5" w14:textId="77777777" w:rsidR="004E53A4" w:rsidRDefault="004E53A4" w:rsidP="004E53A4">
      <w:pPr>
        <w:pStyle w:val="NormalWeb"/>
      </w:pPr>
    </w:p>
    <w:p w14:paraId="0B59C1EB" w14:textId="5292CF77" w:rsidR="004E53A4" w:rsidRDefault="004E53A4" w:rsidP="004E53A4">
      <w:pPr>
        <w:pStyle w:val="NormalWeb"/>
        <w:jc w:val="center"/>
        <w:rPr>
          <w:sz w:val="36"/>
          <w:szCs w:val="36"/>
        </w:rPr>
      </w:pPr>
      <w:r w:rsidRPr="004E53A4">
        <w:rPr>
          <w:sz w:val="36"/>
          <w:szCs w:val="36"/>
        </w:rPr>
        <w:t xml:space="preserve">Nikola Sugarova </w:t>
      </w:r>
    </w:p>
    <w:p w14:paraId="6FE78B74" w14:textId="0A72BB55" w:rsidR="0090117B" w:rsidRPr="004E53A4" w:rsidRDefault="0090117B" w:rsidP="004E53A4">
      <w:pPr>
        <w:pStyle w:val="NormalWeb"/>
        <w:jc w:val="center"/>
        <w:rPr>
          <w:sz w:val="36"/>
          <w:szCs w:val="36"/>
        </w:rPr>
      </w:pPr>
      <w:r>
        <w:rPr>
          <w:sz w:val="36"/>
          <w:szCs w:val="36"/>
        </w:rPr>
        <w:t>Student-22</w:t>
      </w:r>
      <w:r w:rsidR="00105946">
        <w:rPr>
          <w:sz w:val="36"/>
          <w:szCs w:val="36"/>
        </w:rPr>
        <w:t>19936</w:t>
      </w:r>
    </w:p>
    <w:p w14:paraId="33F19F98" w14:textId="624999CD" w:rsidR="004E53A4" w:rsidRPr="004E53A4" w:rsidRDefault="004E53A4" w:rsidP="004E53A4">
      <w:pPr>
        <w:pStyle w:val="NormalWeb"/>
        <w:jc w:val="center"/>
        <w:rPr>
          <w:sz w:val="36"/>
          <w:szCs w:val="36"/>
        </w:rPr>
      </w:pPr>
      <w:r w:rsidRPr="004E53A4">
        <w:rPr>
          <w:sz w:val="36"/>
          <w:szCs w:val="36"/>
        </w:rPr>
        <w:t xml:space="preserve">Introduction to The New Testament </w:t>
      </w:r>
    </w:p>
    <w:p w14:paraId="2DC20D24" w14:textId="6E8C70BB" w:rsidR="004E53A4" w:rsidRDefault="004E53A4" w:rsidP="004E53A4">
      <w:pPr>
        <w:pStyle w:val="NormalWeb"/>
        <w:jc w:val="center"/>
        <w:rPr>
          <w:sz w:val="36"/>
          <w:szCs w:val="36"/>
        </w:rPr>
      </w:pPr>
      <w:r w:rsidRPr="004E53A4">
        <w:rPr>
          <w:sz w:val="36"/>
          <w:szCs w:val="36"/>
        </w:rPr>
        <w:t>Assessment 1: Portfolio</w:t>
      </w:r>
    </w:p>
    <w:p w14:paraId="5683E484" w14:textId="77777777" w:rsidR="004E53A4" w:rsidRDefault="004E53A4" w:rsidP="004E53A4">
      <w:pPr>
        <w:pStyle w:val="NormalWeb"/>
        <w:jc w:val="center"/>
        <w:rPr>
          <w:sz w:val="36"/>
          <w:szCs w:val="36"/>
        </w:rPr>
      </w:pPr>
    </w:p>
    <w:p w14:paraId="362705EB" w14:textId="77777777" w:rsidR="004E53A4" w:rsidRDefault="004E53A4" w:rsidP="004E53A4">
      <w:pPr>
        <w:pStyle w:val="NormalWeb"/>
        <w:jc w:val="center"/>
        <w:rPr>
          <w:sz w:val="36"/>
          <w:szCs w:val="36"/>
        </w:rPr>
      </w:pPr>
    </w:p>
    <w:p w14:paraId="2DA6F4CE" w14:textId="77777777" w:rsidR="004E53A4" w:rsidRDefault="004E53A4" w:rsidP="004E53A4">
      <w:pPr>
        <w:pStyle w:val="NormalWeb"/>
        <w:jc w:val="center"/>
        <w:rPr>
          <w:sz w:val="36"/>
          <w:szCs w:val="36"/>
        </w:rPr>
      </w:pPr>
    </w:p>
    <w:p w14:paraId="1D52ED5E" w14:textId="1D5B421C" w:rsidR="004E53A4" w:rsidRPr="004E53A4" w:rsidRDefault="004E53A4" w:rsidP="004E53A4">
      <w:pPr>
        <w:pStyle w:val="NormalWeb"/>
        <w:jc w:val="center"/>
        <w:rPr>
          <w:sz w:val="28"/>
          <w:szCs w:val="28"/>
        </w:rPr>
      </w:pPr>
      <w:r w:rsidRPr="004E53A4">
        <w:rPr>
          <w:sz w:val="28"/>
          <w:szCs w:val="28"/>
        </w:rPr>
        <w:t>Part A: Exegetical/Textual Analysis of Mark 1:9–15</w:t>
      </w:r>
    </w:p>
    <w:p w14:paraId="175BD64C" w14:textId="55CC0DB9" w:rsidR="004E53A4" w:rsidRDefault="004E53A4" w:rsidP="004E53A4">
      <w:pPr>
        <w:pStyle w:val="NormalWeb"/>
        <w:jc w:val="center"/>
      </w:pPr>
    </w:p>
    <w:p w14:paraId="451E77CE" w14:textId="77777777" w:rsidR="004E53A4" w:rsidRDefault="004E53A4" w:rsidP="004E53A4">
      <w:pPr>
        <w:pStyle w:val="NormalWeb"/>
      </w:pPr>
    </w:p>
    <w:p w14:paraId="02BA6A0D" w14:textId="77777777" w:rsidR="004E53A4" w:rsidRDefault="004E53A4" w:rsidP="004E53A4">
      <w:pPr>
        <w:pStyle w:val="NormalWeb"/>
      </w:pPr>
    </w:p>
    <w:p w14:paraId="505309F9" w14:textId="67DFA173" w:rsidR="004E53A4" w:rsidRDefault="004E53A4" w:rsidP="004E53A4">
      <w:pPr>
        <w:pStyle w:val="NormalWeb"/>
      </w:pPr>
      <w:r>
        <w:t>Introduction</w:t>
      </w:r>
    </w:p>
    <w:p w14:paraId="1CB26A81" w14:textId="77777777" w:rsidR="004E53A4" w:rsidRDefault="004E53A4" w:rsidP="004E53A4">
      <w:pPr>
        <w:pStyle w:val="NormalWeb"/>
      </w:pPr>
      <w:r>
        <w:t>Mark 1:9–15 is a central narrative in the gospel according to Mark—the baptism and temptation of Jesus, and the proclamation of the kingdom of God. This passage serves as a blueprint for Jesus’ ministry by revealing his identity, establishing his divine mission, and laying the groundwork of repentance and faith. Therefore, in this post, we analyze this text through its theological and literary aspects that have occurred through history and culture.</w:t>
      </w:r>
    </w:p>
    <w:p w14:paraId="03AC9090" w14:textId="77777777" w:rsidR="004E53A4" w:rsidRDefault="004E53A4" w:rsidP="004E53A4">
      <w:pPr>
        <w:pStyle w:val="NormalWeb"/>
      </w:pPr>
      <w:r>
        <w:t>Context of Passage</w:t>
      </w:r>
    </w:p>
    <w:p w14:paraId="0E32928C" w14:textId="77777777" w:rsidR="004E53A4" w:rsidRDefault="004E53A4" w:rsidP="004E53A4">
      <w:pPr>
        <w:pStyle w:val="NormalWeb"/>
      </w:pPr>
      <w:r>
        <w:t>Mark 1:9–15 comes at the very beginning of the Gospel and immediately follows the introduction of John the Baptist (1:1–8). This is his transition from John’s preparatory ministry to the active mission of Jesus. It is the gospel of Mark, written for a Roman audience, around 65–70 CE, that highlights Jesus, the Son of God, and John the Baptist, as the suffering servant who ushers in the kingdom of God.</w:t>
      </w:r>
    </w:p>
    <w:p w14:paraId="452CBB1C" w14:textId="77777777" w:rsidR="004E53A4" w:rsidRDefault="004E53A4" w:rsidP="004E53A4">
      <w:pPr>
        <w:pStyle w:val="NormalWeb"/>
      </w:pPr>
      <w:r>
        <w:t>The pericope has three parts.</w:t>
      </w:r>
    </w:p>
    <w:p w14:paraId="6012E821" w14:textId="77777777" w:rsidR="004E53A4" w:rsidRDefault="004E53A4" w:rsidP="004E53A4">
      <w:pPr>
        <w:pStyle w:val="NormalWeb"/>
      </w:pPr>
      <w:r>
        <w:t>Jesus’ baptism (vv. 9–11)</w:t>
      </w:r>
    </w:p>
    <w:p w14:paraId="5060145A" w14:textId="77777777" w:rsidR="004E53A4" w:rsidRDefault="004E53A4" w:rsidP="004E53A4">
      <w:pPr>
        <w:pStyle w:val="NormalWeb"/>
      </w:pPr>
      <w:r>
        <w:t>Wilderness Testing (vv. 12–13)</w:t>
      </w:r>
    </w:p>
    <w:p w14:paraId="10F99CC9" w14:textId="77777777" w:rsidR="004E53A4" w:rsidRDefault="004E53A4" w:rsidP="004E53A4">
      <w:pPr>
        <w:pStyle w:val="NormalWeb"/>
      </w:pPr>
      <w:r>
        <w:t>Announcement of the kingdom (vv. 14–15)</w:t>
      </w:r>
    </w:p>
    <w:p w14:paraId="53008790" w14:textId="682AE6A0" w:rsidR="004E53A4" w:rsidRDefault="004E53A4" w:rsidP="004E53A4">
      <w:pPr>
        <w:pStyle w:val="NormalWeb"/>
      </w:pPr>
      <w:r>
        <w:t xml:space="preserve">The Baptism of Jesus (Mark 1:9–11) </w:t>
      </w:r>
    </w:p>
    <w:p w14:paraId="565D7029" w14:textId="77777777" w:rsidR="004E53A4" w:rsidRDefault="004E53A4" w:rsidP="004E53A4">
      <w:pPr>
        <w:pStyle w:val="NormalWeb"/>
      </w:pPr>
      <w:r>
        <w:lastRenderedPageBreak/>
        <w:t>Text Analysis:</w:t>
      </w:r>
    </w:p>
    <w:p w14:paraId="59A4AE5C" w14:textId="1CF3E66D" w:rsidR="004E53A4" w:rsidRDefault="004E53A4" w:rsidP="004E53A4">
      <w:pPr>
        <w:pStyle w:val="NormalWeb"/>
      </w:pPr>
      <w:r>
        <w:t>Jesus’ baptism in the Jordan is then summed up briefly. Matthew introduces a geographical note: “Jesus came from Nazareth of Galilee”, highlighting the conditions of Jesus’ ordinary upbringing and the circuits of ordinary humanity.</w:t>
      </w:r>
    </w:p>
    <w:p w14:paraId="1DC1D49E" w14:textId="77777777" w:rsidR="004E53A4" w:rsidRDefault="004E53A4" w:rsidP="004E53A4">
      <w:pPr>
        <w:pStyle w:val="NormalWeb"/>
      </w:pPr>
      <w:r>
        <w:t>The Spirit descending "like a dove" and the voice from heaven proclaiming, "You are my Son, the Beloved; with you I am well pleased," reveal Jesus’ divine identity and his messianic mission.</w:t>
      </w:r>
    </w:p>
    <w:p w14:paraId="30067908" w14:textId="77777777" w:rsidR="004E53A4" w:rsidRDefault="004E53A4" w:rsidP="004E53A4">
      <w:pPr>
        <w:pStyle w:val="NormalWeb"/>
      </w:pPr>
      <w:r>
        <w:t>Theological Significance:</w:t>
      </w:r>
    </w:p>
    <w:p w14:paraId="035DF443" w14:textId="77777777" w:rsidR="004E53A4" w:rsidRDefault="004E53A4" w:rsidP="004E53A4">
      <w:pPr>
        <w:pStyle w:val="NormalWeb"/>
      </w:pPr>
      <w:r>
        <w:t>Trinitarian implications: All three persons of the Trinity are present in this scene—the Father (voice), the Son (Jesus), and the Holy Spirit (descended as a dove)—giving us a glimpse into the unification of distinct persons in the Godhead.</w:t>
      </w:r>
    </w:p>
    <w:p w14:paraId="46706556" w14:textId="77777777" w:rsidR="004E53A4" w:rsidRDefault="004E53A4" w:rsidP="004E53A4">
      <w:pPr>
        <w:pStyle w:val="NormalWeb"/>
      </w:pPr>
      <w:r>
        <w:t>In His commissioning we see the fulfillment of prophecy: that Jesus is the suffering servant identifiable in Isaiah 42:1, anointed and equipped by the Spirit for his work of redemption.</w:t>
      </w:r>
    </w:p>
    <w:p w14:paraId="60EC7A85" w14:textId="77777777" w:rsidR="004E53A4" w:rsidRDefault="004E53A4" w:rsidP="004E53A4">
      <w:pPr>
        <w:pStyle w:val="NormalWeb"/>
      </w:pPr>
      <w:r>
        <w:t>Literary Techniques:</w:t>
      </w:r>
    </w:p>
    <w:p w14:paraId="6B2517D5" w14:textId="77777777" w:rsidR="004E53A4" w:rsidRDefault="004E53A4" w:rsidP="004E53A4">
      <w:pPr>
        <w:pStyle w:val="NormalWeb"/>
      </w:pPr>
      <w:r>
        <w:t>Mark employs vivid imagery and the economy of words, favoring action over explanation, a style that suits the urgent tone of his Gospel.</w:t>
      </w:r>
    </w:p>
    <w:p w14:paraId="09102637" w14:textId="77777777" w:rsidR="004E53A4" w:rsidRDefault="004E53A4" w:rsidP="004E53A4">
      <w:pPr>
        <w:pStyle w:val="NormalWeb"/>
      </w:pPr>
      <w:r>
        <w:t>The Temptation in the Wilderness (Mark 1:12–13)</w:t>
      </w:r>
    </w:p>
    <w:p w14:paraId="4B96CBBE" w14:textId="77777777" w:rsidR="004E53A4" w:rsidRDefault="004E53A4" w:rsidP="004E53A4">
      <w:pPr>
        <w:pStyle w:val="NormalWeb"/>
      </w:pPr>
      <w:r>
        <w:t>Text Analysis:</w:t>
      </w:r>
    </w:p>
    <w:p w14:paraId="731327F7" w14:textId="77777777" w:rsidR="004E53A4" w:rsidRDefault="004E53A4" w:rsidP="004E53A4">
      <w:pPr>
        <w:pStyle w:val="NormalWeb"/>
      </w:pPr>
      <w:r>
        <w:t>The Spirit “drives” Jesus “out into the wilderness” (1:12), a sign of divine intent. The word “wilderness” has theological freight, calling to mind Israel’s 40 years of testing and dependence upon God.</w:t>
      </w:r>
    </w:p>
    <w:p w14:paraId="40F116CE" w14:textId="77777777" w:rsidR="004E53A4" w:rsidRDefault="004E53A4" w:rsidP="004E53A4">
      <w:pPr>
        <w:pStyle w:val="NormalWeb"/>
      </w:pPr>
      <w:r>
        <w:t>Jesus’ temptations and presence in the “wild beasts” underscore his spiritual and physical struggles.</w:t>
      </w:r>
    </w:p>
    <w:p w14:paraId="7C04C236" w14:textId="77777777" w:rsidR="004E53A4" w:rsidRDefault="004E53A4" w:rsidP="004E53A4">
      <w:pPr>
        <w:pStyle w:val="NormalWeb"/>
      </w:pPr>
      <w:r>
        <w:t>Theological Significance:</w:t>
      </w:r>
    </w:p>
    <w:p w14:paraId="5D9B889A" w14:textId="77777777" w:rsidR="004E53A4" w:rsidRDefault="004E53A4" w:rsidP="004E53A4">
      <w:pPr>
        <w:pStyle w:val="NormalWeb"/>
      </w:pPr>
      <w:r>
        <w:t>Jesus the New Adam: Where Adam fell to temptation in a beautiful garden, Jesus withstands the devil in a lonely wilderness, representing his ultimate victory over sin and death.</w:t>
      </w:r>
    </w:p>
    <w:p w14:paraId="32D466DE" w14:textId="77777777" w:rsidR="004E53A4" w:rsidRDefault="004E53A4" w:rsidP="004E53A4">
      <w:pPr>
        <w:pStyle w:val="NormalWeb"/>
      </w:pPr>
      <w:r>
        <w:t>Preparation for the Messiah: The 40-day break-out as a period of testing and preparation for ministry, identifying Jesus with other prophetic figures in the Old Testament, namely Moses and Elijah.</w:t>
      </w:r>
    </w:p>
    <w:p w14:paraId="268E9BC3" w14:textId="77777777" w:rsidR="004E53A4" w:rsidRDefault="004E53A4" w:rsidP="004E53A4">
      <w:pPr>
        <w:pStyle w:val="NormalWeb"/>
      </w:pPr>
      <w:r>
        <w:t>Text Analysis:</w:t>
      </w:r>
    </w:p>
    <w:p w14:paraId="47FA5EC2" w14:textId="77777777" w:rsidR="004E53A4" w:rsidRDefault="004E53A4" w:rsidP="004E53A4">
      <w:pPr>
        <w:pStyle w:val="NormalWeb"/>
      </w:pPr>
      <w:r>
        <w:t>Following the arrest of John the Baptist, Jesus enters Galilee to preach: here begins Jesus’ public ministry. The proclamation, “The time is fulfilled, and the kingdom of God has come near; repent, and believe in the good news,” summarizes the main themes of the Gospel.</w:t>
      </w:r>
    </w:p>
    <w:p w14:paraId="6B1206ED" w14:textId="77777777" w:rsidR="004E53A4" w:rsidRDefault="004E53A4" w:rsidP="004E53A4">
      <w:pPr>
        <w:pStyle w:val="NormalWeb"/>
      </w:pPr>
      <w:r>
        <w:t>Theological Significance:</w:t>
      </w:r>
    </w:p>
    <w:p w14:paraId="2DA092C2" w14:textId="77777777" w:rsidR="004E53A4" w:rsidRDefault="004E53A4" w:rsidP="004E53A4">
      <w:pPr>
        <w:pStyle w:val="NormalWeb"/>
      </w:pPr>
      <w:r>
        <w:lastRenderedPageBreak/>
        <w:t>Fulfilling of Time: The coming of Jesus signifies that God’s plan for redemption is at work, and his promise was made in the Old Testament and fulfilled in the New Testament.</w:t>
      </w:r>
    </w:p>
    <w:p w14:paraId="042ADC3F" w14:textId="77777777" w:rsidR="004E53A4" w:rsidRDefault="004E53A4" w:rsidP="004E53A4">
      <w:pPr>
        <w:pStyle w:val="NormalWeb"/>
      </w:pPr>
      <w:r>
        <w:t>You will be tracked until October 2023.</w:t>
      </w:r>
    </w:p>
    <w:p w14:paraId="7B50001A" w14:textId="77777777" w:rsidR="004E53A4" w:rsidRDefault="004E53A4" w:rsidP="004E53A4">
      <w:pPr>
        <w:pStyle w:val="NormalWeb"/>
      </w:pPr>
      <w:r>
        <w:t>Repentance and Faith: These two responses lie at the heart of discipleship, beckoning to sinners to turn from sin and trust the Gospel.</w:t>
      </w:r>
    </w:p>
    <w:p w14:paraId="4720CD85" w14:textId="77777777" w:rsidR="004E53A4" w:rsidRDefault="004E53A4" w:rsidP="004E53A4">
      <w:pPr>
        <w:pStyle w:val="NormalWeb"/>
      </w:pPr>
      <w:r>
        <w:t>Literary Techniques:</w:t>
      </w:r>
    </w:p>
    <w:p w14:paraId="50794CB2" w14:textId="77777777" w:rsidR="004E53A4" w:rsidRDefault="004E53A4" w:rsidP="004E53A4">
      <w:pPr>
        <w:pStyle w:val="NormalWeb"/>
      </w:pPr>
      <w:r>
        <w:t>Mark uses present-tense verbs (“is fulfilled,” “has come near”) to express the immediacy of his message.</w:t>
      </w:r>
    </w:p>
    <w:p w14:paraId="58801949" w14:textId="77777777" w:rsidR="004E53A4" w:rsidRDefault="004E53A4" w:rsidP="004E53A4">
      <w:pPr>
        <w:pStyle w:val="NormalWeb"/>
      </w:pPr>
      <w:r>
        <w:t>Application and Relevance</w:t>
      </w:r>
    </w:p>
    <w:p w14:paraId="4556F071" w14:textId="77777777" w:rsidR="004E53A4" w:rsidRDefault="004E53A4" w:rsidP="004E53A4">
      <w:pPr>
        <w:pStyle w:val="NormalWeb"/>
      </w:pPr>
      <w:r>
        <w:t>We are reminded through the Mark 1:9-15 today as Christians of who Jesus is, what the mission is all about, and the call to discipleship. The themes of repentance, belief, and the Kingdom of God remain relevant, providing hope and direction in modern-day lives of faith.”</w:t>
      </w:r>
    </w:p>
    <w:p w14:paraId="3353009C" w14:textId="77777777" w:rsidR="004E53A4" w:rsidRDefault="004E53A4" w:rsidP="004E53A4">
      <w:pPr>
        <w:pStyle w:val="NormalWeb"/>
      </w:pPr>
      <w:r>
        <w:t>Conclusion</w:t>
      </w:r>
    </w:p>
    <w:p w14:paraId="46B93F84" w14:textId="77777777" w:rsidR="00C41C4F" w:rsidRDefault="00C41C4F" w:rsidP="00C41C4F">
      <w:pPr>
        <w:pStyle w:val="NormalWeb"/>
      </w:pPr>
      <w:r>
        <w:t>Jesus the beloved (Marks 1:9–15) presents rich theological themes in a compact unit that summarises Jesus' mission. This foundation is necessary for understanding the Gospel of the Mark in general. This is probably the most significant section of Jesus’ incarnation in which we see God as a human with pivotal aspects but reveal two natures of Christ while giving us the first taste of the message of Gods kingdom."</w:t>
      </w:r>
    </w:p>
    <w:p w14:paraId="4BC67847" w14:textId="77777777" w:rsidR="00C41C4F" w:rsidRDefault="00C41C4F" w:rsidP="00C41C4F">
      <w:pPr>
        <w:pStyle w:val="NormalWeb"/>
      </w:pPr>
      <w:r>
        <w:t>The passage opens with Jesus being baptised by John in the Jordan River, a powerful gesture of humility and identification with humanity. Although he is sinless, Jesus nevertheless ratchets down his identification with human needs and repentance. However, his deity shines through as the heavens open, the Spirit descends like a dove, and God declares from heaven "You are my Son, whom I love; with you I am well pleased" (Mark 1:11). This divine endorsement defines Jesus as the Son of God and represents him as the elector who continues God’s work.</w:t>
      </w:r>
    </w:p>
    <w:p w14:paraId="18012705" w14:textId="77777777" w:rsidR="00C41C4F" w:rsidRDefault="00C41C4F" w:rsidP="00C41C4F">
      <w:pPr>
        <w:pStyle w:val="NormalWeb"/>
      </w:pPr>
      <w:r>
        <w:t>After his baptism, the Spirit drives Jesus into the wilderness (3) The Baptism -- 1-11 This is immediately followed by 40 days and nights in the wilderness where he is tested. This is somewhat an echo of Israel’s wandering in the wilderness and a clear test, not Jesus’ obedience or faithfulness—unlike our capacity and nature as we sort of fall away in temptation. His victory over Satan’s temptations is clear evidence of his status as a perfect and sinless servant of God.</w:t>
      </w:r>
    </w:p>
    <w:p w14:paraId="7F429B84" w14:textId="77777777" w:rsidR="00C41C4F" w:rsidRDefault="00C41C4F" w:rsidP="00C41C4F">
      <w:pPr>
        <w:pStyle w:val="NormalWeb"/>
      </w:pPr>
      <w:r>
        <w:t>Furthermore, Jesus ends with an announcement of God’s kingdom: "The time has come. Because God's kingdom has come upon you. Repent and believe in the good news! (Mark 1:15). Meanwhile, Jesus encourages repentance and faith; stressing the importance of change and trust in the gospel. This paragraph is a message that captures the essence of his ministry; it proclaims an invitation to live into both the sight of God's rule and our life adjusting in response to its implications in the reclamation.</w:t>
      </w:r>
    </w:p>
    <w:p w14:paraId="395519B4" w14:textId="77777777" w:rsidR="00C41C4F" w:rsidRDefault="00C41C4F" w:rsidP="00C41C4F">
      <w:pPr>
        <w:pStyle w:val="NormalWeb"/>
      </w:pPr>
      <w:r>
        <w:lastRenderedPageBreak/>
        <w:t>On the whole, Mark 1:9–15 provides a rich foundation for Jesus’ mission, intertwining elements of both identity and obedience with proclamation, themes that reverberate throughout the scope of the Gospel.</w:t>
      </w:r>
    </w:p>
    <w:p w14:paraId="6808530D" w14:textId="77777777" w:rsidR="004E53A4" w:rsidRDefault="004E53A4" w:rsidP="004E53A4">
      <w:pPr>
        <w:pStyle w:val="NormalWeb"/>
      </w:pPr>
    </w:p>
    <w:p w14:paraId="424ABCE6" w14:textId="77777777" w:rsidR="004E53A4" w:rsidRDefault="004E53A4" w:rsidP="004E53A4">
      <w:pPr>
        <w:pStyle w:val="NormalWeb"/>
        <w:jc w:val="center"/>
      </w:pPr>
    </w:p>
    <w:p w14:paraId="7E78A11C" w14:textId="77777777" w:rsidR="004E53A4" w:rsidRDefault="004E53A4" w:rsidP="004E53A4">
      <w:pPr>
        <w:pStyle w:val="NormalWeb"/>
        <w:jc w:val="center"/>
      </w:pPr>
    </w:p>
    <w:p w14:paraId="06CA7EDB" w14:textId="77777777" w:rsidR="004E53A4" w:rsidRDefault="004E53A4" w:rsidP="004E53A4">
      <w:pPr>
        <w:pStyle w:val="NormalWeb"/>
      </w:pPr>
    </w:p>
    <w:p w14:paraId="7496D1EC" w14:textId="55A3EC53" w:rsidR="004A102F" w:rsidRPr="00BE0300" w:rsidRDefault="004A102F" w:rsidP="00BE030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A102F">
        <w:rPr>
          <w:rFonts w:ascii="Times New Roman" w:eastAsia="Times New Roman" w:hAnsi="Times New Roman" w:cs="Times New Roman"/>
          <w:b/>
          <w:bCs/>
          <w:kern w:val="0"/>
          <w:sz w:val="27"/>
          <w:szCs w:val="27"/>
          <w:lang w:eastAsia="en-GB"/>
          <w14:ligatures w14:val="none"/>
        </w:rPr>
        <w:t>References</w:t>
      </w:r>
    </w:p>
    <w:p w14:paraId="59004A30" w14:textId="77777777" w:rsidR="004A102F" w:rsidRPr="004A102F" w:rsidRDefault="004A102F" w:rsidP="004A102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102F">
        <w:rPr>
          <w:rFonts w:ascii="Times New Roman" w:eastAsia="Times New Roman" w:hAnsi="Times New Roman" w:cs="Times New Roman"/>
          <w:kern w:val="0"/>
          <w:lang w:eastAsia="en-GB"/>
          <w14:ligatures w14:val="none"/>
        </w:rPr>
        <w:t xml:space="preserve">France, R.T. (2002). </w:t>
      </w:r>
      <w:r w:rsidRPr="004A102F">
        <w:rPr>
          <w:rFonts w:ascii="Times New Roman" w:eastAsia="Times New Roman" w:hAnsi="Times New Roman" w:cs="Times New Roman"/>
          <w:i/>
          <w:iCs/>
          <w:kern w:val="0"/>
          <w:lang w:eastAsia="en-GB"/>
          <w14:ligatures w14:val="none"/>
        </w:rPr>
        <w:t>The Gospel of Mark: A Commentary on the Greek Text</w:t>
      </w:r>
      <w:r w:rsidRPr="004A102F">
        <w:rPr>
          <w:rFonts w:ascii="Times New Roman" w:eastAsia="Times New Roman" w:hAnsi="Times New Roman" w:cs="Times New Roman"/>
          <w:kern w:val="0"/>
          <w:lang w:eastAsia="en-GB"/>
          <w14:ligatures w14:val="none"/>
        </w:rPr>
        <w:t>. Eerdmans.</w:t>
      </w:r>
    </w:p>
    <w:p w14:paraId="7B2AEC39" w14:textId="77777777" w:rsidR="004A102F" w:rsidRPr="004A102F" w:rsidRDefault="004A102F" w:rsidP="004A102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102F">
        <w:rPr>
          <w:rFonts w:ascii="Times New Roman" w:eastAsia="Times New Roman" w:hAnsi="Times New Roman" w:cs="Times New Roman"/>
          <w:kern w:val="0"/>
          <w:lang w:eastAsia="en-GB"/>
          <w14:ligatures w14:val="none"/>
        </w:rPr>
        <w:t xml:space="preserve">Lane, W.L. (1974). </w:t>
      </w:r>
      <w:r w:rsidRPr="004A102F">
        <w:rPr>
          <w:rFonts w:ascii="Times New Roman" w:eastAsia="Times New Roman" w:hAnsi="Times New Roman" w:cs="Times New Roman"/>
          <w:i/>
          <w:iCs/>
          <w:kern w:val="0"/>
          <w:lang w:eastAsia="en-GB"/>
          <w14:ligatures w14:val="none"/>
        </w:rPr>
        <w:t>The Gospel According to Mark</w:t>
      </w:r>
      <w:r w:rsidRPr="004A102F">
        <w:rPr>
          <w:rFonts w:ascii="Times New Roman" w:eastAsia="Times New Roman" w:hAnsi="Times New Roman" w:cs="Times New Roman"/>
          <w:kern w:val="0"/>
          <w:lang w:eastAsia="en-GB"/>
          <w14:ligatures w14:val="none"/>
        </w:rPr>
        <w:t>. Eerdmans.</w:t>
      </w:r>
    </w:p>
    <w:p w14:paraId="38B55047" w14:textId="77777777" w:rsidR="004A102F" w:rsidRPr="004A102F" w:rsidRDefault="004A102F" w:rsidP="004A102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102F">
        <w:rPr>
          <w:rFonts w:ascii="Times New Roman" w:eastAsia="Times New Roman" w:hAnsi="Times New Roman" w:cs="Times New Roman"/>
          <w:kern w:val="0"/>
          <w:lang w:eastAsia="en-GB"/>
          <w14:ligatures w14:val="none"/>
        </w:rPr>
        <w:t xml:space="preserve">Stein, R.H. (2008). </w:t>
      </w:r>
      <w:r w:rsidRPr="004A102F">
        <w:rPr>
          <w:rFonts w:ascii="Times New Roman" w:eastAsia="Times New Roman" w:hAnsi="Times New Roman" w:cs="Times New Roman"/>
          <w:i/>
          <w:iCs/>
          <w:kern w:val="0"/>
          <w:lang w:eastAsia="en-GB"/>
          <w14:ligatures w14:val="none"/>
        </w:rPr>
        <w:t>Mark</w:t>
      </w:r>
      <w:r w:rsidRPr="004A102F">
        <w:rPr>
          <w:rFonts w:ascii="Times New Roman" w:eastAsia="Times New Roman" w:hAnsi="Times New Roman" w:cs="Times New Roman"/>
          <w:kern w:val="0"/>
          <w:lang w:eastAsia="en-GB"/>
          <w14:ligatures w14:val="none"/>
        </w:rPr>
        <w:t>. Baker Academic.</w:t>
      </w:r>
    </w:p>
    <w:p w14:paraId="182C67B0" w14:textId="77777777" w:rsidR="004E53A4" w:rsidRDefault="004E53A4"/>
    <w:sectPr w:rsidR="004E53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A35A91" w14:textId="77777777" w:rsidR="00DD703E" w:rsidRDefault="00DD703E" w:rsidP="00DD703E">
      <w:pPr>
        <w:spacing w:after="0" w:line="240" w:lineRule="auto"/>
      </w:pPr>
      <w:r>
        <w:separator/>
      </w:r>
    </w:p>
  </w:endnote>
  <w:endnote w:type="continuationSeparator" w:id="0">
    <w:p w14:paraId="79D63823" w14:textId="77777777" w:rsidR="00DD703E" w:rsidRDefault="00DD703E" w:rsidP="00DD7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0942A0" w14:textId="77777777" w:rsidR="00DD703E" w:rsidRDefault="00DD703E" w:rsidP="00DD703E">
      <w:pPr>
        <w:spacing w:after="0" w:line="240" w:lineRule="auto"/>
      </w:pPr>
      <w:r>
        <w:separator/>
      </w:r>
    </w:p>
  </w:footnote>
  <w:footnote w:type="continuationSeparator" w:id="0">
    <w:p w14:paraId="5BF8182F" w14:textId="77777777" w:rsidR="00DD703E" w:rsidRDefault="00DD703E" w:rsidP="00DD7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8155FC"/>
    <w:multiLevelType w:val="multilevel"/>
    <w:tmpl w:val="C1E4C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7C0841"/>
    <w:multiLevelType w:val="multilevel"/>
    <w:tmpl w:val="CE786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2812306">
    <w:abstractNumId w:val="1"/>
  </w:num>
  <w:num w:numId="2" w16cid:durableId="631836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3A4"/>
    <w:rsid w:val="00105946"/>
    <w:rsid w:val="00287A33"/>
    <w:rsid w:val="002E00E4"/>
    <w:rsid w:val="004754A7"/>
    <w:rsid w:val="004A102F"/>
    <w:rsid w:val="004E53A4"/>
    <w:rsid w:val="00801EC5"/>
    <w:rsid w:val="0090117B"/>
    <w:rsid w:val="00AB79F0"/>
    <w:rsid w:val="00AE7E13"/>
    <w:rsid w:val="00BE0300"/>
    <w:rsid w:val="00C0496A"/>
    <w:rsid w:val="00C41C4F"/>
    <w:rsid w:val="00C46BEF"/>
    <w:rsid w:val="00DD703E"/>
    <w:rsid w:val="00EE4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A458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5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5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3A4"/>
    <w:rPr>
      <w:rFonts w:eastAsiaTheme="majorEastAsia" w:cstheme="majorBidi"/>
      <w:color w:val="272727" w:themeColor="text1" w:themeTint="D8"/>
    </w:rPr>
  </w:style>
  <w:style w:type="paragraph" w:styleId="Title">
    <w:name w:val="Title"/>
    <w:basedOn w:val="Normal"/>
    <w:next w:val="Normal"/>
    <w:link w:val="TitleChar"/>
    <w:uiPriority w:val="10"/>
    <w:qFormat/>
    <w:rsid w:val="004E5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3A4"/>
    <w:pPr>
      <w:spacing w:before="160"/>
      <w:jc w:val="center"/>
    </w:pPr>
    <w:rPr>
      <w:i/>
      <w:iCs/>
      <w:color w:val="404040" w:themeColor="text1" w:themeTint="BF"/>
    </w:rPr>
  </w:style>
  <w:style w:type="character" w:customStyle="1" w:styleId="QuoteChar">
    <w:name w:val="Quote Char"/>
    <w:basedOn w:val="DefaultParagraphFont"/>
    <w:link w:val="Quote"/>
    <w:uiPriority w:val="29"/>
    <w:rsid w:val="004E53A4"/>
    <w:rPr>
      <w:i/>
      <w:iCs/>
      <w:color w:val="404040" w:themeColor="text1" w:themeTint="BF"/>
    </w:rPr>
  </w:style>
  <w:style w:type="paragraph" w:styleId="ListParagraph">
    <w:name w:val="List Paragraph"/>
    <w:basedOn w:val="Normal"/>
    <w:uiPriority w:val="34"/>
    <w:qFormat/>
    <w:rsid w:val="004E53A4"/>
    <w:pPr>
      <w:ind w:left="720"/>
      <w:contextualSpacing/>
    </w:pPr>
  </w:style>
  <w:style w:type="character" w:styleId="IntenseEmphasis">
    <w:name w:val="Intense Emphasis"/>
    <w:basedOn w:val="DefaultParagraphFont"/>
    <w:uiPriority w:val="21"/>
    <w:qFormat/>
    <w:rsid w:val="004E53A4"/>
    <w:rPr>
      <w:i/>
      <w:iCs/>
      <w:color w:val="0F4761" w:themeColor="accent1" w:themeShade="BF"/>
    </w:rPr>
  </w:style>
  <w:style w:type="paragraph" w:styleId="IntenseQuote">
    <w:name w:val="Intense Quote"/>
    <w:basedOn w:val="Normal"/>
    <w:next w:val="Normal"/>
    <w:link w:val="IntenseQuoteChar"/>
    <w:uiPriority w:val="30"/>
    <w:qFormat/>
    <w:rsid w:val="004E5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3A4"/>
    <w:rPr>
      <w:i/>
      <w:iCs/>
      <w:color w:val="0F4761" w:themeColor="accent1" w:themeShade="BF"/>
    </w:rPr>
  </w:style>
  <w:style w:type="character" w:styleId="IntenseReference">
    <w:name w:val="Intense Reference"/>
    <w:basedOn w:val="DefaultParagraphFont"/>
    <w:uiPriority w:val="32"/>
    <w:qFormat/>
    <w:rsid w:val="004E53A4"/>
    <w:rPr>
      <w:b/>
      <w:bCs/>
      <w:smallCaps/>
      <w:color w:val="0F4761" w:themeColor="accent1" w:themeShade="BF"/>
      <w:spacing w:val="5"/>
    </w:rPr>
  </w:style>
  <w:style w:type="paragraph" w:styleId="NormalWeb">
    <w:name w:val="Normal (Web)"/>
    <w:basedOn w:val="Normal"/>
    <w:uiPriority w:val="99"/>
    <w:semiHidden/>
    <w:unhideWhenUsed/>
    <w:rsid w:val="004E53A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D7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03E"/>
  </w:style>
  <w:style w:type="paragraph" w:styleId="Footer">
    <w:name w:val="footer"/>
    <w:basedOn w:val="Normal"/>
    <w:link w:val="FooterChar"/>
    <w:uiPriority w:val="99"/>
    <w:unhideWhenUsed/>
    <w:rsid w:val="00DD7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0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4885585">
      <w:bodyDiv w:val="1"/>
      <w:marLeft w:val="0"/>
      <w:marRight w:val="0"/>
      <w:marTop w:val="0"/>
      <w:marBottom w:val="0"/>
      <w:divBdr>
        <w:top w:val="none" w:sz="0" w:space="0" w:color="auto"/>
        <w:left w:val="none" w:sz="0" w:space="0" w:color="auto"/>
        <w:bottom w:val="none" w:sz="0" w:space="0" w:color="auto"/>
        <w:right w:val="none" w:sz="0" w:space="0" w:color="auto"/>
      </w:divBdr>
    </w:div>
    <w:div w:id="1201282973">
      <w:bodyDiv w:val="1"/>
      <w:marLeft w:val="0"/>
      <w:marRight w:val="0"/>
      <w:marTop w:val="0"/>
      <w:marBottom w:val="0"/>
      <w:divBdr>
        <w:top w:val="none" w:sz="0" w:space="0" w:color="auto"/>
        <w:left w:val="none" w:sz="0" w:space="0" w:color="auto"/>
        <w:bottom w:val="none" w:sz="0" w:space="0" w:color="auto"/>
        <w:right w:val="none" w:sz="0" w:space="0" w:color="auto"/>
      </w:divBdr>
    </w:div>
    <w:div w:id="1710959738">
      <w:bodyDiv w:val="1"/>
      <w:marLeft w:val="0"/>
      <w:marRight w:val="0"/>
      <w:marTop w:val="0"/>
      <w:marBottom w:val="0"/>
      <w:divBdr>
        <w:top w:val="none" w:sz="0" w:space="0" w:color="auto"/>
        <w:left w:val="none" w:sz="0" w:space="0" w:color="auto"/>
        <w:bottom w:val="none" w:sz="0" w:space="0" w:color="auto"/>
        <w:right w:val="none" w:sz="0" w:space="0" w:color="auto"/>
      </w:divBdr>
    </w:div>
    <w:div w:id="202362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964</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2024-12-07T12:58:00Z</dcterms:created>
  <dcterms:modified xsi:type="dcterms:W3CDTF">2024-12-07T12:58:00Z</dcterms:modified>
</cp:coreProperties>
</file>