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9456DE9" w14:textId="560F003D" w:rsidR="00E611D9" w:rsidRDefault="002229F0" w:rsidP="00E611D9">
      <w:pPr>
        <w:pStyle w:val="AssignBody"/>
      </w:pPr>
      <w:r>
        <w:t>Gallwch ychwanegu’ch targedau o’ch aseiniad diwethaf (Ond yn berthnasol os yr ydych wedi cwblhau aseiniad) / Please add your targets from the previous assignment (Only relevant if you have completed an assignment)</w:t>
      </w:r>
    </w:p>
    <w:tbl>
      <w:tblPr>
        <w:tblStyle w:val="TableGrid"/>
        <w:tblW w:w="0" w:type="auto"/>
        <w:tblLook w:val="04A0" w:firstRow="1" w:lastRow="0" w:firstColumn="1" w:lastColumn="0" w:noHBand="0" w:noVBand="1"/>
      </w:tblPr>
      <w:tblGrid>
        <w:gridCol w:w="1838"/>
        <w:gridCol w:w="7178"/>
      </w:tblGrid>
      <w:tr w:rsidR="002229F0" w14:paraId="4072E411" w14:textId="77777777" w:rsidTr="00AE1A4C">
        <w:tc>
          <w:tcPr>
            <w:tcW w:w="1838" w:type="dxa"/>
          </w:tcPr>
          <w:p w14:paraId="3BDD7132" w14:textId="77777777" w:rsidR="002229F0" w:rsidRDefault="002229F0" w:rsidP="00AE1A4C">
            <w:pPr>
              <w:pStyle w:val="AssignBody"/>
            </w:pPr>
            <w:r>
              <w:t>T</w:t>
            </w:r>
            <w:bookmarkStart w:id="0" w:name="cysill"/>
            <w:bookmarkEnd w:id="0"/>
            <w:r>
              <w:t>arged/Target 1</w:t>
            </w:r>
          </w:p>
        </w:tc>
        <w:tc>
          <w:tcPr>
            <w:tcW w:w="7178" w:type="dxa"/>
          </w:tcPr>
          <w:p w14:paraId="394C5558" w14:textId="2B27CBA0" w:rsidR="002229F0" w:rsidRDefault="00E33B7B" w:rsidP="00AE1A4C">
            <w:pPr>
              <w:pStyle w:val="AssignBody"/>
            </w:pPr>
            <w:r>
              <w:t xml:space="preserve">Develop critical writing skills further. </w:t>
            </w:r>
            <w:r w:rsidR="00632402">
              <w:t xml:space="preserve"> – This target was set from ECAD5008. In order to develop this target, I have ensured that when needed throughout this assignment, critical evaluations have been made. I have also ensured these views have been </w:t>
            </w:r>
            <w:r w:rsidR="0009500E">
              <w:t>backed up by relevant literature.</w:t>
            </w:r>
          </w:p>
        </w:tc>
      </w:tr>
      <w:tr w:rsidR="002229F0" w14:paraId="73A65764" w14:textId="77777777" w:rsidTr="00AE1A4C">
        <w:tc>
          <w:tcPr>
            <w:tcW w:w="1838" w:type="dxa"/>
          </w:tcPr>
          <w:p w14:paraId="12A42483" w14:textId="77777777" w:rsidR="002229F0" w:rsidRDefault="002229F0" w:rsidP="00AE1A4C">
            <w:pPr>
              <w:pStyle w:val="AssignBody"/>
            </w:pPr>
            <w:r>
              <w:t>Targed/Target 2</w:t>
            </w:r>
          </w:p>
        </w:tc>
        <w:tc>
          <w:tcPr>
            <w:tcW w:w="7178" w:type="dxa"/>
          </w:tcPr>
          <w:p w14:paraId="3E19823E" w14:textId="4F64ECF1" w:rsidR="002229F0" w:rsidRDefault="0009500E" w:rsidP="00AE1A4C">
            <w:pPr>
              <w:pStyle w:val="AssignBody"/>
            </w:pPr>
            <w:r>
              <w:t xml:space="preserve">Referencing. – This was not a target from the previous assignment however, I believe that it is always something I can improve upon. For this assignment I have ensured that close reference to the guidebook has been maintained throughout. </w:t>
            </w:r>
          </w:p>
        </w:tc>
      </w:tr>
      <w:tr w:rsidR="002229F0" w14:paraId="0216786F" w14:textId="77777777" w:rsidTr="00AE1A4C">
        <w:tc>
          <w:tcPr>
            <w:tcW w:w="1838" w:type="dxa"/>
          </w:tcPr>
          <w:p w14:paraId="4F73937C" w14:textId="77777777" w:rsidR="002229F0" w:rsidRDefault="002229F0" w:rsidP="00AE1A4C">
            <w:pPr>
              <w:pStyle w:val="AssignBody"/>
            </w:pPr>
            <w:r>
              <w:t>Targed/Target 3</w:t>
            </w:r>
          </w:p>
        </w:tc>
        <w:tc>
          <w:tcPr>
            <w:tcW w:w="7178" w:type="dxa"/>
          </w:tcPr>
          <w:p w14:paraId="1FEDD524" w14:textId="77777777" w:rsidR="002229F0" w:rsidRDefault="002229F0" w:rsidP="00AE1A4C">
            <w:pPr>
              <w:pStyle w:val="AssignBody"/>
            </w:pPr>
          </w:p>
        </w:tc>
      </w:tr>
      <w:tr w:rsidR="002229F0" w14:paraId="1625EF57" w14:textId="77777777" w:rsidTr="00AE1A4C">
        <w:tc>
          <w:tcPr>
            <w:tcW w:w="1838" w:type="dxa"/>
          </w:tcPr>
          <w:p w14:paraId="3316F033" w14:textId="77777777" w:rsidR="002229F0" w:rsidRDefault="002229F0" w:rsidP="00AE1A4C">
            <w:pPr>
              <w:pStyle w:val="AssignBody"/>
            </w:pPr>
            <w:r>
              <w:t>Targed/Target 4</w:t>
            </w:r>
          </w:p>
        </w:tc>
        <w:tc>
          <w:tcPr>
            <w:tcW w:w="7178" w:type="dxa"/>
          </w:tcPr>
          <w:p w14:paraId="12099F03" w14:textId="77777777" w:rsidR="002229F0" w:rsidRDefault="002229F0" w:rsidP="00AE1A4C">
            <w:pPr>
              <w:pStyle w:val="AssignBody"/>
            </w:pPr>
          </w:p>
        </w:tc>
      </w:tr>
      <w:tr w:rsidR="00817F7A" w14:paraId="49CA7C96" w14:textId="77777777" w:rsidTr="00AE1A4C">
        <w:tc>
          <w:tcPr>
            <w:tcW w:w="1838" w:type="dxa"/>
          </w:tcPr>
          <w:p w14:paraId="1919199F" w14:textId="7A7D1A35" w:rsidR="00817F7A" w:rsidRDefault="00817F7A" w:rsidP="00817F7A">
            <w:pPr>
              <w:pStyle w:val="AssignBody"/>
            </w:pPr>
            <w:r>
              <w:t>Targed/Target 5</w:t>
            </w:r>
          </w:p>
        </w:tc>
        <w:tc>
          <w:tcPr>
            <w:tcW w:w="7178" w:type="dxa"/>
          </w:tcPr>
          <w:p w14:paraId="72F8B1D0" w14:textId="77777777" w:rsidR="00817F7A" w:rsidRDefault="00817F7A" w:rsidP="00817F7A">
            <w:pPr>
              <w:pStyle w:val="AssignBody"/>
            </w:pPr>
          </w:p>
        </w:tc>
      </w:tr>
    </w:tbl>
    <w:p w14:paraId="45E34BBD" w14:textId="77777777" w:rsidR="002229F0" w:rsidRDefault="002229F0" w:rsidP="00E611D9">
      <w:pPr>
        <w:pStyle w:val="AssignBody"/>
      </w:pPr>
    </w:p>
    <w:p w14:paraId="3471F3A5" w14:textId="77777777" w:rsidR="003A17CF" w:rsidRDefault="003A17CF" w:rsidP="00E611D9">
      <w:pPr>
        <w:pStyle w:val="AssignHeader"/>
      </w:pPr>
    </w:p>
    <w:p w14:paraId="118CB437" w14:textId="129CE114" w:rsidR="006419C3" w:rsidRDefault="00F3112D" w:rsidP="00E611D9">
      <w:pPr>
        <w:pStyle w:val="AssignHeader"/>
      </w:pPr>
      <w:r>
        <w:t xml:space="preserve"> Design and conduct a small-scale research study, and critically evaluate the chosen research tools and the impact of findings on the learner and on your professional practice. </w:t>
      </w:r>
    </w:p>
    <w:p w14:paraId="27737177" w14:textId="6076ABAC" w:rsidR="003A17CF" w:rsidRPr="003A17CF" w:rsidRDefault="003A17CF" w:rsidP="003A17CF">
      <w:pPr>
        <w:pStyle w:val="AssignSubHeader"/>
      </w:pPr>
      <w:r>
        <w:t xml:space="preserve">             Word Count </w:t>
      </w:r>
      <w:r w:rsidR="00F82071">
        <w:t>including</w:t>
      </w:r>
      <w:r>
        <w:t xml:space="preserve"> photograph</w:t>
      </w:r>
      <w:r w:rsidR="00F82071">
        <w:t>ic</w:t>
      </w:r>
      <w:r>
        <w:t xml:space="preserve"> data</w:t>
      </w:r>
      <w:r w:rsidR="00F82071">
        <w:t xml:space="preserve"> (Graphs)</w:t>
      </w:r>
      <w:bookmarkStart w:id="1" w:name="_GoBack"/>
      <w:bookmarkEnd w:id="1"/>
      <w:r>
        <w:t>: 3</w:t>
      </w:r>
      <w:r w:rsidR="00F82071">
        <w:t>4</w:t>
      </w:r>
      <w:r w:rsidR="00AF0847">
        <w:t>7</w:t>
      </w:r>
      <w:r>
        <w:t xml:space="preserve">6. </w:t>
      </w:r>
    </w:p>
    <w:p w14:paraId="0A9A6EB5" w14:textId="1F93AD63" w:rsidR="00691A46" w:rsidRPr="00691A46" w:rsidRDefault="00F3112D" w:rsidP="00F3112D">
      <w:pPr>
        <w:pStyle w:val="AssignSubHeader"/>
        <w:ind w:left="510"/>
      </w:pPr>
      <w:r>
        <w:t>“Does self-assessment encourage learners to progress?”</w:t>
      </w:r>
    </w:p>
    <w:p w14:paraId="5CEAC584" w14:textId="77777777" w:rsidR="002C33D2" w:rsidRDefault="002C33D2" w:rsidP="002C33D2">
      <w:pPr>
        <w:jc w:val="both"/>
        <w:rPr>
          <w:rFonts w:ascii="Arial" w:hAnsi="Arial" w:cs="Arial"/>
        </w:rPr>
      </w:pPr>
      <w:r>
        <w:rPr>
          <w:rFonts w:ascii="Arial" w:hAnsi="Arial" w:cs="Arial"/>
        </w:rPr>
        <w:t xml:space="preserve">For this assignment, a research study into the use of self-assessment within the classroom was undertaken. Throughout this essay, attempts will be made to critically evaluate key research tools along with supporting literature in order to understand and develop the use of research tools within education. The underpinning aims of the study were to gain knowledge of whether learners had a firm understanding of what they were writing when self-assessing and if they were able to comprehend why they were writing such comments. A further aim of the study was to witness whether learners genuinely think about the comments they were writing or if it was a case of copying a peer. </w:t>
      </w:r>
    </w:p>
    <w:p w14:paraId="35A83EEE" w14:textId="77777777" w:rsidR="002C33D2" w:rsidRDefault="002C33D2" w:rsidP="002C33D2">
      <w:pPr>
        <w:jc w:val="both"/>
        <w:rPr>
          <w:rFonts w:ascii="Arial" w:hAnsi="Arial" w:cs="Arial"/>
        </w:rPr>
      </w:pPr>
      <w:r>
        <w:rPr>
          <w:rFonts w:ascii="Arial" w:hAnsi="Arial" w:cs="Arial"/>
        </w:rPr>
        <w:t xml:space="preserve">Giving background into the chosen research question, ‘self- assessment’ has been defined as </w:t>
      </w:r>
      <w:r w:rsidRPr="00066E6E">
        <w:rPr>
          <w:rFonts w:ascii="Arial" w:hAnsi="Arial" w:cs="Arial"/>
        </w:rPr>
        <w:t xml:space="preserve">“a judgement, sometimes for official purposes, that you make about your abilities, qualities or actions” (Cambridge Dictionary, 2020). </w:t>
      </w:r>
      <w:r>
        <w:rPr>
          <w:rFonts w:ascii="Arial" w:hAnsi="Arial" w:cs="Arial"/>
        </w:rPr>
        <w:t xml:space="preserve">This definition may be seen as vague as it suggests any individual could make a personal judgement, it does however leave the question of bias in mind. Although progress may be viewed as difficult to measure over a short period of time, </w:t>
      </w:r>
      <w:r>
        <w:rPr>
          <w:rFonts w:ascii="Arial" w:hAnsi="Arial" w:cs="Arial"/>
        </w:rPr>
        <w:lastRenderedPageBreak/>
        <w:t xml:space="preserve">this particular wording within the question was chosen to gain an understanding regarding whether or not learners make informed assessments of themselves in order to aid their learning journey and if this would be evident within a classroom setting. </w:t>
      </w:r>
    </w:p>
    <w:p w14:paraId="12831278" w14:textId="397A540B" w:rsidR="002C33D2" w:rsidRDefault="002C33D2" w:rsidP="002C33D2">
      <w:pPr>
        <w:jc w:val="both"/>
        <w:rPr>
          <w:rFonts w:ascii="Arial" w:hAnsi="Arial" w:cs="Arial"/>
        </w:rPr>
      </w:pPr>
      <w:r>
        <w:rPr>
          <w:rFonts w:ascii="Arial" w:hAnsi="Arial" w:cs="Arial"/>
        </w:rPr>
        <w:t>The study itself was undertaken in a rural primary school in Wales. The study contained a focus group of six learners, two from each of the three ability groupings.</w:t>
      </w:r>
      <w:r w:rsidR="00AF0847">
        <w:rPr>
          <w:rFonts w:ascii="Arial" w:hAnsi="Arial" w:cs="Arial"/>
        </w:rPr>
        <w:t xml:space="preserve"> Before carrying out this study within the school, it was crucial that an ethics from be completed to ensure guidelines were being met efficiently. For the completed form, please see Appendix 1. It was also a requirement that permission to carry out the research was gained from the headteacher of the school, for the consent form please see Appendix 2.  </w:t>
      </w:r>
      <w:r>
        <w:rPr>
          <w:rFonts w:ascii="Arial" w:hAnsi="Arial" w:cs="Arial"/>
        </w:rPr>
        <w:t xml:space="preserve">The importance of the study leaned on the possible misconception that learners are unable to critically evaluate their own work. In a case study carried out, it was found that </w:t>
      </w:r>
      <w:r w:rsidRPr="00590672">
        <w:rPr>
          <w:rFonts w:ascii="Arial" w:hAnsi="Arial" w:cs="Arial"/>
        </w:rPr>
        <w:t>“students lacked the necessary skills both to judge specific problems in understanding and to set realistic targets to remedy problems within reasonable timeframes” (Black et al. 2003</w:t>
      </w:r>
      <w:r>
        <w:rPr>
          <w:rFonts w:ascii="Arial" w:hAnsi="Arial" w:cs="Arial"/>
        </w:rPr>
        <w:t>,</w:t>
      </w:r>
      <w:r w:rsidRPr="00590672">
        <w:rPr>
          <w:rFonts w:ascii="Arial" w:hAnsi="Arial" w:cs="Arial"/>
        </w:rPr>
        <w:t xml:space="preserve"> p50.) </w:t>
      </w:r>
      <w:r>
        <w:rPr>
          <w:rFonts w:ascii="Arial" w:hAnsi="Arial" w:cs="Arial"/>
        </w:rPr>
        <w:t xml:space="preserve">From experience gained during Professional Teaching Experience Two (PTE2). it appeared that the overall attitude towards self-assessment was that it could be seen as something that had to be done, rather than the learners’ comments and targets being used to inform future planning. It could also be interpreted that there was a lack of evidence within the classroom of instruction and expectation relating to completing the self-assessment process. The following paragraphs within the assignment shed light onto the common understandings of Assessment for Learning (AFL) and more specifically, self-assessment. </w:t>
      </w:r>
    </w:p>
    <w:p w14:paraId="49684F8C" w14:textId="77777777" w:rsidR="002C33D2" w:rsidRDefault="002C33D2" w:rsidP="002C33D2">
      <w:pPr>
        <w:jc w:val="both"/>
        <w:rPr>
          <w:rFonts w:ascii="Arial" w:hAnsi="Arial" w:cs="Arial"/>
        </w:rPr>
      </w:pPr>
    </w:p>
    <w:p w14:paraId="41C0926A" w14:textId="77777777" w:rsidR="002C33D2" w:rsidRDefault="002C33D2" w:rsidP="002C33D2">
      <w:pPr>
        <w:jc w:val="both"/>
        <w:rPr>
          <w:rFonts w:ascii="Arial" w:hAnsi="Arial" w:cs="Arial"/>
        </w:rPr>
      </w:pPr>
      <w:r>
        <w:rPr>
          <w:rFonts w:ascii="Arial" w:hAnsi="Arial" w:cs="Arial"/>
        </w:rPr>
        <w:t>Self-assessment falls under a larger umbrella of Assessment for Learning and can be seen as an informal type of formative assessment. However, AFL itself</w:t>
      </w:r>
      <w:r w:rsidRPr="001D589C">
        <w:rPr>
          <w:rFonts w:ascii="Arial" w:hAnsi="Arial" w:cs="Arial"/>
        </w:rPr>
        <w:t xml:space="preserve"> can be defined as a process of </w:t>
      </w:r>
      <w:r w:rsidRPr="00106CC5">
        <w:rPr>
          <w:rFonts w:ascii="Arial" w:hAnsi="Arial" w:cs="Arial"/>
        </w:rPr>
        <w:t xml:space="preserve">“continuously collecting and interpreting information about student learning in order to tailor instructional and learning activities to better fit students’ needs” (Black and Wiliam, </w:t>
      </w:r>
      <w:r>
        <w:rPr>
          <w:rFonts w:ascii="Arial" w:hAnsi="Arial" w:cs="Arial"/>
        </w:rPr>
        <w:t>(</w:t>
      </w:r>
      <w:r w:rsidRPr="00106CC5">
        <w:rPr>
          <w:rFonts w:ascii="Arial" w:hAnsi="Arial" w:cs="Arial"/>
        </w:rPr>
        <w:t>1998</w:t>
      </w:r>
      <w:r>
        <w:rPr>
          <w:rFonts w:ascii="Arial" w:hAnsi="Arial" w:cs="Arial"/>
        </w:rPr>
        <w:t>, cited in Black, 2003</w:t>
      </w:r>
      <w:r w:rsidRPr="00106CC5">
        <w:rPr>
          <w:rFonts w:ascii="Arial" w:hAnsi="Arial" w:cs="Arial"/>
        </w:rPr>
        <w:t xml:space="preserve">). </w:t>
      </w:r>
      <w:r>
        <w:rPr>
          <w:rFonts w:ascii="Arial" w:hAnsi="Arial" w:cs="Arial"/>
        </w:rPr>
        <w:t xml:space="preserve">It would be a fair and logical assumption that any form of assessment for learning takes place all of the time, especially within a classroom setting. Assessment itself may be viewed as an inevitable part of the education journey undertaken throughout a person’s life. </w:t>
      </w:r>
      <w:r w:rsidRPr="00106CC5">
        <w:rPr>
          <w:rFonts w:ascii="Arial" w:hAnsi="Arial" w:cs="Arial"/>
        </w:rPr>
        <w:t xml:space="preserve">Teachers make professional judgements on learners’ performance in every teaching and learning session undertaken, whether consciously or subconsciously (Jones, (2005, </w:t>
      </w:r>
      <w:bookmarkStart w:id="2" w:name="_Hlk35945103"/>
      <w:r w:rsidRPr="00106CC5">
        <w:rPr>
          <w:rFonts w:ascii="Arial" w:hAnsi="Arial" w:cs="Arial"/>
        </w:rPr>
        <w:t>cited in Black 2003</w:t>
      </w:r>
      <w:bookmarkEnd w:id="2"/>
      <w:r w:rsidRPr="00106CC5">
        <w:rPr>
          <w:rFonts w:ascii="Arial" w:hAnsi="Arial" w:cs="Arial"/>
        </w:rPr>
        <w:t xml:space="preserve">, p.1). </w:t>
      </w:r>
      <w:r>
        <w:rPr>
          <w:rFonts w:ascii="Arial" w:hAnsi="Arial" w:cs="Arial"/>
        </w:rPr>
        <w:t xml:space="preserve">Assessment within the classroom allows the teacher to become aware of the learners’ understanding and progress of their learning and consequently encourages adaptations to planning in order to meet the needs of the learners in front of them. </w:t>
      </w:r>
    </w:p>
    <w:p w14:paraId="6D0DDB33" w14:textId="77777777" w:rsidR="002C33D2" w:rsidRDefault="002C33D2" w:rsidP="002C33D2">
      <w:pPr>
        <w:jc w:val="both"/>
        <w:rPr>
          <w:rFonts w:ascii="Arial" w:hAnsi="Arial" w:cs="Arial"/>
        </w:rPr>
      </w:pPr>
      <w:r>
        <w:rPr>
          <w:rFonts w:ascii="Arial" w:hAnsi="Arial" w:cs="Arial"/>
        </w:rPr>
        <w:t xml:space="preserve">Assessment for Learning encourages learners to take a more active role in their learning and to adopt a teacher like role. AFL encourages learners to think in a triad of where they currently are within their learning journey, where they need to go in order to successfully progress and finally what actions they will take in order to reach their goal. It may be argued that peer and self-assessment come hand in hand, or rather an understanding of peer-assessment must be established in order to gain a thorough understanding on how to correctly self-assess. </w:t>
      </w:r>
    </w:p>
    <w:p w14:paraId="711065C7" w14:textId="1568B5A9" w:rsidR="002C33D2" w:rsidRPr="00066E6E" w:rsidRDefault="002C33D2" w:rsidP="002C33D2">
      <w:pPr>
        <w:ind w:left="1134" w:right="1134"/>
        <w:jc w:val="both"/>
        <w:rPr>
          <w:rFonts w:ascii="Arial" w:hAnsi="Arial" w:cs="Arial"/>
        </w:rPr>
      </w:pPr>
      <w:r w:rsidRPr="002C33D2">
        <w:rPr>
          <w:rFonts w:ascii="Arial" w:hAnsi="Arial" w:cs="Arial"/>
          <w:i/>
          <w:iCs/>
        </w:rPr>
        <w:t>“Peer and self-assessment also give students a sense of all the things you have to consider when setting and marking work, thus helping them to more effectively 'internalise' academic standards and assessment criteria”</w:t>
      </w:r>
      <w:r w:rsidRPr="00066E6E">
        <w:rPr>
          <w:rFonts w:ascii="Arial" w:hAnsi="Arial" w:cs="Arial"/>
        </w:rPr>
        <w:t xml:space="preserve"> (University of Reading, No Date).</w:t>
      </w:r>
    </w:p>
    <w:p w14:paraId="1D1D8718" w14:textId="77777777" w:rsidR="002C33D2" w:rsidRPr="00E3651A" w:rsidRDefault="002C33D2" w:rsidP="002C33D2">
      <w:pPr>
        <w:jc w:val="both"/>
        <w:rPr>
          <w:rFonts w:ascii="Arial" w:hAnsi="Arial" w:cs="Arial"/>
          <w:color w:val="FF0000"/>
        </w:rPr>
      </w:pPr>
      <w:r>
        <w:rPr>
          <w:rFonts w:ascii="Arial" w:hAnsi="Arial" w:cs="Arial"/>
        </w:rPr>
        <w:t xml:space="preserve">In order for self-assessment to be worthwhile, </w:t>
      </w:r>
      <w:r w:rsidRPr="003E62BC">
        <w:rPr>
          <w:rFonts w:ascii="Arial" w:hAnsi="Arial" w:cs="Arial"/>
        </w:rPr>
        <w:t xml:space="preserve">Goodrich (1996) argues that learners need teachers to become “models of self-assessment” </w:t>
      </w:r>
      <w:r>
        <w:rPr>
          <w:rFonts w:ascii="Arial" w:hAnsi="Arial" w:cs="Arial"/>
        </w:rPr>
        <w:t xml:space="preserve">and give clear, direct instruction in and assistance with self-assessment. It may also be seen to be disruptive to presume that learners have an in-built ability to critically assess their own work independently to such a standard that </w:t>
      </w:r>
      <w:r>
        <w:rPr>
          <w:rFonts w:ascii="Arial" w:hAnsi="Arial" w:cs="Arial"/>
        </w:rPr>
        <w:lastRenderedPageBreak/>
        <w:t>would be beneficial to their progress. Learners, especially those within a primary school setting, require specific scaffolding when it comes to self-assessment.</w:t>
      </w:r>
      <w:r w:rsidRPr="00E3651A">
        <w:rPr>
          <w:rFonts w:ascii="Arial" w:hAnsi="Arial" w:cs="Arial"/>
          <w:color w:val="FF0000"/>
        </w:rPr>
        <w:t xml:space="preserve"> </w:t>
      </w:r>
      <w:r w:rsidRPr="00106CC5">
        <w:rPr>
          <w:rFonts w:ascii="Arial" w:hAnsi="Arial" w:cs="Arial"/>
        </w:rPr>
        <w:t>“Part of the teacher’s responsibility is, surely, to download that evaluative knowledge so that students eventually become independent of the teacher and intelligently engage in and monitor their own development” (Sadler, (1989,</w:t>
      </w:r>
      <w:r w:rsidRPr="00106CC5">
        <w:t xml:space="preserve"> </w:t>
      </w:r>
      <w:r w:rsidRPr="00106CC5">
        <w:rPr>
          <w:rFonts w:ascii="Arial" w:hAnsi="Arial" w:cs="Arial"/>
        </w:rPr>
        <w:t xml:space="preserve">cited in Black 2003).  </w:t>
      </w:r>
      <w:r>
        <w:rPr>
          <w:rFonts w:ascii="Arial" w:hAnsi="Arial" w:cs="Arial"/>
        </w:rPr>
        <w:t xml:space="preserve">It must be ensured that the expectations are clearly explained and are in line with the learning outcomes and success criteria. </w:t>
      </w:r>
      <w:r w:rsidRPr="00106CC5">
        <w:rPr>
          <w:rFonts w:ascii="Arial" w:hAnsi="Arial" w:cs="Arial"/>
        </w:rPr>
        <w:t xml:space="preserve">“Research shows that if self-evaluation is linked with the learning intentions of a task, childrens’ progress, persistence and self-esteem is improved” (Black and Wiliam, (1998, cited in Black 2003). </w:t>
      </w:r>
    </w:p>
    <w:p w14:paraId="10D46AAE" w14:textId="77777777" w:rsidR="002C33D2" w:rsidRPr="00871A6A" w:rsidRDefault="002C33D2" w:rsidP="002C33D2">
      <w:pPr>
        <w:jc w:val="both"/>
        <w:rPr>
          <w:rFonts w:ascii="Arial" w:hAnsi="Arial" w:cs="Arial"/>
        </w:rPr>
      </w:pPr>
      <w:r>
        <w:rPr>
          <w:rFonts w:ascii="Arial" w:hAnsi="Arial" w:cs="Arial"/>
        </w:rPr>
        <w:t>Studies of self-assessment have found a correlation between a solid understanding of how to assess personal progress and increase in that continuous learning journey.</w:t>
      </w:r>
      <w:r w:rsidRPr="005E1741">
        <w:rPr>
          <w:rFonts w:ascii="Arial" w:hAnsi="Arial" w:cs="Arial"/>
          <w:color w:val="FF0000"/>
        </w:rPr>
        <w:t xml:space="preserve"> </w:t>
      </w:r>
      <w:r w:rsidRPr="00106CC5">
        <w:rPr>
          <w:rFonts w:ascii="Arial" w:hAnsi="Arial" w:cs="Arial"/>
        </w:rPr>
        <w:t xml:space="preserve">“Students who set goals, make flexible plans to meet them, and monitor their progress tend to learn more and do better in school that those who don’t” (Pintrich, (2000, cited in Black 2003).  </w:t>
      </w:r>
      <w:r>
        <w:rPr>
          <w:rFonts w:ascii="Arial" w:hAnsi="Arial" w:cs="Arial"/>
        </w:rPr>
        <w:t xml:space="preserve">A particular research study conducted by </w:t>
      </w:r>
      <w:r w:rsidRPr="00066E6E">
        <w:rPr>
          <w:rFonts w:ascii="Arial" w:hAnsi="Arial" w:cs="Arial"/>
        </w:rPr>
        <w:t xml:space="preserve">Andrade and Boulay (2003) </w:t>
      </w:r>
      <w:r>
        <w:rPr>
          <w:rFonts w:ascii="Arial" w:hAnsi="Arial" w:cs="Arial"/>
        </w:rPr>
        <w:t>found a “positive relationship between self-assessment and the quality of writing”. This suggests that learners who understand how to evaluate their own work effectively are able to excel with future work as they understand what steps are required to improve and how to implement them. Within the Curriculum for Wales 2022, a main focus under the umbrella of assessment includes the requirement of the practitioner to encourage and “provide opportunities for learners to engage in assessing their own work and that of peers, and supporting them to develop the relevant skills to do this effectively” (</w:t>
      </w:r>
      <w:r w:rsidRPr="00106CC5">
        <w:rPr>
          <w:rFonts w:ascii="Arial" w:hAnsi="Arial" w:cs="Arial"/>
        </w:rPr>
        <w:t xml:space="preserve">Welsh Government, 2020). </w:t>
      </w:r>
      <w:r>
        <w:rPr>
          <w:rFonts w:ascii="Arial" w:hAnsi="Arial" w:cs="Arial"/>
        </w:rPr>
        <w:t xml:space="preserve">The proceeding paragraphs within this essay discuss the use, effectiveness and limitations of the research methods chosen to carry out this study. </w:t>
      </w:r>
    </w:p>
    <w:p w14:paraId="400D4936" w14:textId="77777777" w:rsidR="002C33D2" w:rsidRDefault="002C33D2" w:rsidP="002C33D2">
      <w:pPr>
        <w:jc w:val="both"/>
        <w:rPr>
          <w:rFonts w:ascii="Arial" w:hAnsi="Arial" w:cs="Arial"/>
        </w:rPr>
      </w:pPr>
    </w:p>
    <w:p w14:paraId="58BE78B4" w14:textId="5629008B" w:rsidR="002C33D2" w:rsidRPr="005E1741" w:rsidRDefault="002C33D2" w:rsidP="002C33D2">
      <w:pPr>
        <w:jc w:val="both"/>
        <w:rPr>
          <w:rFonts w:ascii="Arial" w:hAnsi="Arial" w:cs="Arial"/>
          <w:color w:val="FF0000"/>
        </w:rPr>
      </w:pPr>
      <w:r w:rsidRPr="001D589C">
        <w:rPr>
          <w:rFonts w:ascii="Arial" w:hAnsi="Arial" w:cs="Arial"/>
        </w:rPr>
        <w:t>Questionnaires were chosen as a research method to allow both qualitative and quantitative data to be exploited. Qualitative data being the collection of thoughts and feelings through words whereas quantitative data gathers information in the form of numerical digits. Through the use of a high percentage of open questions, qualitative data can be gathered. Open questions are questions that cannot simply be answered with a single word and will allow the respondent to “</w:t>
      </w:r>
      <w:r w:rsidRPr="00066E6E">
        <w:rPr>
          <w:rFonts w:ascii="Arial" w:hAnsi="Arial" w:cs="Arial"/>
        </w:rPr>
        <w:t xml:space="preserve">expand on their answers, which requires them to construct longer examples of language” (British Council, No Date). </w:t>
      </w:r>
      <w:r w:rsidRPr="003820BB">
        <w:rPr>
          <w:rFonts w:ascii="Arial" w:hAnsi="Arial" w:cs="Arial"/>
        </w:rPr>
        <w:t>This may be</w:t>
      </w:r>
      <w:r>
        <w:rPr>
          <w:rFonts w:ascii="Arial" w:hAnsi="Arial" w:cs="Arial"/>
        </w:rPr>
        <w:t xml:space="preserve"> </w:t>
      </w:r>
      <w:r w:rsidRPr="003820BB">
        <w:rPr>
          <w:rFonts w:ascii="Arial" w:hAnsi="Arial" w:cs="Arial"/>
        </w:rPr>
        <w:t>seen as an advantage of the use of questionnaires as the learners will have to expand their everyday vocabulary in order to answer the questions.</w:t>
      </w:r>
      <w:r>
        <w:rPr>
          <w:rFonts w:ascii="Arial" w:hAnsi="Arial" w:cs="Arial"/>
        </w:rPr>
        <w:t xml:space="preserve"> This links back however, to the ability of the learner concerned and if they have the knowledge available to extend their answers.</w:t>
      </w:r>
      <w:r w:rsidRPr="003820BB">
        <w:rPr>
          <w:rFonts w:ascii="Arial" w:hAnsi="Arial" w:cs="Arial"/>
        </w:rPr>
        <w:t xml:space="preserve"> </w:t>
      </w:r>
      <w:r w:rsidRPr="001D589C">
        <w:rPr>
          <w:rFonts w:ascii="Arial" w:hAnsi="Arial" w:cs="Arial"/>
        </w:rPr>
        <w:t xml:space="preserve">An example of an open question used within this research study was ‘Why do you think your teacher wants you to assess your work?’. An example of a closed question used was ‘How often do you use Tickled Pink and Green for Growth on your work?’. Please see </w:t>
      </w:r>
      <w:r w:rsidR="00AF0847">
        <w:rPr>
          <w:rFonts w:ascii="Arial" w:hAnsi="Arial" w:cs="Arial"/>
        </w:rPr>
        <w:t>Appendix 3</w:t>
      </w:r>
      <w:r w:rsidRPr="001D589C">
        <w:rPr>
          <w:rFonts w:ascii="Arial" w:hAnsi="Arial" w:cs="Arial"/>
        </w:rPr>
        <w:t xml:space="preserve"> for examples of the questionnaire given. </w:t>
      </w:r>
    </w:p>
    <w:p w14:paraId="1E29744C" w14:textId="77777777" w:rsidR="002C33D2" w:rsidRPr="001D589C" w:rsidRDefault="002C33D2" w:rsidP="002C33D2">
      <w:pPr>
        <w:jc w:val="both"/>
        <w:rPr>
          <w:rFonts w:ascii="Arial" w:hAnsi="Arial" w:cs="Arial"/>
        </w:rPr>
      </w:pPr>
      <w:r w:rsidRPr="001D589C">
        <w:rPr>
          <w:rFonts w:ascii="Arial" w:hAnsi="Arial" w:cs="Arial"/>
        </w:rPr>
        <w:t>Prior to this research being carried out, two questionnaires were composed, one given to the class teacher and a separate questionnaire to a focus group of six learners. The wording of the questionnaires differs for the teacher and the learners; this was done purposefully to ensure the questions were accessible to all. The questionnaires were composed and completed online in order to collect data quickly and efficiently. Due to the school not following their usual timetable for the day, in order to complete the questionnaire, learners from the focus group were individually and consecutively removed from the classroom setting.</w:t>
      </w:r>
      <w:r>
        <w:rPr>
          <w:rFonts w:ascii="Arial" w:hAnsi="Arial" w:cs="Arial"/>
        </w:rPr>
        <w:t xml:space="preserve"> By removing learners from the classroom setting, it was crucial that they felt as comfortable and as informed about the research as possible, </w:t>
      </w:r>
      <w:r w:rsidRPr="00106CC5">
        <w:rPr>
          <w:rFonts w:ascii="Arial" w:hAnsi="Arial" w:cs="Arial"/>
        </w:rPr>
        <w:t xml:space="preserve">BERA (2018a) p.9 notes that “Researchers should do everything they can to ensure that all potential participants understand, as well as </w:t>
      </w:r>
      <w:r w:rsidRPr="00106CC5">
        <w:rPr>
          <w:rFonts w:ascii="Arial" w:hAnsi="Arial" w:cs="Arial"/>
        </w:rPr>
        <w:lastRenderedPageBreak/>
        <w:t xml:space="preserve">they can, what is involved in a study”. </w:t>
      </w:r>
      <w:r>
        <w:rPr>
          <w:rFonts w:ascii="Arial" w:hAnsi="Arial" w:cs="Arial"/>
        </w:rPr>
        <w:t>This ethical guideline was adhered to as soon as the learners left the classroom; they were informed verbally about the intentions of the research as well as why it was being carried out. This opportunity was also used to ensure the participants were aware that they did not have to complete the questionnaire or may begin and withdraw at any moment by verbally asking to do so. The right to withdraw is also discussed further on.</w:t>
      </w:r>
      <w:r w:rsidRPr="00B42F8B">
        <w:rPr>
          <w:rFonts w:ascii="Arial" w:hAnsi="Arial" w:cs="Arial"/>
        </w:rPr>
        <w:t xml:space="preserve"> </w:t>
      </w:r>
      <w:r w:rsidRPr="001D589C">
        <w:rPr>
          <w:rFonts w:ascii="Arial" w:hAnsi="Arial" w:cs="Arial"/>
        </w:rPr>
        <w:t>As mentioned in the introduction of this assignment, the six learners involved in the focus group came from three differing ability groups, the lowest ability learners were able to access the ‘read aloud’ function on the questionnaire as they struggled with reading the questions. Having this function included on an online questionnaire may be seen as an advantage compared to if the questions were printed for the learners</w:t>
      </w:r>
      <w:r>
        <w:rPr>
          <w:rFonts w:ascii="Arial" w:hAnsi="Arial" w:cs="Arial"/>
        </w:rPr>
        <w:t xml:space="preserve"> at it made the questionnaire more accessible.</w:t>
      </w:r>
      <w:r w:rsidRPr="001D589C">
        <w:rPr>
          <w:rFonts w:ascii="Arial" w:hAnsi="Arial" w:cs="Arial"/>
        </w:rPr>
        <w:t xml:space="preserve"> The preference of devising a questionnaire online was chosen due to having prior knowledge of the chosen focus group, staff within the class and accessibility of technology. However, when looking to replicate the research method with a group unknown to the researcher, it may be desirable to have a choice of both online and paper formats. </w:t>
      </w:r>
      <w:r>
        <w:rPr>
          <w:rFonts w:ascii="Arial" w:hAnsi="Arial" w:cs="Arial"/>
        </w:rPr>
        <w:t xml:space="preserve">Having paper copies of the questionnaire may be seen as a limitation due to the cost implementations and time taken to produce the resources. </w:t>
      </w:r>
    </w:p>
    <w:p w14:paraId="375F5875" w14:textId="7E3DA564" w:rsidR="002C33D2" w:rsidRDefault="002C33D2" w:rsidP="002C33D2">
      <w:pPr>
        <w:jc w:val="both"/>
        <w:rPr>
          <w:rFonts w:ascii="Arial" w:hAnsi="Arial" w:cs="Arial"/>
        </w:rPr>
      </w:pPr>
      <w:r w:rsidRPr="001D589C">
        <w:rPr>
          <w:rFonts w:ascii="Arial" w:hAnsi="Arial" w:cs="Arial"/>
        </w:rPr>
        <w:t xml:space="preserve">The second research method used within the study was that of interviews. Interviews allow a researcher to gain qualitative data. They allow learners to expand upon their answers and encourages a researcher to prompt learners by asking why, what, where, when and how in order to gather a deeper understanding of the intended research topic. Similarly, to questionnaires, interviews give the researcher opportunity to ask open questions. In order to attempt to answer the specific research question proposed, a group interview with all six participants initially was conducted. During the group interview, whilst details about the interview were being given and assent gained, one participant withdrew. </w:t>
      </w:r>
      <w:r w:rsidRPr="00106CC5">
        <w:rPr>
          <w:rFonts w:ascii="Arial" w:hAnsi="Arial" w:cs="Arial"/>
        </w:rPr>
        <w:t xml:space="preserve">According to BERA (2018b) p.18, “Researchers should recognise the right of all participants to withdraw from the research for any or no reason, at any time, and participants should be informed of this right”. </w:t>
      </w:r>
      <w:r w:rsidRPr="001D589C">
        <w:rPr>
          <w:rFonts w:ascii="Arial" w:hAnsi="Arial" w:cs="Arial"/>
        </w:rPr>
        <w:t xml:space="preserve">In order for the evidence to be collected and analysed accurately, the interview was audio recorded. An iPad was used and placed in the centre of the circle. </w:t>
      </w:r>
      <w:r>
        <w:rPr>
          <w:rFonts w:ascii="Arial" w:hAnsi="Arial" w:cs="Arial"/>
        </w:rPr>
        <w:t xml:space="preserve">The learners were informed that the interview would be recorded for the purpose of retaining information to be transcribed at a later date. </w:t>
      </w:r>
      <w:r w:rsidRPr="001D589C">
        <w:rPr>
          <w:rFonts w:ascii="Arial" w:hAnsi="Arial" w:cs="Arial"/>
        </w:rPr>
        <w:t xml:space="preserve">The interview itself lasted 9 minutes, a section of the interview has been transcribed and added to the appendix. Please see </w:t>
      </w:r>
      <w:r w:rsidR="00AF0847">
        <w:rPr>
          <w:rFonts w:ascii="Arial" w:hAnsi="Arial" w:cs="Arial"/>
        </w:rPr>
        <w:t>Appendix 4.</w:t>
      </w:r>
      <w:r w:rsidRPr="001D589C">
        <w:rPr>
          <w:rFonts w:ascii="Arial" w:hAnsi="Arial" w:cs="Arial"/>
        </w:rPr>
        <w:t xml:space="preserve"> During the interview, participants were pointed to physically to prompt an answer being given; this was done to ensure anonymity was kept.</w:t>
      </w:r>
      <w:r>
        <w:rPr>
          <w:rFonts w:ascii="Arial" w:hAnsi="Arial" w:cs="Arial"/>
        </w:rPr>
        <w:t xml:space="preserve"> </w:t>
      </w:r>
    </w:p>
    <w:p w14:paraId="5FD159F7" w14:textId="77777777" w:rsidR="002C33D2" w:rsidRPr="00106CC5" w:rsidRDefault="002C33D2" w:rsidP="002C33D2">
      <w:pPr>
        <w:jc w:val="both"/>
        <w:rPr>
          <w:rFonts w:ascii="Arial" w:hAnsi="Arial" w:cs="Arial"/>
        </w:rPr>
      </w:pPr>
      <w:r w:rsidRPr="00106CC5">
        <w:rPr>
          <w:rFonts w:ascii="Arial" w:hAnsi="Arial" w:cs="Arial"/>
        </w:rPr>
        <w:t>“The confidential and anonymous treatment of participants’ data is considered the norm for the conduct of research. Researchers should recognise the entitlement of both institutions and individual participants to privacy and should accord them their rights to confidentiality and anonymity” (BERA, 2018c, p.21).</w:t>
      </w:r>
    </w:p>
    <w:p w14:paraId="7D755449" w14:textId="77777777" w:rsidR="002C33D2" w:rsidRPr="001D589C" w:rsidRDefault="002C33D2" w:rsidP="002C33D2">
      <w:pPr>
        <w:jc w:val="both"/>
        <w:rPr>
          <w:rFonts w:ascii="Arial" w:hAnsi="Arial" w:cs="Arial"/>
        </w:rPr>
      </w:pPr>
    </w:p>
    <w:p w14:paraId="192F6284" w14:textId="77777777" w:rsidR="002C33D2" w:rsidRPr="001D589C" w:rsidRDefault="002C33D2" w:rsidP="002C33D2">
      <w:pPr>
        <w:jc w:val="both"/>
        <w:rPr>
          <w:rFonts w:ascii="Arial" w:hAnsi="Arial" w:cs="Arial"/>
        </w:rPr>
      </w:pPr>
      <w:r w:rsidRPr="001D589C">
        <w:rPr>
          <w:rFonts w:ascii="Arial" w:hAnsi="Arial" w:cs="Arial"/>
        </w:rPr>
        <w:t>Limitations of this chosen research method include that of researcher bias. Due to the familiarity of the research</w:t>
      </w:r>
      <w:r>
        <w:rPr>
          <w:rFonts w:ascii="Arial" w:hAnsi="Arial" w:cs="Arial"/>
        </w:rPr>
        <w:t>er</w:t>
      </w:r>
      <w:r w:rsidRPr="001D589C">
        <w:rPr>
          <w:rFonts w:ascii="Arial" w:hAnsi="Arial" w:cs="Arial"/>
        </w:rPr>
        <w:t xml:space="preserve"> and the participants, it may be argued that the learners answered the questions in a way that could be interpreted as pleasing the researcher. A further limitation of conducting a group interview could be a lack of originality with answers, for example, if a participant simply agrees with a peer, they may not be thinking for themselves and therefore providing fewer valuable data. </w:t>
      </w:r>
    </w:p>
    <w:p w14:paraId="49E32E4E" w14:textId="77777777" w:rsidR="002C33D2" w:rsidRPr="001D589C" w:rsidRDefault="002C33D2" w:rsidP="002C33D2">
      <w:pPr>
        <w:jc w:val="both"/>
        <w:rPr>
          <w:rFonts w:ascii="Arial" w:hAnsi="Arial" w:cs="Arial"/>
        </w:rPr>
      </w:pPr>
      <w:r w:rsidRPr="001D589C">
        <w:rPr>
          <w:rFonts w:ascii="Arial" w:hAnsi="Arial" w:cs="Arial"/>
        </w:rPr>
        <w:t xml:space="preserve">The third research method used within this study was that of observations. Observations allow a researcher to gain both qualitative and quantitative data. Observations can take place either overtly, meaning that the participants are aware of the observation taking place, or covertly, being that the participants in the research are unaware of the observation and the researcher </w:t>
      </w:r>
      <w:r w:rsidRPr="001D589C">
        <w:rPr>
          <w:rFonts w:ascii="Arial" w:hAnsi="Arial" w:cs="Arial"/>
        </w:rPr>
        <w:lastRenderedPageBreak/>
        <w:t>may blend in with the learners to gain information. For the purpose of the research study, an overt observation was conducted whereby the children were informed prior to the session beginning that they were going to be observed and the reason for this observation. The learners then had the opportunity to withdraw by raising their hand. The learners as a collective class were all under the impression that they were being observed rather than the chosen six within the focus group. This was decided beforehand in order to attempt to minimise observer bias as was a consideration within the interviews.</w:t>
      </w:r>
    </w:p>
    <w:p w14:paraId="2B7443B3" w14:textId="6B0787F8" w:rsidR="002C33D2" w:rsidRDefault="002C33D2" w:rsidP="002C33D2">
      <w:pPr>
        <w:jc w:val="both"/>
        <w:rPr>
          <w:rFonts w:ascii="Arial" w:hAnsi="Arial" w:cs="Arial"/>
        </w:rPr>
      </w:pPr>
      <w:r w:rsidRPr="001D589C">
        <w:rPr>
          <w:rFonts w:ascii="Arial" w:hAnsi="Arial" w:cs="Arial"/>
        </w:rPr>
        <w:t xml:space="preserve">The observation was conducted over a one-hour period, despite the focus of the research only being observed for five minutes. The choice to observe the entirety of the session was made so the researcher was able to gain insight into the context of the lesson along with any expectations that were made clear about the process of self-assessment during the plenary. Evidence from the observation was collected in typed note form along with pictorial evidence once the self-assessment had been completed. The data that was gathered by using this particular research method was limited due to the class teacher using a different method of self-assessment than the one agreed upon prior to the research taking place. A further limitation of the observational research method included that of the inability to record and be aware of everything going on the room. In order to attempt to counteract this happening, an observation schedule was constructed (see </w:t>
      </w:r>
      <w:r w:rsidR="00AF0847">
        <w:rPr>
          <w:rFonts w:ascii="Arial" w:hAnsi="Arial" w:cs="Arial"/>
        </w:rPr>
        <w:t>Appendix 5)</w:t>
      </w:r>
      <w:r w:rsidRPr="001D589C">
        <w:rPr>
          <w:rFonts w:ascii="Arial" w:hAnsi="Arial" w:cs="Arial"/>
        </w:rPr>
        <w:t>, allowing the researcher to have a clear focus on what would be the most beneficial evidence to collect in order to pursue answering the research question.</w:t>
      </w:r>
    </w:p>
    <w:p w14:paraId="2655E9F1" w14:textId="77777777" w:rsidR="002C33D2" w:rsidRDefault="002C33D2" w:rsidP="002C33D2">
      <w:pPr>
        <w:jc w:val="both"/>
        <w:rPr>
          <w:rFonts w:ascii="Arial" w:hAnsi="Arial" w:cs="Arial"/>
        </w:rPr>
      </w:pPr>
    </w:p>
    <w:p w14:paraId="48FC9A11" w14:textId="77777777" w:rsidR="002C33D2" w:rsidRDefault="002C33D2" w:rsidP="002C33D2">
      <w:pPr>
        <w:jc w:val="both"/>
        <w:rPr>
          <w:rFonts w:ascii="Arial" w:hAnsi="Arial" w:cs="Arial"/>
        </w:rPr>
      </w:pPr>
      <w:r>
        <w:rPr>
          <w:rFonts w:ascii="Arial" w:hAnsi="Arial" w:cs="Arial"/>
        </w:rPr>
        <w:t xml:space="preserve">This section of the assignment will analyse and explain the findings from the triangulation of research methods used and whether or not the findings correlated at all between each method. </w:t>
      </w:r>
    </w:p>
    <w:p w14:paraId="1DAF5E03" w14:textId="77777777" w:rsidR="002C33D2" w:rsidRDefault="002C33D2" w:rsidP="002C33D2">
      <w:pPr>
        <w:jc w:val="both"/>
        <w:rPr>
          <w:rFonts w:ascii="Arial" w:hAnsi="Arial" w:cs="Arial"/>
        </w:rPr>
      </w:pPr>
      <w:r>
        <w:rPr>
          <w:rFonts w:ascii="Arial" w:hAnsi="Arial" w:cs="Arial"/>
        </w:rPr>
        <w:t xml:space="preserve">Beginning with the findings from the questionnaires, all six learners from the focus group gave varied answers. Unfortunately, the class teacher did not complete the questionnaire given so therefore there are no findings to analyse. With a range of both open and closed questions asked, qualitative and quantitative data was gathered. Focussing on the quantitative data initially, it was possible to see that five out of the six learners occasionally revisit their self-assessment comments to see if they have implemented what was written and if progress has taken place. When the respondents were asked to give ‘Tickled Pink and Green for Growth’ a star rating between one and five, one being not helpful at all and five being extremely helpful, the results gave an average of three point three three stars (3.33). </w:t>
      </w:r>
    </w:p>
    <w:p w14:paraId="6BB658C7" w14:textId="77777777" w:rsidR="002C33D2" w:rsidRDefault="002C33D2" w:rsidP="002C33D2">
      <w:pPr>
        <w:jc w:val="both"/>
        <w:rPr>
          <w:rFonts w:ascii="Arial" w:hAnsi="Arial" w:cs="Arial"/>
        </w:rPr>
      </w:pPr>
    </w:p>
    <w:p w14:paraId="4D78B344" w14:textId="77777777" w:rsidR="002C33D2" w:rsidRDefault="002C33D2" w:rsidP="002C33D2">
      <w:pPr>
        <w:jc w:val="both"/>
        <w:rPr>
          <w:rFonts w:ascii="Arial" w:hAnsi="Arial" w:cs="Arial"/>
        </w:rPr>
      </w:pPr>
      <w:r w:rsidRPr="00303825">
        <w:rPr>
          <w:noProof/>
        </w:rPr>
        <w:drawing>
          <wp:inline distT="0" distB="0" distL="0" distR="0" wp14:anchorId="691133EE" wp14:editId="5402163D">
            <wp:extent cx="5695950" cy="1898650"/>
            <wp:effectExtent l="0" t="0" r="0" b="6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21646" t="33089" r="21456" b="33180"/>
                    <a:stretch/>
                  </pic:blipFill>
                  <pic:spPr bwMode="auto">
                    <a:xfrm>
                      <a:off x="0" y="0"/>
                      <a:ext cx="5703888" cy="1901296"/>
                    </a:xfrm>
                    <a:prstGeom prst="rect">
                      <a:avLst/>
                    </a:prstGeom>
                    <a:ln>
                      <a:noFill/>
                    </a:ln>
                    <a:extLst>
                      <a:ext uri="{53640926-AAD7-44D8-BBD7-CCE9431645EC}">
                        <a14:shadowObscured xmlns:a14="http://schemas.microsoft.com/office/drawing/2010/main"/>
                      </a:ext>
                    </a:extLst>
                  </pic:spPr>
                </pic:pic>
              </a:graphicData>
            </a:graphic>
          </wp:inline>
        </w:drawing>
      </w:r>
    </w:p>
    <w:p w14:paraId="2A8223FA" w14:textId="77777777" w:rsidR="002C33D2" w:rsidRDefault="002C33D2" w:rsidP="002C33D2">
      <w:pPr>
        <w:jc w:val="both"/>
        <w:rPr>
          <w:rFonts w:ascii="Arial" w:hAnsi="Arial" w:cs="Arial"/>
        </w:rPr>
      </w:pPr>
      <w:r>
        <w:rPr>
          <w:rFonts w:ascii="Arial" w:hAnsi="Arial" w:cs="Arial"/>
        </w:rPr>
        <w:t xml:space="preserve">As discussed in the methodology section of this assignment, a choice was made to focus the questions on the self-assessment strategy ‘Tickled Pink and Green for Growth’ as this was the most occurring form of assessment witnessed in PTE2. However, a question asking if the </w:t>
      </w:r>
      <w:r>
        <w:rPr>
          <w:rFonts w:ascii="Arial" w:hAnsi="Arial" w:cs="Arial"/>
        </w:rPr>
        <w:lastRenderedPageBreak/>
        <w:t xml:space="preserve">learners were ever asked to complete any other form of evaluating their work was included to gather information about the consistency of methods within the classroom setting. As the above pie chart shows, five out of the six learners responded in a way that indicates that they use differing methods of self-assessment. This could be argued that on one hand, variety is important, and learners need to gain the ability to assess in different ways as not all completed work requires the same practice. On the other hand, linking back to the work of Goodrich (1996) and that of Sadler (1989) and the vital role of modelling and consistency from the practitioner, it may possibly be seen that it would be more beneficial for learners to firmly understand a particular method in order to assess critically and accurately. </w:t>
      </w:r>
    </w:p>
    <w:p w14:paraId="5DAAF35A" w14:textId="77777777" w:rsidR="002C33D2" w:rsidRDefault="002C33D2" w:rsidP="002C33D2">
      <w:pPr>
        <w:jc w:val="both"/>
        <w:rPr>
          <w:rFonts w:ascii="Arial" w:hAnsi="Arial" w:cs="Arial"/>
        </w:rPr>
      </w:pPr>
      <w:r>
        <w:rPr>
          <w:rFonts w:ascii="Arial" w:hAnsi="Arial" w:cs="Arial"/>
        </w:rPr>
        <w:t xml:space="preserve">From analysing the qualitative responses to the questionnaire, it can be seen that when learners were asked why they believe their teacher wants them to assess their work, only half, so three out of the six responses, appeared to understand why the teacher requires self-assessment on their work. Please see table below. </w:t>
      </w:r>
    </w:p>
    <w:p w14:paraId="0246B31E" w14:textId="77777777" w:rsidR="002C33D2" w:rsidRDefault="002C33D2" w:rsidP="002C33D2">
      <w:pPr>
        <w:jc w:val="both"/>
        <w:rPr>
          <w:rFonts w:ascii="Arial" w:hAnsi="Arial" w:cs="Arial"/>
        </w:rPr>
      </w:pPr>
      <w:r w:rsidRPr="00A72D7F">
        <w:rPr>
          <w:noProof/>
        </w:rPr>
        <w:drawing>
          <wp:inline distT="0" distB="0" distL="0" distR="0" wp14:anchorId="6F1C07C3" wp14:editId="2162A95F">
            <wp:extent cx="5791200" cy="2997798"/>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21106" t="17439" r="22391" b="30542"/>
                    <a:stretch/>
                  </pic:blipFill>
                  <pic:spPr bwMode="auto">
                    <a:xfrm>
                      <a:off x="0" y="0"/>
                      <a:ext cx="5823547" cy="3014542"/>
                    </a:xfrm>
                    <a:prstGeom prst="rect">
                      <a:avLst/>
                    </a:prstGeom>
                    <a:ln>
                      <a:noFill/>
                    </a:ln>
                    <a:extLst>
                      <a:ext uri="{53640926-AAD7-44D8-BBD7-CCE9431645EC}">
                        <a14:shadowObscured xmlns:a14="http://schemas.microsoft.com/office/drawing/2010/main"/>
                      </a:ext>
                    </a:extLst>
                  </pic:spPr>
                </pic:pic>
              </a:graphicData>
            </a:graphic>
          </wp:inline>
        </w:drawing>
      </w:r>
    </w:p>
    <w:p w14:paraId="6D523D31" w14:textId="77777777" w:rsidR="002C33D2" w:rsidRDefault="002C33D2" w:rsidP="002C33D2">
      <w:pPr>
        <w:jc w:val="both"/>
        <w:rPr>
          <w:rFonts w:ascii="Arial" w:hAnsi="Arial" w:cs="Arial"/>
        </w:rPr>
      </w:pPr>
    </w:p>
    <w:p w14:paraId="070282F5" w14:textId="77777777" w:rsidR="002C33D2" w:rsidRDefault="002C33D2" w:rsidP="002C33D2">
      <w:pPr>
        <w:jc w:val="both"/>
        <w:rPr>
          <w:rFonts w:ascii="Arial" w:hAnsi="Arial" w:cs="Arial"/>
        </w:rPr>
      </w:pPr>
      <w:r>
        <w:rPr>
          <w:rFonts w:ascii="Arial" w:hAnsi="Arial" w:cs="Arial"/>
        </w:rPr>
        <w:t xml:space="preserve">When asked if they would like to give any other opinions about ‘Tickled Pink and Green for Growth’, one learner gave the suggestion of using their ‘rough book’ to practice their wish. Linking this comment to the research question and the aims of the study, this response may be interpreted as comments made during the self-assessment process may not be followed up and improved upon despite the learners saying they revisited their books to track progress. Therefore, the validity of the learners’ answers could be argued. </w:t>
      </w:r>
    </w:p>
    <w:p w14:paraId="0666A8AE" w14:textId="77777777" w:rsidR="002C33D2" w:rsidRDefault="002C33D2" w:rsidP="002C33D2">
      <w:pPr>
        <w:jc w:val="both"/>
        <w:rPr>
          <w:rFonts w:ascii="Arial" w:hAnsi="Arial" w:cs="Arial"/>
        </w:rPr>
      </w:pPr>
      <w:r>
        <w:rPr>
          <w:rFonts w:ascii="Arial" w:hAnsi="Arial" w:cs="Arial"/>
        </w:rPr>
        <w:t xml:space="preserve">The group interview provided rich qualitative data; the learners were able to expand upon answers they had initially given to questions. The findings of the interview included the solidification of the use of ‘Tickled Pink and Green for Growth’ within the class after a piece of work was completed. The respondents were able to explain what the expectations of the particular method of self-assessment. During the interview, all five learners that participated agreed that ‘Tickled Pink and Green for Growth’ is a beneficial way of reflecting upon their work. This could however be a result of researcher bias or peer influence. When asked if the learners genuinely think about their responses to the evaluation of their own work, one learner responded with “I think for myself because my work isn’t the same as anyone else’s”. This shows the importance of knowing how to successfully assess a piece of work independently, </w:t>
      </w:r>
      <w:r>
        <w:rPr>
          <w:rFonts w:ascii="Arial" w:hAnsi="Arial" w:cs="Arial"/>
        </w:rPr>
        <w:lastRenderedPageBreak/>
        <w:t xml:space="preserve">reiterating Goodrich’s (1996) study and the importance of a practitioner modelling expectations to a level whereby all participants understand and have the ability to assess their work. </w:t>
      </w:r>
    </w:p>
    <w:p w14:paraId="2B61CD1D" w14:textId="6D540DD7" w:rsidR="002C33D2" w:rsidRDefault="002C33D2" w:rsidP="002C33D2">
      <w:pPr>
        <w:jc w:val="both"/>
        <w:rPr>
          <w:rFonts w:ascii="Arial" w:hAnsi="Arial" w:cs="Arial"/>
        </w:rPr>
      </w:pPr>
      <w:r>
        <w:rPr>
          <w:rFonts w:ascii="Arial" w:hAnsi="Arial" w:cs="Arial"/>
        </w:rPr>
        <w:t xml:space="preserve">As mentioned previously within this assignment, the observation took place over the duration of one hour where the learners were tasting Welsh foods. Due to this not being the usual nature of lessons, from what was observed during PTE2, it made an overt observation difficult as the learners were not completing any formal written work. As evident on the observation schedule, when arriving in the classroom, the expectations for ‘Tickled Pink and Green for Growth’ were displayed on the board throughout the lesson. Despite ‘Tickled Pink and Green for Growth’ not being used within the lesson, data was able to be collected in the form of photographic evidence of the learner’s comments. See </w:t>
      </w:r>
      <w:r w:rsidR="00F82071">
        <w:rPr>
          <w:rFonts w:ascii="Arial" w:hAnsi="Arial" w:cs="Arial"/>
        </w:rPr>
        <w:t>A</w:t>
      </w:r>
      <w:r>
        <w:rPr>
          <w:rFonts w:ascii="Arial" w:hAnsi="Arial" w:cs="Arial"/>
        </w:rPr>
        <w:t>ppendix</w:t>
      </w:r>
      <w:r w:rsidR="00F82071">
        <w:rPr>
          <w:rFonts w:ascii="Arial" w:hAnsi="Arial" w:cs="Arial"/>
        </w:rPr>
        <w:t xml:space="preserve"> 6</w:t>
      </w:r>
      <w:r>
        <w:rPr>
          <w:rFonts w:ascii="Arial" w:hAnsi="Arial" w:cs="Arial"/>
        </w:rPr>
        <w:t xml:space="preserve">. From reading these comments it was abundant to see that what the focus group had written did not correlate with the answers given during the interview and questionnaire. This was valuable as the possibility of researcher bias was made more evident. </w:t>
      </w:r>
    </w:p>
    <w:p w14:paraId="6206AA53" w14:textId="0D85363C" w:rsidR="002C33D2" w:rsidRDefault="002C33D2" w:rsidP="002C33D2">
      <w:pPr>
        <w:jc w:val="both"/>
        <w:rPr>
          <w:rFonts w:ascii="Arial" w:hAnsi="Arial" w:cs="Arial"/>
        </w:rPr>
      </w:pPr>
      <w:r>
        <w:rPr>
          <w:rFonts w:ascii="Arial" w:hAnsi="Arial" w:cs="Arial"/>
        </w:rPr>
        <w:t xml:space="preserve">In conclusion, despite a definitive answer to the research question not found, it was clear to see that the aims of the study were witnessed. An example of this and a summary of findings could be the learners, although confessing to have the knowledge on critical, worthwhile self-assessment, during the observation, it appeared that actually the knowledge may not be as solid as they admitted to. As a result of the triangulation of research methods being carried out first-hand, development within personal profession progress will be reviewed. This review may include the gathering of sufficient knowledge and understanding of the assessment process in order to become the model the learners clearly require. It could also be possible to ensure that work and self-assessment comments are written and read regularly and revisited as part of development. Taking the idea from one of the participants, allowing the future learners to have a book devoted to personal progress and allowing them to practice the aim they have given themselves can only be a positive thing. </w:t>
      </w:r>
    </w:p>
    <w:p w14:paraId="4A7E453B" w14:textId="6932D36E" w:rsidR="0008761E" w:rsidRDefault="0008761E" w:rsidP="002C33D2">
      <w:pPr>
        <w:jc w:val="both"/>
        <w:rPr>
          <w:rFonts w:ascii="Arial" w:hAnsi="Arial" w:cs="Arial"/>
        </w:rPr>
      </w:pPr>
    </w:p>
    <w:p w14:paraId="14EFDDA7" w14:textId="77777777" w:rsidR="0008761E" w:rsidRPr="0008761E" w:rsidRDefault="0008761E" w:rsidP="0008761E">
      <w:pPr>
        <w:jc w:val="both"/>
        <w:rPr>
          <w:rFonts w:ascii="Arial" w:hAnsi="Arial" w:cs="Arial"/>
        </w:rPr>
      </w:pPr>
    </w:p>
    <w:p w14:paraId="51170385" w14:textId="77777777" w:rsidR="0008761E" w:rsidRPr="0008761E" w:rsidRDefault="0008761E" w:rsidP="0008761E">
      <w:pPr>
        <w:jc w:val="both"/>
        <w:rPr>
          <w:rFonts w:ascii="Arial" w:hAnsi="Arial" w:cs="Arial"/>
          <w:b/>
          <w:bCs/>
          <w:u w:val="single"/>
        </w:rPr>
      </w:pPr>
      <w:r w:rsidRPr="0008761E">
        <w:rPr>
          <w:rFonts w:ascii="Arial" w:hAnsi="Arial" w:cs="Arial"/>
          <w:b/>
          <w:bCs/>
          <w:u w:val="single"/>
        </w:rPr>
        <w:t xml:space="preserve">Reference List: </w:t>
      </w:r>
    </w:p>
    <w:p w14:paraId="7AEED377" w14:textId="77777777" w:rsidR="0008761E" w:rsidRPr="0008761E" w:rsidRDefault="0008761E" w:rsidP="0008761E">
      <w:pPr>
        <w:jc w:val="both"/>
        <w:rPr>
          <w:rFonts w:ascii="Arial" w:hAnsi="Arial" w:cs="Arial"/>
        </w:rPr>
      </w:pPr>
    </w:p>
    <w:p w14:paraId="37336761" w14:textId="77777777" w:rsidR="0008761E" w:rsidRPr="0008761E" w:rsidRDefault="0008761E" w:rsidP="0008761E">
      <w:pPr>
        <w:jc w:val="both"/>
        <w:rPr>
          <w:rFonts w:ascii="Arial" w:hAnsi="Arial" w:cs="Arial"/>
        </w:rPr>
      </w:pPr>
      <w:r w:rsidRPr="0008761E">
        <w:rPr>
          <w:rFonts w:ascii="Arial" w:hAnsi="Arial" w:cs="Arial"/>
        </w:rPr>
        <w:t>Andrade, H. and Boulay, B. (2003) ‘Gender and the role of rubric-referenced self-assessment in learning to write’. Journal of Educational Research, (97) pp. 21–34. Available at: https://www.tandfonline.com/doi/full/10.1080/00405840802577544 (Accessed: 11 March 2020)</w:t>
      </w:r>
    </w:p>
    <w:p w14:paraId="4A11C47C" w14:textId="77777777" w:rsidR="0008761E" w:rsidRPr="0008761E" w:rsidRDefault="0008761E" w:rsidP="0008761E">
      <w:pPr>
        <w:jc w:val="both"/>
        <w:rPr>
          <w:rFonts w:ascii="Arial" w:hAnsi="Arial" w:cs="Arial"/>
        </w:rPr>
      </w:pPr>
      <w:r w:rsidRPr="0008761E">
        <w:rPr>
          <w:rFonts w:ascii="Arial" w:hAnsi="Arial" w:cs="Arial"/>
        </w:rPr>
        <w:t xml:space="preserve">Black, P. et al (2003) Assessment for Learning: Putting it into practice. Open University Press: Berkshire. </w:t>
      </w:r>
    </w:p>
    <w:p w14:paraId="26ABB77E" w14:textId="77777777" w:rsidR="0008761E" w:rsidRPr="0008761E" w:rsidRDefault="0008761E" w:rsidP="0008761E">
      <w:pPr>
        <w:jc w:val="both"/>
        <w:rPr>
          <w:rFonts w:ascii="Arial" w:hAnsi="Arial" w:cs="Arial"/>
        </w:rPr>
      </w:pPr>
      <w:r w:rsidRPr="0008761E">
        <w:rPr>
          <w:rFonts w:ascii="Arial" w:hAnsi="Arial" w:cs="Arial"/>
        </w:rPr>
        <w:t>British Council, (No Date Given) Teaching English: Professional Development. Available at: https://www.teachingenglish.org.uk/article/open-questions (Accessed: 11 March 2020)</w:t>
      </w:r>
    </w:p>
    <w:p w14:paraId="24AB2C93" w14:textId="77777777" w:rsidR="0008761E" w:rsidRPr="0008761E" w:rsidRDefault="0008761E" w:rsidP="0008761E">
      <w:pPr>
        <w:jc w:val="both"/>
        <w:rPr>
          <w:rFonts w:ascii="Arial" w:hAnsi="Arial" w:cs="Arial"/>
        </w:rPr>
      </w:pPr>
      <w:r w:rsidRPr="0008761E">
        <w:rPr>
          <w:rFonts w:ascii="Arial" w:hAnsi="Arial" w:cs="Arial"/>
        </w:rPr>
        <w:t xml:space="preserve">British Educational Research Association [BERA] (2018a) Ethical Guidelines for Educational Research. 4th ed. London. https://www.bera.ac.uk/researchers-resources/publications/ethical-guidelines-for-educational-research-2018 </w:t>
      </w:r>
    </w:p>
    <w:p w14:paraId="55D9C809" w14:textId="77777777" w:rsidR="0008761E" w:rsidRPr="0008761E" w:rsidRDefault="0008761E" w:rsidP="0008761E">
      <w:pPr>
        <w:jc w:val="both"/>
        <w:rPr>
          <w:rFonts w:ascii="Arial" w:hAnsi="Arial" w:cs="Arial"/>
        </w:rPr>
      </w:pPr>
      <w:r w:rsidRPr="0008761E">
        <w:rPr>
          <w:rFonts w:ascii="Arial" w:hAnsi="Arial" w:cs="Arial"/>
        </w:rPr>
        <w:t>British Educational Research Association [BERA] (2018b) Ethical Guidelines for Educational Research. 4th ed. London. https://www.bera.ac.uk/researchers-resources/publications/ethical-guidelines-for-educational-research-2018</w:t>
      </w:r>
    </w:p>
    <w:p w14:paraId="1EDBE9CC" w14:textId="77777777" w:rsidR="0008761E" w:rsidRPr="0008761E" w:rsidRDefault="0008761E" w:rsidP="0008761E">
      <w:pPr>
        <w:jc w:val="both"/>
        <w:rPr>
          <w:rFonts w:ascii="Arial" w:hAnsi="Arial" w:cs="Arial"/>
        </w:rPr>
      </w:pPr>
      <w:r w:rsidRPr="0008761E">
        <w:rPr>
          <w:rFonts w:ascii="Arial" w:hAnsi="Arial" w:cs="Arial"/>
        </w:rPr>
        <w:lastRenderedPageBreak/>
        <w:t>British Educational Research Association [BERA] (2018c) Ethical Guidelines for Educational Research. 4th ed. London. https://www.bera.ac.uk/researchers-resources/publications/ethical-guidelines-for-educational-research-2018</w:t>
      </w:r>
    </w:p>
    <w:p w14:paraId="75A4F97E" w14:textId="77777777" w:rsidR="0008761E" w:rsidRPr="0008761E" w:rsidRDefault="0008761E" w:rsidP="0008761E">
      <w:pPr>
        <w:jc w:val="both"/>
        <w:rPr>
          <w:rFonts w:ascii="Arial" w:hAnsi="Arial" w:cs="Arial"/>
        </w:rPr>
      </w:pPr>
      <w:r w:rsidRPr="0008761E">
        <w:rPr>
          <w:rFonts w:ascii="Arial" w:hAnsi="Arial" w:cs="Arial"/>
        </w:rPr>
        <w:t>Cambridge Dictionary (2020) https://dictionary.cambridge.org/dictionary/english/self-assessment  (Accessed: 11 March 2020)</w:t>
      </w:r>
    </w:p>
    <w:p w14:paraId="5504546D" w14:textId="77777777" w:rsidR="0008761E" w:rsidRPr="0008761E" w:rsidRDefault="0008761E" w:rsidP="0008761E">
      <w:pPr>
        <w:jc w:val="both"/>
        <w:rPr>
          <w:rFonts w:ascii="Arial" w:hAnsi="Arial" w:cs="Arial"/>
        </w:rPr>
      </w:pPr>
      <w:r w:rsidRPr="0008761E">
        <w:rPr>
          <w:rFonts w:ascii="Arial" w:hAnsi="Arial" w:cs="Arial"/>
        </w:rPr>
        <w:t xml:space="preserve">Goodrich, H. (1996) Student self-assessment: At the intersection of metacognition and authentic assessment. Unpublished doctoral dissertation, Harvard University, Cambridge. </w:t>
      </w:r>
    </w:p>
    <w:p w14:paraId="2227CAF7" w14:textId="77777777" w:rsidR="0008761E" w:rsidRPr="0008761E" w:rsidRDefault="0008761E" w:rsidP="0008761E">
      <w:pPr>
        <w:jc w:val="both"/>
        <w:rPr>
          <w:rFonts w:ascii="Arial" w:hAnsi="Arial" w:cs="Arial"/>
        </w:rPr>
      </w:pPr>
      <w:r w:rsidRPr="0008761E">
        <w:rPr>
          <w:rFonts w:ascii="Arial" w:hAnsi="Arial" w:cs="Arial"/>
        </w:rPr>
        <w:t>Jones, C. (2005) Assessment for Learning. Vocational Support Programme. Available at: https://dera.ioe.ac.uk/7800/1/AssessmentforLearning.pdf (Accessed: 11 March 2020)</w:t>
      </w:r>
    </w:p>
    <w:p w14:paraId="6BA238C0" w14:textId="77777777" w:rsidR="0008761E" w:rsidRPr="0008761E" w:rsidRDefault="0008761E" w:rsidP="0008761E">
      <w:pPr>
        <w:jc w:val="both"/>
        <w:rPr>
          <w:rFonts w:ascii="Arial" w:hAnsi="Arial" w:cs="Arial"/>
        </w:rPr>
      </w:pPr>
      <w:r w:rsidRPr="0008761E">
        <w:rPr>
          <w:rFonts w:ascii="Arial" w:hAnsi="Arial" w:cs="Arial"/>
        </w:rPr>
        <w:t>University of Reading (No Date Given) Engage in Assessment: Peer and Self-Assessment. Available at: https://www.reading.ac.uk/engageinassessment/peer-and-self-assessment/eia-peer-and-self-assessment-main.aspx (Accessed: 11 March 2020)</w:t>
      </w:r>
    </w:p>
    <w:p w14:paraId="5DE60B7C" w14:textId="4968017B" w:rsidR="0008761E" w:rsidRDefault="0008761E" w:rsidP="0008761E">
      <w:pPr>
        <w:jc w:val="both"/>
        <w:rPr>
          <w:rFonts w:ascii="Arial" w:hAnsi="Arial" w:cs="Arial"/>
        </w:rPr>
      </w:pPr>
      <w:r w:rsidRPr="0008761E">
        <w:rPr>
          <w:rFonts w:ascii="Arial" w:hAnsi="Arial" w:cs="Arial"/>
        </w:rPr>
        <w:t>Welsh Government (2020) Curriculum for Wales 2022. Available at: https://hwb.gov.wales/curriculum-for-wales/supporting-learner-progression-assessment-guidance/  (Accessed: 11 March 2020).</w:t>
      </w:r>
    </w:p>
    <w:p w14:paraId="34C1155C" w14:textId="77777777" w:rsidR="002C33D2" w:rsidRDefault="002C33D2" w:rsidP="002C33D2">
      <w:pPr>
        <w:jc w:val="both"/>
        <w:rPr>
          <w:rFonts w:ascii="Arial" w:hAnsi="Arial" w:cs="Arial"/>
        </w:rPr>
      </w:pPr>
    </w:p>
    <w:p w14:paraId="6E5D30C7" w14:textId="77777777" w:rsidR="002C33D2" w:rsidRDefault="002C33D2" w:rsidP="002C33D2">
      <w:pPr>
        <w:jc w:val="both"/>
        <w:rPr>
          <w:rFonts w:ascii="Arial" w:hAnsi="Arial" w:cs="Arial"/>
        </w:rPr>
      </w:pPr>
    </w:p>
    <w:p w14:paraId="082531A4" w14:textId="77777777" w:rsidR="002C33D2" w:rsidRDefault="002C33D2" w:rsidP="002C33D2">
      <w:pPr>
        <w:jc w:val="both"/>
        <w:rPr>
          <w:rFonts w:ascii="Arial" w:hAnsi="Arial" w:cs="Arial"/>
        </w:rPr>
      </w:pPr>
    </w:p>
    <w:p w14:paraId="15EE110F" w14:textId="77777777" w:rsidR="002C33D2" w:rsidRPr="00E502E9" w:rsidRDefault="002C33D2" w:rsidP="002C33D2">
      <w:pPr>
        <w:jc w:val="both"/>
        <w:rPr>
          <w:rFonts w:ascii="Arial" w:hAnsi="Arial" w:cs="Arial"/>
        </w:rPr>
      </w:pPr>
    </w:p>
    <w:p w14:paraId="240D228F" w14:textId="77777777" w:rsidR="002C33D2" w:rsidRPr="00E611D9" w:rsidRDefault="002C33D2" w:rsidP="002C33D2">
      <w:pPr>
        <w:pStyle w:val="AssignBody"/>
        <w:jc w:val="both"/>
      </w:pPr>
    </w:p>
    <w:sectPr w:rsidR="002C33D2" w:rsidRPr="00E611D9">
      <w:headerReference w:type="default" r:id="rId11"/>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291B575" w14:textId="77777777" w:rsidR="005A4FDC" w:rsidRDefault="005A4FDC" w:rsidP="00E611D9">
      <w:pPr>
        <w:spacing w:after="0" w:line="240" w:lineRule="auto"/>
      </w:pPr>
      <w:r>
        <w:separator/>
      </w:r>
    </w:p>
  </w:endnote>
  <w:endnote w:type="continuationSeparator" w:id="0">
    <w:p w14:paraId="37CF0EA0" w14:textId="77777777" w:rsidR="005A4FDC" w:rsidRDefault="005A4FDC" w:rsidP="00E611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531959A" w14:textId="2BE0144A" w:rsidR="00E611D9" w:rsidRDefault="00E611D9">
    <w:pPr>
      <w:pStyle w:val="Footer"/>
      <w:jc w:val="center"/>
    </w:pPr>
    <w:r>
      <w:t xml:space="preserve">Page </w:t>
    </w:r>
    <w:sdt>
      <w:sdtPr>
        <w:id w:val="-2047361867"/>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sidR="004F11A8">
          <w:rPr>
            <w:noProof/>
          </w:rPr>
          <w:t>1</w:t>
        </w:r>
        <w:r>
          <w:rPr>
            <w:noProof/>
          </w:rPr>
          <w:fldChar w:fldCharType="end"/>
        </w:r>
      </w:sdtContent>
    </w:sdt>
  </w:p>
  <w:p w14:paraId="00F27DC1" w14:textId="77777777" w:rsidR="00E611D9" w:rsidRDefault="00E611D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12E8CE3" w14:textId="77777777" w:rsidR="005A4FDC" w:rsidRDefault="005A4FDC" w:rsidP="00E611D9">
      <w:pPr>
        <w:spacing w:after="0" w:line="240" w:lineRule="auto"/>
      </w:pPr>
      <w:r>
        <w:separator/>
      </w:r>
    </w:p>
  </w:footnote>
  <w:footnote w:type="continuationSeparator" w:id="0">
    <w:p w14:paraId="2B1E4080" w14:textId="77777777" w:rsidR="005A4FDC" w:rsidRDefault="005A4FDC" w:rsidP="00E611D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E611D9" w:rsidRPr="00E611D9" w14:paraId="746C0110" w14:textId="77777777" w:rsidTr="00E611D9">
      <w:tc>
        <w:tcPr>
          <w:tcW w:w="4508" w:type="dxa"/>
        </w:tcPr>
        <w:p w14:paraId="739FBAFA" w14:textId="7166AD2B" w:rsidR="00E611D9" w:rsidRPr="00E611D9" w:rsidRDefault="00E611D9">
          <w:pPr>
            <w:pStyle w:val="Header"/>
            <w:rPr>
              <w:rFonts w:ascii="Arial" w:hAnsi="Arial" w:cs="Arial"/>
            </w:rPr>
          </w:pPr>
          <w:r w:rsidRPr="00E611D9">
            <w:rPr>
              <w:rFonts w:ascii="Arial" w:hAnsi="Arial" w:cs="Arial"/>
            </w:rPr>
            <w:t>E</w:t>
          </w:r>
          <w:r>
            <w:rPr>
              <w:rFonts w:ascii="Arial" w:hAnsi="Arial" w:cs="Arial"/>
            </w:rPr>
            <w:t>CAD</w:t>
          </w:r>
          <w:r w:rsidR="00E33B7B">
            <w:rPr>
              <w:rFonts w:ascii="Arial" w:hAnsi="Arial" w:cs="Arial"/>
            </w:rPr>
            <w:t>5010</w:t>
          </w:r>
        </w:p>
      </w:tc>
      <w:tc>
        <w:tcPr>
          <w:tcW w:w="4508" w:type="dxa"/>
        </w:tcPr>
        <w:p w14:paraId="51D506A0" w14:textId="03546A43" w:rsidR="00E611D9" w:rsidRPr="00E611D9" w:rsidRDefault="00E611D9" w:rsidP="00E611D9">
          <w:pPr>
            <w:pStyle w:val="Header"/>
            <w:jc w:val="right"/>
            <w:rPr>
              <w:rFonts w:ascii="Arial" w:hAnsi="Arial" w:cs="Arial"/>
            </w:rPr>
          </w:pPr>
          <w:r>
            <w:rPr>
              <w:rFonts w:ascii="Arial" w:hAnsi="Arial" w:cs="Arial"/>
            </w:rPr>
            <w:t xml:space="preserve"> Rhif Myfyriwr / Student Number:</w:t>
          </w:r>
          <w:r w:rsidR="00E33B7B">
            <w:rPr>
              <w:rFonts w:ascii="Arial" w:hAnsi="Arial" w:cs="Arial"/>
            </w:rPr>
            <w:t xml:space="preserve"> 1801583</w:t>
          </w:r>
          <w:r>
            <w:rPr>
              <w:rFonts w:ascii="Arial" w:hAnsi="Arial" w:cs="Arial"/>
            </w:rPr>
            <w:t xml:space="preserve"> </w:t>
          </w:r>
        </w:p>
      </w:tc>
    </w:tr>
  </w:tbl>
  <w:p w14:paraId="31028CA5" w14:textId="60CD5227" w:rsidR="00E611D9" w:rsidRDefault="00E611D9">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5"/>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D1240"/>
    <w:rsid w:val="00000639"/>
    <w:rsid w:val="0008761E"/>
    <w:rsid w:val="0009500E"/>
    <w:rsid w:val="002229F0"/>
    <w:rsid w:val="002C33D2"/>
    <w:rsid w:val="003A17CF"/>
    <w:rsid w:val="00432697"/>
    <w:rsid w:val="004F11A8"/>
    <w:rsid w:val="00542E1B"/>
    <w:rsid w:val="005A4FDC"/>
    <w:rsid w:val="00632402"/>
    <w:rsid w:val="006419C3"/>
    <w:rsid w:val="00691A46"/>
    <w:rsid w:val="006B5861"/>
    <w:rsid w:val="006C04B1"/>
    <w:rsid w:val="00817F7A"/>
    <w:rsid w:val="00AF0847"/>
    <w:rsid w:val="00BC651E"/>
    <w:rsid w:val="00C02B64"/>
    <w:rsid w:val="00C75412"/>
    <w:rsid w:val="00CD1240"/>
    <w:rsid w:val="00E33B7B"/>
    <w:rsid w:val="00E611D9"/>
    <w:rsid w:val="00EE321A"/>
    <w:rsid w:val="00F3112D"/>
    <w:rsid w:val="00F55B76"/>
    <w:rsid w:val="00F8207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233774D"/>
  <w15:chartTrackingRefBased/>
  <w15:docId w15:val="{E6FCBE7E-DAAE-400C-A7EC-FC93EE58C7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ssignQuote">
    <w:name w:val="AssignQuote"/>
    <w:basedOn w:val="Normal"/>
    <w:next w:val="AssignBody"/>
    <w:link w:val="AssignQuoteChar"/>
    <w:qFormat/>
    <w:rsid w:val="00CD1240"/>
    <w:pPr>
      <w:spacing w:after="0" w:line="360" w:lineRule="auto"/>
      <w:ind w:left="1134" w:right="1134"/>
    </w:pPr>
    <w:rPr>
      <w:rFonts w:ascii="Arial" w:hAnsi="Arial"/>
      <w:i/>
    </w:rPr>
  </w:style>
  <w:style w:type="paragraph" w:customStyle="1" w:styleId="AssignBody">
    <w:name w:val="AssignBody"/>
    <w:basedOn w:val="AssignQuote"/>
    <w:link w:val="AssignBodyChar"/>
    <w:qFormat/>
    <w:rsid w:val="00CD1240"/>
    <w:pPr>
      <w:ind w:left="0" w:right="0"/>
    </w:pPr>
    <w:rPr>
      <w:i w:val="0"/>
    </w:rPr>
  </w:style>
  <w:style w:type="character" w:customStyle="1" w:styleId="AssignQuoteChar">
    <w:name w:val="AssignQuote Char"/>
    <w:basedOn w:val="DefaultParagraphFont"/>
    <w:link w:val="AssignQuote"/>
    <w:rsid w:val="00CD1240"/>
    <w:rPr>
      <w:rFonts w:ascii="Arial" w:hAnsi="Arial"/>
      <w:i/>
    </w:rPr>
  </w:style>
  <w:style w:type="paragraph" w:customStyle="1" w:styleId="AssignSubHeader">
    <w:name w:val="AssignSubHeader"/>
    <w:basedOn w:val="AssignBody"/>
    <w:next w:val="AssignBody"/>
    <w:link w:val="AssignSubHeaderChar"/>
    <w:qFormat/>
    <w:rsid w:val="00691A46"/>
    <w:rPr>
      <w:b/>
      <w:sz w:val="28"/>
    </w:rPr>
  </w:style>
  <w:style w:type="character" w:customStyle="1" w:styleId="AssignBodyChar">
    <w:name w:val="AssignBody Char"/>
    <w:basedOn w:val="AssignQuoteChar"/>
    <w:link w:val="AssignBody"/>
    <w:rsid w:val="00CD1240"/>
    <w:rPr>
      <w:rFonts w:ascii="Arial" w:hAnsi="Arial"/>
      <w:i w:val="0"/>
    </w:rPr>
  </w:style>
  <w:style w:type="paragraph" w:customStyle="1" w:styleId="AssignHeader">
    <w:name w:val="AssignHeader"/>
    <w:basedOn w:val="AssignSubHeader"/>
    <w:next w:val="AssignSubHeader"/>
    <w:link w:val="AssignHeaderChar"/>
    <w:qFormat/>
    <w:rsid w:val="00BC651E"/>
    <w:pPr>
      <w:jc w:val="center"/>
    </w:pPr>
    <w:rPr>
      <w:sz w:val="36"/>
      <w:u w:val="single"/>
    </w:rPr>
  </w:style>
  <w:style w:type="character" w:customStyle="1" w:styleId="AssignSubHeaderChar">
    <w:name w:val="AssignSubHeader Char"/>
    <w:basedOn w:val="AssignBodyChar"/>
    <w:link w:val="AssignSubHeader"/>
    <w:rsid w:val="00691A46"/>
    <w:rPr>
      <w:rFonts w:ascii="Arial" w:hAnsi="Arial"/>
      <w:b/>
      <w:i w:val="0"/>
      <w:sz w:val="28"/>
    </w:rPr>
  </w:style>
  <w:style w:type="paragraph" w:styleId="Header">
    <w:name w:val="header"/>
    <w:basedOn w:val="Normal"/>
    <w:link w:val="HeaderChar"/>
    <w:uiPriority w:val="99"/>
    <w:unhideWhenUsed/>
    <w:rsid w:val="00E611D9"/>
    <w:pPr>
      <w:tabs>
        <w:tab w:val="center" w:pos="4513"/>
        <w:tab w:val="right" w:pos="9026"/>
      </w:tabs>
      <w:spacing w:after="0" w:line="240" w:lineRule="auto"/>
    </w:pPr>
  </w:style>
  <w:style w:type="character" w:customStyle="1" w:styleId="AssignHeaderChar">
    <w:name w:val="AssignHeader Char"/>
    <w:basedOn w:val="AssignSubHeaderChar"/>
    <w:link w:val="AssignHeader"/>
    <w:rsid w:val="00BC651E"/>
    <w:rPr>
      <w:rFonts w:ascii="Arial" w:hAnsi="Arial"/>
      <w:b/>
      <w:i w:val="0"/>
      <w:sz w:val="36"/>
      <w:u w:val="single"/>
    </w:rPr>
  </w:style>
  <w:style w:type="character" w:customStyle="1" w:styleId="HeaderChar">
    <w:name w:val="Header Char"/>
    <w:basedOn w:val="DefaultParagraphFont"/>
    <w:link w:val="Header"/>
    <w:uiPriority w:val="99"/>
    <w:rsid w:val="00E611D9"/>
  </w:style>
  <w:style w:type="paragraph" w:styleId="Footer">
    <w:name w:val="footer"/>
    <w:basedOn w:val="Normal"/>
    <w:link w:val="FooterChar"/>
    <w:uiPriority w:val="99"/>
    <w:unhideWhenUsed/>
    <w:rsid w:val="00E611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11D9"/>
  </w:style>
  <w:style w:type="table" w:styleId="TableGrid">
    <w:name w:val="Table Grid"/>
    <w:basedOn w:val="TableNormal"/>
    <w:uiPriority w:val="39"/>
    <w:rsid w:val="00E611D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footnotes" Target="footnote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eader" Target="header1.xml"/><Relationship Id="rId5" Type="http://schemas.openxmlformats.org/officeDocument/2006/relationships/settings" Target="settings.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FB7C8EC3559F764AA080F30F794D2AD4" ma:contentTypeVersion="8" ma:contentTypeDescription="Create a new document." ma:contentTypeScope="" ma:versionID="0b918f1186be322f78c81f3dd4d92237">
  <xsd:schema xmlns:xsd="http://www.w3.org/2001/XMLSchema" xmlns:xs="http://www.w3.org/2001/XMLSchema" xmlns:p="http://schemas.microsoft.com/office/2006/metadata/properties" xmlns:ns3="696490a5-0429-499a-a254-a60426c02ef0" xmlns:ns4="d2d6d51c-be45-489c-bfaa-c0c3d4c0c982" targetNamespace="http://schemas.microsoft.com/office/2006/metadata/properties" ma:root="true" ma:fieldsID="1c8aa7df8a606d48ae5f035fab86ba76" ns3:_="" ns4:_="">
    <xsd:import namespace="696490a5-0429-499a-a254-a60426c02ef0"/>
    <xsd:import namespace="d2d6d51c-be45-489c-bfaa-c0c3d4c0c982"/>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4:SharedWithUsers" minOccurs="0"/>
                <xsd:element ref="ns4:SharedWithDetails" minOccurs="0"/>
                <xsd:element ref="ns4:SharingHintHash"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96490a5-0429-499a-a254-a60426c02ef0"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DateTaken" ma:index="10" nillable="true" ma:displayName="MediaServiceDateTaken" ma:description="" ma:hidden="true" ma:internalName="MediaServiceDateTaken" ma:readOnly="true">
      <xsd:simpleType>
        <xsd:restriction base="dms:Text"/>
      </xsd:simpleType>
    </xsd:element>
    <xsd:element name="MediaServiceAutoTags" ma:index="11" nillable="true" ma:displayName="MediaServiceAutoTags" ma:description="" ma:internalName="MediaServiceAutoTags" ma:readOnly="true">
      <xsd:simpleType>
        <xsd:restriction base="dms:Text"/>
      </xsd:simpleType>
    </xsd:element>
    <xsd:element name="MediaServiceOCR" ma:index="15" nillable="true" ma:displayName="MediaServiceOCR"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d2d6d51c-be45-489c-bfaa-c0c3d4c0c982" elementFormDefault="qualified">
    <xsd:import namespace="http://schemas.microsoft.com/office/2006/documentManagement/types"/>
    <xsd:import namespace="http://schemas.microsoft.com/office/infopath/2007/PartnerControls"/>
    <xsd:element name="SharedWithUsers" ma:index="12"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description="" ma:internalName="SharedWithDetails" ma:readOnly="true">
      <xsd:simpleType>
        <xsd:restriction base="dms:Note">
          <xsd:maxLength value="255"/>
        </xsd:restriction>
      </xsd:simpleType>
    </xsd:element>
    <xsd:element name="SharingHintHash" ma:index="14" nillable="true" ma:displayName="Sharing Hint Hash" ma:description=""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912C9734-6DE1-42F2-9B30-6EF6F4C4835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96490a5-0429-499a-a254-a60426c02ef0"/>
    <ds:schemaRef ds:uri="d2d6d51c-be45-489c-bfaa-c0c3d4c0c98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058C851A-85C6-474D-A425-15EF9A109938}">
  <ds:schemaRefs>
    <ds:schemaRef ds:uri="http://schemas.microsoft.com/sharepoint/v3/contenttype/forms"/>
  </ds:schemaRefs>
</ds:datastoreItem>
</file>

<file path=customXml/itemProps3.xml><?xml version="1.0" encoding="utf-8"?>
<ds:datastoreItem xmlns:ds="http://schemas.openxmlformats.org/officeDocument/2006/customXml" ds:itemID="{5276833E-C4E4-48A0-9018-456CC2E4BC84}">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30</TotalTime>
  <Pages>8</Pages>
  <Words>3642</Words>
  <Characters>20764</Characters>
  <Application>Microsoft Office Word</Application>
  <DocSecurity>0</DocSecurity>
  <Lines>173</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24358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Alun Thomas</dc:creator>
  <cp:keywords/>
  <dc:description/>
  <cp:lastModifiedBy>Hannah-Louise Warrilow</cp:lastModifiedBy>
  <cp:revision>11</cp:revision>
  <dcterms:created xsi:type="dcterms:W3CDTF">2020-03-08T13:34:00Z</dcterms:created>
  <dcterms:modified xsi:type="dcterms:W3CDTF">2020-03-26T13:39:00Z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0x010100FB7C8EC3559F764AA080F30F794D2AD4</vt:lpwstr>
  </property>
</Properties>
</file>