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31F8F" w14:textId="2FE6410F" w:rsidR="00CE57D8" w:rsidRDefault="000A5FDB" w:rsidP="00CE57D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INTERNATIONAL BUSINESS</w:t>
      </w:r>
    </w:p>
    <w:p w14:paraId="29AEADA2" w14:textId="77777777" w:rsidR="00CE57D8" w:rsidRDefault="00CE57D8" w:rsidP="00CE57D8">
      <w:pPr>
        <w:spacing w:line="360" w:lineRule="auto"/>
        <w:jc w:val="center"/>
        <w:rPr>
          <w:rFonts w:ascii="Times New Roman" w:hAnsi="Times New Roman" w:cs="Times New Roman"/>
          <w:b/>
          <w:sz w:val="32"/>
          <w:szCs w:val="32"/>
        </w:rPr>
      </w:pPr>
    </w:p>
    <w:p w14:paraId="2D47DCEB" w14:textId="77777777"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Program: MBA - Master of Business management (General Management)</w:t>
      </w:r>
    </w:p>
    <w:p w14:paraId="38F2FEA2" w14:textId="22567610"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Module: </w:t>
      </w:r>
      <w:r w:rsidR="00FE2738">
        <w:rPr>
          <w:rFonts w:ascii="Times New Roman" w:hAnsi="Times New Roman" w:cs="Times New Roman"/>
          <w:sz w:val="26"/>
          <w:szCs w:val="26"/>
        </w:rPr>
        <w:t>International Business</w:t>
      </w:r>
    </w:p>
    <w:p w14:paraId="5D1F6FD5" w14:textId="0FF4BF78"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Module code: LCMB70</w:t>
      </w:r>
      <w:r w:rsidR="00FE2738">
        <w:rPr>
          <w:rFonts w:ascii="Times New Roman" w:hAnsi="Times New Roman" w:cs="Times New Roman"/>
          <w:sz w:val="26"/>
          <w:szCs w:val="26"/>
        </w:rPr>
        <w:t>14</w:t>
      </w:r>
    </w:p>
    <w:p w14:paraId="1A121633" w14:textId="13B7CF7A"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Assignment title: </w:t>
      </w:r>
      <w:r w:rsidR="00FE2738">
        <w:rPr>
          <w:rFonts w:ascii="Times New Roman" w:hAnsi="Times New Roman" w:cs="Times New Roman"/>
          <w:sz w:val="26"/>
          <w:szCs w:val="26"/>
        </w:rPr>
        <w:t>International Business</w:t>
      </w:r>
    </w:p>
    <w:p w14:paraId="42EA5182" w14:textId="2DE148F6"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Case Study: </w:t>
      </w:r>
      <w:r w:rsidRPr="00CE57D8">
        <w:rPr>
          <w:rFonts w:ascii="Times New Roman" w:hAnsi="Times New Roman" w:cs="Times New Roman"/>
          <w:b/>
          <w:sz w:val="24"/>
          <w:szCs w:val="24"/>
          <w:u w:val="single"/>
        </w:rPr>
        <w:t>A study on marketing strategy of internalization for AstraZeneca</w:t>
      </w:r>
    </w:p>
    <w:p w14:paraId="3245BDCC" w14:textId="77777777"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Student name: Geetanjali Singh</w:t>
      </w:r>
    </w:p>
    <w:p w14:paraId="388EFF38" w14:textId="77777777" w:rsidR="00CE57D8" w:rsidRDefault="00CE57D8" w:rsidP="00CE57D8">
      <w:pPr>
        <w:spacing w:line="360" w:lineRule="auto"/>
        <w:jc w:val="center"/>
        <w:rPr>
          <w:rFonts w:ascii="Times New Roman" w:hAnsi="Times New Roman" w:cs="Times New Roman"/>
          <w:sz w:val="26"/>
          <w:szCs w:val="26"/>
        </w:rPr>
      </w:pPr>
      <w:r>
        <w:rPr>
          <w:rFonts w:ascii="Times New Roman" w:hAnsi="Times New Roman" w:cs="Times New Roman"/>
          <w:sz w:val="26"/>
          <w:szCs w:val="26"/>
        </w:rPr>
        <w:t>Student number: 2127364</w:t>
      </w:r>
    </w:p>
    <w:p w14:paraId="60E1E574" w14:textId="24E50B46" w:rsidR="00CE57D8" w:rsidRDefault="00CE57D8" w:rsidP="00CE57D8">
      <w:pPr>
        <w:spacing w:line="360" w:lineRule="auto"/>
        <w:jc w:val="center"/>
        <w:rPr>
          <w:rFonts w:ascii="Times New Roman" w:hAnsi="Times New Roman" w:cs="Times New Roman"/>
          <w:b/>
          <w:bCs/>
          <w:sz w:val="24"/>
          <w:szCs w:val="24"/>
        </w:rPr>
      </w:pPr>
      <w:r>
        <w:rPr>
          <w:rFonts w:ascii="Times New Roman" w:hAnsi="Times New Roman" w:cs="Times New Roman"/>
          <w:sz w:val="26"/>
          <w:szCs w:val="26"/>
        </w:rPr>
        <w:t xml:space="preserve">Lecturer Name: </w:t>
      </w:r>
      <w:r w:rsidR="00FE2738">
        <w:rPr>
          <w:rFonts w:ascii="Times New Roman" w:hAnsi="Times New Roman" w:cs="Times New Roman"/>
          <w:sz w:val="26"/>
          <w:szCs w:val="26"/>
        </w:rPr>
        <w:t>Jean Wang</w:t>
      </w:r>
    </w:p>
    <w:p w14:paraId="6A9824B2" w14:textId="77777777" w:rsidR="0001285F" w:rsidRDefault="0001285F" w:rsidP="0001285F">
      <w:pPr>
        <w:spacing w:after="200" w:line="360" w:lineRule="auto"/>
        <w:jc w:val="center"/>
        <w:rPr>
          <w:rFonts w:ascii="Times New Roman" w:hAnsi="Times New Roman" w:cs="Times New Roman"/>
          <w:b/>
          <w:sz w:val="32"/>
          <w:szCs w:val="32"/>
        </w:rPr>
      </w:pPr>
    </w:p>
    <w:p w14:paraId="6A9824B3" w14:textId="77777777" w:rsidR="0001285F" w:rsidRDefault="0001285F" w:rsidP="0001285F">
      <w:pPr>
        <w:spacing w:after="200" w:line="360" w:lineRule="auto"/>
        <w:jc w:val="center"/>
        <w:rPr>
          <w:rFonts w:ascii="Times New Roman" w:hAnsi="Times New Roman" w:cs="Times New Roman"/>
          <w:b/>
          <w:sz w:val="32"/>
          <w:szCs w:val="32"/>
        </w:rPr>
      </w:pPr>
    </w:p>
    <w:p w14:paraId="6A9824B4" w14:textId="77777777" w:rsidR="0001285F" w:rsidRDefault="0001285F" w:rsidP="0001285F">
      <w:pPr>
        <w:spacing w:after="200" w:line="360" w:lineRule="auto"/>
        <w:jc w:val="center"/>
        <w:rPr>
          <w:rFonts w:ascii="Times New Roman" w:hAnsi="Times New Roman" w:cs="Times New Roman"/>
          <w:b/>
          <w:sz w:val="32"/>
          <w:szCs w:val="32"/>
        </w:rPr>
      </w:pPr>
    </w:p>
    <w:p w14:paraId="6A9824B5" w14:textId="61F7207C" w:rsidR="009538FA" w:rsidRPr="0001285F" w:rsidRDefault="009538FA" w:rsidP="0001285F">
      <w:pPr>
        <w:spacing w:after="200" w:line="360" w:lineRule="auto"/>
        <w:jc w:val="center"/>
        <w:rPr>
          <w:rFonts w:ascii="Times New Roman" w:hAnsi="Times New Roman" w:cs="Times New Roman"/>
          <w:b/>
          <w:sz w:val="32"/>
          <w:szCs w:val="32"/>
        </w:rPr>
      </w:pPr>
      <w:r w:rsidRPr="0001285F">
        <w:rPr>
          <w:rFonts w:ascii="Times New Roman" w:hAnsi="Times New Roman" w:cs="Times New Roman"/>
          <w:b/>
          <w:sz w:val="32"/>
          <w:szCs w:val="32"/>
        </w:rPr>
        <w:br w:type="page"/>
      </w:r>
    </w:p>
    <w:sdt>
      <w:sdtPr>
        <w:rPr>
          <w:rFonts w:ascii="Times New Roman" w:eastAsiaTheme="minorHAnsi" w:hAnsi="Times New Roman" w:cs="Times New Roman"/>
          <w:b w:val="0"/>
          <w:bCs w:val="0"/>
          <w:color w:val="auto"/>
          <w:sz w:val="24"/>
          <w:szCs w:val="24"/>
          <w:lang w:val="en-IN" w:bidi="th-TH"/>
        </w:rPr>
        <w:id w:val="22357604"/>
        <w:docPartObj>
          <w:docPartGallery w:val="Table of Contents"/>
          <w:docPartUnique/>
        </w:docPartObj>
      </w:sdtPr>
      <w:sdtContent>
        <w:p w14:paraId="6A9824B6" w14:textId="77777777" w:rsidR="009538FA" w:rsidRPr="009538FA" w:rsidRDefault="009538FA" w:rsidP="009538FA">
          <w:pPr>
            <w:pStyle w:val="TOCHeading"/>
            <w:spacing w:line="360" w:lineRule="auto"/>
            <w:jc w:val="both"/>
            <w:rPr>
              <w:rFonts w:ascii="Times New Roman" w:hAnsi="Times New Roman" w:cs="Times New Roman"/>
              <w:color w:val="auto"/>
              <w:sz w:val="24"/>
              <w:szCs w:val="24"/>
            </w:rPr>
          </w:pPr>
          <w:r w:rsidRPr="009538FA">
            <w:rPr>
              <w:rFonts w:ascii="Times New Roman" w:hAnsi="Times New Roman" w:cs="Times New Roman"/>
              <w:color w:val="auto"/>
              <w:sz w:val="24"/>
              <w:szCs w:val="24"/>
            </w:rPr>
            <w:t>Table of Contents</w:t>
          </w:r>
        </w:p>
        <w:p w14:paraId="6A9824B7" w14:textId="77777777" w:rsidR="009538FA" w:rsidRPr="009538FA" w:rsidRDefault="009538FA" w:rsidP="009538FA">
          <w:pPr>
            <w:pStyle w:val="TOC1"/>
            <w:tabs>
              <w:tab w:val="right" w:leader="dot" w:pos="9016"/>
            </w:tabs>
            <w:spacing w:line="360" w:lineRule="auto"/>
            <w:jc w:val="both"/>
            <w:rPr>
              <w:rFonts w:ascii="Times New Roman" w:hAnsi="Times New Roman" w:cs="Times New Roman"/>
              <w:noProof/>
              <w:sz w:val="24"/>
              <w:szCs w:val="24"/>
            </w:rPr>
          </w:pPr>
          <w:r w:rsidRPr="009538FA">
            <w:rPr>
              <w:rFonts w:ascii="Times New Roman" w:hAnsi="Times New Roman" w:cs="Times New Roman"/>
              <w:sz w:val="24"/>
              <w:szCs w:val="24"/>
            </w:rPr>
            <w:fldChar w:fldCharType="begin"/>
          </w:r>
          <w:r w:rsidRPr="009538FA">
            <w:rPr>
              <w:rFonts w:ascii="Times New Roman" w:hAnsi="Times New Roman" w:cs="Times New Roman"/>
              <w:sz w:val="24"/>
              <w:szCs w:val="24"/>
            </w:rPr>
            <w:instrText xml:space="preserve"> TOC \o "1-3" \h \z \u </w:instrText>
          </w:r>
          <w:r w:rsidRPr="009538FA">
            <w:rPr>
              <w:rFonts w:ascii="Times New Roman" w:hAnsi="Times New Roman" w:cs="Times New Roman"/>
              <w:sz w:val="24"/>
              <w:szCs w:val="24"/>
            </w:rPr>
            <w:fldChar w:fldCharType="separate"/>
          </w:r>
          <w:hyperlink w:anchor="_Toc122725027" w:history="1">
            <w:r w:rsidRPr="009538FA">
              <w:rPr>
                <w:rStyle w:val="Hyperlink"/>
                <w:rFonts w:ascii="Times New Roman" w:hAnsi="Times New Roman" w:cs="Times New Roman"/>
                <w:noProof/>
                <w:color w:val="auto"/>
                <w:sz w:val="24"/>
                <w:szCs w:val="24"/>
              </w:rPr>
              <w:t>1. Introduction</w:t>
            </w:r>
            <w:r w:rsidRPr="009538FA">
              <w:rPr>
                <w:rFonts w:ascii="Times New Roman" w:hAnsi="Times New Roman" w:cs="Times New Roman"/>
                <w:noProof/>
                <w:webHidden/>
                <w:sz w:val="24"/>
                <w:szCs w:val="24"/>
              </w:rPr>
              <w:tab/>
            </w:r>
            <w:r w:rsidRPr="009538FA">
              <w:rPr>
                <w:rFonts w:ascii="Times New Roman" w:hAnsi="Times New Roman" w:cs="Times New Roman"/>
                <w:noProof/>
                <w:webHidden/>
                <w:sz w:val="24"/>
                <w:szCs w:val="24"/>
              </w:rPr>
              <w:fldChar w:fldCharType="begin"/>
            </w:r>
            <w:r w:rsidRPr="009538FA">
              <w:rPr>
                <w:rFonts w:ascii="Times New Roman" w:hAnsi="Times New Roman" w:cs="Times New Roman"/>
                <w:noProof/>
                <w:webHidden/>
                <w:sz w:val="24"/>
                <w:szCs w:val="24"/>
              </w:rPr>
              <w:instrText xml:space="preserve"> PAGEREF _Toc122725027 \h </w:instrText>
            </w:r>
            <w:r w:rsidRPr="009538FA">
              <w:rPr>
                <w:rFonts w:ascii="Times New Roman" w:hAnsi="Times New Roman" w:cs="Times New Roman"/>
                <w:noProof/>
                <w:webHidden/>
                <w:sz w:val="24"/>
                <w:szCs w:val="24"/>
              </w:rPr>
            </w:r>
            <w:r w:rsidRPr="009538FA">
              <w:rPr>
                <w:rFonts w:ascii="Times New Roman" w:hAnsi="Times New Roman" w:cs="Times New Roman"/>
                <w:noProof/>
                <w:webHidden/>
                <w:sz w:val="24"/>
                <w:szCs w:val="24"/>
              </w:rPr>
              <w:fldChar w:fldCharType="separate"/>
            </w:r>
            <w:r w:rsidRPr="009538FA">
              <w:rPr>
                <w:rFonts w:ascii="Times New Roman" w:hAnsi="Times New Roman" w:cs="Times New Roman"/>
                <w:noProof/>
                <w:webHidden/>
                <w:sz w:val="24"/>
                <w:szCs w:val="24"/>
              </w:rPr>
              <w:t>3</w:t>
            </w:r>
            <w:r w:rsidRPr="009538FA">
              <w:rPr>
                <w:rFonts w:ascii="Times New Roman" w:hAnsi="Times New Roman" w:cs="Times New Roman"/>
                <w:noProof/>
                <w:webHidden/>
                <w:sz w:val="24"/>
                <w:szCs w:val="24"/>
              </w:rPr>
              <w:fldChar w:fldCharType="end"/>
            </w:r>
          </w:hyperlink>
        </w:p>
        <w:p w14:paraId="6A9824B8"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28" w:history="1">
            <w:r w:rsidR="009538FA" w:rsidRPr="009538FA">
              <w:rPr>
                <w:rStyle w:val="Hyperlink"/>
                <w:rFonts w:ascii="Times New Roman" w:hAnsi="Times New Roman" w:cs="Times New Roman"/>
                <w:noProof/>
                <w:color w:val="auto"/>
                <w:sz w:val="24"/>
                <w:szCs w:val="24"/>
              </w:rPr>
              <w:t>1.1 Background</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_Toc122725028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3</w:t>
            </w:r>
            <w:r w:rsidR="009538FA" w:rsidRPr="009538FA">
              <w:rPr>
                <w:rFonts w:ascii="Times New Roman" w:hAnsi="Times New Roman" w:cs="Times New Roman"/>
                <w:noProof/>
                <w:webHidden/>
                <w:sz w:val="24"/>
                <w:szCs w:val="24"/>
              </w:rPr>
              <w:fldChar w:fldCharType="end"/>
            </w:r>
          </w:hyperlink>
        </w:p>
        <w:p w14:paraId="6A9824B9" w14:textId="77777777" w:rsidR="009538FA" w:rsidRPr="009538FA" w:rsidRDefault="00000000" w:rsidP="009538FA">
          <w:pPr>
            <w:pStyle w:val="TOC1"/>
            <w:tabs>
              <w:tab w:val="right" w:leader="dot" w:pos="9016"/>
            </w:tabs>
            <w:spacing w:line="360" w:lineRule="auto"/>
            <w:jc w:val="both"/>
            <w:rPr>
              <w:rFonts w:ascii="Times New Roman" w:hAnsi="Times New Roman" w:cs="Times New Roman"/>
              <w:noProof/>
              <w:sz w:val="24"/>
              <w:szCs w:val="24"/>
            </w:rPr>
          </w:pPr>
          <w:hyperlink w:anchor="_Toc122725029" w:history="1">
            <w:r w:rsidR="009538FA" w:rsidRPr="009538FA">
              <w:rPr>
                <w:rStyle w:val="Hyperlink"/>
                <w:rFonts w:ascii="Times New Roman" w:hAnsi="Times New Roman" w:cs="Times New Roman"/>
                <w:noProof/>
                <w:color w:val="auto"/>
                <w:sz w:val="24"/>
                <w:szCs w:val="24"/>
              </w:rPr>
              <w:t>2. Discussion and analysis</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_Toc122725029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3</w:t>
            </w:r>
            <w:r w:rsidR="009538FA" w:rsidRPr="009538FA">
              <w:rPr>
                <w:rFonts w:ascii="Times New Roman" w:hAnsi="Times New Roman" w:cs="Times New Roman"/>
                <w:noProof/>
                <w:webHidden/>
                <w:sz w:val="24"/>
                <w:szCs w:val="24"/>
              </w:rPr>
              <w:fldChar w:fldCharType="end"/>
            </w:r>
          </w:hyperlink>
        </w:p>
        <w:p w14:paraId="6A9824BA"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0" w:history="1">
            <w:r w:rsidR="009538FA" w:rsidRPr="009538FA">
              <w:rPr>
                <w:rStyle w:val="Hyperlink"/>
                <w:rFonts w:ascii="Times New Roman" w:hAnsi="Times New Roman" w:cs="Times New Roman"/>
                <w:noProof/>
                <w:color w:val="auto"/>
                <w:sz w:val="24"/>
                <w:szCs w:val="24"/>
              </w:rPr>
              <w:t>2.1 Industry Outlook</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_Toc122725030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3</w:t>
            </w:r>
            <w:r w:rsidR="009538FA" w:rsidRPr="009538FA">
              <w:rPr>
                <w:rFonts w:ascii="Times New Roman" w:hAnsi="Times New Roman" w:cs="Times New Roman"/>
                <w:noProof/>
                <w:webHidden/>
                <w:sz w:val="24"/>
                <w:szCs w:val="24"/>
              </w:rPr>
              <w:fldChar w:fldCharType="end"/>
            </w:r>
          </w:hyperlink>
        </w:p>
        <w:p w14:paraId="6A9824BB"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1" w:history="1">
            <w:r w:rsidR="009538FA" w:rsidRPr="009538FA">
              <w:rPr>
                <w:rStyle w:val="Hyperlink"/>
                <w:rFonts w:ascii="Times New Roman" w:hAnsi="Times New Roman" w:cs="Times New Roman"/>
                <w:noProof/>
                <w:color w:val="auto"/>
                <w:sz w:val="24"/>
                <w:szCs w:val="24"/>
              </w:rPr>
              <w:t>2.2 Porters’ Five Forces Analysis</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_Toc122725031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4</w:t>
            </w:r>
            <w:r w:rsidR="009538FA" w:rsidRPr="009538FA">
              <w:rPr>
                <w:rFonts w:ascii="Times New Roman" w:hAnsi="Times New Roman" w:cs="Times New Roman"/>
                <w:noProof/>
                <w:webHidden/>
                <w:sz w:val="24"/>
                <w:szCs w:val="24"/>
              </w:rPr>
              <w:fldChar w:fldCharType="end"/>
            </w:r>
          </w:hyperlink>
        </w:p>
        <w:p w14:paraId="6A9824BC"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2" w:history="1">
            <w:r w:rsidR="009538FA" w:rsidRPr="009538FA">
              <w:rPr>
                <w:rStyle w:val="Hyperlink"/>
                <w:rFonts w:ascii="Times New Roman" w:hAnsi="Times New Roman" w:cs="Times New Roman"/>
                <w:noProof/>
                <w:color w:val="auto"/>
                <w:sz w:val="24"/>
                <w:szCs w:val="24"/>
              </w:rPr>
              <w:t>2.3 SWOT Analysis</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_Toc122725032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5</w:t>
            </w:r>
            <w:r w:rsidR="009538FA" w:rsidRPr="009538FA">
              <w:rPr>
                <w:rFonts w:ascii="Times New Roman" w:hAnsi="Times New Roman" w:cs="Times New Roman"/>
                <w:noProof/>
                <w:webHidden/>
                <w:sz w:val="24"/>
                <w:szCs w:val="24"/>
              </w:rPr>
              <w:fldChar w:fldCharType="end"/>
            </w:r>
          </w:hyperlink>
        </w:p>
        <w:p w14:paraId="6A9824BD"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3" w:history="1">
            <w:r w:rsidR="009538FA" w:rsidRPr="009538FA">
              <w:rPr>
                <w:rStyle w:val="Hyperlink"/>
                <w:rFonts w:ascii="Times New Roman" w:hAnsi="Times New Roman" w:cs="Times New Roman"/>
                <w:noProof/>
                <w:color w:val="auto"/>
                <w:sz w:val="24"/>
                <w:szCs w:val="24"/>
              </w:rPr>
              <w:t>2.4 International Marketing Planning</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_Toc122725033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7</w:t>
            </w:r>
            <w:r w:rsidR="009538FA" w:rsidRPr="009538FA">
              <w:rPr>
                <w:rFonts w:ascii="Times New Roman" w:hAnsi="Times New Roman" w:cs="Times New Roman"/>
                <w:noProof/>
                <w:webHidden/>
                <w:sz w:val="24"/>
                <w:szCs w:val="24"/>
              </w:rPr>
              <w:fldChar w:fldCharType="end"/>
            </w:r>
          </w:hyperlink>
        </w:p>
        <w:p w14:paraId="6A9824BE"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4" w:history="1">
            <w:r w:rsidR="009538FA" w:rsidRPr="009538FA">
              <w:rPr>
                <w:rStyle w:val="Hyperlink"/>
                <w:rFonts w:ascii="Times New Roman" w:hAnsi="Times New Roman" w:cs="Times New Roman"/>
                <w:noProof/>
                <w:color w:val="auto"/>
                <w:sz w:val="24"/>
                <w:szCs w:val="24"/>
              </w:rPr>
              <w:t>2.5 Internal or Micro Environment</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_Toc122725034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8</w:t>
            </w:r>
            <w:r w:rsidR="009538FA" w:rsidRPr="009538FA">
              <w:rPr>
                <w:rFonts w:ascii="Times New Roman" w:hAnsi="Times New Roman" w:cs="Times New Roman"/>
                <w:noProof/>
                <w:webHidden/>
                <w:sz w:val="24"/>
                <w:szCs w:val="24"/>
              </w:rPr>
              <w:fldChar w:fldCharType="end"/>
            </w:r>
          </w:hyperlink>
        </w:p>
        <w:p w14:paraId="6A9824BF"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5" w:history="1">
            <w:r w:rsidR="009538FA" w:rsidRPr="009538FA">
              <w:rPr>
                <w:rStyle w:val="Hyperlink"/>
                <w:rFonts w:ascii="Times New Roman" w:hAnsi="Times New Roman" w:cs="Times New Roman"/>
                <w:noProof/>
                <w:color w:val="auto"/>
                <w:sz w:val="24"/>
                <w:szCs w:val="24"/>
              </w:rPr>
              <w:t>2.6 External or Macro Environment</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_Toc122725035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8</w:t>
            </w:r>
            <w:r w:rsidR="009538FA" w:rsidRPr="009538FA">
              <w:rPr>
                <w:rFonts w:ascii="Times New Roman" w:hAnsi="Times New Roman" w:cs="Times New Roman"/>
                <w:noProof/>
                <w:webHidden/>
                <w:sz w:val="24"/>
                <w:szCs w:val="24"/>
              </w:rPr>
              <w:fldChar w:fldCharType="end"/>
            </w:r>
          </w:hyperlink>
        </w:p>
        <w:p w14:paraId="6A9824C0"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6" w:history="1">
            <w:r w:rsidR="009538FA" w:rsidRPr="009538FA">
              <w:rPr>
                <w:rStyle w:val="Hyperlink"/>
                <w:rFonts w:ascii="Times New Roman" w:hAnsi="Times New Roman" w:cs="Times New Roman"/>
                <w:noProof/>
                <w:color w:val="auto"/>
                <w:sz w:val="24"/>
                <w:szCs w:val="24"/>
              </w:rPr>
              <w:t>2.7 Marketing Goals and Objectives</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_Toc122725036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11</w:t>
            </w:r>
            <w:r w:rsidR="009538FA" w:rsidRPr="009538FA">
              <w:rPr>
                <w:rFonts w:ascii="Times New Roman" w:hAnsi="Times New Roman" w:cs="Times New Roman"/>
                <w:noProof/>
                <w:webHidden/>
                <w:sz w:val="24"/>
                <w:szCs w:val="24"/>
              </w:rPr>
              <w:fldChar w:fldCharType="end"/>
            </w:r>
          </w:hyperlink>
        </w:p>
        <w:p w14:paraId="6A9824C1" w14:textId="77777777" w:rsidR="009538FA" w:rsidRPr="009538FA" w:rsidRDefault="00000000" w:rsidP="009538FA">
          <w:pPr>
            <w:pStyle w:val="TOC2"/>
            <w:tabs>
              <w:tab w:val="right" w:leader="dot" w:pos="9016"/>
            </w:tabs>
            <w:spacing w:line="360" w:lineRule="auto"/>
            <w:jc w:val="both"/>
            <w:rPr>
              <w:rFonts w:ascii="Times New Roman" w:hAnsi="Times New Roman" w:cs="Times New Roman"/>
              <w:noProof/>
              <w:sz w:val="24"/>
              <w:szCs w:val="24"/>
            </w:rPr>
          </w:pPr>
          <w:hyperlink w:anchor="_Toc122725037" w:history="1">
            <w:r w:rsidR="009538FA" w:rsidRPr="009538FA">
              <w:rPr>
                <w:rStyle w:val="Hyperlink"/>
                <w:rFonts w:ascii="Times New Roman" w:hAnsi="Times New Roman" w:cs="Times New Roman"/>
                <w:noProof/>
                <w:color w:val="auto"/>
                <w:sz w:val="24"/>
                <w:szCs w:val="24"/>
              </w:rPr>
              <w:t>2.8 Outlook and Recommendations</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_Toc122725037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11</w:t>
            </w:r>
            <w:r w:rsidR="009538FA" w:rsidRPr="009538FA">
              <w:rPr>
                <w:rFonts w:ascii="Times New Roman" w:hAnsi="Times New Roman" w:cs="Times New Roman"/>
                <w:noProof/>
                <w:webHidden/>
                <w:sz w:val="24"/>
                <w:szCs w:val="24"/>
              </w:rPr>
              <w:fldChar w:fldCharType="end"/>
            </w:r>
          </w:hyperlink>
        </w:p>
        <w:p w14:paraId="6A9824C2" w14:textId="77777777" w:rsidR="009538FA" w:rsidRPr="009538FA" w:rsidRDefault="00000000" w:rsidP="009538FA">
          <w:pPr>
            <w:pStyle w:val="TOC1"/>
            <w:tabs>
              <w:tab w:val="right" w:leader="dot" w:pos="9016"/>
            </w:tabs>
            <w:spacing w:line="360" w:lineRule="auto"/>
            <w:jc w:val="both"/>
            <w:rPr>
              <w:rFonts w:ascii="Times New Roman" w:hAnsi="Times New Roman" w:cs="Times New Roman"/>
              <w:noProof/>
              <w:sz w:val="24"/>
              <w:szCs w:val="24"/>
            </w:rPr>
          </w:pPr>
          <w:hyperlink w:anchor="_Toc122725038" w:history="1">
            <w:r w:rsidR="009538FA" w:rsidRPr="009538FA">
              <w:rPr>
                <w:rStyle w:val="Hyperlink"/>
                <w:rFonts w:ascii="Times New Roman" w:hAnsi="Times New Roman" w:cs="Times New Roman"/>
                <w:noProof/>
                <w:color w:val="auto"/>
                <w:sz w:val="24"/>
                <w:szCs w:val="24"/>
              </w:rPr>
              <w:t>Conclusion</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_Toc122725038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12</w:t>
            </w:r>
            <w:r w:rsidR="009538FA" w:rsidRPr="009538FA">
              <w:rPr>
                <w:rFonts w:ascii="Times New Roman" w:hAnsi="Times New Roman" w:cs="Times New Roman"/>
                <w:noProof/>
                <w:webHidden/>
                <w:sz w:val="24"/>
                <w:szCs w:val="24"/>
              </w:rPr>
              <w:fldChar w:fldCharType="end"/>
            </w:r>
          </w:hyperlink>
        </w:p>
        <w:p w14:paraId="6A9824C3" w14:textId="77777777" w:rsidR="009538FA" w:rsidRPr="009538FA" w:rsidRDefault="00000000" w:rsidP="009538FA">
          <w:pPr>
            <w:pStyle w:val="TOC1"/>
            <w:tabs>
              <w:tab w:val="right" w:leader="dot" w:pos="9016"/>
            </w:tabs>
            <w:spacing w:line="360" w:lineRule="auto"/>
            <w:jc w:val="both"/>
            <w:rPr>
              <w:rFonts w:ascii="Times New Roman" w:hAnsi="Times New Roman" w:cs="Times New Roman"/>
              <w:noProof/>
              <w:sz w:val="24"/>
              <w:szCs w:val="24"/>
            </w:rPr>
          </w:pPr>
          <w:hyperlink w:anchor="_Toc122725039" w:history="1">
            <w:r w:rsidR="009538FA" w:rsidRPr="009538FA">
              <w:rPr>
                <w:rStyle w:val="Hyperlink"/>
                <w:rFonts w:ascii="Times New Roman" w:hAnsi="Times New Roman" w:cs="Times New Roman"/>
                <w:noProof/>
                <w:color w:val="auto"/>
                <w:sz w:val="24"/>
                <w:szCs w:val="24"/>
              </w:rPr>
              <w:t>References</w:t>
            </w:r>
            <w:r w:rsidR="009538FA" w:rsidRPr="009538FA">
              <w:rPr>
                <w:rFonts w:ascii="Times New Roman" w:hAnsi="Times New Roman" w:cs="Times New Roman"/>
                <w:noProof/>
                <w:webHidden/>
                <w:sz w:val="24"/>
                <w:szCs w:val="24"/>
              </w:rPr>
              <w:tab/>
            </w:r>
            <w:r w:rsidR="009538FA" w:rsidRPr="009538FA">
              <w:rPr>
                <w:rFonts w:ascii="Times New Roman" w:hAnsi="Times New Roman" w:cs="Times New Roman"/>
                <w:noProof/>
                <w:webHidden/>
                <w:sz w:val="24"/>
                <w:szCs w:val="24"/>
              </w:rPr>
              <w:fldChar w:fldCharType="begin"/>
            </w:r>
            <w:r w:rsidR="009538FA" w:rsidRPr="009538FA">
              <w:rPr>
                <w:rFonts w:ascii="Times New Roman" w:hAnsi="Times New Roman" w:cs="Times New Roman"/>
                <w:noProof/>
                <w:webHidden/>
                <w:sz w:val="24"/>
                <w:szCs w:val="24"/>
              </w:rPr>
              <w:instrText xml:space="preserve"> PAGEREF _Toc122725039 \h </w:instrText>
            </w:r>
            <w:r w:rsidR="009538FA" w:rsidRPr="009538FA">
              <w:rPr>
                <w:rFonts w:ascii="Times New Roman" w:hAnsi="Times New Roman" w:cs="Times New Roman"/>
                <w:noProof/>
                <w:webHidden/>
                <w:sz w:val="24"/>
                <w:szCs w:val="24"/>
              </w:rPr>
            </w:r>
            <w:r w:rsidR="009538FA" w:rsidRPr="009538FA">
              <w:rPr>
                <w:rFonts w:ascii="Times New Roman" w:hAnsi="Times New Roman" w:cs="Times New Roman"/>
                <w:noProof/>
                <w:webHidden/>
                <w:sz w:val="24"/>
                <w:szCs w:val="24"/>
              </w:rPr>
              <w:fldChar w:fldCharType="separate"/>
            </w:r>
            <w:r w:rsidR="009538FA" w:rsidRPr="009538FA">
              <w:rPr>
                <w:rFonts w:ascii="Times New Roman" w:hAnsi="Times New Roman" w:cs="Times New Roman"/>
                <w:noProof/>
                <w:webHidden/>
                <w:sz w:val="24"/>
                <w:szCs w:val="24"/>
              </w:rPr>
              <w:t>13</w:t>
            </w:r>
            <w:r w:rsidR="009538FA" w:rsidRPr="009538FA">
              <w:rPr>
                <w:rFonts w:ascii="Times New Roman" w:hAnsi="Times New Roman" w:cs="Times New Roman"/>
                <w:noProof/>
                <w:webHidden/>
                <w:sz w:val="24"/>
                <w:szCs w:val="24"/>
              </w:rPr>
              <w:fldChar w:fldCharType="end"/>
            </w:r>
          </w:hyperlink>
        </w:p>
        <w:p w14:paraId="6A9824C4" w14:textId="77777777" w:rsidR="009538FA" w:rsidRPr="009538FA" w:rsidRDefault="009538FA"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fldChar w:fldCharType="end"/>
          </w:r>
        </w:p>
      </w:sdtContent>
    </w:sdt>
    <w:p w14:paraId="6A9824C5" w14:textId="77777777" w:rsidR="009538FA" w:rsidRPr="009538FA" w:rsidRDefault="009538FA" w:rsidP="009538FA">
      <w:pPr>
        <w:spacing w:after="200" w:line="360" w:lineRule="auto"/>
        <w:jc w:val="both"/>
        <w:rPr>
          <w:rFonts w:ascii="Times New Roman" w:eastAsiaTheme="majorEastAsia" w:hAnsi="Times New Roman" w:cs="Times New Roman"/>
          <w:b/>
          <w:bCs/>
          <w:sz w:val="24"/>
          <w:szCs w:val="24"/>
          <w:lang w:val="en-US" w:bidi="ar-SA"/>
        </w:rPr>
      </w:pPr>
      <w:r w:rsidRPr="009538FA">
        <w:rPr>
          <w:rFonts w:ascii="Times New Roman" w:hAnsi="Times New Roman" w:cs="Times New Roman"/>
          <w:sz w:val="24"/>
          <w:szCs w:val="24"/>
        </w:rPr>
        <w:br w:type="page"/>
      </w:r>
    </w:p>
    <w:p w14:paraId="6A9824C6" w14:textId="77777777" w:rsidR="0004433E" w:rsidRPr="009538FA" w:rsidRDefault="0004433E" w:rsidP="009538FA">
      <w:pPr>
        <w:pStyle w:val="Heading1"/>
        <w:spacing w:line="360" w:lineRule="auto"/>
        <w:jc w:val="both"/>
        <w:rPr>
          <w:rFonts w:cs="Times New Roman"/>
          <w:szCs w:val="24"/>
        </w:rPr>
      </w:pPr>
      <w:bookmarkStart w:id="0" w:name="_Toc122725027"/>
      <w:r w:rsidRPr="009538FA">
        <w:rPr>
          <w:rFonts w:cs="Times New Roman"/>
          <w:szCs w:val="24"/>
        </w:rPr>
        <w:lastRenderedPageBreak/>
        <w:t>1. Introduction</w:t>
      </w:r>
      <w:bookmarkEnd w:id="0"/>
    </w:p>
    <w:p w14:paraId="6A9824C7"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Founded in 1999, AstraZeneca has developed from modest beginnings to become of the greatest global pharmaceutical firms in the world. The company’s headquarters are in London, United Kingdom. AstraZeneca wants to be a worldwide, innovation-driven biopharmaceutical enterprise. The pharmaceutical business is confronting various issues. Patent expiry is one of the primary difficulties that firms in the sector encounter</w:t>
      </w:r>
      <w:r w:rsidR="00085DFB" w:rsidRPr="009538FA">
        <w:rPr>
          <w:rFonts w:ascii="Times New Roman" w:hAnsi="Times New Roman" w:cs="Times New Roman"/>
          <w:sz w:val="24"/>
          <w:szCs w:val="24"/>
        </w:rPr>
        <w:t xml:space="preserve"> (</w:t>
      </w:r>
      <w:proofErr w:type="spellStart"/>
      <w:r w:rsidR="00085DFB" w:rsidRPr="009538FA">
        <w:rPr>
          <w:rFonts w:ascii="Times New Roman" w:hAnsi="Times New Roman" w:cs="Times New Roman"/>
          <w:sz w:val="24"/>
          <w:szCs w:val="24"/>
        </w:rPr>
        <w:t>Remneland</w:t>
      </w:r>
      <w:proofErr w:type="spellEnd"/>
      <w:r w:rsidR="00085DFB" w:rsidRPr="009538FA">
        <w:rPr>
          <w:rFonts w:ascii="Times New Roman" w:hAnsi="Times New Roman" w:cs="Times New Roman"/>
          <w:sz w:val="24"/>
          <w:szCs w:val="24"/>
        </w:rPr>
        <w:t xml:space="preserve"> </w:t>
      </w:r>
      <w:proofErr w:type="spellStart"/>
      <w:r w:rsidR="00085DFB" w:rsidRPr="009538FA">
        <w:rPr>
          <w:rFonts w:ascii="Times New Roman" w:hAnsi="Times New Roman" w:cs="Times New Roman"/>
          <w:sz w:val="24"/>
          <w:szCs w:val="24"/>
        </w:rPr>
        <w:t>Wikhamn</w:t>
      </w:r>
      <w:proofErr w:type="spellEnd"/>
      <w:r w:rsidR="00085DFB" w:rsidRPr="009538FA">
        <w:rPr>
          <w:rFonts w:ascii="Times New Roman" w:hAnsi="Times New Roman" w:cs="Times New Roman"/>
          <w:sz w:val="24"/>
          <w:szCs w:val="24"/>
        </w:rPr>
        <w:t xml:space="preserve"> and </w:t>
      </w:r>
      <w:proofErr w:type="spellStart"/>
      <w:r w:rsidR="00085DFB" w:rsidRPr="009538FA">
        <w:rPr>
          <w:rFonts w:ascii="Times New Roman" w:hAnsi="Times New Roman" w:cs="Times New Roman"/>
          <w:sz w:val="24"/>
          <w:szCs w:val="24"/>
        </w:rPr>
        <w:t>Styhre</w:t>
      </w:r>
      <w:proofErr w:type="spellEnd"/>
      <w:r w:rsidR="00085DFB" w:rsidRPr="009538FA">
        <w:rPr>
          <w:rFonts w:ascii="Times New Roman" w:hAnsi="Times New Roman" w:cs="Times New Roman"/>
          <w:sz w:val="24"/>
          <w:szCs w:val="24"/>
        </w:rPr>
        <w:t>, 2018)</w:t>
      </w:r>
      <w:r w:rsidRPr="009538FA">
        <w:rPr>
          <w:rFonts w:ascii="Times New Roman" w:hAnsi="Times New Roman" w:cs="Times New Roman"/>
          <w:sz w:val="24"/>
          <w:szCs w:val="24"/>
        </w:rPr>
        <w:t>. As example, just four of the top 10 pharmaceutical businesses witnessed a rise in sales. Pharmaceutical businesses invest enormous amounts of money on R&amp;D. AstraZeneca has the greatest R&amp;D investment to pharmaceuticals to market ratio among the top 10 pharmaceutical corporations. As such, the return owing to R&amp;D investment is quite low. This article will aim to discover how AstraZeneca is dealing with the hurdles in its desire to stay one of the most lucrative pharmaceutical businesses in the market. It will also establish the extra aspects that would allow the firm to stay a top player in the pharmaceutical market</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Remneland</w:t>
      </w:r>
      <w:proofErr w:type="spellEnd"/>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Wikhamn</w:t>
      </w:r>
      <w:proofErr w:type="spellEnd"/>
      <w:r w:rsidR="00DC4725" w:rsidRPr="009538FA">
        <w:rPr>
          <w:rFonts w:ascii="Times New Roman" w:hAnsi="Times New Roman" w:cs="Times New Roman"/>
          <w:sz w:val="24"/>
          <w:szCs w:val="24"/>
        </w:rPr>
        <w:t xml:space="preserve"> and </w:t>
      </w:r>
      <w:proofErr w:type="spellStart"/>
      <w:r w:rsidR="00DC4725" w:rsidRPr="009538FA">
        <w:rPr>
          <w:rFonts w:ascii="Times New Roman" w:hAnsi="Times New Roman" w:cs="Times New Roman"/>
          <w:sz w:val="24"/>
          <w:szCs w:val="24"/>
        </w:rPr>
        <w:t>Styhre</w:t>
      </w:r>
      <w:proofErr w:type="spellEnd"/>
      <w:r w:rsidR="00DC4725" w:rsidRPr="009538FA">
        <w:rPr>
          <w:rFonts w:ascii="Times New Roman" w:hAnsi="Times New Roman" w:cs="Times New Roman"/>
          <w:sz w:val="24"/>
          <w:szCs w:val="24"/>
        </w:rPr>
        <w:t>, 2018)</w:t>
      </w:r>
      <w:r w:rsidRPr="009538FA">
        <w:rPr>
          <w:rFonts w:ascii="Times New Roman" w:hAnsi="Times New Roman" w:cs="Times New Roman"/>
          <w:sz w:val="24"/>
          <w:szCs w:val="24"/>
        </w:rPr>
        <w:t>.</w:t>
      </w:r>
    </w:p>
    <w:p w14:paraId="6A9824C8"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Every industry is very competitive since every business wants to rule their market and profit. In the pharmaceutical sector, AstraZeneca has excelled, outperforming rivals and consistently sustaining profitability. Pfizer, a significant American pharmaceutical corporation, considering buying the business since it is so profitable. The highest rate of patent risk and the lowest marginal product returns are seen in the sector in which AstraZeneca operates. Therefore, these companies must work exceedingly hard to minimise structural inefficiencies and reduce operational costs if they want to be successful</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Remneland</w:t>
      </w:r>
      <w:proofErr w:type="spellEnd"/>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Wikhamn</w:t>
      </w:r>
      <w:proofErr w:type="spellEnd"/>
      <w:r w:rsidR="00DC4725" w:rsidRPr="009538FA">
        <w:rPr>
          <w:rFonts w:ascii="Times New Roman" w:hAnsi="Times New Roman" w:cs="Times New Roman"/>
          <w:sz w:val="24"/>
          <w:szCs w:val="24"/>
        </w:rPr>
        <w:t xml:space="preserve"> and </w:t>
      </w:r>
      <w:proofErr w:type="spellStart"/>
      <w:r w:rsidR="00DC4725" w:rsidRPr="009538FA">
        <w:rPr>
          <w:rFonts w:ascii="Times New Roman" w:hAnsi="Times New Roman" w:cs="Times New Roman"/>
          <w:sz w:val="24"/>
          <w:szCs w:val="24"/>
        </w:rPr>
        <w:t>Styhre</w:t>
      </w:r>
      <w:proofErr w:type="spellEnd"/>
      <w:r w:rsidR="00DC4725" w:rsidRPr="009538FA">
        <w:rPr>
          <w:rFonts w:ascii="Times New Roman" w:hAnsi="Times New Roman" w:cs="Times New Roman"/>
          <w:sz w:val="24"/>
          <w:szCs w:val="24"/>
        </w:rPr>
        <w:t>, 2018)</w:t>
      </w:r>
      <w:r w:rsidRPr="009538FA">
        <w:rPr>
          <w:rFonts w:ascii="Times New Roman" w:hAnsi="Times New Roman" w:cs="Times New Roman"/>
          <w:sz w:val="24"/>
          <w:szCs w:val="24"/>
        </w:rPr>
        <w:t>. Even though the company makes substantial expenditures in R&amp;D, it discontinues pre-approval items at a comparatively high rate and is tightly monitored by safety authorities to prevent resource waste. The competitive landscape and AstraZeneca's management of its business strategy are examined in this article. Using a range of techniques for strategy analysis and financial results, the research analyses the company's strategic positioning</w:t>
      </w:r>
      <w:r w:rsidR="00DC4725" w:rsidRPr="009538FA">
        <w:rPr>
          <w:rFonts w:ascii="Times New Roman" w:hAnsi="Times New Roman" w:cs="Times New Roman"/>
          <w:sz w:val="24"/>
          <w:szCs w:val="24"/>
        </w:rPr>
        <w:t xml:space="preserve"> (Al Ghanem et al., 2021)</w:t>
      </w:r>
      <w:r w:rsidRPr="009538FA">
        <w:rPr>
          <w:rFonts w:ascii="Times New Roman" w:hAnsi="Times New Roman" w:cs="Times New Roman"/>
          <w:sz w:val="24"/>
          <w:szCs w:val="24"/>
        </w:rPr>
        <w:t>.</w:t>
      </w:r>
    </w:p>
    <w:p w14:paraId="6A9824C9" w14:textId="77777777" w:rsidR="0004433E" w:rsidRPr="009538FA" w:rsidRDefault="0004433E" w:rsidP="009538FA">
      <w:pPr>
        <w:pStyle w:val="Heading2"/>
        <w:spacing w:line="360" w:lineRule="auto"/>
        <w:jc w:val="both"/>
        <w:rPr>
          <w:rFonts w:cs="Times New Roman"/>
          <w:szCs w:val="24"/>
        </w:rPr>
      </w:pPr>
      <w:bookmarkStart w:id="1" w:name="_Toc122725028"/>
      <w:r w:rsidRPr="009538FA">
        <w:rPr>
          <w:rFonts w:cs="Times New Roman"/>
          <w:szCs w:val="24"/>
        </w:rPr>
        <w:t>1.1 Background</w:t>
      </w:r>
      <w:bookmarkEnd w:id="1"/>
      <w:r w:rsidRPr="009538FA">
        <w:rPr>
          <w:rFonts w:cs="Times New Roman"/>
          <w:szCs w:val="24"/>
        </w:rPr>
        <w:t xml:space="preserve"> </w:t>
      </w:r>
    </w:p>
    <w:p w14:paraId="6A9824CA" w14:textId="77777777" w:rsidR="0004433E" w:rsidRPr="009538FA" w:rsidRDefault="0004433E" w:rsidP="009538FA">
      <w:pPr>
        <w:spacing w:line="360" w:lineRule="auto"/>
        <w:jc w:val="both"/>
        <w:rPr>
          <w:rFonts w:ascii="Times New Roman" w:hAnsi="Times New Roman" w:cs="Times New Roman"/>
          <w:sz w:val="24"/>
          <w:szCs w:val="24"/>
          <w:lang w:val="en-US" w:bidi="ar-SA"/>
        </w:rPr>
      </w:pPr>
      <w:r w:rsidRPr="009538FA">
        <w:rPr>
          <w:rFonts w:ascii="Times New Roman" w:hAnsi="Times New Roman" w:cs="Times New Roman"/>
          <w:sz w:val="24"/>
          <w:szCs w:val="24"/>
          <w:lang w:val="en-US" w:bidi="ar-SA"/>
        </w:rPr>
        <w:t>The second-largest company in the UK, Astra Zeneca, was founded with the intention of studying ailing systems and developing and producing the medications necessary to keep humans alive. After the UK-based Zeneca Company and Sweden's Astra merged, the Astra Zeneca Company was created. To end illnesses that affect people, the company is in the forefront of developing treatments for anesthesia and cancer</w:t>
      </w:r>
      <w:r w:rsidR="00DC4725" w:rsidRPr="009538FA">
        <w:rPr>
          <w:rFonts w:ascii="Times New Roman" w:hAnsi="Times New Roman" w:cs="Times New Roman"/>
          <w:sz w:val="24"/>
          <w:szCs w:val="24"/>
          <w:lang w:val="en-US" w:bidi="ar-SA"/>
        </w:rPr>
        <w:t xml:space="preserve"> (Al Ghanem et al., 2021)</w:t>
      </w:r>
      <w:r w:rsidRPr="009538FA">
        <w:rPr>
          <w:rFonts w:ascii="Times New Roman" w:hAnsi="Times New Roman" w:cs="Times New Roman"/>
          <w:sz w:val="24"/>
          <w:szCs w:val="24"/>
          <w:lang w:val="en-US" w:bidi="ar-SA"/>
        </w:rPr>
        <w:t xml:space="preserve">. The </w:t>
      </w:r>
      <w:r w:rsidRPr="009538FA">
        <w:rPr>
          <w:rFonts w:ascii="Times New Roman" w:hAnsi="Times New Roman" w:cs="Times New Roman"/>
          <w:sz w:val="24"/>
          <w:szCs w:val="24"/>
          <w:lang w:val="en-US" w:bidi="ar-SA"/>
        </w:rPr>
        <w:lastRenderedPageBreak/>
        <w:t>corporation has multiple research and development sites scattered around the European continent, while having its headquarters in London. Astra is a corporation that manufactures essential medications for people.  The hospitable climate at its location and an exceptional track record of successful performance are the reasons behind Astra Zeneca's success</w:t>
      </w:r>
      <w:r w:rsidR="00DC4725" w:rsidRPr="009538FA">
        <w:rPr>
          <w:rFonts w:ascii="Times New Roman" w:hAnsi="Times New Roman" w:cs="Times New Roman"/>
          <w:sz w:val="24"/>
          <w:szCs w:val="24"/>
          <w:lang w:val="en-US" w:bidi="ar-SA"/>
        </w:rPr>
        <w:t xml:space="preserve"> (Al Ghanem et al., 2021)</w:t>
      </w:r>
      <w:r w:rsidRPr="009538FA">
        <w:rPr>
          <w:rFonts w:ascii="Times New Roman" w:hAnsi="Times New Roman" w:cs="Times New Roman"/>
          <w:sz w:val="24"/>
          <w:szCs w:val="24"/>
          <w:lang w:val="en-US" w:bidi="ar-SA"/>
        </w:rPr>
        <w:t>.</w:t>
      </w:r>
    </w:p>
    <w:p w14:paraId="6A9824CB" w14:textId="77777777" w:rsidR="0004433E" w:rsidRPr="009538FA" w:rsidRDefault="0004433E" w:rsidP="009538FA">
      <w:pPr>
        <w:pStyle w:val="Heading1"/>
        <w:spacing w:line="360" w:lineRule="auto"/>
        <w:jc w:val="both"/>
        <w:rPr>
          <w:rFonts w:cs="Times New Roman"/>
          <w:szCs w:val="24"/>
        </w:rPr>
      </w:pPr>
      <w:bookmarkStart w:id="2" w:name="_Toc122725029"/>
      <w:r w:rsidRPr="009538FA">
        <w:rPr>
          <w:rFonts w:cs="Times New Roman"/>
          <w:szCs w:val="24"/>
        </w:rPr>
        <w:t>2. Discussion and analysis</w:t>
      </w:r>
      <w:bookmarkEnd w:id="2"/>
    </w:p>
    <w:p w14:paraId="6A9824CC" w14:textId="77777777" w:rsidR="0004433E" w:rsidRPr="009538FA" w:rsidRDefault="0004433E" w:rsidP="009538FA">
      <w:pPr>
        <w:pStyle w:val="Heading2"/>
        <w:spacing w:line="360" w:lineRule="auto"/>
        <w:jc w:val="both"/>
        <w:rPr>
          <w:rFonts w:cs="Times New Roman"/>
          <w:szCs w:val="24"/>
        </w:rPr>
      </w:pPr>
      <w:bookmarkStart w:id="3" w:name="_Toc122725030"/>
      <w:r w:rsidRPr="009538FA">
        <w:rPr>
          <w:rFonts w:cs="Times New Roman"/>
          <w:szCs w:val="24"/>
        </w:rPr>
        <w:t>2.1 Industry Outlook</w:t>
      </w:r>
      <w:bookmarkEnd w:id="3"/>
    </w:p>
    <w:p w14:paraId="6A9824CD"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pharmaceutical sector is a high margin industry that is primarily dependent on patents. In addition, it hires highly qualified people. The industry is presently dealing with large scale patent expiry - patent cliff – that has led to intense competition from generic medications. The transition to biologics, which have an even bigger profit margin, instead of the old chemical medications, is one of the significant advances in the industry. Companies in the sector compete by targeting comparable large-scale markets</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Balawejder</w:t>
      </w:r>
      <w:proofErr w:type="spellEnd"/>
      <w:r w:rsidR="00DC4725" w:rsidRPr="009538FA">
        <w:rPr>
          <w:rFonts w:ascii="Times New Roman" w:hAnsi="Times New Roman" w:cs="Times New Roman"/>
          <w:sz w:val="24"/>
          <w:szCs w:val="24"/>
        </w:rPr>
        <w:t>, Sampson and Stratton, 2021)</w:t>
      </w:r>
      <w:r w:rsidRPr="009538FA">
        <w:rPr>
          <w:rFonts w:ascii="Times New Roman" w:hAnsi="Times New Roman" w:cs="Times New Roman"/>
          <w:sz w:val="24"/>
          <w:szCs w:val="24"/>
        </w:rPr>
        <w:t>. As such, they may target ailments like as cancer, diabetes, or heart disorders. The products that heal the ailments compete for market share. Biotechs and additional vendors are the next level of organisations in the sector. Their aims are to produce particular items or to be acquired by larger players in the business. The readiness to outsource additional activities, which were formerly located in-house, is also one of the significant transformations in the sector. The availability of advanced measurement technology and the availability of patient data have also led to substantial changes in the industry</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Balawejder</w:t>
      </w:r>
      <w:proofErr w:type="spellEnd"/>
      <w:r w:rsidR="00DC4725" w:rsidRPr="009538FA">
        <w:rPr>
          <w:rFonts w:ascii="Times New Roman" w:hAnsi="Times New Roman" w:cs="Times New Roman"/>
          <w:sz w:val="24"/>
          <w:szCs w:val="24"/>
        </w:rPr>
        <w:t>, Sampson and Stratton, 2021)</w:t>
      </w:r>
      <w:r w:rsidRPr="009538FA">
        <w:rPr>
          <w:rFonts w:ascii="Times New Roman" w:hAnsi="Times New Roman" w:cs="Times New Roman"/>
          <w:sz w:val="24"/>
          <w:szCs w:val="24"/>
        </w:rPr>
        <w:t>. The availability of patient data and technology that permit the real-time monitoring of patients and the right selection of patient that take part in experimental pharmaceuticals has also assisted in changing the sector. There has also been a considerable surge in collaborations and partnerships of firms in the sector. This has led to progress in precompetitive procedures. Companies in the pharmaceutical sector have also founded disease- specific foundations, which participate in different corporate social responsibility projects</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Balawejder</w:t>
      </w:r>
      <w:proofErr w:type="spellEnd"/>
      <w:r w:rsidR="00DC4725" w:rsidRPr="009538FA">
        <w:rPr>
          <w:rFonts w:ascii="Times New Roman" w:hAnsi="Times New Roman" w:cs="Times New Roman"/>
          <w:sz w:val="24"/>
          <w:szCs w:val="24"/>
        </w:rPr>
        <w:t>, Sampson and Stratton, 2021)</w:t>
      </w:r>
      <w:r w:rsidRPr="009538FA">
        <w:rPr>
          <w:rFonts w:ascii="Times New Roman" w:hAnsi="Times New Roman" w:cs="Times New Roman"/>
          <w:sz w:val="24"/>
          <w:szCs w:val="24"/>
        </w:rPr>
        <w:t>.</w:t>
      </w:r>
    </w:p>
    <w:p w14:paraId="6A9824CE"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The Current State of AstraZeneca</w:t>
      </w:r>
    </w:p>
    <w:p w14:paraId="6A9824CF"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A five forces analysis of the pharmaceutical business and a SWOT analysis of AstraZeneca would aid in providing a genuine picture of the current status of AstraZeneca.</w:t>
      </w:r>
    </w:p>
    <w:p w14:paraId="6A9824D0" w14:textId="77777777" w:rsidR="0004433E" w:rsidRPr="009538FA" w:rsidRDefault="0004433E" w:rsidP="009538FA">
      <w:pPr>
        <w:pStyle w:val="Heading2"/>
        <w:spacing w:line="360" w:lineRule="auto"/>
        <w:jc w:val="both"/>
        <w:rPr>
          <w:rFonts w:cs="Times New Roman"/>
          <w:szCs w:val="24"/>
        </w:rPr>
      </w:pPr>
      <w:bookmarkStart w:id="4" w:name="_Toc122725031"/>
      <w:r w:rsidRPr="009538FA">
        <w:rPr>
          <w:rFonts w:cs="Times New Roman"/>
          <w:szCs w:val="24"/>
        </w:rPr>
        <w:lastRenderedPageBreak/>
        <w:t>2.2 Porters’ Five Forces Analysis</w:t>
      </w:r>
      <w:bookmarkEnd w:id="4"/>
    </w:p>
    <w:p w14:paraId="6A9824D1"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Supplier power</w:t>
      </w:r>
    </w:p>
    <w:p w14:paraId="6A9824D2"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There are various providers of raw materials. However, the switching costs of suppliers are substantial. Emerging markets are defined by economic providers who are impacted by numerous external forces</w:t>
      </w:r>
      <w:r w:rsidR="00DC4725" w:rsidRPr="009538FA">
        <w:rPr>
          <w:rFonts w:ascii="Times New Roman" w:hAnsi="Times New Roman" w:cs="Times New Roman"/>
          <w:sz w:val="24"/>
          <w:szCs w:val="24"/>
        </w:rPr>
        <w:t xml:space="preserve"> (Sami, 2022)</w:t>
      </w:r>
      <w:r w:rsidRPr="009538FA">
        <w:rPr>
          <w:rFonts w:ascii="Times New Roman" w:hAnsi="Times New Roman" w:cs="Times New Roman"/>
          <w:sz w:val="24"/>
          <w:szCs w:val="24"/>
        </w:rPr>
        <w:t xml:space="preserve">. There are significant variances in the quality of infrastructure across vendors. As such, suppliers in the pharmaceutical business have little </w:t>
      </w:r>
      <w:proofErr w:type="gramStart"/>
      <w:r w:rsidRPr="009538FA">
        <w:rPr>
          <w:rFonts w:ascii="Times New Roman" w:hAnsi="Times New Roman" w:cs="Times New Roman"/>
          <w:sz w:val="24"/>
          <w:szCs w:val="24"/>
        </w:rPr>
        <w:t>power .</w:t>
      </w:r>
      <w:proofErr w:type="gramEnd"/>
    </w:p>
    <w:p w14:paraId="6A9824D3"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Buyer power</w:t>
      </w:r>
    </w:p>
    <w:p w14:paraId="6A9824D4"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Governments have enormous authority over firms in the pharmaceutical sector. This may force corporations to provide varied rates for items according to geography and constituency of the market. Companies in the sector also have to design goods that have least negative effects. As such, purchasers have low to medium power</w:t>
      </w:r>
      <w:r w:rsidR="00DC4725" w:rsidRPr="009538FA">
        <w:rPr>
          <w:rFonts w:ascii="Times New Roman" w:hAnsi="Times New Roman" w:cs="Times New Roman"/>
          <w:sz w:val="24"/>
          <w:szCs w:val="24"/>
        </w:rPr>
        <w:t xml:space="preserve"> (Sami, 2022)</w:t>
      </w:r>
      <w:r w:rsidRPr="009538FA">
        <w:rPr>
          <w:rFonts w:ascii="Times New Roman" w:hAnsi="Times New Roman" w:cs="Times New Roman"/>
          <w:sz w:val="24"/>
          <w:szCs w:val="24"/>
        </w:rPr>
        <w:t>.</w:t>
      </w:r>
    </w:p>
    <w:p w14:paraId="6A9824D5"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Threat of Substitutes</w:t>
      </w:r>
    </w:p>
    <w:p w14:paraId="6A9824D6"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Companies in the sector frequently generate distinctive goods, which leads to little danger of alternatives. Certain developing markets show minimal concern for patent protection. As such, there is medium danger of replacements in these markets. Patent expiry also leads to loss of income since it leads to the proliferation of generics</w:t>
      </w:r>
      <w:r w:rsidR="00DC4725" w:rsidRPr="009538FA">
        <w:rPr>
          <w:rFonts w:ascii="Times New Roman" w:hAnsi="Times New Roman" w:cs="Times New Roman"/>
          <w:sz w:val="24"/>
          <w:szCs w:val="24"/>
        </w:rPr>
        <w:t xml:space="preserve"> (Sami, 2022)</w:t>
      </w:r>
      <w:r w:rsidRPr="009538FA">
        <w:rPr>
          <w:rFonts w:ascii="Times New Roman" w:hAnsi="Times New Roman" w:cs="Times New Roman"/>
          <w:sz w:val="24"/>
          <w:szCs w:val="24"/>
        </w:rPr>
        <w:t>. From the aforementioned facts, it evident there is a low to high danger of alternatives in the pharmaceutical business.</w:t>
      </w:r>
    </w:p>
    <w:p w14:paraId="6A9824D7"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Threat of Entry</w:t>
      </w:r>
    </w:p>
    <w:p w14:paraId="6A9824D8"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pharmaceutical business has substantial barriers of entry owing to the regulatory restrictions and large money necessary in starting up a pharmaceutical firm. Companies in the sector are also challenged with the requirement for ongoing innovation to stay relevant. The industry has minimal barriers of entry when the patent on pharmaceuticals expires</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Runiewicz-Wardyn</w:t>
      </w:r>
      <w:proofErr w:type="spellEnd"/>
      <w:r w:rsidR="00DC4725" w:rsidRPr="009538FA">
        <w:rPr>
          <w:rFonts w:ascii="Times New Roman" w:hAnsi="Times New Roman" w:cs="Times New Roman"/>
          <w:sz w:val="24"/>
          <w:szCs w:val="24"/>
        </w:rPr>
        <w:t xml:space="preserve"> and </w:t>
      </w:r>
      <w:proofErr w:type="spellStart"/>
      <w:r w:rsidR="00DC4725" w:rsidRPr="009538FA">
        <w:rPr>
          <w:rFonts w:ascii="Times New Roman" w:hAnsi="Times New Roman" w:cs="Times New Roman"/>
          <w:sz w:val="24"/>
          <w:szCs w:val="24"/>
        </w:rPr>
        <w:t>Eliashvili</w:t>
      </w:r>
      <w:proofErr w:type="spellEnd"/>
      <w:r w:rsidR="00DC4725" w:rsidRPr="009538FA">
        <w:rPr>
          <w:rFonts w:ascii="Times New Roman" w:hAnsi="Times New Roman" w:cs="Times New Roman"/>
          <w:sz w:val="24"/>
          <w:szCs w:val="24"/>
        </w:rPr>
        <w:t>, 2022)</w:t>
      </w:r>
      <w:r w:rsidRPr="009538FA">
        <w:rPr>
          <w:rFonts w:ascii="Times New Roman" w:hAnsi="Times New Roman" w:cs="Times New Roman"/>
          <w:sz w:val="24"/>
          <w:szCs w:val="24"/>
        </w:rPr>
        <w:t>. There are substantial switching costs as firms have to educate personnel, buy suitable equipment, and build preferred distribution channels. From the aforementioned statistics, it is obvious that there is a mixed threat of entrance in the pharmaceutical market.</w:t>
      </w:r>
    </w:p>
    <w:p w14:paraId="6A9824D9"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Rivalry</w:t>
      </w:r>
    </w:p>
    <w:p w14:paraId="6A9824DA"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lastRenderedPageBreak/>
        <w:t>The pharmaceutical business attempts to leverage the existing significant potential employing diverse technical breakthroughs. Additionally, corporations in the sector face tough competition from generics when patents of pharmaceuticals expire. Smaller pharmaceutical businesses also concentrate on some components of the medication production process</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Runiewicz-Wardyn</w:t>
      </w:r>
      <w:proofErr w:type="spellEnd"/>
      <w:r w:rsidR="00DC4725" w:rsidRPr="009538FA">
        <w:rPr>
          <w:rFonts w:ascii="Times New Roman" w:hAnsi="Times New Roman" w:cs="Times New Roman"/>
          <w:sz w:val="24"/>
          <w:szCs w:val="24"/>
        </w:rPr>
        <w:t xml:space="preserve"> and </w:t>
      </w:r>
      <w:proofErr w:type="spellStart"/>
      <w:r w:rsidR="00DC4725" w:rsidRPr="009538FA">
        <w:rPr>
          <w:rFonts w:ascii="Times New Roman" w:hAnsi="Times New Roman" w:cs="Times New Roman"/>
          <w:sz w:val="24"/>
          <w:szCs w:val="24"/>
        </w:rPr>
        <w:t>Eliashvili</w:t>
      </w:r>
      <w:proofErr w:type="spellEnd"/>
      <w:r w:rsidR="00DC4725" w:rsidRPr="009538FA">
        <w:rPr>
          <w:rFonts w:ascii="Times New Roman" w:hAnsi="Times New Roman" w:cs="Times New Roman"/>
          <w:sz w:val="24"/>
          <w:szCs w:val="24"/>
        </w:rPr>
        <w:t>, 2022)</w:t>
      </w:r>
      <w:r w:rsidRPr="009538FA">
        <w:rPr>
          <w:rFonts w:ascii="Times New Roman" w:hAnsi="Times New Roman" w:cs="Times New Roman"/>
          <w:sz w:val="24"/>
          <w:szCs w:val="24"/>
        </w:rPr>
        <w:t>. From the preceding evidence, it is obvious that strong competition defines the pharmaceutical business.</w:t>
      </w:r>
    </w:p>
    <w:p w14:paraId="6A9824DB" w14:textId="77777777" w:rsidR="00024449" w:rsidRPr="009538FA" w:rsidRDefault="0002444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Porter's Five Forces analysis of Astra Zeneca's external business environment may also be used to describe its strategy. Due to strong entry barriers and significant R&amp;D expenses, Astra Zeneca operates in the pharmaceutical industry. The reason for this is that a corporation that wants to investigate the pharmaceutical industry finds it challenging to conduct the necessary research and development. The correct research in the field necessitates extensive analysis, which presents a problem that many businesses are ill-equipped to handle</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Runiewicz-Wardyn</w:t>
      </w:r>
      <w:proofErr w:type="spellEnd"/>
      <w:r w:rsidR="00DC4725" w:rsidRPr="009538FA">
        <w:rPr>
          <w:rFonts w:ascii="Times New Roman" w:hAnsi="Times New Roman" w:cs="Times New Roman"/>
          <w:sz w:val="24"/>
          <w:szCs w:val="24"/>
        </w:rPr>
        <w:t xml:space="preserve"> and </w:t>
      </w:r>
      <w:proofErr w:type="spellStart"/>
      <w:r w:rsidR="00DC4725" w:rsidRPr="009538FA">
        <w:rPr>
          <w:rFonts w:ascii="Times New Roman" w:hAnsi="Times New Roman" w:cs="Times New Roman"/>
          <w:sz w:val="24"/>
          <w:szCs w:val="24"/>
        </w:rPr>
        <w:t>Eliashvili</w:t>
      </w:r>
      <w:proofErr w:type="spellEnd"/>
      <w:r w:rsidR="00DC4725" w:rsidRPr="009538FA">
        <w:rPr>
          <w:rFonts w:ascii="Times New Roman" w:hAnsi="Times New Roman" w:cs="Times New Roman"/>
          <w:sz w:val="24"/>
          <w:szCs w:val="24"/>
        </w:rPr>
        <w:t>, 2022)</w:t>
      </w:r>
      <w:r w:rsidRPr="009538FA">
        <w:rPr>
          <w:rFonts w:ascii="Times New Roman" w:hAnsi="Times New Roman" w:cs="Times New Roman"/>
          <w:sz w:val="24"/>
          <w:szCs w:val="24"/>
        </w:rPr>
        <w:t>. However, as a result of their decision not to enter the market, Astra Zeneca has fewer rivals. This reduced competition boosts the company's returns on investment. In order to improve the transactions that are conducted between them and the company, the relationship between Astra Zeneca's suppliers and that entity needs to be strengthened. Astra Zeneca is well known for having sway over its clients, despite competition from the biggest pharmaceutical company in the UK. Astra Zeneca is able to have great influence over the particular hospitals and pharmacies that are starting and growing quickly. The national health systems make up the majority of Astra Zeneca's clients, and they are properly catered to</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Jeive</w:t>
      </w:r>
      <w:proofErr w:type="spellEnd"/>
      <w:r w:rsidR="00DC4725" w:rsidRPr="009538FA">
        <w:rPr>
          <w:rFonts w:ascii="Times New Roman" w:hAnsi="Times New Roman" w:cs="Times New Roman"/>
          <w:sz w:val="24"/>
          <w:szCs w:val="24"/>
        </w:rPr>
        <w:t xml:space="preserve"> and Saner, 2019)</w:t>
      </w:r>
      <w:r w:rsidRPr="009538FA">
        <w:rPr>
          <w:rFonts w:ascii="Times New Roman" w:hAnsi="Times New Roman" w:cs="Times New Roman"/>
          <w:sz w:val="24"/>
          <w:szCs w:val="24"/>
        </w:rPr>
        <w:t>.</w:t>
      </w:r>
    </w:p>
    <w:p w14:paraId="6A9824DC" w14:textId="77777777" w:rsidR="00024449" w:rsidRPr="009538FA" w:rsidRDefault="0002444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Using methods like acupuncture and homoeopathy that are based on the company's considerable experience of the medical industry, Astra Zeneca creates medicines. Claims show that non-traditional medicine is mostly supported by non-scientific validations and independent expert research. Astra Zeneca Pharmaceutical conducts a variety of clinical research, which exemplifies the company's strict devotion to only using data that has been validated scientifically</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Jeive</w:t>
      </w:r>
      <w:proofErr w:type="spellEnd"/>
      <w:r w:rsidR="00DC4725" w:rsidRPr="009538FA">
        <w:rPr>
          <w:rFonts w:ascii="Times New Roman" w:hAnsi="Times New Roman" w:cs="Times New Roman"/>
          <w:sz w:val="24"/>
          <w:szCs w:val="24"/>
        </w:rPr>
        <w:t xml:space="preserve"> and Saner, 2019)</w:t>
      </w:r>
      <w:r w:rsidRPr="009538FA">
        <w:rPr>
          <w:rFonts w:ascii="Times New Roman" w:hAnsi="Times New Roman" w:cs="Times New Roman"/>
          <w:sz w:val="24"/>
          <w:szCs w:val="24"/>
        </w:rPr>
        <w:t xml:space="preserve">. The UK-based companies Amgen Pharmaceutical Company, Genentech Company, Novartis Company, and GlaxoSmithKline Pharmaceutical Company are among those with which Astra Zeneca is now in fierce combat. Astra Zeneca's choice to implement the blue ocean strategy was primarily motivated by the fact that doing so would help to lessen competition and diversify a number of factors, both of which would be highly beneficial to the company. Because it was established earlier than many of its competitors, Astra Zeneca has gained ground in the medical sector. This is </w:t>
      </w:r>
      <w:r w:rsidRPr="009538FA">
        <w:rPr>
          <w:rFonts w:ascii="Times New Roman" w:hAnsi="Times New Roman" w:cs="Times New Roman"/>
          <w:sz w:val="24"/>
          <w:szCs w:val="24"/>
        </w:rPr>
        <w:lastRenderedPageBreak/>
        <w:t>because it has sway over its clientele, and since it will take time for them to catch up to them, newcomers to the market are secure</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Jeive</w:t>
      </w:r>
      <w:proofErr w:type="spellEnd"/>
      <w:r w:rsidR="00DC4725" w:rsidRPr="009538FA">
        <w:rPr>
          <w:rFonts w:ascii="Times New Roman" w:hAnsi="Times New Roman" w:cs="Times New Roman"/>
          <w:sz w:val="24"/>
          <w:szCs w:val="24"/>
        </w:rPr>
        <w:t xml:space="preserve"> and Saner, 2019)</w:t>
      </w:r>
      <w:r w:rsidRPr="009538FA">
        <w:rPr>
          <w:rFonts w:ascii="Times New Roman" w:hAnsi="Times New Roman" w:cs="Times New Roman"/>
          <w:sz w:val="24"/>
          <w:szCs w:val="24"/>
        </w:rPr>
        <w:t>.</w:t>
      </w:r>
    </w:p>
    <w:p w14:paraId="6A9824DD" w14:textId="77777777" w:rsidR="0004433E" w:rsidRPr="009538FA" w:rsidRDefault="0004433E" w:rsidP="009538FA">
      <w:pPr>
        <w:pStyle w:val="Heading2"/>
        <w:spacing w:line="360" w:lineRule="auto"/>
        <w:jc w:val="both"/>
        <w:rPr>
          <w:rFonts w:cs="Times New Roman"/>
          <w:szCs w:val="24"/>
        </w:rPr>
      </w:pPr>
      <w:bookmarkStart w:id="5" w:name="_Toc122725032"/>
      <w:r w:rsidRPr="009538FA">
        <w:rPr>
          <w:rFonts w:cs="Times New Roman"/>
          <w:szCs w:val="24"/>
        </w:rPr>
        <w:t>2.3 SWOT Analysis</w:t>
      </w:r>
      <w:bookmarkEnd w:id="5"/>
    </w:p>
    <w:p w14:paraId="6A9824DE"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Strengths</w:t>
      </w:r>
    </w:p>
    <w:p w14:paraId="6A9824DF"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1. High capacity of becoming the early adopters of innovation in the industry</w:t>
      </w:r>
    </w:p>
    <w:p w14:paraId="6A9824E0"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2. A new structured organisation team that tries to increase the competitiveness of the enterprise Legacy of making excellent goods</w:t>
      </w:r>
    </w:p>
    <w:p w14:paraId="6A9824E1"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sz w:val="24"/>
          <w:szCs w:val="24"/>
        </w:rPr>
        <w:t xml:space="preserve">3. A strong company culture and an IT emphasis A significant desire to create ‘biologics’ </w:t>
      </w:r>
      <w:r w:rsidRPr="009538FA">
        <w:rPr>
          <w:rFonts w:ascii="Times New Roman" w:hAnsi="Times New Roman" w:cs="Times New Roman"/>
          <w:b/>
          <w:sz w:val="24"/>
          <w:szCs w:val="24"/>
        </w:rPr>
        <w:t>Weaknesses</w:t>
      </w:r>
    </w:p>
    <w:p w14:paraId="6A9824E2"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organisation does not always capitalise on the benefits of being an early adopter Radical organisational changes would compel the corporation to participate in numerous culture building activities</w:t>
      </w:r>
      <w:r w:rsidR="00DC4725" w:rsidRPr="009538FA">
        <w:rPr>
          <w:rFonts w:ascii="Times New Roman" w:hAnsi="Times New Roman" w:cs="Times New Roman"/>
          <w:sz w:val="24"/>
          <w:szCs w:val="24"/>
        </w:rPr>
        <w:t xml:space="preserve"> (Cross et al., 2021).</w:t>
      </w:r>
    </w:p>
    <w:p w14:paraId="6A9824E3"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Opportunities</w:t>
      </w:r>
    </w:p>
    <w:p w14:paraId="6A9824E4"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1. Emerging markets provide a growth potential</w:t>
      </w:r>
    </w:p>
    <w:p w14:paraId="6A9824E5"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2. Externalization of manufacturing activities would minimise operating expenses of the firm Continued emphasis on the creation of outstanding goods would aid in strengthening the competitiveness of the firm</w:t>
      </w:r>
      <w:r w:rsidR="00DC4725" w:rsidRPr="009538FA">
        <w:rPr>
          <w:rFonts w:ascii="Times New Roman" w:hAnsi="Times New Roman" w:cs="Times New Roman"/>
          <w:sz w:val="24"/>
          <w:szCs w:val="24"/>
        </w:rPr>
        <w:t xml:space="preserve"> (Cross et al., 2021).</w:t>
      </w:r>
    </w:p>
    <w:p w14:paraId="6A9824E6"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Threats</w:t>
      </w:r>
    </w:p>
    <w:p w14:paraId="6A9824E7"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1. Mergers and acquisitions by competitors endanger the future competitiveness of the firm</w:t>
      </w:r>
    </w:p>
    <w:p w14:paraId="6A9824E8"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2. High cost of procurement of systems essential for the proper functioning of different processes within the industry</w:t>
      </w:r>
    </w:p>
    <w:p w14:paraId="6A9824E9"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3. High volatility of predicted income from developing markets</w:t>
      </w:r>
      <w:r w:rsidR="00DC4725" w:rsidRPr="009538FA">
        <w:rPr>
          <w:rFonts w:ascii="Times New Roman" w:hAnsi="Times New Roman" w:cs="Times New Roman"/>
          <w:sz w:val="24"/>
          <w:szCs w:val="24"/>
        </w:rPr>
        <w:t xml:space="preserve"> (Cross et al., 2021).</w:t>
      </w:r>
    </w:p>
    <w:p w14:paraId="6A9824EA" w14:textId="77777777" w:rsidR="00024449" w:rsidRPr="009538FA" w:rsidRDefault="0002444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An essential technique for assessing an organization's operating environment, a SWOT analysis is one more approach to look at Astra Zeneca. The company's current strengths, weaknesses, opportunities, and threats are referred to by the acronym SWOT as it works to prosper. The strength of Astra Zeneca depends on how the company operates. The company's brand is well recognised for being a source of strength and for having the capacity to work well in the treatment of illnesses</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Willigers</w:t>
      </w:r>
      <w:proofErr w:type="spellEnd"/>
      <w:r w:rsidR="00DC4725" w:rsidRPr="009538FA">
        <w:rPr>
          <w:rFonts w:ascii="Times New Roman" w:hAnsi="Times New Roman" w:cs="Times New Roman"/>
          <w:sz w:val="24"/>
          <w:szCs w:val="24"/>
        </w:rPr>
        <w:t>, 2020)</w:t>
      </w:r>
      <w:r w:rsidRPr="009538FA">
        <w:rPr>
          <w:rFonts w:ascii="Times New Roman" w:hAnsi="Times New Roman" w:cs="Times New Roman"/>
          <w:sz w:val="24"/>
          <w:szCs w:val="24"/>
        </w:rPr>
        <w:t xml:space="preserve">. The primary activity is doing research on </w:t>
      </w:r>
      <w:r w:rsidRPr="009538FA">
        <w:rPr>
          <w:rFonts w:ascii="Times New Roman" w:hAnsi="Times New Roman" w:cs="Times New Roman"/>
          <w:sz w:val="24"/>
          <w:szCs w:val="24"/>
        </w:rPr>
        <w:lastRenderedPageBreak/>
        <w:t>diseases and treatment options. Astra Zeneca is well known for its knowledge in the treatment of heart issues that lead to heart failure and death, cancer, gastrointestinal and respiratory conditions, neurological diseases, and cancer. Due to its outstanding success, Astra Zeneca has a strong commercial presence in the market and around the world. Astra Zeneca is well known for creating products that have achieved great success on the global market and generated more than $1 billion in sales in the UK. All of these networks are advantageous to Astra Zeneca as a whole because of its solid global reputation</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Willigers</w:t>
      </w:r>
      <w:proofErr w:type="spellEnd"/>
      <w:r w:rsidR="00DC4725" w:rsidRPr="009538FA">
        <w:rPr>
          <w:rFonts w:ascii="Times New Roman" w:hAnsi="Times New Roman" w:cs="Times New Roman"/>
          <w:sz w:val="24"/>
          <w:szCs w:val="24"/>
        </w:rPr>
        <w:t>, 2020)</w:t>
      </w:r>
      <w:r w:rsidRPr="009538FA">
        <w:rPr>
          <w:rFonts w:ascii="Times New Roman" w:hAnsi="Times New Roman" w:cs="Times New Roman"/>
          <w:sz w:val="24"/>
          <w:szCs w:val="24"/>
        </w:rPr>
        <w:t>.</w:t>
      </w:r>
    </w:p>
    <w:p w14:paraId="6A9824EB" w14:textId="77777777" w:rsidR="00024449" w:rsidRPr="009538FA" w:rsidRDefault="0002444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second research focuses on the medical opportunities brought about by Astra Zeneca's choice to offer healthcare to older people who receive less support. Astra Zeneca has genuinely relied on its exceptional research and development skills to produce new pharmaceutical treatments to combat developing new strains of ailments and infections. Astra Zeneca is recognised for concentrating on talents, which are said to make up a total of six</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Willigers</w:t>
      </w:r>
      <w:proofErr w:type="spellEnd"/>
      <w:r w:rsidR="00DC4725" w:rsidRPr="009538FA">
        <w:rPr>
          <w:rFonts w:ascii="Times New Roman" w:hAnsi="Times New Roman" w:cs="Times New Roman"/>
          <w:sz w:val="24"/>
          <w:szCs w:val="24"/>
        </w:rPr>
        <w:t>, 2020)</w:t>
      </w:r>
      <w:r w:rsidRPr="009538FA">
        <w:rPr>
          <w:rFonts w:ascii="Times New Roman" w:hAnsi="Times New Roman" w:cs="Times New Roman"/>
          <w:sz w:val="24"/>
          <w:szCs w:val="24"/>
        </w:rPr>
        <w:t>. Since they did not work as anticipated, several of the therapeutic drugs evaluated in their study were ineffective. One issue that Zeneca as a whole must address is the escalating competition in the pharmaceutical industry. The British government sought payment from Astra Zeneca, which was unable to supply the same pharmaceuticals, because it was easier to collect taxes from companies providing generic medications. By increasing its presence in another sector, Astra Zeneca will be in a better position to lessen threats and be able to develop its capabilities</w:t>
      </w:r>
      <w:r w:rsidR="00DC4725" w:rsidRPr="009538FA">
        <w:rPr>
          <w:rFonts w:ascii="Times New Roman" w:hAnsi="Times New Roman" w:cs="Times New Roman"/>
          <w:sz w:val="24"/>
          <w:szCs w:val="24"/>
        </w:rPr>
        <w:t xml:space="preserve"> (Kent et al., 2021)</w:t>
      </w:r>
      <w:r w:rsidRPr="009538FA">
        <w:rPr>
          <w:rFonts w:ascii="Times New Roman" w:hAnsi="Times New Roman" w:cs="Times New Roman"/>
          <w:sz w:val="24"/>
          <w:szCs w:val="24"/>
        </w:rPr>
        <w:t>. This indicates that Astra Zeneca's blue ocean approach will aid the company in overcoming its challenge in exploiting the market's apparent robust growth.</w:t>
      </w:r>
    </w:p>
    <w:p w14:paraId="6A9824EC" w14:textId="77777777" w:rsidR="0004433E" w:rsidRPr="009538FA" w:rsidRDefault="0004433E" w:rsidP="009538FA">
      <w:pPr>
        <w:pStyle w:val="Heading2"/>
        <w:spacing w:line="360" w:lineRule="auto"/>
        <w:jc w:val="both"/>
        <w:rPr>
          <w:rFonts w:cs="Times New Roman"/>
          <w:szCs w:val="24"/>
        </w:rPr>
      </w:pPr>
      <w:bookmarkStart w:id="6" w:name="_Toc122725033"/>
      <w:r w:rsidRPr="009538FA">
        <w:rPr>
          <w:rFonts w:cs="Times New Roman"/>
          <w:szCs w:val="24"/>
        </w:rPr>
        <w:t>2.4 International Marketing Planning</w:t>
      </w:r>
      <w:bookmarkEnd w:id="6"/>
    </w:p>
    <w:p w14:paraId="6A9824ED"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International marketing strategies would aid in boosting AstraZeneca’s competitiveness. International marketing planning refers to a structured method of identifying the options available to a company, detailing them in writing, developing marketing objectives that are consistent with the company’s objectives, and scheduling the activities that would help in attaining the stated objectives. International marketing strategy would demand AstraZeneca to map a course that would let it finally acquire a large number of developing countries and avoid excessively depending on the U.S., Europe, and Japan, which are its traditional market</w:t>
      </w:r>
      <w:r w:rsidR="00DC4725" w:rsidRPr="009538FA">
        <w:rPr>
          <w:rFonts w:ascii="Times New Roman" w:hAnsi="Times New Roman" w:cs="Times New Roman"/>
          <w:sz w:val="24"/>
          <w:szCs w:val="24"/>
        </w:rPr>
        <w:t xml:space="preserve"> (Kent et al., 2021)</w:t>
      </w:r>
      <w:r w:rsidRPr="009538FA">
        <w:rPr>
          <w:rFonts w:ascii="Times New Roman" w:hAnsi="Times New Roman" w:cs="Times New Roman"/>
          <w:sz w:val="24"/>
          <w:szCs w:val="24"/>
        </w:rPr>
        <w:t>.</w:t>
      </w:r>
    </w:p>
    <w:p w14:paraId="6A9824EE" w14:textId="77777777" w:rsidR="00A3569D" w:rsidRPr="009538FA" w:rsidRDefault="00A3569D"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lastRenderedPageBreak/>
        <w:t>The AstraZeneca International strategy might be a source of strategic competitiveness, improved performance, and enhanced innovation for companies that operate in international markets. It may increase market size, prolong product life cycles in secondary markets, present opportunities for international corporate integration, and provide access to customers in developing markets. The cost of labour, energy, or natural resources may be reduced geographically and via economies of scale and learning</w:t>
      </w:r>
      <w:r w:rsidR="00DC4725" w:rsidRPr="009538FA">
        <w:rPr>
          <w:rFonts w:ascii="Times New Roman" w:hAnsi="Times New Roman" w:cs="Times New Roman"/>
          <w:sz w:val="24"/>
          <w:szCs w:val="24"/>
        </w:rPr>
        <w:t xml:space="preserve"> (Kent et al., 2021)</w:t>
      </w:r>
      <w:r w:rsidRPr="009538FA">
        <w:rPr>
          <w:rFonts w:ascii="Times New Roman" w:hAnsi="Times New Roman" w:cs="Times New Roman"/>
          <w:sz w:val="24"/>
          <w:szCs w:val="24"/>
        </w:rPr>
        <w:t>. AstraZeneca will require a strong worldwide strategy now more than ever as competitors on a global scale pressure companies to reduce costs. Global effectiveness (which demands close coordination) and local responsiveness are the dual objectives of AstraZeneca's global growth strategy (which requires flexibility). The employment of a single Global Medicines Development Group, worldwide cross-functional product development teams, and a focus on local medicine requirements is intended to successfully integrate diverse tasks while efficiently delivering the medications necessary in all global markets</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Schuhmacher</w:t>
      </w:r>
      <w:proofErr w:type="spellEnd"/>
      <w:r w:rsidR="00DC4725" w:rsidRPr="009538FA">
        <w:rPr>
          <w:rFonts w:ascii="Times New Roman" w:hAnsi="Times New Roman" w:cs="Times New Roman"/>
          <w:sz w:val="24"/>
          <w:szCs w:val="24"/>
        </w:rPr>
        <w:t xml:space="preserve"> et al., 2022)</w:t>
      </w:r>
      <w:r w:rsidRPr="009538FA">
        <w:rPr>
          <w:rFonts w:ascii="Times New Roman" w:hAnsi="Times New Roman" w:cs="Times New Roman"/>
          <w:sz w:val="24"/>
          <w:szCs w:val="24"/>
        </w:rPr>
        <w:t>. However, these competing objectives can make it impossible to put the plan into action. The use of integrated technology and data to share information should be a major focus of AstraZeneca's new marketing plan. Due to information flows and customer desire for products with unique functionality to meet their individual needs, global markets are becoming more sophisticated. Businesses are under pressure because of this to provide unique products in local markets. Since different cultures and atmospheres necessitate that businesses adapt their methodologies to environmental circumstances, another advantage of this type of successful international strategy is the opportunity to learn new technologies and practises that can be diffused throughout the company while it expands its geographic reach</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Schuhmacher</w:t>
      </w:r>
      <w:proofErr w:type="spellEnd"/>
      <w:r w:rsidR="00DC4725" w:rsidRPr="009538FA">
        <w:rPr>
          <w:rFonts w:ascii="Times New Roman" w:hAnsi="Times New Roman" w:cs="Times New Roman"/>
          <w:sz w:val="24"/>
          <w:szCs w:val="24"/>
        </w:rPr>
        <w:t xml:space="preserve"> et al., 2022)</w:t>
      </w:r>
      <w:r w:rsidRPr="009538FA">
        <w:rPr>
          <w:rFonts w:ascii="Times New Roman" w:hAnsi="Times New Roman" w:cs="Times New Roman"/>
          <w:sz w:val="24"/>
          <w:szCs w:val="24"/>
        </w:rPr>
        <w:t>.</w:t>
      </w:r>
    </w:p>
    <w:p w14:paraId="6A9824EF" w14:textId="77777777" w:rsidR="00895C68" w:rsidRPr="009538FA" w:rsidRDefault="00A3569D"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 xml:space="preserve">Host country: India </w:t>
      </w:r>
    </w:p>
    <w:p w14:paraId="6A9824F0" w14:textId="77777777" w:rsidR="00A3569D" w:rsidRPr="009538FA" w:rsidRDefault="00A3569D"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advantages and opportunity for AstraZeneca in India are considerable. While the youthful population is developing, urbanising, embracing, and advancing digitalization, additionally there are health problems that require to be managed</w:t>
      </w:r>
      <w:r w:rsidR="00DC4725" w:rsidRPr="009538FA">
        <w:rPr>
          <w:rFonts w:ascii="Times New Roman" w:hAnsi="Times New Roman" w:cs="Times New Roman"/>
          <w:sz w:val="24"/>
          <w:szCs w:val="24"/>
        </w:rPr>
        <w:t xml:space="preserve"> (</w:t>
      </w:r>
      <w:proofErr w:type="spellStart"/>
      <w:r w:rsidR="00DC4725" w:rsidRPr="009538FA">
        <w:rPr>
          <w:rFonts w:ascii="Times New Roman" w:hAnsi="Times New Roman" w:cs="Times New Roman"/>
          <w:sz w:val="24"/>
          <w:szCs w:val="24"/>
        </w:rPr>
        <w:t>Schuhmacher</w:t>
      </w:r>
      <w:proofErr w:type="spellEnd"/>
      <w:r w:rsidR="00DC4725" w:rsidRPr="009538FA">
        <w:rPr>
          <w:rFonts w:ascii="Times New Roman" w:hAnsi="Times New Roman" w:cs="Times New Roman"/>
          <w:sz w:val="24"/>
          <w:szCs w:val="24"/>
        </w:rPr>
        <w:t xml:space="preserve"> et al., 2022)</w:t>
      </w:r>
      <w:r w:rsidRPr="009538FA">
        <w:rPr>
          <w:rFonts w:ascii="Times New Roman" w:hAnsi="Times New Roman" w:cs="Times New Roman"/>
          <w:sz w:val="24"/>
          <w:szCs w:val="24"/>
        </w:rPr>
        <w:t xml:space="preserve">. Cardiovascular and conditions such as diabetes affect a larger segment of the general population, and the nation, unhappily, has one of the highest numbers of diabetes in the world. These components create together to afford AstraZeneca the possibility to have a considerable influence on the advancement of pharmaceutical solutions with research and the effort to reduce the demands on the public health system, while simultaneously being revolutionary and inventive. Estimates predict that by 2022, the Indian pharmaceuticals </w:t>
      </w:r>
      <w:r w:rsidRPr="009538FA">
        <w:rPr>
          <w:rFonts w:ascii="Times New Roman" w:hAnsi="Times New Roman" w:cs="Times New Roman"/>
          <w:sz w:val="24"/>
          <w:szCs w:val="24"/>
        </w:rPr>
        <w:lastRenderedPageBreak/>
        <w:t>market would be valued USD 26 billion, demonstrating that it's going to continue to evolve and become particularly prominent. Market participants that include both public and private acknowledged this rise</w:t>
      </w:r>
      <w:r w:rsidR="009538FA" w:rsidRPr="009538FA">
        <w:rPr>
          <w:rFonts w:ascii="Times New Roman" w:hAnsi="Times New Roman" w:cs="Times New Roman"/>
          <w:sz w:val="24"/>
          <w:szCs w:val="24"/>
        </w:rPr>
        <w:t xml:space="preserve"> (Zhao et al., 2019)</w:t>
      </w:r>
      <w:r w:rsidRPr="009538FA">
        <w:rPr>
          <w:rFonts w:ascii="Times New Roman" w:hAnsi="Times New Roman" w:cs="Times New Roman"/>
          <w:sz w:val="24"/>
          <w:szCs w:val="24"/>
        </w:rPr>
        <w:t>. The challenge continued to remain figuring out how to start engaging and partner with both the government service, an important player throughout the help facilitate for services help to make, despite AstraZeneca having strong minor league teams who analyse the market, comprehend dynamics and organizational requirements, and partner with different stakeholders who have the functionalities and reach to assist and support with expansion. The foundation of the collaboration with AstraZeneca is Corporate Sweden's ability to comprehend the local context, link players from the public and private sectors, and possess experience in technology and growth strategy</w:t>
      </w:r>
      <w:r w:rsidR="009538FA" w:rsidRPr="009538FA">
        <w:rPr>
          <w:rFonts w:ascii="Times New Roman" w:hAnsi="Times New Roman" w:cs="Times New Roman"/>
          <w:sz w:val="24"/>
          <w:szCs w:val="24"/>
        </w:rPr>
        <w:t xml:space="preserve"> (Zhao et al., 2019)</w:t>
      </w:r>
      <w:r w:rsidRPr="009538FA">
        <w:rPr>
          <w:rFonts w:ascii="Times New Roman" w:hAnsi="Times New Roman" w:cs="Times New Roman"/>
          <w:sz w:val="24"/>
          <w:szCs w:val="24"/>
        </w:rPr>
        <w:t xml:space="preserve">. </w:t>
      </w:r>
    </w:p>
    <w:p w14:paraId="6A9824F1" w14:textId="77777777" w:rsidR="00A3569D" w:rsidRPr="009538FA" w:rsidRDefault="00A3569D"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In order to be a facilitator in the health industry and deliver transformative and new solutions that will improve outcomes for patients, AstraZeneca aims to explore beyond marketing and advertising. And AstraZeneca is pioneering this in India as the intellectual partner of something like the Business Sweden-led India Sweden Healthcare Innovation Centre</w:t>
      </w:r>
      <w:r w:rsidR="009538FA" w:rsidRPr="009538FA">
        <w:rPr>
          <w:rFonts w:ascii="Times New Roman" w:hAnsi="Times New Roman" w:cs="Times New Roman"/>
          <w:sz w:val="24"/>
          <w:szCs w:val="24"/>
        </w:rPr>
        <w:t xml:space="preserve"> (Zhao et al., 2019)</w:t>
      </w:r>
      <w:r w:rsidRPr="009538FA">
        <w:rPr>
          <w:rFonts w:ascii="Times New Roman" w:hAnsi="Times New Roman" w:cs="Times New Roman"/>
          <w:sz w:val="24"/>
          <w:szCs w:val="24"/>
        </w:rPr>
        <w:t>. The goal of the organization is to make a difference by empowering innovations to move from conceptualization to production with the assistance and encouragement of key stakeholders, such as the federal government. AstraZeneca and Business Sweden have formed a partnership to completely comprehend the breadth of knowledge and capabilities of the development initiative. Together, they engage with the internal units of operations of variety of therapeutic fields and seek for new both government and private collaborations to foster cooperation and innovation</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Remneland</w:t>
      </w:r>
      <w:proofErr w:type="spellEnd"/>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Wikhamn</w:t>
      </w:r>
      <w:proofErr w:type="spellEnd"/>
      <w:r w:rsidR="009538FA" w:rsidRPr="009538FA">
        <w:rPr>
          <w:rFonts w:ascii="Times New Roman" w:hAnsi="Times New Roman" w:cs="Times New Roman"/>
          <w:sz w:val="24"/>
          <w:szCs w:val="24"/>
        </w:rPr>
        <w:t xml:space="preserve"> and </w:t>
      </w:r>
      <w:proofErr w:type="spellStart"/>
      <w:r w:rsidR="009538FA" w:rsidRPr="009538FA">
        <w:rPr>
          <w:rFonts w:ascii="Times New Roman" w:hAnsi="Times New Roman" w:cs="Times New Roman"/>
          <w:sz w:val="24"/>
          <w:szCs w:val="24"/>
        </w:rPr>
        <w:t>Styhre</w:t>
      </w:r>
      <w:proofErr w:type="spellEnd"/>
      <w:r w:rsidR="009538FA" w:rsidRPr="009538FA">
        <w:rPr>
          <w:rFonts w:ascii="Times New Roman" w:hAnsi="Times New Roman" w:cs="Times New Roman"/>
          <w:sz w:val="24"/>
          <w:szCs w:val="24"/>
        </w:rPr>
        <w:t>, 2019)</w:t>
      </w:r>
      <w:r w:rsidRPr="009538FA">
        <w:rPr>
          <w:rFonts w:ascii="Times New Roman" w:hAnsi="Times New Roman" w:cs="Times New Roman"/>
          <w:sz w:val="24"/>
          <w:szCs w:val="24"/>
        </w:rPr>
        <w:t>.</w:t>
      </w:r>
    </w:p>
    <w:p w14:paraId="6A9824F2" w14:textId="77777777" w:rsidR="0004433E" w:rsidRPr="009538FA" w:rsidRDefault="0004433E" w:rsidP="009538FA">
      <w:pPr>
        <w:pStyle w:val="Heading2"/>
        <w:spacing w:line="360" w:lineRule="auto"/>
        <w:jc w:val="both"/>
        <w:rPr>
          <w:rFonts w:cs="Times New Roman"/>
          <w:szCs w:val="24"/>
        </w:rPr>
      </w:pPr>
      <w:bookmarkStart w:id="7" w:name="_Toc122725034"/>
      <w:r w:rsidRPr="009538FA">
        <w:rPr>
          <w:rFonts w:cs="Times New Roman"/>
          <w:szCs w:val="24"/>
        </w:rPr>
        <w:t>2.5 Internal or Micro Environment</w:t>
      </w:r>
      <w:bookmarkEnd w:id="7"/>
    </w:p>
    <w:p w14:paraId="6A9824F3"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Internal environment refers to stakeholder groups that the organisation interacts with frequently. The interaction between these stakeholders influences the overall performance of the organisation. The stakeholders include customers, staff, and shareholders. AstraZeneca's operations are built to satisfy the needs and wishes of its customers and offer them with numerous advantages that are better to those of its rivals</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Remneland</w:t>
      </w:r>
      <w:proofErr w:type="spellEnd"/>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Wikhamn</w:t>
      </w:r>
      <w:proofErr w:type="spellEnd"/>
      <w:r w:rsidR="009538FA" w:rsidRPr="009538FA">
        <w:rPr>
          <w:rFonts w:ascii="Times New Roman" w:hAnsi="Times New Roman" w:cs="Times New Roman"/>
          <w:sz w:val="24"/>
          <w:szCs w:val="24"/>
        </w:rPr>
        <w:t xml:space="preserve"> and </w:t>
      </w:r>
      <w:proofErr w:type="spellStart"/>
      <w:r w:rsidR="009538FA" w:rsidRPr="009538FA">
        <w:rPr>
          <w:rFonts w:ascii="Times New Roman" w:hAnsi="Times New Roman" w:cs="Times New Roman"/>
          <w:sz w:val="24"/>
          <w:szCs w:val="24"/>
        </w:rPr>
        <w:t>Styhre</w:t>
      </w:r>
      <w:proofErr w:type="spellEnd"/>
      <w:r w:rsidR="009538FA" w:rsidRPr="009538FA">
        <w:rPr>
          <w:rFonts w:ascii="Times New Roman" w:hAnsi="Times New Roman" w:cs="Times New Roman"/>
          <w:sz w:val="24"/>
          <w:szCs w:val="24"/>
        </w:rPr>
        <w:t>, 2019)</w:t>
      </w:r>
      <w:r w:rsidRPr="009538FA">
        <w:rPr>
          <w:rFonts w:ascii="Times New Roman" w:hAnsi="Times New Roman" w:cs="Times New Roman"/>
          <w:sz w:val="24"/>
          <w:szCs w:val="24"/>
        </w:rPr>
        <w:t xml:space="preserve">. Collapse to address the demands will eventually lead to the failure of the company's business plan. AstraZeneca also attempts to ensure that it hires the correct employees and gives them the right positions. The firm also attempts to inspire the workforce. Training and development are some of the primary strategies that the organisation utilises to guarantee that its personnel offer it with a competitive advantage. It is also crucial for AstraZeneca to </w:t>
      </w:r>
      <w:r w:rsidRPr="009538FA">
        <w:rPr>
          <w:rFonts w:ascii="Times New Roman" w:hAnsi="Times New Roman" w:cs="Times New Roman"/>
          <w:sz w:val="24"/>
          <w:szCs w:val="24"/>
        </w:rPr>
        <w:lastRenderedPageBreak/>
        <w:t>guarantee that it satisfies shareholder expectations and impressions. It aims to establish and fulfil its plan to keep its stockholders satisfied</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Remneland</w:t>
      </w:r>
      <w:proofErr w:type="spellEnd"/>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Wikhamn</w:t>
      </w:r>
      <w:proofErr w:type="spellEnd"/>
      <w:r w:rsidR="009538FA" w:rsidRPr="009538FA">
        <w:rPr>
          <w:rFonts w:ascii="Times New Roman" w:hAnsi="Times New Roman" w:cs="Times New Roman"/>
          <w:sz w:val="24"/>
          <w:szCs w:val="24"/>
        </w:rPr>
        <w:t xml:space="preserve"> and </w:t>
      </w:r>
      <w:proofErr w:type="spellStart"/>
      <w:r w:rsidR="009538FA" w:rsidRPr="009538FA">
        <w:rPr>
          <w:rFonts w:ascii="Times New Roman" w:hAnsi="Times New Roman" w:cs="Times New Roman"/>
          <w:sz w:val="24"/>
          <w:szCs w:val="24"/>
        </w:rPr>
        <w:t>Styhre</w:t>
      </w:r>
      <w:proofErr w:type="spellEnd"/>
      <w:r w:rsidR="009538FA" w:rsidRPr="009538FA">
        <w:rPr>
          <w:rFonts w:ascii="Times New Roman" w:hAnsi="Times New Roman" w:cs="Times New Roman"/>
          <w:sz w:val="24"/>
          <w:szCs w:val="24"/>
        </w:rPr>
        <w:t>, 2019)</w:t>
      </w:r>
      <w:r w:rsidRPr="009538FA">
        <w:rPr>
          <w:rFonts w:ascii="Times New Roman" w:hAnsi="Times New Roman" w:cs="Times New Roman"/>
          <w:sz w:val="24"/>
          <w:szCs w:val="24"/>
        </w:rPr>
        <w:t>.</w:t>
      </w:r>
    </w:p>
    <w:p w14:paraId="6A9824F4" w14:textId="77777777" w:rsidR="0004433E" w:rsidRPr="009538FA" w:rsidRDefault="0004433E" w:rsidP="009538FA">
      <w:pPr>
        <w:pStyle w:val="Heading2"/>
        <w:spacing w:line="360" w:lineRule="auto"/>
        <w:jc w:val="both"/>
        <w:rPr>
          <w:rFonts w:cs="Times New Roman"/>
          <w:szCs w:val="24"/>
        </w:rPr>
      </w:pPr>
      <w:bookmarkStart w:id="8" w:name="_Toc122725035"/>
      <w:r w:rsidRPr="009538FA">
        <w:rPr>
          <w:rFonts w:cs="Times New Roman"/>
          <w:szCs w:val="24"/>
        </w:rPr>
        <w:t>2.6 External or Macro Environment</w:t>
      </w:r>
      <w:bookmarkEnd w:id="8"/>
    </w:p>
    <w:p w14:paraId="6A9824F5"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Tax changes, legislative changes, trade restrictions, demographic changes, and government policy are some elements in the external environment that have a substantial influence on AstraZeneca’s operations. PEST analysis captures the effects of these elements well.</w:t>
      </w:r>
    </w:p>
    <w:p w14:paraId="6A9824F6"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Political Factors</w:t>
      </w:r>
    </w:p>
    <w:p w14:paraId="6A9824F7"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pharmaceutical sector is one of the most strictly regulated industries. This is owing to the significance of pharmaceutical items on the well-being of the people. Legislative bodies may enact laws that impact the operations of enterprises in the sector</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Batraga</w:t>
      </w:r>
      <w:proofErr w:type="spellEnd"/>
      <w:r w:rsidR="009538FA" w:rsidRPr="009538FA">
        <w:rPr>
          <w:rFonts w:ascii="Times New Roman" w:hAnsi="Times New Roman" w:cs="Times New Roman"/>
          <w:sz w:val="24"/>
          <w:szCs w:val="24"/>
        </w:rPr>
        <w:t xml:space="preserve"> et al., 2020)</w:t>
      </w:r>
      <w:r w:rsidRPr="009538FA">
        <w:rPr>
          <w:rFonts w:ascii="Times New Roman" w:hAnsi="Times New Roman" w:cs="Times New Roman"/>
          <w:sz w:val="24"/>
          <w:szCs w:val="24"/>
        </w:rPr>
        <w:t>. Tariffs on imports and changes in tax systems, and health and safety legislation are some of the legislative developments that influenced enterprises in the pharmaceutical sector. The tax policies eventually impact the purchasing power of people, which in turn affects the demand for pharmaceutical items.</w:t>
      </w:r>
    </w:p>
    <w:p w14:paraId="6A9824F8"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Economic Factors</w:t>
      </w:r>
    </w:p>
    <w:p w14:paraId="6A9824F9"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Developed economies generate a large amount of sales of AstraZeneca. As such, stagnation of the economies leads to a fall in the revenues of the firm.</w:t>
      </w:r>
    </w:p>
    <w:p w14:paraId="6A9824FA"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Developing nations have moved away from helping the industrial sector and are mostly focused on enterprises in the financial sector. This demands the corporation to move its attention to places that have significant economic growth or those that assist the manufacturing sector</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Batraga</w:t>
      </w:r>
      <w:proofErr w:type="spellEnd"/>
      <w:r w:rsidR="009538FA" w:rsidRPr="009538FA">
        <w:rPr>
          <w:rFonts w:ascii="Times New Roman" w:hAnsi="Times New Roman" w:cs="Times New Roman"/>
          <w:sz w:val="24"/>
          <w:szCs w:val="24"/>
        </w:rPr>
        <w:t xml:space="preserve"> et al., 2020)</w:t>
      </w:r>
      <w:r w:rsidRPr="009538FA">
        <w:rPr>
          <w:rFonts w:ascii="Times New Roman" w:hAnsi="Times New Roman" w:cs="Times New Roman"/>
          <w:sz w:val="24"/>
          <w:szCs w:val="24"/>
        </w:rPr>
        <w:t>.</w:t>
      </w:r>
    </w:p>
    <w:p w14:paraId="6A9824FB"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Social Factors</w:t>
      </w:r>
    </w:p>
    <w:p w14:paraId="6A9824FC"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 xml:space="preserve">Demographic changes, changes in how people live, </w:t>
      </w:r>
      <w:proofErr w:type="gramStart"/>
      <w:r w:rsidRPr="009538FA">
        <w:rPr>
          <w:rFonts w:ascii="Times New Roman" w:hAnsi="Times New Roman" w:cs="Times New Roman"/>
          <w:sz w:val="24"/>
          <w:szCs w:val="24"/>
        </w:rPr>
        <w:t>work</w:t>
      </w:r>
      <w:proofErr w:type="gramEnd"/>
      <w:r w:rsidRPr="009538FA">
        <w:rPr>
          <w:rFonts w:ascii="Times New Roman" w:hAnsi="Times New Roman" w:cs="Times New Roman"/>
          <w:sz w:val="24"/>
          <w:szCs w:val="24"/>
        </w:rPr>
        <w:t xml:space="preserve"> or think, and other cultural features are some of the sociological issues that might affect AstraZeneca's operations. Immigration has resulted to a variety of civilizations.</w:t>
      </w:r>
    </w:p>
    <w:p w14:paraId="6A9824FD"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Technological Factors</w:t>
      </w:r>
    </w:p>
    <w:p w14:paraId="6A9824FE"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pharmaceutical business is a technology-intensive enterprise. Technology promotes the creation and marketing of goods. It assists in decreasing expenses and boosting quality. It may also lead to innovation</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Batraga</w:t>
      </w:r>
      <w:proofErr w:type="spellEnd"/>
      <w:r w:rsidR="009538FA" w:rsidRPr="009538FA">
        <w:rPr>
          <w:rFonts w:ascii="Times New Roman" w:hAnsi="Times New Roman" w:cs="Times New Roman"/>
          <w:sz w:val="24"/>
          <w:szCs w:val="24"/>
        </w:rPr>
        <w:t xml:space="preserve"> et al., 2020)</w:t>
      </w:r>
      <w:r w:rsidRPr="009538FA">
        <w:rPr>
          <w:rFonts w:ascii="Times New Roman" w:hAnsi="Times New Roman" w:cs="Times New Roman"/>
          <w:sz w:val="24"/>
          <w:szCs w:val="24"/>
        </w:rPr>
        <w:t>. As such, technology assists both consumers and firms in the pharmaceutical sector.</w:t>
      </w:r>
    </w:p>
    <w:p w14:paraId="6A9824FF" w14:textId="77777777" w:rsidR="00024449" w:rsidRPr="009538FA" w:rsidRDefault="0002444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lastRenderedPageBreak/>
        <w:t>A pestle analysis is used when it's important to look at the political, environmental, social, technological, legal, and environmental factors affecting Astra Zeneca Company and what has to be done to alter them. The study of the big picture can be aided by being aware of the environment in which the company is located and the current issues in the neighbourhood. The UK government is in charge of passing laws through the parliament, and these laws may have a positive or negative effect on the operations of the business</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Anandarajan</w:t>
      </w:r>
      <w:proofErr w:type="spellEnd"/>
      <w:r w:rsidR="009538FA" w:rsidRPr="009538FA">
        <w:rPr>
          <w:rFonts w:ascii="Times New Roman" w:hAnsi="Times New Roman" w:cs="Times New Roman"/>
          <w:sz w:val="24"/>
          <w:szCs w:val="24"/>
        </w:rPr>
        <w:t xml:space="preserve"> and Harrison, 2018)</w:t>
      </w:r>
      <w:r w:rsidRPr="009538FA">
        <w:rPr>
          <w:rFonts w:ascii="Times New Roman" w:hAnsi="Times New Roman" w:cs="Times New Roman"/>
          <w:sz w:val="24"/>
          <w:szCs w:val="24"/>
        </w:rPr>
        <w:t>. Government legislation may modify public health and safety regulations and raise the value added tax, impacting Astra Company's commercial operations. Import taxes are another factor that is detrimental to the company after being approved by the parliament by the government. Political regulations, which are often enacted by the European Union, have a considerable influence on the Astra Zeneca Company's activities. The UK government has exerted significant pressure on the aviation sector to solve a number of pressing environmental issues. Taxes on aeroplanes have been proposed by those who are aware of the repercussions of environmental degradation and are asking the government for help. With the money, it will be possible to conduct aviation research and establish a VAT on airline tickets</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Anandarajan</w:t>
      </w:r>
      <w:proofErr w:type="spellEnd"/>
      <w:r w:rsidR="009538FA" w:rsidRPr="009538FA">
        <w:rPr>
          <w:rFonts w:ascii="Times New Roman" w:hAnsi="Times New Roman" w:cs="Times New Roman"/>
          <w:sz w:val="24"/>
          <w:szCs w:val="24"/>
        </w:rPr>
        <w:t xml:space="preserve"> and Harrison, 2018)</w:t>
      </w:r>
      <w:r w:rsidRPr="009538FA">
        <w:rPr>
          <w:rFonts w:ascii="Times New Roman" w:hAnsi="Times New Roman" w:cs="Times New Roman"/>
          <w:sz w:val="24"/>
          <w:szCs w:val="24"/>
        </w:rPr>
        <w:t>.</w:t>
      </w:r>
    </w:p>
    <w:p w14:paraId="6A982500" w14:textId="77777777" w:rsidR="00024449" w:rsidRPr="009538FA" w:rsidRDefault="00A05C2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company has had significant trouble obtaining fuel for use in their operations as a result of the increased government levies put on gasoline across the whole continent. Astra Zeneca's research operations depend on fuel, and the company has suffered tremendously as a result of the VAT's increased pricing. Local and global economic difficulties have an influence on the pharmaceutical company Astra Zeneca. The consumer's behaviour and confidence will be most impacted when the economy is recuperating from the repercussions of the 2008 global financial crisis</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Anandarajan</w:t>
      </w:r>
      <w:proofErr w:type="spellEnd"/>
      <w:r w:rsidR="009538FA" w:rsidRPr="009538FA">
        <w:rPr>
          <w:rFonts w:ascii="Times New Roman" w:hAnsi="Times New Roman" w:cs="Times New Roman"/>
          <w:sz w:val="24"/>
          <w:szCs w:val="24"/>
        </w:rPr>
        <w:t xml:space="preserve"> and Harrison, 2018)</w:t>
      </w:r>
      <w:r w:rsidRPr="009538FA">
        <w:rPr>
          <w:rFonts w:ascii="Times New Roman" w:hAnsi="Times New Roman" w:cs="Times New Roman"/>
          <w:sz w:val="24"/>
          <w:szCs w:val="24"/>
        </w:rPr>
        <w:t>. In order to reach its prior level, Astra Zeneca had to take into consideration a variety of crucial factors, including economic growth, interest rates, employment rates per capita, budget allocation, and the potential level of inflation in the UK. As was the case for Astra Zeneca, businesses with low borrowing rates frequently see a reduction in customer spending on products and services. The community's aggregate demand will have an immediate influence on the company's economics, so it will have to work extra hard to sustain a high interest rate. In a situation when the interest rate has decreased or is low, the corporation will experience a loss while the customer gains</w:t>
      </w:r>
      <w:r w:rsidR="009538FA" w:rsidRPr="009538FA">
        <w:rPr>
          <w:rFonts w:ascii="Times New Roman" w:hAnsi="Times New Roman" w:cs="Times New Roman"/>
          <w:sz w:val="24"/>
          <w:szCs w:val="24"/>
        </w:rPr>
        <w:t xml:space="preserve"> (Somasundaram et al., 2021)</w:t>
      </w:r>
      <w:r w:rsidRPr="009538FA">
        <w:rPr>
          <w:rFonts w:ascii="Times New Roman" w:hAnsi="Times New Roman" w:cs="Times New Roman"/>
          <w:sz w:val="24"/>
          <w:szCs w:val="24"/>
        </w:rPr>
        <w:t>.</w:t>
      </w:r>
    </w:p>
    <w:p w14:paraId="6A982501" w14:textId="77777777" w:rsidR="00A05C29" w:rsidRPr="009538FA" w:rsidRDefault="00A05C2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 xml:space="preserve">The social factors in Astra Zeneca's surroundings will have an effect on how the company does business. A person's lifestyle, the microenvironment in their immediate area, as well as </w:t>
      </w:r>
      <w:r w:rsidRPr="009538FA">
        <w:rPr>
          <w:rFonts w:ascii="Times New Roman" w:hAnsi="Times New Roman" w:cs="Times New Roman"/>
          <w:sz w:val="24"/>
          <w:szCs w:val="24"/>
        </w:rPr>
        <w:lastRenderedPageBreak/>
        <w:t>their way of thinking and how they approach problems at work, are among these influences. When a consumer is made up of all these elements, it is possible that his desires that would be met by buying items from Astra Zeneca may be affected, either favourably or unfavourably. He can have a propensity to approach purchases differently and come to the conclusion that his lifestyle is different, changing the original purchase plan</w:t>
      </w:r>
      <w:r w:rsidR="009538FA" w:rsidRPr="009538FA">
        <w:rPr>
          <w:rFonts w:ascii="Times New Roman" w:hAnsi="Times New Roman" w:cs="Times New Roman"/>
          <w:sz w:val="24"/>
          <w:szCs w:val="24"/>
        </w:rPr>
        <w:t xml:space="preserve"> (Somasundaram et al., 2021)</w:t>
      </w:r>
      <w:r w:rsidRPr="009538FA">
        <w:rPr>
          <w:rFonts w:ascii="Times New Roman" w:hAnsi="Times New Roman" w:cs="Times New Roman"/>
          <w:sz w:val="24"/>
          <w:szCs w:val="24"/>
        </w:rPr>
        <w:t>. Social factors in the neighbourhood will have an influence on the potential market for Astra Zeneca, which will negatively affect its performance. While taking into account the population growth rate, which is rapidly rising, the age distribution, the expectations of the stakeholders, and the eternal attitude that influences the changes employed in the business, the company should be wise in how it prioritises the safety of its employees and the wellbeing of its customers. It is sensible to believe that the company will gain from more efficiency because the technological factors that are also present in the business mean that there is a certain complexity that goes along with the firm's success</w:t>
      </w:r>
      <w:r w:rsidR="009538FA" w:rsidRPr="009538FA">
        <w:rPr>
          <w:rFonts w:ascii="Times New Roman" w:hAnsi="Times New Roman" w:cs="Times New Roman"/>
          <w:sz w:val="24"/>
          <w:szCs w:val="24"/>
        </w:rPr>
        <w:t xml:space="preserve"> (Somasundaram et al., 2021)</w:t>
      </w:r>
      <w:r w:rsidRPr="009538FA">
        <w:rPr>
          <w:rFonts w:ascii="Times New Roman" w:hAnsi="Times New Roman" w:cs="Times New Roman"/>
          <w:sz w:val="24"/>
          <w:szCs w:val="24"/>
        </w:rPr>
        <w:t>. The business is in an excellent position since it will take the lead in using all of its resources to ensure that it does not lag behind in a cutthroat market. To ensure that the company works successfully for both its own success and the success of its clients, technology is essential.</w:t>
      </w:r>
    </w:p>
    <w:p w14:paraId="6A982502" w14:textId="77777777" w:rsidR="00A05C29" w:rsidRPr="009538FA" w:rsidRDefault="00A05C29"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 usage of strategically oriented procedures, which are somewhat well oriented for better planning for various activities and projects, has also helped management of any given organisation clearly function effectively and employ technology. The company uses technology, which is acknowledged as a key element of success, and is able to do so because it utilises the findings produced by other medical experts</w:t>
      </w:r>
      <w:r w:rsidR="009538FA" w:rsidRPr="009538FA">
        <w:rPr>
          <w:rFonts w:ascii="Times New Roman" w:hAnsi="Times New Roman" w:cs="Times New Roman"/>
          <w:sz w:val="24"/>
          <w:szCs w:val="24"/>
        </w:rPr>
        <w:t xml:space="preserve"> (Somasundaram et al., 2021)</w:t>
      </w:r>
      <w:r w:rsidRPr="009538FA">
        <w:rPr>
          <w:rFonts w:ascii="Times New Roman" w:hAnsi="Times New Roman" w:cs="Times New Roman"/>
          <w:sz w:val="24"/>
          <w:szCs w:val="24"/>
        </w:rPr>
        <w:t xml:space="preserve">. The company's R&amp;D has not fared well with FDA clearances, and this must be corrected if it is to see a return on its investment. The highly skilled team and committed workers that work for Astra Zeneca is part of a very efficient organisational structure that all work toward the same goal. Not just in the UK, but all across the world, they aspire to be the best at offering high-quality pharmaceutical services and pharmaceuticals. According to how Astra Zeneca is known to function, important information must be passed from the top management down to the low management team, and the bottom management is needed to offer feedback or </w:t>
      </w:r>
      <w:proofErr w:type="gramStart"/>
      <w:r w:rsidRPr="009538FA">
        <w:rPr>
          <w:rFonts w:ascii="Times New Roman" w:hAnsi="Times New Roman" w:cs="Times New Roman"/>
          <w:sz w:val="24"/>
          <w:szCs w:val="24"/>
        </w:rPr>
        <w:t>take action</w:t>
      </w:r>
      <w:proofErr w:type="gramEnd"/>
      <w:r w:rsidRPr="009538FA">
        <w:rPr>
          <w:rFonts w:ascii="Times New Roman" w:hAnsi="Times New Roman" w:cs="Times New Roman"/>
          <w:sz w:val="24"/>
          <w:szCs w:val="24"/>
        </w:rPr>
        <w:t xml:space="preserve"> on the company's requirements as promptly as feasible</w:t>
      </w:r>
      <w:r w:rsidR="009538FA" w:rsidRPr="009538FA">
        <w:rPr>
          <w:rFonts w:ascii="Times New Roman" w:hAnsi="Times New Roman" w:cs="Times New Roman"/>
          <w:sz w:val="24"/>
          <w:szCs w:val="24"/>
        </w:rPr>
        <w:t xml:space="preserve"> (Holder et al., 2018)</w:t>
      </w:r>
      <w:r w:rsidRPr="009538FA">
        <w:rPr>
          <w:rFonts w:ascii="Times New Roman" w:hAnsi="Times New Roman" w:cs="Times New Roman"/>
          <w:sz w:val="24"/>
          <w:szCs w:val="24"/>
        </w:rPr>
        <w:t xml:space="preserve">. While analysing the structure, the geographical makeup of the organisation is also taken into consideration in order to make sure the firm is risk-free in its daily operations. Finding out what the top competitors are doing that Astra is not, as well as what can be done to catch up </w:t>
      </w:r>
      <w:r w:rsidRPr="009538FA">
        <w:rPr>
          <w:rFonts w:ascii="Times New Roman" w:hAnsi="Times New Roman" w:cs="Times New Roman"/>
          <w:sz w:val="24"/>
          <w:szCs w:val="24"/>
        </w:rPr>
        <w:lastRenderedPageBreak/>
        <w:t>to and exceed them, is important when analysing the competitors. Astra Zeneca created a blue ocean strategy in order to grasp opportunities that were known to cross over into the pharmaceutical industry and would be tremendously beneficial to the company and all of its customers. The company has surpassed them by examining both its own unexplored markets and those of its competitors</w:t>
      </w:r>
      <w:r w:rsidR="009538FA" w:rsidRPr="009538FA">
        <w:rPr>
          <w:rFonts w:ascii="Times New Roman" w:hAnsi="Times New Roman" w:cs="Times New Roman"/>
          <w:sz w:val="24"/>
          <w:szCs w:val="24"/>
        </w:rPr>
        <w:t xml:space="preserve"> (Holder et al., 2018)</w:t>
      </w:r>
      <w:r w:rsidRPr="009538FA">
        <w:rPr>
          <w:rFonts w:ascii="Times New Roman" w:hAnsi="Times New Roman" w:cs="Times New Roman"/>
          <w:sz w:val="24"/>
          <w:szCs w:val="24"/>
        </w:rPr>
        <w:t>.</w:t>
      </w:r>
    </w:p>
    <w:p w14:paraId="6A982503" w14:textId="77777777" w:rsidR="00A05C29" w:rsidRPr="009538FA" w:rsidRDefault="00A05C29" w:rsidP="009538FA">
      <w:pPr>
        <w:spacing w:line="360" w:lineRule="auto"/>
        <w:jc w:val="both"/>
        <w:rPr>
          <w:rFonts w:ascii="Times New Roman" w:hAnsi="Times New Roman" w:cs="Times New Roman"/>
          <w:sz w:val="24"/>
          <w:szCs w:val="24"/>
        </w:rPr>
      </w:pPr>
    </w:p>
    <w:p w14:paraId="6A982504" w14:textId="77777777" w:rsidR="0004433E" w:rsidRPr="009538FA" w:rsidRDefault="0004433E" w:rsidP="009538FA">
      <w:pPr>
        <w:pStyle w:val="Heading2"/>
        <w:spacing w:line="360" w:lineRule="auto"/>
        <w:jc w:val="both"/>
        <w:rPr>
          <w:rFonts w:cs="Times New Roman"/>
          <w:szCs w:val="24"/>
        </w:rPr>
      </w:pPr>
      <w:bookmarkStart w:id="9" w:name="_Toc122725036"/>
      <w:r w:rsidRPr="009538FA">
        <w:rPr>
          <w:rFonts w:cs="Times New Roman"/>
          <w:szCs w:val="24"/>
        </w:rPr>
        <w:t>2.7 Marketing Goals and Objectives</w:t>
      </w:r>
      <w:bookmarkEnd w:id="9"/>
    </w:p>
    <w:p w14:paraId="6A982505"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AstraZeneca wants to become the world’s biggest pharmaceutical business and enhance patient experiences via the provision of outstanding medicines that benefits patients and contribute values to its stakeholders and the community. The firm intends to work in conjunction with diverse participants in the sector to broaden its basis for success</w:t>
      </w:r>
      <w:r w:rsidR="009538FA" w:rsidRPr="009538FA">
        <w:rPr>
          <w:rFonts w:ascii="Times New Roman" w:hAnsi="Times New Roman" w:cs="Times New Roman"/>
          <w:sz w:val="24"/>
          <w:szCs w:val="24"/>
        </w:rPr>
        <w:t xml:space="preserve"> (Holder et al., 2018)</w:t>
      </w:r>
      <w:r w:rsidRPr="009538FA">
        <w:rPr>
          <w:rFonts w:ascii="Times New Roman" w:hAnsi="Times New Roman" w:cs="Times New Roman"/>
          <w:sz w:val="24"/>
          <w:szCs w:val="24"/>
        </w:rPr>
        <w:t>.</w:t>
      </w:r>
    </w:p>
    <w:p w14:paraId="6A982506" w14:textId="77777777" w:rsidR="0004433E" w:rsidRPr="009538FA" w:rsidRDefault="0004433E" w:rsidP="009538FA">
      <w:pPr>
        <w:spacing w:line="360" w:lineRule="auto"/>
        <w:jc w:val="both"/>
        <w:rPr>
          <w:rFonts w:ascii="Times New Roman" w:hAnsi="Times New Roman" w:cs="Times New Roman"/>
          <w:b/>
          <w:sz w:val="24"/>
          <w:szCs w:val="24"/>
        </w:rPr>
      </w:pPr>
      <w:r w:rsidRPr="009538FA">
        <w:rPr>
          <w:rFonts w:ascii="Times New Roman" w:hAnsi="Times New Roman" w:cs="Times New Roman"/>
          <w:b/>
          <w:sz w:val="24"/>
          <w:szCs w:val="24"/>
        </w:rPr>
        <w:t>Market Analysis</w:t>
      </w:r>
    </w:p>
    <w:p w14:paraId="6A982507"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There has been an upsurge in mortality owing to inflectional illnesses in developing nations as individuals in these countries lack the right medications. As such, the demand for healthcare in these nations is relatively high. In addition, substantial population growth in these nations boosts the need for pharmaceutical items. Therefore, AstraZeneca’s marketing approach should target the underdeveloped nations</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Evstratov</w:t>
      </w:r>
      <w:proofErr w:type="spellEnd"/>
      <w:r w:rsidR="009538FA" w:rsidRPr="009538FA">
        <w:rPr>
          <w:rFonts w:ascii="Times New Roman" w:hAnsi="Times New Roman" w:cs="Times New Roman"/>
          <w:sz w:val="24"/>
          <w:szCs w:val="24"/>
        </w:rPr>
        <w:t xml:space="preserve"> et al., 2019)</w:t>
      </w:r>
      <w:r w:rsidRPr="009538FA">
        <w:rPr>
          <w:rFonts w:ascii="Times New Roman" w:hAnsi="Times New Roman" w:cs="Times New Roman"/>
          <w:sz w:val="24"/>
          <w:szCs w:val="24"/>
        </w:rPr>
        <w:t>. The firm should supply medications for inflectional illnesses that are prominent in the nations. Despite the fact that AstraZeneca has operations in more than 100 countries, it should investigate the business climate of the nations prior to admission into the countries.</w:t>
      </w:r>
    </w:p>
    <w:p w14:paraId="6A982508" w14:textId="77777777" w:rsidR="0004433E" w:rsidRPr="009538FA" w:rsidRDefault="0004433E" w:rsidP="009538FA">
      <w:pPr>
        <w:pStyle w:val="Heading2"/>
        <w:spacing w:line="360" w:lineRule="auto"/>
        <w:jc w:val="both"/>
        <w:rPr>
          <w:rFonts w:cs="Times New Roman"/>
          <w:szCs w:val="24"/>
        </w:rPr>
      </w:pPr>
      <w:bookmarkStart w:id="10" w:name="_Toc122725037"/>
      <w:r w:rsidRPr="009538FA">
        <w:rPr>
          <w:rFonts w:cs="Times New Roman"/>
          <w:szCs w:val="24"/>
        </w:rPr>
        <w:t>2.8 Outlook and Recommendations</w:t>
      </w:r>
      <w:bookmarkEnd w:id="10"/>
    </w:p>
    <w:p w14:paraId="6A982509"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AZN should continue its corporate ambition of becoming an innovation-driven global biopharma firm. It should endeavour to win investor trust while still keeping its goal of being, which is to supply patients with the greatest treatments. Below are some of the suggestions and modifications that AstraZeneca should make to strengthen its short-term and long-term competitiveness</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Evstratov</w:t>
      </w:r>
      <w:proofErr w:type="spellEnd"/>
      <w:r w:rsidR="009538FA" w:rsidRPr="009538FA">
        <w:rPr>
          <w:rFonts w:ascii="Times New Roman" w:hAnsi="Times New Roman" w:cs="Times New Roman"/>
          <w:sz w:val="24"/>
          <w:szCs w:val="24"/>
        </w:rPr>
        <w:t xml:space="preserve"> et al., 2019)</w:t>
      </w:r>
      <w:r w:rsidRPr="009538FA">
        <w:rPr>
          <w:rFonts w:ascii="Times New Roman" w:hAnsi="Times New Roman" w:cs="Times New Roman"/>
          <w:sz w:val="24"/>
          <w:szCs w:val="24"/>
        </w:rPr>
        <w:t>.</w:t>
      </w:r>
    </w:p>
    <w:p w14:paraId="6A98250A" w14:textId="77777777" w:rsidR="0004433E" w:rsidRPr="009538FA" w:rsidRDefault="0004433E" w:rsidP="009538FA">
      <w:pPr>
        <w:spacing w:line="360" w:lineRule="auto"/>
        <w:jc w:val="both"/>
        <w:rPr>
          <w:rFonts w:ascii="Times New Roman" w:hAnsi="Times New Roman" w:cs="Times New Roman"/>
          <w:sz w:val="24"/>
          <w:szCs w:val="24"/>
        </w:rPr>
      </w:pPr>
      <w:r w:rsidRPr="009538FA">
        <w:rPr>
          <w:rFonts w:ascii="Times New Roman" w:hAnsi="Times New Roman" w:cs="Times New Roman"/>
          <w:sz w:val="24"/>
          <w:szCs w:val="24"/>
        </w:rPr>
        <w:t xml:space="preserve">Since IT integration is one of the company’s primary assets, AstraZeneca should guarantee that it spends more in IT to harness its skills. However, it is crucial for the organisation to ensure that this approach does not lead to the externalising of many ‘non-core’ tasks, which would eventually lead to the degradation of the company’s internal capabilities. AstraZeneca </w:t>
      </w:r>
      <w:r w:rsidRPr="009538FA">
        <w:rPr>
          <w:rFonts w:ascii="Times New Roman" w:hAnsi="Times New Roman" w:cs="Times New Roman"/>
          <w:sz w:val="24"/>
          <w:szCs w:val="24"/>
        </w:rPr>
        <w:lastRenderedPageBreak/>
        <w:t>should also utilise its cash reserves or explore for methods of obtaining more investment to conduct a big merger or acquisition akin to that of Pfizer/Wyeth</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Evstratov</w:t>
      </w:r>
      <w:proofErr w:type="spellEnd"/>
      <w:r w:rsidR="009538FA" w:rsidRPr="009538FA">
        <w:rPr>
          <w:rFonts w:ascii="Times New Roman" w:hAnsi="Times New Roman" w:cs="Times New Roman"/>
          <w:sz w:val="24"/>
          <w:szCs w:val="24"/>
        </w:rPr>
        <w:t xml:space="preserve"> et al., 2019)</w:t>
      </w:r>
      <w:r w:rsidRPr="009538FA">
        <w:rPr>
          <w:rFonts w:ascii="Times New Roman" w:hAnsi="Times New Roman" w:cs="Times New Roman"/>
          <w:sz w:val="24"/>
          <w:szCs w:val="24"/>
        </w:rPr>
        <w:t>. The merger would aid in increasing the company’s competences, which would eventually boost sales and profitability of the company. AstraZeneca does not concentrate on Alzheimer’s disease. This is despite the fact that the market for Alzheimer’s medications and associated items is estimated to reach more than US$ 1 trillion by 2050 in the U.S. alone. Capture of this market would assure future development and profitability of the company. AstraZeneca does not presently concentrate on obtaining generic manufacturing capability</w:t>
      </w:r>
      <w:r w:rsidR="009538FA" w:rsidRPr="009538FA">
        <w:rPr>
          <w:rFonts w:ascii="Times New Roman" w:hAnsi="Times New Roman" w:cs="Times New Roman"/>
          <w:sz w:val="24"/>
          <w:szCs w:val="24"/>
        </w:rPr>
        <w:t xml:space="preserve"> (</w:t>
      </w:r>
      <w:proofErr w:type="spellStart"/>
      <w:r w:rsidR="009538FA" w:rsidRPr="009538FA">
        <w:rPr>
          <w:rFonts w:ascii="Times New Roman" w:hAnsi="Times New Roman" w:cs="Times New Roman"/>
          <w:sz w:val="24"/>
          <w:szCs w:val="24"/>
        </w:rPr>
        <w:t>Evstratov</w:t>
      </w:r>
      <w:proofErr w:type="spellEnd"/>
      <w:r w:rsidR="009538FA" w:rsidRPr="009538FA">
        <w:rPr>
          <w:rFonts w:ascii="Times New Roman" w:hAnsi="Times New Roman" w:cs="Times New Roman"/>
          <w:sz w:val="24"/>
          <w:szCs w:val="24"/>
        </w:rPr>
        <w:t xml:space="preserve"> et al., 2019)</w:t>
      </w:r>
      <w:r w:rsidRPr="009538FA">
        <w:rPr>
          <w:rFonts w:ascii="Times New Roman" w:hAnsi="Times New Roman" w:cs="Times New Roman"/>
          <w:sz w:val="24"/>
          <w:szCs w:val="24"/>
        </w:rPr>
        <w:t>. The organisation should aim to gain these competencies as they may be a source of competitive advantage in the long run. It is necessary for AstraZeneca to make investments in business integration and culture development operations to guarantee the efficacy of the quick restructuring efforts.</w:t>
      </w:r>
    </w:p>
    <w:p w14:paraId="6A98250B" w14:textId="77777777" w:rsidR="00E00031" w:rsidRPr="009538FA" w:rsidRDefault="00E00031" w:rsidP="009538FA">
      <w:pPr>
        <w:pStyle w:val="Heading1"/>
        <w:spacing w:line="360" w:lineRule="auto"/>
        <w:jc w:val="both"/>
        <w:rPr>
          <w:rFonts w:cs="Times New Roman"/>
          <w:szCs w:val="24"/>
        </w:rPr>
      </w:pPr>
      <w:bookmarkStart w:id="11" w:name="_Toc122725038"/>
      <w:r w:rsidRPr="009538FA">
        <w:rPr>
          <w:rFonts w:cs="Times New Roman"/>
          <w:szCs w:val="24"/>
        </w:rPr>
        <w:t>Conclusion</w:t>
      </w:r>
      <w:bookmarkEnd w:id="11"/>
      <w:r w:rsidRPr="009538FA">
        <w:rPr>
          <w:rFonts w:cs="Times New Roman"/>
          <w:szCs w:val="24"/>
        </w:rPr>
        <w:t xml:space="preserve"> </w:t>
      </w:r>
    </w:p>
    <w:p w14:paraId="6A98250C" w14:textId="77777777" w:rsidR="00E00031" w:rsidRPr="009538FA" w:rsidRDefault="00E00031" w:rsidP="009538FA">
      <w:pPr>
        <w:spacing w:line="360" w:lineRule="auto"/>
        <w:jc w:val="both"/>
        <w:rPr>
          <w:rFonts w:ascii="Times New Roman" w:hAnsi="Times New Roman" w:cs="Times New Roman"/>
          <w:sz w:val="24"/>
          <w:szCs w:val="24"/>
          <w:lang w:val="en-US" w:bidi="ar-SA"/>
        </w:rPr>
      </w:pPr>
      <w:r w:rsidRPr="009538FA">
        <w:rPr>
          <w:rFonts w:ascii="Times New Roman" w:hAnsi="Times New Roman" w:cs="Times New Roman"/>
          <w:sz w:val="24"/>
          <w:szCs w:val="24"/>
          <w:lang w:val="en-US" w:bidi="ar-SA"/>
        </w:rPr>
        <w:t>AstraZeneca, which was established in 1999, has grown from humble beginnings to rank among the top pharmaceutical companies in the world. The corporate headquarters of the business are in London, United Kingdom. AstraZeneca aspires to be a leading biopharmaceutical company with a global presence. The pharmaceutical industry is dealing with a number of problems. One of the most significant problems that businesses in the industry face is patent expiration. For instance, just four out of the top ten pharmaceutical companies reported an increase in revenue. Pharmaceutical companies spend a lot of money on research and development. Among the top 10 pharmaceutical companies, AstraZeneca has the highest R&amp;D investment to drugs to market ratio. As a result, the return on R&amp;D expenditure is quite modest.  Astra Zeneca, the second-largest business in the UK, was established with the goal of researching sick systems and creating the drugs required to keep people alive. The Astra Zeneca Company was established following the merger of the UK-based Zeneca Company with Sweden's Astra. The firm is at the forefront of creating cancer and anesthetic therapies to eradicate diseases that impact humans. The company's headquarters are in London, and it has several research and development facilities spread around Europe.</w:t>
      </w:r>
    </w:p>
    <w:p w14:paraId="6A98250D" w14:textId="77777777" w:rsidR="00E00031" w:rsidRPr="009538FA" w:rsidRDefault="00E00031" w:rsidP="009538FA">
      <w:pPr>
        <w:spacing w:line="360" w:lineRule="auto"/>
        <w:jc w:val="both"/>
        <w:rPr>
          <w:rFonts w:ascii="Times New Roman" w:hAnsi="Times New Roman" w:cs="Times New Roman"/>
          <w:sz w:val="24"/>
          <w:szCs w:val="24"/>
          <w:lang w:val="en-US" w:bidi="ar-SA"/>
        </w:rPr>
      </w:pPr>
      <w:r w:rsidRPr="009538FA">
        <w:rPr>
          <w:rFonts w:ascii="Times New Roman" w:hAnsi="Times New Roman" w:cs="Times New Roman"/>
          <w:sz w:val="24"/>
          <w:szCs w:val="24"/>
          <w:lang w:val="en-US" w:bidi="ar-SA"/>
        </w:rPr>
        <w:t xml:space="preserve">The pharmaceutical business has a large profit margin and is heavily reliant on patents. Additionally, it employs highly qualified individuals. The generic drug market is currently experiencing significant competition as a result of widespread patent expiration, or the </w:t>
      </w:r>
      <w:r w:rsidRPr="009538FA">
        <w:rPr>
          <w:rFonts w:ascii="Times New Roman" w:hAnsi="Times New Roman" w:cs="Times New Roman"/>
          <w:sz w:val="24"/>
          <w:szCs w:val="24"/>
          <w:lang w:val="en-US" w:bidi="ar-SA"/>
        </w:rPr>
        <w:lastRenderedPageBreak/>
        <w:t>"patent cliff." One of the key developments in the sector has been the switch from the traditional chemical pharmaceuticals to biologics, which have an even higher profit margin. Targeting similar large-scale markets helps companies in the area compete. As a result, they may focus on diseases like cancer, diabetes, or heart conditions. Products designed to treat illnesses compete for market share. The next tier of organizations in the industry is made up of biotechs and other vendors.  A SWOT analysis is one additional way to examine Astra Zeneca and is a crucial method for analysing an organization's operational environment. The abbreviation SWOT is used to describe the company's existing strengths, weaknesses, opportunities, and threats as it strives to succeed. The way the business is run determines how strong Astra Zeneca is. The company's brand is well known for its potential to perform well in the treatment of ailments and for being a source of strength. Researching illnesses and potential cures is the main activity.</w:t>
      </w:r>
    </w:p>
    <w:p w14:paraId="6A98250E" w14:textId="77777777" w:rsidR="00E00031" w:rsidRPr="009538FA" w:rsidRDefault="00E00031" w:rsidP="009538FA">
      <w:pPr>
        <w:spacing w:line="360" w:lineRule="auto"/>
        <w:jc w:val="both"/>
        <w:rPr>
          <w:rFonts w:ascii="Times New Roman" w:hAnsi="Times New Roman" w:cs="Times New Roman"/>
          <w:sz w:val="24"/>
          <w:szCs w:val="24"/>
          <w:lang w:val="en-US" w:bidi="ar-SA"/>
        </w:rPr>
      </w:pPr>
      <w:r w:rsidRPr="009538FA">
        <w:rPr>
          <w:rFonts w:ascii="Times New Roman" w:hAnsi="Times New Roman" w:cs="Times New Roman"/>
          <w:sz w:val="24"/>
          <w:szCs w:val="24"/>
          <w:lang w:val="en-US" w:bidi="ar-SA"/>
        </w:rPr>
        <w:t>It is also possible to utilise Astra Zeneca's strategy to characterize the external business environment according to Porter's Five Forces analysis. The pharmaceutical sector is where Astra Zeneca works because of high entry barriers and high R&amp;D costs. The reason for this is that it is difficult for a firm to carry out the essential research and development when looking into the pharmaceutical industry. When it's crucial to consider the political, environmental, social, technological, legal, and environmental variables impacting Astra Zeneca Company and what has to be done to change them, a pestle analysis is utilised. Understanding the environment in which the firm is located and the current problems in the area might help with the study of the broad picture.</w:t>
      </w:r>
    </w:p>
    <w:p w14:paraId="6A98250F" w14:textId="77777777" w:rsidR="00E00031" w:rsidRPr="009538FA" w:rsidRDefault="00E00031" w:rsidP="009538FA">
      <w:pPr>
        <w:spacing w:after="200" w:line="360" w:lineRule="auto"/>
        <w:jc w:val="both"/>
        <w:rPr>
          <w:rFonts w:ascii="Times New Roman" w:hAnsi="Times New Roman" w:cs="Times New Roman"/>
          <w:sz w:val="24"/>
          <w:szCs w:val="24"/>
          <w:lang w:val="en-US" w:bidi="ar-SA"/>
        </w:rPr>
      </w:pPr>
      <w:r w:rsidRPr="009538FA">
        <w:rPr>
          <w:rFonts w:ascii="Times New Roman" w:hAnsi="Times New Roman" w:cs="Times New Roman"/>
          <w:sz w:val="24"/>
          <w:szCs w:val="24"/>
          <w:lang w:val="en-US" w:bidi="ar-SA"/>
        </w:rPr>
        <w:br w:type="page"/>
      </w:r>
    </w:p>
    <w:p w14:paraId="6A982510" w14:textId="77777777" w:rsidR="00E00031" w:rsidRPr="009538FA" w:rsidRDefault="00E00031" w:rsidP="009538FA">
      <w:pPr>
        <w:pStyle w:val="Heading1"/>
        <w:spacing w:line="360" w:lineRule="auto"/>
        <w:jc w:val="both"/>
        <w:rPr>
          <w:rFonts w:cs="Times New Roman"/>
          <w:szCs w:val="24"/>
        </w:rPr>
      </w:pPr>
      <w:bookmarkStart w:id="12" w:name="_Toc122725039"/>
      <w:r w:rsidRPr="009538FA">
        <w:rPr>
          <w:rFonts w:cs="Times New Roman"/>
          <w:szCs w:val="24"/>
        </w:rPr>
        <w:lastRenderedPageBreak/>
        <w:t>References</w:t>
      </w:r>
      <w:bookmarkEnd w:id="12"/>
      <w:r w:rsidRPr="009538FA">
        <w:rPr>
          <w:rFonts w:cs="Times New Roman"/>
          <w:szCs w:val="24"/>
        </w:rPr>
        <w:t xml:space="preserve"> </w:t>
      </w:r>
    </w:p>
    <w:p w14:paraId="6A982511" w14:textId="77777777" w:rsidR="009538FA" w:rsidRPr="009538FA" w:rsidRDefault="009538FA" w:rsidP="009538FA">
      <w:pPr>
        <w:pStyle w:val="NormalWeb"/>
        <w:spacing w:before="0" w:beforeAutospacing="0" w:after="240" w:afterAutospacing="0" w:line="360" w:lineRule="auto"/>
        <w:jc w:val="both"/>
      </w:pPr>
      <w:r w:rsidRPr="009538FA">
        <w:t xml:space="preserve">Al Ghanem, K., Al Qubaisi, N., Al Zaabi, H., Al </w:t>
      </w:r>
      <w:proofErr w:type="spellStart"/>
      <w:r w:rsidRPr="009538FA">
        <w:t>Dhahmani</w:t>
      </w:r>
      <w:proofErr w:type="spellEnd"/>
      <w:r w:rsidRPr="009538FA">
        <w:t xml:space="preserve">, L., Al </w:t>
      </w:r>
      <w:proofErr w:type="spellStart"/>
      <w:r w:rsidRPr="009538FA">
        <w:t>Naqbi</w:t>
      </w:r>
      <w:proofErr w:type="spellEnd"/>
      <w:r w:rsidRPr="009538FA">
        <w:t xml:space="preserve">, A., Al </w:t>
      </w:r>
      <w:proofErr w:type="spellStart"/>
      <w:r w:rsidRPr="009538FA">
        <w:t>Dhanhani</w:t>
      </w:r>
      <w:proofErr w:type="spellEnd"/>
      <w:r w:rsidRPr="009538FA">
        <w:t xml:space="preserve">, H., Al </w:t>
      </w:r>
      <w:proofErr w:type="spellStart"/>
      <w:r w:rsidRPr="009538FA">
        <w:t>Shamisi</w:t>
      </w:r>
      <w:proofErr w:type="spellEnd"/>
      <w:r w:rsidRPr="009538FA">
        <w:t xml:space="preserve">, F. and </w:t>
      </w:r>
      <w:proofErr w:type="spellStart"/>
      <w:r w:rsidRPr="009538FA">
        <w:t>Nobanee</w:t>
      </w:r>
      <w:proofErr w:type="spellEnd"/>
      <w:r w:rsidRPr="009538FA">
        <w:t xml:space="preserve">, H. (2021). </w:t>
      </w:r>
      <w:r w:rsidRPr="009538FA">
        <w:rPr>
          <w:i/>
          <w:iCs/>
        </w:rPr>
        <w:t>Financial Analysis of AstraZeneca</w:t>
      </w:r>
      <w:r w:rsidRPr="009538FA">
        <w:t>. [online] papers.ssrn.com. Available at: https://papers.ssrn.com/sol3/papers.cfm?abstract_id=3895292.</w:t>
      </w:r>
    </w:p>
    <w:p w14:paraId="6A982512" w14:textId="77777777" w:rsidR="009538FA" w:rsidRPr="009538FA" w:rsidRDefault="009538FA" w:rsidP="009538FA">
      <w:pPr>
        <w:pStyle w:val="NormalWeb"/>
        <w:spacing w:before="0" w:beforeAutospacing="0" w:after="240" w:afterAutospacing="0" w:line="360" w:lineRule="auto"/>
        <w:jc w:val="both"/>
      </w:pPr>
      <w:proofErr w:type="spellStart"/>
      <w:r w:rsidRPr="009538FA">
        <w:t>Anandarajan</w:t>
      </w:r>
      <w:proofErr w:type="spellEnd"/>
      <w:r w:rsidRPr="009538FA">
        <w:t xml:space="preserve">, M. and Harrison, T.D. (2018). </w:t>
      </w:r>
      <w:r w:rsidRPr="009538FA">
        <w:rPr>
          <w:i/>
          <w:iCs/>
        </w:rPr>
        <w:t>Aligning Business Strategies and Analytics: Bridging Between Theory and Practice</w:t>
      </w:r>
      <w:r w:rsidRPr="009538FA">
        <w:t xml:space="preserve">. [online] </w:t>
      </w:r>
      <w:r w:rsidRPr="009538FA">
        <w:rPr>
          <w:i/>
          <w:iCs/>
        </w:rPr>
        <w:t>Google Books</w:t>
      </w:r>
      <w:r w:rsidRPr="009538FA">
        <w:t>. Springer. Available at: https://books.google.com/books?hl=en&amp;lr=&amp;id=W8twDwAAQBAJ&amp;oi=fnd&amp;pg=PA67&amp;dq=market+expansion+of+astrazeneca [Accessed 23 Dec. 2022].</w:t>
      </w:r>
    </w:p>
    <w:p w14:paraId="6A982513" w14:textId="77777777" w:rsidR="009538FA" w:rsidRPr="009538FA" w:rsidRDefault="009538FA" w:rsidP="009538FA">
      <w:pPr>
        <w:pStyle w:val="NormalWeb"/>
        <w:spacing w:before="0" w:beforeAutospacing="0" w:after="240" w:afterAutospacing="0" w:line="360" w:lineRule="auto"/>
        <w:jc w:val="both"/>
      </w:pPr>
      <w:proofErr w:type="spellStart"/>
      <w:r w:rsidRPr="009538FA">
        <w:t>Balawejder</w:t>
      </w:r>
      <w:proofErr w:type="spellEnd"/>
      <w:r w:rsidRPr="009538FA">
        <w:t xml:space="preserve">, F., Sampson, S. and Stratton, T. (2021). </w:t>
      </w:r>
      <w:r w:rsidRPr="009538FA">
        <w:rPr>
          <w:i/>
          <w:iCs/>
        </w:rPr>
        <w:t>Lessons for industrial policy from development of the Oxford/AstraZeneca Covid-19 vaccine Industrial Strategy Council Research Paper</w:t>
      </w:r>
      <w:r w:rsidRPr="009538FA">
        <w:t>. [online] Available at: https://industrialstrategycouncil.org/sites/default/files/attachments/Covid-19%20vaccine%20-%20lessons%20for%20the%20IS.pdf.</w:t>
      </w:r>
    </w:p>
    <w:p w14:paraId="6A982514" w14:textId="77777777" w:rsidR="009538FA" w:rsidRPr="009538FA" w:rsidRDefault="009538FA" w:rsidP="009538FA">
      <w:pPr>
        <w:pStyle w:val="NormalWeb"/>
        <w:spacing w:before="0" w:beforeAutospacing="0" w:after="240" w:afterAutospacing="0" w:line="360" w:lineRule="auto"/>
        <w:jc w:val="both"/>
      </w:pPr>
      <w:proofErr w:type="spellStart"/>
      <w:r w:rsidRPr="009538FA">
        <w:t>Batraga</w:t>
      </w:r>
      <w:proofErr w:type="spellEnd"/>
      <w:r w:rsidRPr="009538FA">
        <w:t xml:space="preserve">, A., Kite, M., </w:t>
      </w:r>
      <w:proofErr w:type="spellStart"/>
      <w:r w:rsidRPr="009538FA">
        <w:t>Duboviks</w:t>
      </w:r>
      <w:proofErr w:type="spellEnd"/>
      <w:r w:rsidRPr="009538FA">
        <w:t xml:space="preserve">, J. and </w:t>
      </w:r>
      <w:proofErr w:type="spellStart"/>
      <w:r w:rsidRPr="009538FA">
        <w:t>Salkovska</w:t>
      </w:r>
      <w:proofErr w:type="spellEnd"/>
      <w:r w:rsidRPr="009538FA">
        <w:t xml:space="preserve">, J. (2020). </w:t>
      </w:r>
      <w:r w:rsidRPr="009538FA">
        <w:rPr>
          <w:i/>
          <w:iCs/>
        </w:rPr>
        <w:t>Possible consequences of Brexit on European pharmaceutical market</w:t>
      </w:r>
      <w:r w:rsidRPr="009538FA">
        <w:t xml:space="preserve">. [online] </w:t>
      </w:r>
      <w:r w:rsidRPr="009538FA">
        <w:rPr>
          <w:i/>
          <w:iCs/>
        </w:rPr>
        <w:t>dspace.lu.lv</w:t>
      </w:r>
      <w:r w:rsidRPr="009538FA">
        <w:t>. University of Latvia. Available at: http://dspace.lu.lv/dspace/handle/7/54169.</w:t>
      </w:r>
    </w:p>
    <w:p w14:paraId="6A982515" w14:textId="77777777" w:rsidR="009538FA" w:rsidRPr="009538FA" w:rsidRDefault="009538FA" w:rsidP="009538FA">
      <w:pPr>
        <w:pStyle w:val="NormalWeb"/>
        <w:spacing w:before="0" w:beforeAutospacing="0" w:after="240" w:afterAutospacing="0" w:line="360" w:lineRule="auto"/>
        <w:jc w:val="both"/>
      </w:pPr>
      <w:r w:rsidRPr="009538FA">
        <w:t>Cross, S., Rho, Y., Reddy, H., Pepperrell, T., Rodgers, F., Osborne, R., Eni-</w:t>
      </w:r>
      <w:proofErr w:type="spellStart"/>
      <w:r w:rsidRPr="009538FA">
        <w:t>Olotu</w:t>
      </w:r>
      <w:proofErr w:type="spellEnd"/>
      <w:r w:rsidRPr="009538FA">
        <w:t xml:space="preserve">, A., Banerjee, R., </w:t>
      </w:r>
      <w:proofErr w:type="spellStart"/>
      <w:r w:rsidRPr="009538FA">
        <w:t>Wimmer</w:t>
      </w:r>
      <w:proofErr w:type="spellEnd"/>
      <w:r w:rsidRPr="009538FA">
        <w:t xml:space="preserve">, S. and </w:t>
      </w:r>
      <w:proofErr w:type="spellStart"/>
      <w:r w:rsidRPr="009538FA">
        <w:t>Keestra</w:t>
      </w:r>
      <w:proofErr w:type="spellEnd"/>
      <w:r w:rsidRPr="009538FA">
        <w:t xml:space="preserve">, S. (2021). Who funded the research behind the Oxford–AstraZeneca COVID-19 vaccine? </w:t>
      </w:r>
      <w:r w:rsidRPr="009538FA">
        <w:rPr>
          <w:i/>
          <w:iCs/>
        </w:rPr>
        <w:t>BMJ Global Health</w:t>
      </w:r>
      <w:r w:rsidRPr="009538FA">
        <w:t>, 6(12), p.e007321. doi:10.1136/bmjgh-2021-007321.</w:t>
      </w:r>
    </w:p>
    <w:p w14:paraId="6A982516" w14:textId="77777777" w:rsidR="009538FA" w:rsidRPr="009538FA" w:rsidRDefault="009538FA" w:rsidP="009538FA">
      <w:pPr>
        <w:pStyle w:val="NormalWeb"/>
        <w:spacing w:before="0" w:beforeAutospacing="0" w:after="240" w:afterAutospacing="0" w:line="360" w:lineRule="auto"/>
        <w:jc w:val="both"/>
      </w:pPr>
      <w:proofErr w:type="spellStart"/>
      <w:r w:rsidRPr="009538FA">
        <w:t>Evstratov</w:t>
      </w:r>
      <w:proofErr w:type="spellEnd"/>
      <w:r w:rsidRPr="009538FA">
        <w:t xml:space="preserve">, A., </w:t>
      </w:r>
      <w:proofErr w:type="spellStart"/>
      <w:r w:rsidRPr="009538FA">
        <w:t>Ezangina</w:t>
      </w:r>
      <w:proofErr w:type="spellEnd"/>
      <w:r w:rsidRPr="009538FA">
        <w:t xml:space="preserve">, I., Shendo, M. and </w:t>
      </w:r>
      <w:proofErr w:type="spellStart"/>
      <w:r w:rsidRPr="009538FA">
        <w:t>Luneva</w:t>
      </w:r>
      <w:proofErr w:type="spellEnd"/>
      <w:r w:rsidRPr="009538FA">
        <w:t xml:space="preserve">, T. (2019). </w:t>
      </w:r>
      <w:r w:rsidRPr="009538FA">
        <w:rPr>
          <w:i/>
          <w:iCs/>
        </w:rPr>
        <w:t>Mergers and acquisitions on the pharmaceutical market: global experience and Russian specifics</w:t>
      </w:r>
      <w:r w:rsidRPr="009538FA">
        <w:t>. [online] www.atlantis-press.com. doi:10.2991/cssdre-19.2019.12.</w:t>
      </w:r>
    </w:p>
    <w:p w14:paraId="6A982517" w14:textId="77777777" w:rsidR="009538FA" w:rsidRPr="009538FA" w:rsidRDefault="009538FA" w:rsidP="009538FA">
      <w:pPr>
        <w:pStyle w:val="NormalWeb"/>
        <w:spacing w:before="0" w:beforeAutospacing="0" w:after="240" w:afterAutospacing="0" w:line="360" w:lineRule="auto"/>
        <w:jc w:val="both"/>
      </w:pPr>
      <w:r w:rsidRPr="009538FA">
        <w:t xml:space="preserve">Holder, M., </w:t>
      </w:r>
      <w:proofErr w:type="spellStart"/>
      <w:r w:rsidRPr="009538FA">
        <w:t>Devpura</w:t>
      </w:r>
      <w:proofErr w:type="spellEnd"/>
      <w:r w:rsidRPr="009538FA">
        <w:t xml:space="preserve">, A., Lee, A. and Chandran, S. (2018). Aligning Data Analytics and Supply Chain Strategy in the Biopharmaceutical Industry. </w:t>
      </w:r>
      <w:r w:rsidRPr="009538FA">
        <w:rPr>
          <w:i/>
          <w:iCs/>
        </w:rPr>
        <w:t>Advances in Analytics and Data Science</w:t>
      </w:r>
      <w:r w:rsidRPr="009538FA">
        <w:t>, pp.67–78. doi:10.1007/978-3-319-93299-6_5.</w:t>
      </w:r>
    </w:p>
    <w:p w14:paraId="6A982518" w14:textId="77777777" w:rsidR="009538FA" w:rsidRPr="009538FA" w:rsidRDefault="009538FA" w:rsidP="009538FA">
      <w:pPr>
        <w:pStyle w:val="NormalWeb"/>
        <w:spacing w:before="0" w:beforeAutospacing="0" w:after="240" w:afterAutospacing="0" w:line="360" w:lineRule="auto"/>
        <w:jc w:val="both"/>
      </w:pPr>
      <w:proofErr w:type="spellStart"/>
      <w:r w:rsidRPr="009538FA">
        <w:t>Jeive</w:t>
      </w:r>
      <w:proofErr w:type="spellEnd"/>
      <w:r w:rsidRPr="009538FA">
        <w:t xml:space="preserve">, M. and Saner, R. (2019). Negotiating international strategic alliances: success and failures - some closing thoughts. </w:t>
      </w:r>
      <w:r w:rsidRPr="009538FA">
        <w:rPr>
          <w:i/>
          <w:iCs/>
        </w:rPr>
        <w:t>European J. of International Management</w:t>
      </w:r>
      <w:r w:rsidRPr="009538FA">
        <w:t>, 13(5), p.700. doi:10.1504/ejim.2019.102007.</w:t>
      </w:r>
    </w:p>
    <w:p w14:paraId="6A982519" w14:textId="77777777" w:rsidR="009538FA" w:rsidRPr="009538FA" w:rsidRDefault="009538FA" w:rsidP="009538FA">
      <w:pPr>
        <w:pStyle w:val="NormalWeb"/>
        <w:spacing w:before="0" w:beforeAutospacing="0" w:after="240" w:afterAutospacing="0" w:line="360" w:lineRule="auto"/>
        <w:jc w:val="both"/>
      </w:pPr>
      <w:r w:rsidRPr="009538FA">
        <w:lastRenderedPageBreak/>
        <w:t xml:space="preserve">Kent, C., Coupland, B., Barnard, C., Schofield, J. and </w:t>
      </w:r>
      <w:proofErr w:type="spellStart"/>
      <w:r w:rsidRPr="009538FA">
        <w:t>Afif</w:t>
      </w:r>
      <w:proofErr w:type="spellEnd"/>
      <w:r w:rsidRPr="009538FA">
        <w:t xml:space="preserve">-Rider, S. (2021). The Evolution of SEND at AstraZeneca. </w:t>
      </w:r>
      <w:r w:rsidRPr="009538FA">
        <w:rPr>
          <w:i/>
          <w:iCs/>
        </w:rPr>
        <w:t>Regulatory Toxicology and Pharmacology</w:t>
      </w:r>
      <w:r w:rsidRPr="009538FA">
        <w:t>, 123, p.104954. doi:10.1016/j.yrtph.2021.104954.</w:t>
      </w:r>
    </w:p>
    <w:p w14:paraId="6A98251A" w14:textId="77777777" w:rsidR="009538FA" w:rsidRPr="009538FA" w:rsidRDefault="009538FA" w:rsidP="009538FA">
      <w:pPr>
        <w:pStyle w:val="NormalWeb"/>
        <w:spacing w:before="0" w:beforeAutospacing="0" w:after="240" w:afterAutospacing="0" w:line="360" w:lineRule="auto"/>
        <w:jc w:val="both"/>
      </w:pPr>
      <w:proofErr w:type="spellStart"/>
      <w:r w:rsidRPr="009538FA">
        <w:t>Remneland</w:t>
      </w:r>
      <w:proofErr w:type="spellEnd"/>
      <w:r w:rsidRPr="009538FA">
        <w:t xml:space="preserve"> </w:t>
      </w:r>
      <w:proofErr w:type="spellStart"/>
      <w:r w:rsidRPr="009538FA">
        <w:t>Wikhamn</w:t>
      </w:r>
      <w:proofErr w:type="spellEnd"/>
      <w:r w:rsidRPr="009538FA">
        <w:t xml:space="preserve">, B. and </w:t>
      </w:r>
      <w:proofErr w:type="spellStart"/>
      <w:r w:rsidRPr="009538FA">
        <w:t>Styhre</w:t>
      </w:r>
      <w:proofErr w:type="spellEnd"/>
      <w:r w:rsidRPr="009538FA">
        <w:t xml:space="preserve">, A. (2018). Managerial challenges of outbound open innovation: a study of a spinout initiative in AstraZeneca. </w:t>
      </w:r>
      <w:r w:rsidRPr="009538FA">
        <w:rPr>
          <w:i/>
          <w:iCs/>
        </w:rPr>
        <w:t>R&amp;D Management</w:t>
      </w:r>
      <w:r w:rsidRPr="009538FA">
        <w:t>. doi:10.1111/radm.12355.</w:t>
      </w:r>
    </w:p>
    <w:p w14:paraId="6A98251B" w14:textId="77777777" w:rsidR="009538FA" w:rsidRPr="009538FA" w:rsidRDefault="009538FA" w:rsidP="009538FA">
      <w:pPr>
        <w:pStyle w:val="NormalWeb"/>
        <w:spacing w:before="0" w:beforeAutospacing="0" w:after="240" w:afterAutospacing="0" w:line="360" w:lineRule="auto"/>
        <w:jc w:val="both"/>
      </w:pPr>
      <w:proofErr w:type="spellStart"/>
      <w:r w:rsidRPr="009538FA">
        <w:t>Remneland</w:t>
      </w:r>
      <w:proofErr w:type="spellEnd"/>
      <w:r w:rsidRPr="009538FA">
        <w:t xml:space="preserve"> </w:t>
      </w:r>
      <w:proofErr w:type="spellStart"/>
      <w:r w:rsidRPr="009538FA">
        <w:t>Wikhamn</w:t>
      </w:r>
      <w:proofErr w:type="spellEnd"/>
      <w:r w:rsidRPr="009538FA">
        <w:t xml:space="preserve">, B. and </w:t>
      </w:r>
      <w:proofErr w:type="spellStart"/>
      <w:r w:rsidRPr="009538FA">
        <w:t>Styhre</w:t>
      </w:r>
      <w:proofErr w:type="spellEnd"/>
      <w:r w:rsidRPr="009538FA">
        <w:t xml:space="preserve">, A. (2019). Corporate hub as a governance structure for coupled open innovation in large firms. </w:t>
      </w:r>
      <w:r w:rsidRPr="009538FA">
        <w:rPr>
          <w:i/>
          <w:iCs/>
        </w:rPr>
        <w:t>Creativity and Innovation Management</w:t>
      </w:r>
      <w:r w:rsidRPr="009538FA">
        <w:t>, 28(4), pp.450–463. doi:10.1111/caim.12338.</w:t>
      </w:r>
    </w:p>
    <w:p w14:paraId="6A98251C" w14:textId="77777777" w:rsidR="009538FA" w:rsidRPr="009538FA" w:rsidRDefault="009538FA" w:rsidP="009538FA">
      <w:pPr>
        <w:pStyle w:val="NormalWeb"/>
        <w:spacing w:before="0" w:beforeAutospacing="0" w:after="240" w:afterAutospacing="0" w:line="360" w:lineRule="auto"/>
        <w:jc w:val="both"/>
      </w:pPr>
      <w:proofErr w:type="spellStart"/>
      <w:r w:rsidRPr="009538FA">
        <w:t>Runiewicz-Wardyn</w:t>
      </w:r>
      <w:proofErr w:type="spellEnd"/>
      <w:r w:rsidRPr="009538FA">
        <w:t xml:space="preserve">, M. and </w:t>
      </w:r>
      <w:proofErr w:type="spellStart"/>
      <w:r w:rsidRPr="009538FA">
        <w:t>Eliashvili</w:t>
      </w:r>
      <w:proofErr w:type="spellEnd"/>
      <w:r w:rsidRPr="009538FA">
        <w:t xml:space="preserve">, T. (2022). Open Innovation Practices and Open Innovation Culture in the Life-Sciences Clusters. The Case of AstraZeneca. </w:t>
      </w:r>
      <w:r w:rsidRPr="009538FA">
        <w:rPr>
          <w:i/>
          <w:iCs/>
        </w:rPr>
        <w:t>European Journal of Business and Management Research</w:t>
      </w:r>
      <w:r w:rsidRPr="009538FA">
        <w:t>, 7(1), pp.35–43. doi:10.24018/ejbmr.2022.7.1.1201.</w:t>
      </w:r>
    </w:p>
    <w:p w14:paraId="6A98251D" w14:textId="77777777" w:rsidR="009538FA" w:rsidRPr="009538FA" w:rsidRDefault="009538FA" w:rsidP="009538FA">
      <w:pPr>
        <w:pStyle w:val="NormalWeb"/>
        <w:spacing w:before="0" w:beforeAutospacing="0" w:after="240" w:afterAutospacing="0" w:line="360" w:lineRule="auto"/>
        <w:jc w:val="both"/>
      </w:pPr>
      <w:r w:rsidRPr="009538FA">
        <w:t xml:space="preserve">Sami, A. (2022). Corporate Social Responsibility is NOT an Option is an Investment: A Study of AstraZeneca. </w:t>
      </w:r>
      <w:r w:rsidRPr="009538FA">
        <w:rPr>
          <w:i/>
          <w:iCs/>
        </w:rPr>
        <w:t>Asian Journal of Economics, Finance and Management</w:t>
      </w:r>
      <w:r w:rsidRPr="009538FA">
        <w:t>, [online] pp.45–52. Available at: https://www.globalpresshub.com/index.php/AJEFM/article/view/1656.</w:t>
      </w:r>
    </w:p>
    <w:p w14:paraId="6A98251E" w14:textId="77777777" w:rsidR="009538FA" w:rsidRPr="009538FA" w:rsidRDefault="009538FA" w:rsidP="009538FA">
      <w:pPr>
        <w:pStyle w:val="NormalWeb"/>
        <w:spacing w:before="0" w:beforeAutospacing="0" w:after="240" w:afterAutospacing="0" w:line="360" w:lineRule="auto"/>
        <w:jc w:val="both"/>
      </w:pPr>
      <w:proofErr w:type="spellStart"/>
      <w:r w:rsidRPr="009538FA">
        <w:t>Schuhmacher</w:t>
      </w:r>
      <w:proofErr w:type="spellEnd"/>
      <w:r w:rsidRPr="009538FA">
        <w:t xml:space="preserve">, A., Gassmann, O., </w:t>
      </w:r>
      <w:proofErr w:type="spellStart"/>
      <w:r w:rsidRPr="009538FA">
        <w:t>Bieniok</w:t>
      </w:r>
      <w:proofErr w:type="spellEnd"/>
      <w:r w:rsidRPr="009538FA">
        <w:t xml:space="preserve">, D., Hinder, M. and </w:t>
      </w:r>
      <w:proofErr w:type="spellStart"/>
      <w:r w:rsidRPr="009538FA">
        <w:t>Hartl</w:t>
      </w:r>
      <w:proofErr w:type="spellEnd"/>
      <w:r w:rsidRPr="009538FA">
        <w:t xml:space="preserve">, D. (2022). Open innovation: A paradigm shift in pharma R&amp;D? </w:t>
      </w:r>
      <w:r w:rsidRPr="009538FA">
        <w:rPr>
          <w:i/>
          <w:iCs/>
        </w:rPr>
        <w:t>Drug Discovery Today</w:t>
      </w:r>
      <w:r w:rsidRPr="009538FA">
        <w:t>. doi:10.1016/j.drudis.2022.05.018.</w:t>
      </w:r>
    </w:p>
    <w:p w14:paraId="6A98251F" w14:textId="77777777" w:rsidR="009538FA" w:rsidRPr="009538FA" w:rsidRDefault="009538FA" w:rsidP="009538FA">
      <w:pPr>
        <w:pStyle w:val="NormalWeb"/>
        <w:spacing w:before="0" w:beforeAutospacing="0" w:after="240" w:afterAutospacing="0" w:line="360" w:lineRule="auto"/>
        <w:jc w:val="both"/>
      </w:pPr>
      <w:r w:rsidRPr="009538FA">
        <w:t xml:space="preserve">Somasundaram, V., </w:t>
      </w:r>
      <w:proofErr w:type="spellStart"/>
      <w:r w:rsidRPr="009538FA">
        <w:t>Soukas</w:t>
      </w:r>
      <w:proofErr w:type="spellEnd"/>
      <w:r w:rsidRPr="009538FA">
        <w:t xml:space="preserve">, P., Patel, J. and Ferguson, S. (2021). Considerations for Potential Global Expansion of Serum Institute of India. </w:t>
      </w:r>
      <w:r w:rsidRPr="009538FA">
        <w:rPr>
          <w:i/>
          <w:iCs/>
        </w:rPr>
        <w:t>Journal of commercial biotechnology</w:t>
      </w:r>
      <w:r w:rsidRPr="009538FA">
        <w:t>, [online] 26(4), p.10.5912/jcb1006. doi:10.5912/jcb1006.</w:t>
      </w:r>
    </w:p>
    <w:p w14:paraId="6A982520" w14:textId="77777777" w:rsidR="009538FA" w:rsidRPr="009538FA" w:rsidRDefault="009538FA" w:rsidP="009538FA">
      <w:pPr>
        <w:pStyle w:val="NormalWeb"/>
        <w:spacing w:before="0" w:beforeAutospacing="0" w:after="240" w:afterAutospacing="0" w:line="360" w:lineRule="auto"/>
        <w:jc w:val="both"/>
      </w:pPr>
      <w:r w:rsidRPr="009538FA">
        <w:t xml:space="preserve">Willigers, B. (2020). How advanced analytics create (Core) value: an example from a pharmaceutical company, AstraZeneca. </w:t>
      </w:r>
      <w:r w:rsidRPr="009538FA">
        <w:rPr>
          <w:i/>
          <w:iCs/>
        </w:rPr>
        <w:t>Journal of Business Analytics</w:t>
      </w:r>
      <w:r w:rsidRPr="009538FA">
        <w:t>, pp.1–15. doi:10.1080/2573234x.2020.1829508.</w:t>
      </w:r>
    </w:p>
    <w:p w14:paraId="6A982521" w14:textId="77777777" w:rsidR="009538FA" w:rsidRPr="009538FA" w:rsidRDefault="009538FA" w:rsidP="009538FA">
      <w:pPr>
        <w:pStyle w:val="NormalWeb"/>
        <w:spacing w:before="0" w:beforeAutospacing="0" w:after="240" w:afterAutospacing="0" w:line="360" w:lineRule="auto"/>
        <w:jc w:val="both"/>
      </w:pPr>
      <w:r w:rsidRPr="009538FA">
        <w:t xml:space="preserve">Zhao, S., Tan, H., </w:t>
      </w:r>
      <w:proofErr w:type="spellStart"/>
      <w:r w:rsidRPr="009538FA">
        <w:t>Papanastassiou</w:t>
      </w:r>
      <w:proofErr w:type="spellEnd"/>
      <w:r w:rsidRPr="009538FA">
        <w:t xml:space="preserve">, M. and </w:t>
      </w:r>
      <w:proofErr w:type="spellStart"/>
      <w:r w:rsidRPr="009538FA">
        <w:t>Harzing</w:t>
      </w:r>
      <w:proofErr w:type="spellEnd"/>
      <w:r w:rsidRPr="009538FA">
        <w:t xml:space="preserve">, A.-W. (2019). The internationalization of innovation towards the South: A historical case study of a global pharmaceutical corporation </w:t>
      </w:r>
      <w:r w:rsidRPr="009538FA">
        <w:lastRenderedPageBreak/>
        <w:t xml:space="preserve">in China (1993–2017). </w:t>
      </w:r>
      <w:r w:rsidRPr="009538FA">
        <w:rPr>
          <w:i/>
          <w:iCs/>
        </w:rPr>
        <w:t>Asia Pacific Journal of Management</w:t>
      </w:r>
      <w:r w:rsidRPr="009538FA">
        <w:t>, 37(2), pp.553–585. doi:10.1007/s10490-018-9620-x.</w:t>
      </w:r>
    </w:p>
    <w:p w14:paraId="6A982522" w14:textId="77777777" w:rsidR="00E00031" w:rsidRPr="009538FA" w:rsidRDefault="00E00031" w:rsidP="009538FA">
      <w:pPr>
        <w:spacing w:line="360" w:lineRule="auto"/>
        <w:jc w:val="both"/>
        <w:rPr>
          <w:rFonts w:ascii="Times New Roman" w:hAnsi="Times New Roman" w:cs="Times New Roman"/>
          <w:sz w:val="24"/>
          <w:szCs w:val="24"/>
          <w:lang w:val="en-US" w:bidi="ar-SA"/>
        </w:rPr>
      </w:pPr>
    </w:p>
    <w:p w14:paraId="6A982523" w14:textId="77777777" w:rsidR="000B2CF8" w:rsidRPr="009538FA" w:rsidRDefault="000B2CF8" w:rsidP="009538FA">
      <w:pPr>
        <w:spacing w:line="360" w:lineRule="auto"/>
        <w:jc w:val="both"/>
        <w:rPr>
          <w:rFonts w:ascii="Times New Roman" w:hAnsi="Times New Roman" w:cs="Times New Roman"/>
          <w:sz w:val="24"/>
          <w:szCs w:val="24"/>
        </w:rPr>
      </w:pPr>
    </w:p>
    <w:sectPr w:rsidR="000B2CF8" w:rsidRPr="009538FA" w:rsidSect="00740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ngsana New">
    <w:altName w:val="Leelawadee UI"/>
    <w:panose1 w:val="02020603050405020304"/>
    <w:charset w:val="DE"/>
    <w:family w:val="roman"/>
    <w:notTrueType/>
    <w:pitch w:val="variable"/>
    <w:sig w:usb0="01000000" w:usb1="00000000" w:usb2="00000000" w:usb3="00000000" w:csb0="00010000"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15D02"/>
    <w:rsid w:val="0001285F"/>
    <w:rsid w:val="00024449"/>
    <w:rsid w:val="0004433E"/>
    <w:rsid w:val="00085DFB"/>
    <w:rsid w:val="000A5FDB"/>
    <w:rsid w:val="000B2CF8"/>
    <w:rsid w:val="004B4E6D"/>
    <w:rsid w:val="00895C68"/>
    <w:rsid w:val="009538FA"/>
    <w:rsid w:val="00A05C29"/>
    <w:rsid w:val="00A3569D"/>
    <w:rsid w:val="00CE57D8"/>
    <w:rsid w:val="00DC4725"/>
    <w:rsid w:val="00E00031"/>
    <w:rsid w:val="00E15D02"/>
    <w:rsid w:val="00FE2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824B2"/>
  <w15:docId w15:val="{03A73756-C2C7-4046-B419-A9EFAE876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33E"/>
    <w:pPr>
      <w:spacing w:after="160" w:line="259" w:lineRule="auto"/>
    </w:pPr>
    <w:rPr>
      <w:rFonts w:eastAsiaTheme="minorHAnsi"/>
      <w:szCs w:val="28"/>
      <w:lang w:val="en-IN" w:bidi="th-TH"/>
    </w:rPr>
  </w:style>
  <w:style w:type="paragraph" w:styleId="Heading1">
    <w:name w:val="heading 1"/>
    <w:basedOn w:val="Normal"/>
    <w:next w:val="Normal"/>
    <w:link w:val="Heading1Char"/>
    <w:uiPriority w:val="9"/>
    <w:qFormat/>
    <w:rsid w:val="00E15D02"/>
    <w:pPr>
      <w:keepNext/>
      <w:keepLines/>
      <w:spacing w:before="480" w:after="0" w:line="276" w:lineRule="auto"/>
      <w:outlineLvl w:val="0"/>
    </w:pPr>
    <w:rPr>
      <w:rFonts w:ascii="Times New Roman" w:eastAsiaTheme="majorEastAsia" w:hAnsi="Times New Roman" w:cstheme="majorBidi"/>
      <w:b/>
      <w:bCs/>
      <w:sz w:val="24"/>
      <w:lang w:val="en-US" w:bidi="ar-SA"/>
    </w:rPr>
  </w:style>
  <w:style w:type="paragraph" w:styleId="Heading2">
    <w:name w:val="heading 2"/>
    <w:basedOn w:val="Normal"/>
    <w:next w:val="Normal"/>
    <w:link w:val="Heading2Char"/>
    <w:uiPriority w:val="9"/>
    <w:unhideWhenUsed/>
    <w:qFormat/>
    <w:rsid w:val="00E15D02"/>
    <w:pPr>
      <w:keepNext/>
      <w:keepLines/>
      <w:spacing w:before="200" w:after="0" w:line="276" w:lineRule="auto"/>
      <w:outlineLvl w:val="1"/>
    </w:pPr>
    <w:rPr>
      <w:rFonts w:ascii="Times New Roman" w:eastAsiaTheme="majorEastAsia" w:hAnsi="Times New Roman" w:cstheme="majorBidi"/>
      <w:b/>
      <w:bCs/>
      <w:sz w:val="24"/>
      <w:szCs w:val="26"/>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D0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15D02"/>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9538FA"/>
    <w:pPr>
      <w:spacing w:before="100" w:beforeAutospacing="1" w:after="100" w:afterAutospacing="1" w:line="240" w:lineRule="auto"/>
    </w:pPr>
    <w:rPr>
      <w:rFonts w:ascii="Times New Roman" w:eastAsia="Times New Roman" w:hAnsi="Times New Roman" w:cs="Times New Roman"/>
      <w:sz w:val="24"/>
      <w:szCs w:val="24"/>
      <w:lang w:val="en-US" w:bidi="ar-SA"/>
    </w:rPr>
  </w:style>
  <w:style w:type="paragraph" w:styleId="TOCHeading">
    <w:name w:val="TOC Heading"/>
    <w:basedOn w:val="Heading1"/>
    <w:next w:val="Normal"/>
    <w:uiPriority w:val="39"/>
    <w:semiHidden/>
    <w:unhideWhenUsed/>
    <w:qFormat/>
    <w:rsid w:val="009538FA"/>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538FA"/>
    <w:pPr>
      <w:spacing w:after="100"/>
    </w:pPr>
    <w:rPr>
      <w:rFonts w:cs="Angsana New"/>
    </w:rPr>
  </w:style>
  <w:style w:type="paragraph" w:styleId="TOC2">
    <w:name w:val="toc 2"/>
    <w:basedOn w:val="Normal"/>
    <w:next w:val="Normal"/>
    <w:autoRedefine/>
    <w:uiPriority w:val="39"/>
    <w:unhideWhenUsed/>
    <w:rsid w:val="009538FA"/>
    <w:pPr>
      <w:spacing w:after="100"/>
      <w:ind w:left="220"/>
    </w:pPr>
    <w:rPr>
      <w:rFonts w:cs="Angsana New"/>
    </w:rPr>
  </w:style>
  <w:style w:type="character" w:styleId="Hyperlink">
    <w:name w:val="Hyperlink"/>
    <w:basedOn w:val="DefaultParagraphFont"/>
    <w:uiPriority w:val="99"/>
    <w:unhideWhenUsed/>
    <w:rsid w:val="009538FA"/>
    <w:rPr>
      <w:color w:val="0000FF" w:themeColor="hyperlink"/>
      <w:u w:val="single"/>
    </w:rPr>
  </w:style>
  <w:style w:type="paragraph" w:styleId="BalloonText">
    <w:name w:val="Balloon Text"/>
    <w:basedOn w:val="Normal"/>
    <w:link w:val="BalloonTextChar"/>
    <w:uiPriority w:val="99"/>
    <w:semiHidden/>
    <w:unhideWhenUsed/>
    <w:rsid w:val="009538FA"/>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9538FA"/>
    <w:rPr>
      <w:rFonts w:ascii="Tahoma" w:eastAsiaTheme="minorHAnsi" w:hAnsi="Tahoma" w:cs="Angsana New"/>
      <w:sz w:val="16"/>
      <w:szCs w:val="20"/>
      <w:lang w:val="en-IN" w:bidi="th-T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595440">
      <w:bodyDiv w:val="1"/>
      <w:marLeft w:val="0"/>
      <w:marRight w:val="0"/>
      <w:marTop w:val="0"/>
      <w:marBottom w:val="0"/>
      <w:divBdr>
        <w:top w:val="none" w:sz="0" w:space="0" w:color="auto"/>
        <w:left w:val="none" w:sz="0" w:space="0" w:color="auto"/>
        <w:bottom w:val="none" w:sz="0" w:space="0" w:color="auto"/>
        <w:right w:val="none" w:sz="0" w:space="0" w:color="auto"/>
      </w:divBdr>
    </w:div>
    <w:div w:id="734738100">
      <w:bodyDiv w:val="1"/>
      <w:marLeft w:val="0"/>
      <w:marRight w:val="0"/>
      <w:marTop w:val="0"/>
      <w:marBottom w:val="0"/>
      <w:divBdr>
        <w:top w:val="none" w:sz="0" w:space="0" w:color="auto"/>
        <w:left w:val="none" w:sz="0" w:space="0" w:color="auto"/>
        <w:bottom w:val="none" w:sz="0" w:space="0" w:color="auto"/>
        <w:right w:val="none" w:sz="0" w:space="0" w:color="auto"/>
      </w:divBdr>
    </w:div>
    <w:div w:id="2125341161">
      <w:bodyDiv w:val="1"/>
      <w:marLeft w:val="0"/>
      <w:marRight w:val="0"/>
      <w:marTop w:val="0"/>
      <w:marBottom w:val="0"/>
      <w:divBdr>
        <w:top w:val="none" w:sz="0" w:space="0" w:color="auto"/>
        <w:left w:val="none" w:sz="0" w:space="0" w:color="auto"/>
        <w:bottom w:val="none" w:sz="0" w:space="0" w:color="auto"/>
        <w:right w:val="none" w:sz="0" w:space="0" w:color="auto"/>
      </w:divBdr>
      <w:divsChild>
        <w:div w:id="383677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D837D8-D726-473E-AEB5-9CA11C13A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6026</Words>
  <Characters>34354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dc:creator>
  <cp:lastModifiedBy>Geetanjali Singh</cp:lastModifiedBy>
  <cp:revision>5</cp:revision>
  <dcterms:created xsi:type="dcterms:W3CDTF">2022-12-23T16:30:00Z</dcterms:created>
  <dcterms:modified xsi:type="dcterms:W3CDTF">2023-01-12T21:15:00Z</dcterms:modified>
</cp:coreProperties>
</file>