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EE22E" w14:textId="3BB0CC7D" w:rsidR="00BE1435" w:rsidRDefault="00BE1435" w:rsidP="00BE1435">
      <w:pPr>
        <w:spacing w:after="0" w:line="360" w:lineRule="auto"/>
        <w:ind w:firstLine="720"/>
        <w:jc w:val="center"/>
        <w:rPr>
          <w:rFonts w:ascii="Arial" w:eastAsia="Calibri" w:hAnsi="Arial" w:cs="Arial"/>
          <w:b/>
          <w:bCs/>
          <w:kern w:val="0"/>
          <w:lang w:val="en-CA"/>
          <w14:ligatures w14:val="none"/>
        </w:rPr>
      </w:pPr>
      <w:r>
        <w:rPr>
          <w:rFonts w:ascii="Arial" w:eastAsia="Calibri" w:hAnsi="Arial" w:cs="Arial"/>
          <w:b/>
          <w:noProof/>
          <w:kern w:val="0"/>
          <w:lang w:val="en-CA"/>
        </w:rPr>
        <w:drawing>
          <wp:inline distT="0" distB="0" distL="0" distR="0" wp14:anchorId="69C5F62C" wp14:editId="08A1B872">
            <wp:extent cx="1882140" cy="838200"/>
            <wp:effectExtent l="0" t="0" r="3810" b="0"/>
            <wp:docPr id="3"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82140" cy="838200"/>
                    </a:xfrm>
                    <a:prstGeom prst="rect">
                      <a:avLst/>
                    </a:prstGeom>
                    <a:noFill/>
                    <a:ln>
                      <a:noFill/>
                    </a:ln>
                  </pic:spPr>
                </pic:pic>
              </a:graphicData>
            </a:graphic>
          </wp:inline>
        </w:drawing>
      </w:r>
    </w:p>
    <w:p w14:paraId="0277CB5E" w14:textId="77777777" w:rsidR="00BE1435" w:rsidRDefault="00BE1435" w:rsidP="00BE1435">
      <w:pPr>
        <w:spacing w:after="0" w:line="360" w:lineRule="auto"/>
        <w:ind w:firstLine="720"/>
        <w:jc w:val="center"/>
        <w:rPr>
          <w:rFonts w:ascii="Arial" w:eastAsia="Calibri" w:hAnsi="Arial" w:cs="Arial"/>
          <w:b/>
          <w:bCs/>
          <w:kern w:val="0"/>
          <w:lang w:val="en-CA"/>
          <w14:ligatures w14:val="none"/>
        </w:rPr>
      </w:pPr>
    </w:p>
    <w:p w14:paraId="48C198A9" w14:textId="4874F67E" w:rsidR="00BE1435" w:rsidRPr="008D01B6" w:rsidRDefault="00BE1435" w:rsidP="00BE1435">
      <w:pPr>
        <w:spacing w:after="0" w:line="259" w:lineRule="auto"/>
        <w:ind w:left="10" w:right="238" w:hanging="10"/>
        <w:jc w:val="center"/>
        <w:rPr>
          <w:rFonts w:ascii="Calibri" w:eastAsia="Calibri" w:hAnsi="Calibri" w:cs="Calibri"/>
          <w:color w:val="000000"/>
          <w:sz w:val="32"/>
          <w:szCs w:val="32"/>
          <w:lang w:eastAsia="zh-CN"/>
        </w:rPr>
      </w:pPr>
      <w:r>
        <w:rPr>
          <w:rFonts w:ascii="Arial" w:eastAsia="Arial" w:hAnsi="Arial" w:cs="Arial"/>
          <w:b/>
          <w:color w:val="000000"/>
          <w:sz w:val="32"/>
          <w:szCs w:val="32"/>
          <w:lang w:eastAsia="zh-CN"/>
        </w:rPr>
        <w:t xml:space="preserve">        </w:t>
      </w:r>
      <w:r w:rsidRPr="008D01B6">
        <w:rPr>
          <w:rFonts w:ascii="Arial" w:eastAsia="Arial" w:hAnsi="Arial" w:cs="Arial"/>
          <w:b/>
          <w:color w:val="000000"/>
          <w:sz w:val="32"/>
          <w:szCs w:val="32"/>
          <w:lang w:eastAsia="zh-CN"/>
        </w:rPr>
        <w:t>BA Leadership and Management</w:t>
      </w:r>
    </w:p>
    <w:p w14:paraId="460A5820" w14:textId="77777777" w:rsidR="00BE1435" w:rsidRPr="008D01B6" w:rsidRDefault="00BE1435" w:rsidP="00BE1435">
      <w:pPr>
        <w:spacing w:after="0" w:line="259" w:lineRule="auto"/>
        <w:ind w:left="10" w:right="126" w:hanging="10"/>
        <w:jc w:val="center"/>
        <w:rPr>
          <w:rFonts w:ascii="Arial" w:eastAsia="Arial" w:hAnsi="Arial" w:cs="Arial"/>
          <w:b/>
          <w:color w:val="000000"/>
          <w:sz w:val="32"/>
          <w:szCs w:val="32"/>
          <w:lang w:eastAsia="zh-CN"/>
        </w:rPr>
      </w:pPr>
      <w:r w:rsidRPr="008D01B6">
        <w:rPr>
          <w:rFonts w:ascii="Arial" w:eastAsia="Arial" w:hAnsi="Arial" w:cs="Arial"/>
          <w:b/>
          <w:color w:val="000000"/>
          <w:sz w:val="32"/>
          <w:szCs w:val="32"/>
          <w:lang w:eastAsia="zh-CN"/>
        </w:rPr>
        <w:t>LEVEL 5</w:t>
      </w:r>
    </w:p>
    <w:p w14:paraId="15E38E1B" w14:textId="77777777" w:rsidR="00BE1435" w:rsidRPr="008D01B6" w:rsidRDefault="00BE1435" w:rsidP="00BE1435">
      <w:pPr>
        <w:spacing w:after="0" w:line="259" w:lineRule="auto"/>
        <w:ind w:left="10" w:right="126" w:hanging="10"/>
        <w:jc w:val="center"/>
        <w:rPr>
          <w:rFonts w:ascii="Arial" w:eastAsia="Arial" w:hAnsi="Arial" w:cs="Arial"/>
          <w:b/>
          <w:color w:val="000000"/>
          <w:sz w:val="32"/>
          <w:szCs w:val="32"/>
          <w:lang w:eastAsia="zh-CN"/>
        </w:rPr>
      </w:pPr>
    </w:p>
    <w:p w14:paraId="55CF6A6A" w14:textId="515916F8" w:rsidR="00BE1435" w:rsidRPr="008D01B6" w:rsidRDefault="00BE1435" w:rsidP="00BE1435">
      <w:pPr>
        <w:spacing w:after="0" w:line="259" w:lineRule="auto"/>
        <w:rPr>
          <w:rFonts w:ascii="Arial" w:eastAsia="Calibri" w:hAnsi="Arial" w:cs="Arial"/>
          <w:b/>
          <w:bCs/>
          <w:color w:val="000000"/>
          <w:sz w:val="32"/>
          <w:szCs w:val="32"/>
          <w:lang w:eastAsia="zh-CN"/>
        </w:rPr>
      </w:pPr>
      <w:r>
        <w:rPr>
          <w:rFonts w:ascii="Arial" w:eastAsia="Arial" w:hAnsi="Arial" w:cs="Arial"/>
          <w:b/>
          <w:color w:val="000000"/>
          <w:sz w:val="32"/>
          <w:szCs w:val="32"/>
          <w:lang w:eastAsia="zh-CN"/>
        </w:rPr>
        <w:t xml:space="preserve">                             </w:t>
      </w:r>
    </w:p>
    <w:p w14:paraId="11323EBA" w14:textId="6B16FFB4" w:rsidR="00BE1435" w:rsidRPr="00FE6661" w:rsidRDefault="00BE1435" w:rsidP="00BE1435">
      <w:pPr>
        <w:spacing w:after="0" w:line="360" w:lineRule="auto"/>
        <w:ind w:firstLine="720"/>
        <w:jc w:val="center"/>
        <w:rPr>
          <w:rFonts w:ascii="Arial" w:eastAsia="Calibri" w:hAnsi="Arial" w:cs="Arial"/>
          <w:b/>
          <w:bCs/>
          <w:kern w:val="0"/>
          <w:sz w:val="32"/>
          <w:szCs w:val="32"/>
          <w14:ligatures w14:val="none"/>
        </w:rPr>
      </w:pPr>
      <w:bookmarkStart w:id="0" w:name="_Hlk223435451"/>
    </w:p>
    <w:bookmarkEnd w:id="0"/>
    <w:p w14:paraId="18E78008" w14:textId="250C6A6F" w:rsidR="00BE1435" w:rsidRPr="00BE1435" w:rsidRDefault="00BE1435" w:rsidP="00BE1435">
      <w:pPr>
        <w:spacing w:after="0" w:line="360" w:lineRule="auto"/>
        <w:ind w:firstLine="720"/>
        <w:rPr>
          <w:rFonts w:ascii="Arial" w:eastAsia="Calibri" w:hAnsi="Arial" w:cs="Arial"/>
          <w:b/>
          <w:bCs/>
          <w:kern w:val="0"/>
          <w:sz w:val="32"/>
          <w:szCs w:val="32"/>
          <w14:ligatures w14:val="none"/>
        </w:rPr>
      </w:pPr>
      <w:r>
        <w:rPr>
          <w:rFonts w:ascii="Arial" w:eastAsia="Calibri" w:hAnsi="Arial" w:cs="Arial"/>
          <w:b/>
          <w:bCs/>
          <w:kern w:val="0"/>
          <w:sz w:val="32"/>
          <w:szCs w:val="32"/>
          <w14:ligatures w14:val="none"/>
        </w:rPr>
        <w:t xml:space="preserve">                </w:t>
      </w:r>
      <w:r w:rsidRPr="00BE1435">
        <w:rPr>
          <w:rFonts w:ascii="Arial" w:eastAsia="Calibri" w:hAnsi="Arial" w:cs="Arial"/>
          <w:b/>
          <w:bCs/>
          <w:kern w:val="0"/>
          <w:sz w:val="32"/>
          <w:szCs w:val="32"/>
          <w14:ligatures w14:val="none"/>
        </w:rPr>
        <w:t>Principles and Concepts of Finance</w:t>
      </w:r>
    </w:p>
    <w:p w14:paraId="0FFC2F86" w14:textId="77777777" w:rsidR="00BE1435" w:rsidRPr="00FE6661" w:rsidRDefault="00BE1435" w:rsidP="00BE1435">
      <w:pPr>
        <w:spacing w:after="0" w:line="360" w:lineRule="auto"/>
        <w:ind w:firstLine="720"/>
        <w:jc w:val="center"/>
        <w:rPr>
          <w:rFonts w:ascii="Arial" w:eastAsia="Calibri" w:hAnsi="Arial" w:cs="Arial"/>
          <w:b/>
          <w:bCs/>
          <w:kern w:val="0"/>
          <w:sz w:val="32"/>
          <w:szCs w:val="32"/>
          <w14:ligatures w14:val="none"/>
        </w:rPr>
      </w:pPr>
      <w:r w:rsidRPr="00FE6661">
        <w:rPr>
          <w:rFonts w:ascii="Arial" w:eastAsia="Calibri" w:hAnsi="Arial" w:cs="Arial"/>
          <w:b/>
          <w:bCs/>
          <w:kern w:val="0"/>
          <w:sz w:val="32"/>
          <w:szCs w:val="32"/>
          <w14:ligatures w14:val="none"/>
        </w:rPr>
        <w:t>(BMSW</w:t>
      </w:r>
      <w:r>
        <w:rPr>
          <w:rFonts w:ascii="Arial" w:eastAsia="Calibri" w:hAnsi="Arial" w:cs="Arial"/>
          <w:b/>
          <w:bCs/>
          <w:kern w:val="0"/>
          <w:sz w:val="32"/>
          <w:szCs w:val="32"/>
          <w14:ligatures w14:val="none"/>
        </w:rPr>
        <w:t>5012</w:t>
      </w:r>
      <w:r w:rsidRPr="00FE6661">
        <w:rPr>
          <w:rFonts w:ascii="Arial" w:eastAsia="Calibri" w:hAnsi="Arial" w:cs="Arial"/>
          <w:b/>
          <w:bCs/>
          <w:kern w:val="0"/>
          <w:sz w:val="32"/>
          <w:szCs w:val="32"/>
          <w14:ligatures w14:val="none"/>
        </w:rPr>
        <w:t>_CARD)</w:t>
      </w:r>
    </w:p>
    <w:p w14:paraId="042762CA" w14:textId="77777777" w:rsidR="00BE1435" w:rsidRDefault="00BE1435" w:rsidP="00BE1435">
      <w:pPr>
        <w:spacing w:after="0" w:line="360" w:lineRule="auto"/>
        <w:ind w:firstLine="720"/>
        <w:jc w:val="center"/>
        <w:rPr>
          <w:rFonts w:ascii="Arial" w:eastAsia="Calibri" w:hAnsi="Arial" w:cs="Arial"/>
          <w:b/>
          <w:bCs/>
          <w:kern w:val="0"/>
          <w:sz w:val="32"/>
          <w:szCs w:val="32"/>
          <w:lang w:val="en-CA"/>
          <w14:ligatures w14:val="none"/>
        </w:rPr>
      </w:pPr>
    </w:p>
    <w:p w14:paraId="4F9D0D5B" w14:textId="68A7D414" w:rsidR="00BE1435" w:rsidRPr="008D01B6" w:rsidRDefault="00BE1435" w:rsidP="00BE1435">
      <w:pPr>
        <w:spacing w:after="0" w:line="360" w:lineRule="auto"/>
        <w:ind w:firstLine="720"/>
        <w:jc w:val="center"/>
        <w:rPr>
          <w:rFonts w:ascii="Arial" w:eastAsia="Calibri" w:hAnsi="Arial" w:cs="Arial"/>
          <w:b/>
          <w:bCs/>
          <w:kern w:val="0"/>
          <w:sz w:val="32"/>
          <w:szCs w:val="32"/>
          <w:lang w:val="en-CA"/>
          <w14:ligatures w14:val="none"/>
        </w:rPr>
      </w:pPr>
      <w:r w:rsidRPr="00BE1435">
        <w:rPr>
          <w:rFonts w:ascii="Arial" w:eastAsia="Calibri" w:hAnsi="Arial" w:cs="Arial"/>
          <w:b/>
          <w:bCs/>
          <w:kern w:val="0"/>
          <w:sz w:val="32"/>
          <w:szCs w:val="32"/>
          <w14:ligatures w14:val="none"/>
        </w:rPr>
        <w:t>Assignment Title</w:t>
      </w:r>
      <w:r>
        <w:rPr>
          <w:rFonts w:ascii="Arial" w:eastAsia="Calibri" w:hAnsi="Arial" w:cs="Arial"/>
          <w:b/>
          <w:bCs/>
          <w:kern w:val="0"/>
          <w:sz w:val="32"/>
          <w:szCs w:val="32"/>
          <w14:ligatures w14:val="none"/>
        </w:rPr>
        <w:t xml:space="preserve">: </w:t>
      </w:r>
      <w:r w:rsidRPr="00BE1435">
        <w:rPr>
          <w:rFonts w:ascii="Arial" w:eastAsia="Calibri" w:hAnsi="Arial" w:cs="Arial"/>
          <w:b/>
          <w:bCs/>
          <w:kern w:val="0"/>
          <w:sz w:val="32"/>
          <w:szCs w:val="32"/>
          <w14:ligatures w14:val="none"/>
        </w:rPr>
        <w:t>Budgeting Principles and Approaches</w:t>
      </w:r>
    </w:p>
    <w:p w14:paraId="57164734" w14:textId="302DB8CA" w:rsidR="00BE1435" w:rsidRDefault="00BE1435" w:rsidP="00BE1435">
      <w:pPr>
        <w:spacing w:after="0" w:line="360" w:lineRule="auto"/>
        <w:ind w:firstLine="720"/>
        <w:jc w:val="center"/>
        <w:rPr>
          <w:rFonts w:ascii="Arial" w:eastAsia="Calibri" w:hAnsi="Arial" w:cs="Arial"/>
          <w:b/>
          <w:bCs/>
          <w:kern w:val="0"/>
          <w:sz w:val="32"/>
          <w:szCs w:val="32"/>
          <w:lang w:val="en-CA"/>
          <w14:ligatures w14:val="none"/>
        </w:rPr>
      </w:pPr>
      <w:bookmarkStart w:id="1" w:name="_Hlk223435427"/>
    </w:p>
    <w:bookmarkEnd w:id="1"/>
    <w:p w14:paraId="0CB68C5B" w14:textId="77777777" w:rsidR="00BE1435" w:rsidRDefault="00BE1435" w:rsidP="00BE1435">
      <w:pPr>
        <w:spacing w:after="0" w:line="360" w:lineRule="auto"/>
        <w:ind w:firstLine="720"/>
        <w:jc w:val="center"/>
        <w:rPr>
          <w:rFonts w:ascii="Arial" w:eastAsia="Calibri" w:hAnsi="Arial" w:cs="Arial"/>
          <w:b/>
          <w:bCs/>
          <w:kern w:val="0"/>
          <w:sz w:val="32"/>
          <w:szCs w:val="32"/>
          <w14:ligatures w14:val="none"/>
        </w:rPr>
      </w:pPr>
      <w:r w:rsidRPr="008D01B6">
        <w:rPr>
          <w:rFonts w:ascii="Arial" w:eastAsia="Calibri" w:hAnsi="Arial" w:cs="Arial"/>
          <w:b/>
          <w:bCs/>
          <w:kern w:val="0"/>
          <w:sz w:val="32"/>
          <w:szCs w:val="32"/>
          <w14:ligatures w14:val="none"/>
        </w:rPr>
        <w:t xml:space="preserve">  </w:t>
      </w:r>
    </w:p>
    <w:p w14:paraId="52333934" w14:textId="77777777" w:rsidR="00BE1435" w:rsidRPr="008D01B6" w:rsidRDefault="00BE1435" w:rsidP="00BE1435">
      <w:pPr>
        <w:spacing w:after="0" w:line="360" w:lineRule="auto"/>
        <w:ind w:firstLine="720"/>
        <w:jc w:val="center"/>
        <w:rPr>
          <w:rFonts w:ascii="Arial" w:eastAsia="Calibri" w:hAnsi="Arial" w:cs="Arial"/>
          <w:b/>
          <w:bCs/>
          <w:kern w:val="0"/>
          <w:sz w:val="32"/>
          <w:szCs w:val="32"/>
          <w:lang w:val="en-CA"/>
          <w14:ligatures w14:val="none"/>
        </w:rPr>
      </w:pPr>
    </w:p>
    <w:p w14:paraId="406E79A1" w14:textId="25D904B4" w:rsidR="00BE1435" w:rsidRPr="00BE1435" w:rsidRDefault="00BE1435" w:rsidP="00BE1435">
      <w:pPr>
        <w:spacing w:after="0" w:line="259" w:lineRule="auto"/>
        <w:ind w:left="10" w:right="134" w:hanging="10"/>
        <w:jc w:val="center"/>
        <w:rPr>
          <w:rFonts w:ascii="Arial" w:eastAsia="Arial" w:hAnsi="Arial" w:cs="Arial"/>
          <w:b/>
          <w:color w:val="000000"/>
          <w:sz w:val="32"/>
          <w:szCs w:val="32"/>
          <w:lang w:eastAsia="zh-CN"/>
        </w:rPr>
      </w:pPr>
      <w:r>
        <w:rPr>
          <w:rFonts w:ascii="Arial" w:eastAsia="Arial" w:hAnsi="Arial" w:cs="Arial"/>
          <w:b/>
          <w:color w:val="000000"/>
          <w:sz w:val="32"/>
          <w:szCs w:val="32"/>
          <w:lang w:eastAsia="zh-CN"/>
        </w:rPr>
        <w:t xml:space="preserve">     </w:t>
      </w:r>
      <w:r w:rsidRPr="008D01B6">
        <w:rPr>
          <w:rFonts w:ascii="Arial" w:eastAsia="Arial" w:hAnsi="Arial" w:cs="Arial"/>
          <w:b/>
          <w:color w:val="000000"/>
          <w:sz w:val="32"/>
          <w:szCs w:val="32"/>
          <w:lang w:eastAsia="zh-CN"/>
        </w:rPr>
        <w:t>Module Lead:</w:t>
      </w:r>
      <w:r>
        <w:rPr>
          <w:rFonts w:ascii="Arial" w:eastAsia="Arial" w:hAnsi="Arial" w:cs="Arial"/>
          <w:b/>
          <w:color w:val="000000"/>
          <w:sz w:val="32"/>
          <w:szCs w:val="32"/>
          <w:lang w:eastAsia="zh-CN"/>
        </w:rPr>
        <w:t xml:space="preserve">  </w:t>
      </w:r>
      <w:r w:rsidRPr="00BE1435">
        <w:rPr>
          <w:rFonts w:ascii="Arial" w:eastAsia="Arial" w:hAnsi="Arial" w:cs="Arial"/>
          <w:b/>
          <w:color w:val="000000"/>
          <w:sz w:val="32"/>
          <w:szCs w:val="32"/>
          <w:lang w:eastAsia="zh-CN"/>
        </w:rPr>
        <w:t>Christine Joy</w:t>
      </w:r>
    </w:p>
    <w:p w14:paraId="64082FB5" w14:textId="693CE822" w:rsidR="00BE1435" w:rsidRPr="008D01B6" w:rsidRDefault="00BE1435" w:rsidP="00BE1435">
      <w:pPr>
        <w:spacing w:after="0" w:line="259" w:lineRule="auto"/>
        <w:ind w:left="10" w:right="134" w:hanging="10"/>
        <w:jc w:val="center"/>
        <w:rPr>
          <w:rFonts w:ascii="Arial" w:eastAsia="Calibri" w:hAnsi="Arial" w:cs="Arial"/>
          <w:b/>
          <w:bCs/>
          <w:kern w:val="0"/>
          <w:sz w:val="32"/>
          <w:szCs w:val="32"/>
          <w:lang w:val="en-CA"/>
          <w14:ligatures w14:val="none"/>
        </w:rPr>
      </w:pPr>
      <w:r w:rsidRPr="008D01B6">
        <w:rPr>
          <w:rFonts w:ascii="Arial" w:eastAsia="Arial" w:hAnsi="Arial" w:cs="Arial"/>
          <w:b/>
          <w:color w:val="000000"/>
          <w:sz w:val="32"/>
          <w:szCs w:val="32"/>
          <w:lang w:eastAsia="zh-CN"/>
        </w:rPr>
        <w:t xml:space="preserve"> </w:t>
      </w:r>
      <w:r>
        <w:rPr>
          <w:rFonts w:ascii="Arial" w:eastAsia="Calibri" w:hAnsi="Arial" w:cs="Arial"/>
          <w:b/>
          <w:bCs/>
          <w:kern w:val="0"/>
          <w:sz w:val="32"/>
          <w:szCs w:val="32"/>
          <w:lang w:val="en-CA"/>
          <w14:ligatures w14:val="none"/>
        </w:rPr>
        <w:tab/>
      </w:r>
    </w:p>
    <w:p w14:paraId="291B2253" w14:textId="77777777" w:rsidR="00BE1435" w:rsidRPr="008D01B6" w:rsidRDefault="00BE1435" w:rsidP="00BE1435">
      <w:pPr>
        <w:spacing w:after="0" w:line="360" w:lineRule="auto"/>
        <w:ind w:firstLine="720"/>
        <w:rPr>
          <w:rFonts w:ascii="Arial" w:eastAsia="Calibri" w:hAnsi="Arial" w:cs="Arial"/>
          <w:b/>
          <w:bCs/>
          <w:kern w:val="0"/>
          <w:sz w:val="32"/>
          <w:szCs w:val="32"/>
          <w:lang w:val="en-CA"/>
          <w14:ligatures w14:val="none"/>
        </w:rPr>
      </w:pPr>
      <w:r>
        <w:rPr>
          <w:rFonts w:ascii="Arial" w:eastAsia="Calibri" w:hAnsi="Arial" w:cs="Arial"/>
          <w:b/>
          <w:bCs/>
          <w:kern w:val="0"/>
          <w:sz w:val="32"/>
          <w:szCs w:val="32"/>
          <w:lang w:val="en-CA"/>
          <w14:ligatures w14:val="none"/>
        </w:rPr>
        <w:t xml:space="preserve">                       </w:t>
      </w:r>
      <w:r w:rsidRPr="008D01B6">
        <w:rPr>
          <w:rFonts w:ascii="Arial" w:eastAsia="Calibri" w:hAnsi="Arial" w:cs="Arial"/>
          <w:b/>
          <w:bCs/>
          <w:kern w:val="0"/>
          <w:sz w:val="32"/>
          <w:szCs w:val="32"/>
          <w:lang w:val="en-CA"/>
          <w14:ligatures w14:val="none"/>
        </w:rPr>
        <w:t xml:space="preserve">Name: </w:t>
      </w:r>
      <w:r>
        <w:rPr>
          <w:rFonts w:ascii="Arial" w:eastAsia="Calibri" w:hAnsi="Arial" w:cs="Arial"/>
          <w:b/>
          <w:bCs/>
          <w:kern w:val="0"/>
          <w:sz w:val="32"/>
          <w:szCs w:val="32"/>
          <w:lang w:val="en-CA"/>
          <w14:ligatures w14:val="none"/>
        </w:rPr>
        <w:t>Constantin</w:t>
      </w:r>
      <w:r w:rsidRPr="008D01B6">
        <w:rPr>
          <w:rFonts w:ascii="Arial" w:eastAsia="Calibri" w:hAnsi="Arial" w:cs="Arial"/>
          <w:b/>
          <w:bCs/>
          <w:kern w:val="0"/>
          <w:sz w:val="32"/>
          <w:szCs w:val="32"/>
          <w:lang w:val="en-CA"/>
          <w14:ligatures w14:val="none"/>
        </w:rPr>
        <w:t xml:space="preserve"> Tanasa</w:t>
      </w:r>
    </w:p>
    <w:p w14:paraId="11008F64" w14:textId="77777777" w:rsidR="00BE1435" w:rsidRPr="008D01B6" w:rsidRDefault="00BE1435" w:rsidP="00BE1435">
      <w:pPr>
        <w:spacing w:after="0" w:line="360" w:lineRule="auto"/>
        <w:ind w:firstLine="720"/>
        <w:jc w:val="center"/>
        <w:rPr>
          <w:rFonts w:ascii="Arial" w:eastAsia="Calibri" w:hAnsi="Arial" w:cs="Arial"/>
          <w:b/>
          <w:bCs/>
          <w:kern w:val="0"/>
          <w:sz w:val="32"/>
          <w:szCs w:val="32"/>
          <w:lang w:val="en-CA"/>
          <w14:ligatures w14:val="none"/>
        </w:rPr>
      </w:pPr>
    </w:p>
    <w:p w14:paraId="5D899C82" w14:textId="140965D1" w:rsidR="00BE1435" w:rsidRPr="008D01B6" w:rsidRDefault="00BE1435" w:rsidP="00BE1435">
      <w:pPr>
        <w:spacing w:after="0" w:line="360" w:lineRule="auto"/>
        <w:ind w:firstLine="720"/>
        <w:rPr>
          <w:rFonts w:ascii="Arial" w:eastAsia="Calibri" w:hAnsi="Arial" w:cs="Arial"/>
          <w:b/>
          <w:bCs/>
          <w:kern w:val="0"/>
          <w:sz w:val="32"/>
          <w:szCs w:val="32"/>
          <w:lang w:val="en-CA"/>
          <w14:ligatures w14:val="none"/>
        </w:rPr>
      </w:pPr>
      <w:r>
        <w:rPr>
          <w:rFonts w:ascii="Arial" w:eastAsia="Calibri" w:hAnsi="Arial" w:cs="Arial"/>
          <w:b/>
          <w:bCs/>
          <w:kern w:val="0"/>
          <w:sz w:val="32"/>
          <w:szCs w:val="32"/>
          <w:lang w:val="en-CA"/>
          <w14:ligatures w14:val="none"/>
        </w:rPr>
        <w:t xml:space="preserve">                        </w:t>
      </w:r>
      <w:r w:rsidRPr="008D01B6">
        <w:rPr>
          <w:rFonts w:ascii="Arial" w:eastAsia="Calibri" w:hAnsi="Arial" w:cs="Arial"/>
          <w:b/>
          <w:bCs/>
          <w:kern w:val="0"/>
          <w:sz w:val="32"/>
          <w:szCs w:val="32"/>
          <w:lang w:val="en-CA"/>
          <w14:ligatures w14:val="none"/>
        </w:rPr>
        <w:t>Student Number:233215</w:t>
      </w:r>
      <w:r>
        <w:rPr>
          <w:rFonts w:ascii="Arial" w:eastAsia="Calibri" w:hAnsi="Arial" w:cs="Arial"/>
          <w:b/>
          <w:bCs/>
          <w:kern w:val="0"/>
          <w:sz w:val="32"/>
          <w:szCs w:val="32"/>
          <w:lang w:val="en-CA"/>
          <w14:ligatures w14:val="none"/>
        </w:rPr>
        <w:t>8</w:t>
      </w:r>
    </w:p>
    <w:p w14:paraId="03461560" w14:textId="77777777" w:rsidR="00BE1435" w:rsidRDefault="00BE1435" w:rsidP="00BE1435">
      <w:pPr>
        <w:spacing w:after="0" w:line="360" w:lineRule="auto"/>
        <w:rPr>
          <w:rFonts w:ascii="Arial" w:eastAsia="Calibri" w:hAnsi="Arial" w:cs="Arial"/>
          <w:b/>
          <w:bCs/>
          <w:kern w:val="0"/>
          <w:lang w:val="en-CA"/>
          <w14:ligatures w14:val="none"/>
        </w:rPr>
      </w:pPr>
    </w:p>
    <w:p w14:paraId="32AEB7CD" w14:textId="77777777" w:rsidR="00BE1435" w:rsidRDefault="00BE1435" w:rsidP="00BE1435">
      <w:pPr>
        <w:spacing w:after="0" w:line="360" w:lineRule="auto"/>
        <w:rPr>
          <w:rFonts w:ascii="Arial" w:eastAsia="Calibri" w:hAnsi="Arial" w:cs="Arial"/>
          <w:b/>
          <w:bCs/>
          <w:kern w:val="0"/>
          <w:lang w:val="en-CA"/>
          <w14:ligatures w14:val="none"/>
        </w:rPr>
      </w:pPr>
    </w:p>
    <w:p w14:paraId="73CE0897" w14:textId="77777777" w:rsidR="00BE1435" w:rsidRDefault="00BE1435" w:rsidP="00BE1435">
      <w:pPr>
        <w:spacing w:after="0" w:line="360" w:lineRule="auto"/>
        <w:rPr>
          <w:rFonts w:ascii="Arial" w:eastAsia="Calibri" w:hAnsi="Arial" w:cs="Arial"/>
          <w:b/>
          <w:bCs/>
          <w:kern w:val="0"/>
          <w:lang w:val="en-CA"/>
          <w14:ligatures w14:val="none"/>
        </w:rPr>
      </w:pPr>
    </w:p>
    <w:p w14:paraId="422C86E3" w14:textId="77777777" w:rsidR="00BE1435" w:rsidRDefault="00BE1435" w:rsidP="00BE1435">
      <w:pPr>
        <w:spacing w:after="0" w:line="360" w:lineRule="auto"/>
        <w:rPr>
          <w:rFonts w:ascii="Arial" w:eastAsia="Calibri" w:hAnsi="Arial" w:cs="Arial"/>
          <w:b/>
          <w:bCs/>
          <w:kern w:val="0"/>
          <w:lang w:val="en-CA"/>
          <w14:ligatures w14:val="none"/>
        </w:rPr>
      </w:pPr>
    </w:p>
    <w:p w14:paraId="413F7A06" w14:textId="77777777" w:rsidR="00BE1435" w:rsidRDefault="00BE1435" w:rsidP="00BE1435">
      <w:pPr>
        <w:spacing w:after="0" w:line="360" w:lineRule="auto"/>
        <w:rPr>
          <w:rFonts w:ascii="Arial" w:eastAsia="Calibri" w:hAnsi="Arial" w:cs="Arial"/>
          <w:b/>
          <w:bCs/>
          <w:kern w:val="0"/>
          <w:lang w:val="en-CA"/>
          <w14:ligatures w14:val="none"/>
        </w:rPr>
      </w:pPr>
    </w:p>
    <w:p w14:paraId="3B38FD90" w14:textId="080D4B35" w:rsidR="00BE1435" w:rsidRPr="006339BF" w:rsidRDefault="00BE1435" w:rsidP="00BE1435">
      <w:pPr>
        <w:spacing w:after="0" w:line="360" w:lineRule="auto"/>
        <w:rPr>
          <w:rFonts w:ascii="Arial" w:eastAsia="Calibri" w:hAnsi="Arial" w:cs="Arial"/>
          <w:b/>
          <w:bCs/>
          <w:kern w:val="0"/>
          <w:sz w:val="28"/>
          <w:szCs w:val="28"/>
          <w:lang w:val="en-CA"/>
          <w14:ligatures w14:val="none"/>
        </w:rPr>
      </w:pPr>
      <w:r w:rsidRPr="0004008C">
        <w:rPr>
          <w:rFonts w:ascii="Arial" w:eastAsia="Calibri" w:hAnsi="Arial" w:cs="Arial"/>
          <w:b/>
          <w:bCs/>
          <w:kern w:val="0"/>
          <w:sz w:val="28"/>
          <w:szCs w:val="28"/>
          <w:lang w:val="en-CA"/>
          <w14:ligatures w14:val="none"/>
        </w:rPr>
        <w:t xml:space="preserve">Total word count: </w:t>
      </w:r>
      <w:r w:rsidR="00296286">
        <w:rPr>
          <w:rFonts w:ascii="Arial" w:eastAsia="Calibri" w:hAnsi="Arial" w:cs="Arial"/>
          <w:b/>
          <w:bCs/>
          <w:kern w:val="0"/>
          <w:sz w:val="28"/>
          <w:szCs w:val="28"/>
          <w:lang w:val="en-CA"/>
          <w14:ligatures w14:val="none"/>
        </w:rPr>
        <w:t>3580</w:t>
      </w:r>
      <w:r w:rsidRPr="0004008C">
        <w:rPr>
          <w:rFonts w:ascii="Arial" w:eastAsia="Calibri" w:hAnsi="Arial" w:cs="Arial"/>
          <w:b/>
          <w:bCs/>
          <w:kern w:val="0"/>
          <w:sz w:val="28"/>
          <w:szCs w:val="28"/>
          <w:lang w:val="en-CA"/>
          <w14:ligatures w14:val="none"/>
        </w:rPr>
        <w:t xml:space="preserve">                </w:t>
      </w:r>
      <w:r>
        <w:rPr>
          <w:rFonts w:ascii="Arial" w:eastAsia="Calibri" w:hAnsi="Arial" w:cs="Arial"/>
          <w:b/>
          <w:bCs/>
          <w:kern w:val="0"/>
          <w:sz w:val="28"/>
          <w:szCs w:val="28"/>
          <w:lang w:val="en-CA"/>
          <w14:ligatures w14:val="none"/>
        </w:rPr>
        <w:t xml:space="preserve">   </w:t>
      </w:r>
      <w:r w:rsidRPr="0004008C">
        <w:rPr>
          <w:rFonts w:ascii="Arial" w:eastAsia="Calibri" w:hAnsi="Arial" w:cs="Arial"/>
          <w:b/>
          <w:bCs/>
          <w:kern w:val="0"/>
          <w:sz w:val="28"/>
          <w:szCs w:val="28"/>
          <w:lang w:val="en-CA"/>
          <w14:ligatures w14:val="none"/>
        </w:rPr>
        <w:t xml:space="preserve"> Submission Deadline:</w:t>
      </w:r>
      <w:r>
        <w:rPr>
          <w:rFonts w:ascii="Arial" w:eastAsia="Calibri" w:hAnsi="Arial" w:cs="Arial"/>
          <w:b/>
          <w:bCs/>
          <w:kern w:val="0"/>
          <w:sz w:val="28"/>
          <w:szCs w:val="28"/>
          <w:lang w:val="en-CA"/>
          <w14:ligatures w14:val="none"/>
        </w:rPr>
        <w:t>20.03.2026</w:t>
      </w:r>
    </w:p>
    <w:p w14:paraId="14645ECC" w14:textId="77777777" w:rsidR="00BE1435" w:rsidRDefault="00BE1435" w:rsidP="00BE1435"/>
    <w:sdt>
      <w:sdtPr>
        <w:rPr>
          <w:rFonts w:ascii="Aptos" w:eastAsia="Aptos" w:hAnsi="Aptos" w:cs="Times New Roman"/>
          <w:color w:val="auto"/>
          <w:kern w:val="2"/>
          <w:sz w:val="24"/>
          <w:szCs w:val="24"/>
          <w:lang w:val="en-GB"/>
          <w14:ligatures w14:val="standardContextual"/>
        </w:rPr>
        <w:id w:val="-1315179896"/>
        <w:docPartObj>
          <w:docPartGallery w:val="Table of Contents"/>
          <w:docPartUnique/>
        </w:docPartObj>
      </w:sdtPr>
      <w:sdtEndPr>
        <w:rPr>
          <w:b/>
          <w:bCs/>
          <w:noProof/>
        </w:rPr>
      </w:sdtEndPr>
      <w:sdtContent>
        <w:p w14:paraId="39E6333E" w14:textId="48C2807F" w:rsidR="00424FD0" w:rsidRDefault="00424FD0">
          <w:pPr>
            <w:pStyle w:val="TOCHeading"/>
          </w:pPr>
          <w:r>
            <w:t>Contents</w:t>
          </w:r>
        </w:p>
        <w:p w14:paraId="1B86057B" w14:textId="3F60CB35" w:rsidR="00296286" w:rsidRDefault="00424FD0">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224843808" w:history="1">
            <w:r w:rsidR="00296286" w:rsidRPr="002713F2">
              <w:rPr>
                <w:rStyle w:val="Hyperlink"/>
                <w:rFonts w:ascii="Arial" w:hAnsi="Arial" w:cs="Arial"/>
                <w:noProof/>
              </w:rPr>
              <w:t>Executive summary</w:t>
            </w:r>
            <w:r w:rsidR="00296286">
              <w:rPr>
                <w:noProof/>
                <w:webHidden/>
              </w:rPr>
              <w:tab/>
            </w:r>
            <w:r w:rsidR="00296286">
              <w:rPr>
                <w:noProof/>
                <w:webHidden/>
              </w:rPr>
              <w:fldChar w:fldCharType="begin"/>
            </w:r>
            <w:r w:rsidR="00296286">
              <w:rPr>
                <w:noProof/>
                <w:webHidden/>
              </w:rPr>
              <w:instrText xml:space="preserve"> PAGEREF _Toc224843808 \h </w:instrText>
            </w:r>
            <w:r w:rsidR="00296286">
              <w:rPr>
                <w:noProof/>
                <w:webHidden/>
              </w:rPr>
            </w:r>
            <w:r w:rsidR="00296286">
              <w:rPr>
                <w:noProof/>
                <w:webHidden/>
              </w:rPr>
              <w:fldChar w:fldCharType="separate"/>
            </w:r>
            <w:r w:rsidR="00296286">
              <w:rPr>
                <w:noProof/>
                <w:webHidden/>
              </w:rPr>
              <w:t>3</w:t>
            </w:r>
            <w:r w:rsidR="00296286">
              <w:rPr>
                <w:noProof/>
                <w:webHidden/>
              </w:rPr>
              <w:fldChar w:fldCharType="end"/>
            </w:r>
          </w:hyperlink>
        </w:p>
        <w:p w14:paraId="7F8D04D7" w14:textId="360327DD" w:rsidR="00296286" w:rsidRDefault="00296286">
          <w:pPr>
            <w:pStyle w:val="TOC1"/>
            <w:tabs>
              <w:tab w:val="right" w:leader="dot" w:pos="9016"/>
            </w:tabs>
            <w:rPr>
              <w:rFonts w:asciiTheme="minorHAnsi" w:eastAsiaTheme="minorEastAsia" w:hAnsiTheme="minorHAnsi" w:cstheme="minorBidi"/>
              <w:noProof/>
              <w:lang w:eastAsia="en-GB"/>
            </w:rPr>
          </w:pPr>
          <w:hyperlink w:anchor="_Toc224843809" w:history="1">
            <w:r w:rsidRPr="002713F2">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_Toc224843809 \h </w:instrText>
            </w:r>
            <w:r>
              <w:rPr>
                <w:noProof/>
                <w:webHidden/>
              </w:rPr>
            </w:r>
            <w:r>
              <w:rPr>
                <w:noProof/>
                <w:webHidden/>
              </w:rPr>
              <w:fldChar w:fldCharType="separate"/>
            </w:r>
            <w:r>
              <w:rPr>
                <w:noProof/>
                <w:webHidden/>
              </w:rPr>
              <w:t>4</w:t>
            </w:r>
            <w:r>
              <w:rPr>
                <w:noProof/>
                <w:webHidden/>
              </w:rPr>
              <w:fldChar w:fldCharType="end"/>
            </w:r>
          </w:hyperlink>
        </w:p>
        <w:p w14:paraId="5FFF9F0B" w14:textId="242C850A" w:rsidR="00296286" w:rsidRDefault="00296286">
          <w:pPr>
            <w:pStyle w:val="TOC1"/>
            <w:tabs>
              <w:tab w:val="right" w:leader="dot" w:pos="9016"/>
            </w:tabs>
            <w:rPr>
              <w:rFonts w:asciiTheme="minorHAnsi" w:eastAsiaTheme="minorEastAsia" w:hAnsiTheme="minorHAnsi" w:cstheme="minorBidi"/>
              <w:noProof/>
              <w:lang w:eastAsia="en-GB"/>
            </w:rPr>
          </w:pPr>
          <w:hyperlink w:anchor="_Toc224843810" w:history="1">
            <w:r w:rsidRPr="002713F2">
              <w:rPr>
                <w:rStyle w:val="Hyperlink"/>
                <w:rFonts w:ascii="Arial" w:hAnsi="Arial" w:cs="Arial"/>
                <w:noProof/>
              </w:rPr>
              <w:t>2. Stock budget</w:t>
            </w:r>
            <w:r>
              <w:rPr>
                <w:noProof/>
                <w:webHidden/>
              </w:rPr>
              <w:tab/>
            </w:r>
            <w:r>
              <w:rPr>
                <w:noProof/>
                <w:webHidden/>
              </w:rPr>
              <w:fldChar w:fldCharType="begin"/>
            </w:r>
            <w:r>
              <w:rPr>
                <w:noProof/>
                <w:webHidden/>
              </w:rPr>
              <w:instrText xml:space="preserve"> PAGEREF _Toc224843810 \h </w:instrText>
            </w:r>
            <w:r>
              <w:rPr>
                <w:noProof/>
                <w:webHidden/>
              </w:rPr>
            </w:r>
            <w:r>
              <w:rPr>
                <w:noProof/>
                <w:webHidden/>
              </w:rPr>
              <w:fldChar w:fldCharType="separate"/>
            </w:r>
            <w:r>
              <w:rPr>
                <w:noProof/>
                <w:webHidden/>
              </w:rPr>
              <w:t>6</w:t>
            </w:r>
            <w:r>
              <w:rPr>
                <w:noProof/>
                <w:webHidden/>
              </w:rPr>
              <w:fldChar w:fldCharType="end"/>
            </w:r>
          </w:hyperlink>
        </w:p>
        <w:p w14:paraId="6C855B69" w14:textId="0CBCE328" w:rsidR="00296286" w:rsidRDefault="00296286">
          <w:pPr>
            <w:pStyle w:val="TOC2"/>
            <w:tabs>
              <w:tab w:val="right" w:leader="dot" w:pos="9016"/>
            </w:tabs>
            <w:rPr>
              <w:rFonts w:asciiTheme="minorHAnsi" w:eastAsiaTheme="minorEastAsia" w:hAnsiTheme="minorHAnsi" w:cstheme="minorBidi"/>
              <w:noProof/>
              <w:lang w:eastAsia="en-GB"/>
            </w:rPr>
          </w:pPr>
          <w:hyperlink w:anchor="_Toc224843811" w:history="1">
            <w:r w:rsidRPr="002713F2">
              <w:rPr>
                <w:rStyle w:val="Hyperlink"/>
                <w:rFonts w:ascii="Arial" w:hAnsi="Arial" w:cs="Arial"/>
                <w:noProof/>
              </w:rPr>
              <w:t>2.1 Cash budget</w:t>
            </w:r>
            <w:r>
              <w:rPr>
                <w:noProof/>
                <w:webHidden/>
              </w:rPr>
              <w:tab/>
            </w:r>
            <w:r>
              <w:rPr>
                <w:noProof/>
                <w:webHidden/>
              </w:rPr>
              <w:fldChar w:fldCharType="begin"/>
            </w:r>
            <w:r>
              <w:rPr>
                <w:noProof/>
                <w:webHidden/>
              </w:rPr>
              <w:instrText xml:space="preserve"> PAGEREF _Toc224843811 \h </w:instrText>
            </w:r>
            <w:r>
              <w:rPr>
                <w:noProof/>
                <w:webHidden/>
              </w:rPr>
            </w:r>
            <w:r>
              <w:rPr>
                <w:noProof/>
                <w:webHidden/>
              </w:rPr>
              <w:fldChar w:fldCharType="separate"/>
            </w:r>
            <w:r>
              <w:rPr>
                <w:noProof/>
                <w:webHidden/>
              </w:rPr>
              <w:t>7</w:t>
            </w:r>
            <w:r>
              <w:rPr>
                <w:noProof/>
                <w:webHidden/>
              </w:rPr>
              <w:fldChar w:fldCharType="end"/>
            </w:r>
          </w:hyperlink>
        </w:p>
        <w:p w14:paraId="5310B2FF" w14:textId="0703D098" w:rsidR="00296286" w:rsidRDefault="00296286">
          <w:pPr>
            <w:pStyle w:val="TOC2"/>
            <w:tabs>
              <w:tab w:val="right" w:leader="dot" w:pos="9016"/>
            </w:tabs>
            <w:rPr>
              <w:rFonts w:asciiTheme="minorHAnsi" w:eastAsiaTheme="minorEastAsia" w:hAnsiTheme="minorHAnsi" w:cstheme="minorBidi"/>
              <w:noProof/>
              <w:lang w:eastAsia="en-GB"/>
            </w:rPr>
          </w:pPr>
          <w:hyperlink w:anchor="_Toc224843812" w:history="1">
            <w:r w:rsidRPr="002713F2">
              <w:rPr>
                <w:rStyle w:val="Hyperlink"/>
                <w:rFonts w:ascii="Arial" w:hAnsi="Arial" w:cs="Arial"/>
                <w:noProof/>
              </w:rPr>
              <w:t>2.2 Budgeted profit and loss</w:t>
            </w:r>
            <w:r>
              <w:rPr>
                <w:noProof/>
                <w:webHidden/>
              </w:rPr>
              <w:tab/>
            </w:r>
            <w:r>
              <w:rPr>
                <w:noProof/>
                <w:webHidden/>
              </w:rPr>
              <w:fldChar w:fldCharType="begin"/>
            </w:r>
            <w:r>
              <w:rPr>
                <w:noProof/>
                <w:webHidden/>
              </w:rPr>
              <w:instrText xml:space="preserve"> PAGEREF _Toc224843812 \h </w:instrText>
            </w:r>
            <w:r>
              <w:rPr>
                <w:noProof/>
                <w:webHidden/>
              </w:rPr>
            </w:r>
            <w:r>
              <w:rPr>
                <w:noProof/>
                <w:webHidden/>
              </w:rPr>
              <w:fldChar w:fldCharType="separate"/>
            </w:r>
            <w:r>
              <w:rPr>
                <w:noProof/>
                <w:webHidden/>
              </w:rPr>
              <w:t>8</w:t>
            </w:r>
            <w:r>
              <w:rPr>
                <w:noProof/>
                <w:webHidden/>
              </w:rPr>
              <w:fldChar w:fldCharType="end"/>
            </w:r>
          </w:hyperlink>
        </w:p>
        <w:p w14:paraId="42AFB12F" w14:textId="3D64A3F5" w:rsidR="00296286" w:rsidRDefault="00296286">
          <w:pPr>
            <w:pStyle w:val="TOC1"/>
            <w:tabs>
              <w:tab w:val="right" w:leader="dot" w:pos="9016"/>
            </w:tabs>
            <w:rPr>
              <w:rFonts w:asciiTheme="minorHAnsi" w:eastAsiaTheme="minorEastAsia" w:hAnsiTheme="minorHAnsi" w:cstheme="minorBidi"/>
              <w:noProof/>
              <w:lang w:eastAsia="en-GB"/>
            </w:rPr>
          </w:pPr>
          <w:hyperlink w:anchor="_Toc224843813" w:history="1">
            <w:r w:rsidRPr="002713F2">
              <w:rPr>
                <w:rStyle w:val="Hyperlink"/>
                <w:rFonts w:ascii="Arial" w:hAnsi="Arial" w:cs="Arial"/>
                <w:noProof/>
              </w:rPr>
              <w:t>3. Management actions</w:t>
            </w:r>
            <w:r>
              <w:rPr>
                <w:noProof/>
                <w:webHidden/>
              </w:rPr>
              <w:tab/>
            </w:r>
            <w:r>
              <w:rPr>
                <w:noProof/>
                <w:webHidden/>
              </w:rPr>
              <w:fldChar w:fldCharType="begin"/>
            </w:r>
            <w:r>
              <w:rPr>
                <w:noProof/>
                <w:webHidden/>
              </w:rPr>
              <w:instrText xml:space="preserve"> PAGEREF _Toc224843813 \h </w:instrText>
            </w:r>
            <w:r>
              <w:rPr>
                <w:noProof/>
                <w:webHidden/>
              </w:rPr>
            </w:r>
            <w:r>
              <w:rPr>
                <w:noProof/>
                <w:webHidden/>
              </w:rPr>
              <w:fldChar w:fldCharType="separate"/>
            </w:r>
            <w:r>
              <w:rPr>
                <w:noProof/>
                <w:webHidden/>
              </w:rPr>
              <w:t>10</w:t>
            </w:r>
            <w:r>
              <w:rPr>
                <w:noProof/>
                <w:webHidden/>
              </w:rPr>
              <w:fldChar w:fldCharType="end"/>
            </w:r>
          </w:hyperlink>
        </w:p>
        <w:p w14:paraId="692D3C07" w14:textId="74E3BB65" w:rsidR="00296286" w:rsidRDefault="00296286">
          <w:pPr>
            <w:pStyle w:val="TOC1"/>
            <w:tabs>
              <w:tab w:val="right" w:leader="dot" w:pos="9016"/>
            </w:tabs>
            <w:rPr>
              <w:rFonts w:asciiTheme="minorHAnsi" w:eastAsiaTheme="minorEastAsia" w:hAnsiTheme="minorHAnsi" w:cstheme="minorBidi"/>
              <w:noProof/>
              <w:lang w:eastAsia="en-GB"/>
            </w:rPr>
          </w:pPr>
          <w:hyperlink w:anchor="_Toc224843814" w:history="1">
            <w:r w:rsidRPr="002713F2">
              <w:rPr>
                <w:rStyle w:val="Hyperlink"/>
                <w:rFonts w:ascii="Arial" w:hAnsi="Arial" w:cs="Arial"/>
                <w:noProof/>
              </w:rPr>
              <w:t>4. Budgeting and budgetary control</w:t>
            </w:r>
            <w:r>
              <w:rPr>
                <w:noProof/>
                <w:webHidden/>
              </w:rPr>
              <w:tab/>
            </w:r>
            <w:r>
              <w:rPr>
                <w:noProof/>
                <w:webHidden/>
              </w:rPr>
              <w:fldChar w:fldCharType="begin"/>
            </w:r>
            <w:r>
              <w:rPr>
                <w:noProof/>
                <w:webHidden/>
              </w:rPr>
              <w:instrText xml:space="preserve"> PAGEREF _Toc224843814 \h </w:instrText>
            </w:r>
            <w:r>
              <w:rPr>
                <w:noProof/>
                <w:webHidden/>
              </w:rPr>
            </w:r>
            <w:r>
              <w:rPr>
                <w:noProof/>
                <w:webHidden/>
              </w:rPr>
              <w:fldChar w:fldCharType="separate"/>
            </w:r>
            <w:r>
              <w:rPr>
                <w:noProof/>
                <w:webHidden/>
              </w:rPr>
              <w:t>12</w:t>
            </w:r>
            <w:r>
              <w:rPr>
                <w:noProof/>
                <w:webHidden/>
              </w:rPr>
              <w:fldChar w:fldCharType="end"/>
            </w:r>
          </w:hyperlink>
        </w:p>
        <w:p w14:paraId="0764BE39" w14:textId="0F7B427E" w:rsidR="00296286" w:rsidRDefault="00296286">
          <w:pPr>
            <w:pStyle w:val="TOC2"/>
            <w:tabs>
              <w:tab w:val="right" w:leader="dot" w:pos="9016"/>
            </w:tabs>
            <w:rPr>
              <w:rFonts w:asciiTheme="minorHAnsi" w:eastAsiaTheme="minorEastAsia" w:hAnsiTheme="minorHAnsi" w:cstheme="minorBidi"/>
              <w:noProof/>
              <w:lang w:eastAsia="en-GB"/>
            </w:rPr>
          </w:pPr>
          <w:hyperlink w:anchor="_Toc224843815" w:history="1">
            <w:r w:rsidRPr="002713F2">
              <w:rPr>
                <w:rStyle w:val="Hyperlink"/>
                <w:rFonts w:ascii="Arial" w:hAnsi="Arial" w:cs="Arial"/>
                <w:noProof/>
              </w:rPr>
              <w:t>4.1 Key design conditions</w:t>
            </w:r>
            <w:r>
              <w:rPr>
                <w:noProof/>
                <w:webHidden/>
              </w:rPr>
              <w:tab/>
            </w:r>
            <w:r>
              <w:rPr>
                <w:noProof/>
                <w:webHidden/>
              </w:rPr>
              <w:fldChar w:fldCharType="begin"/>
            </w:r>
            <w:r>
              <w:rPr>
                <w:noProof/>
                <w:webHidden/>
              </w:rPr>
              <w:instrText xml:space="preserve"> PAGEREF _Toc224843815 \h </w:instrText>
            </w:r>
            <w:r>
              <w:rPr>
                <w:noProof/>
                <w:webHidden/>
              </w:rPr>
            </w:r>
            <w:r>
              <w:rPr>
                <w:noProof/>
                <w:webHidden/>
              </w:rPr>
              <w:fldChar w:fldCharType="separate"/>
            </w:r>
            <w:r>
              <w:rPr>
                <w:noProof/>
                <w:webHidden/>
              </w:rPr>
              <w:t>12</w:t>
            </w:r>
            <w:r>
              <w:rPr>
                <w:noProof/>
                <w:webHidden/>
              </w:rPr>
              <w:fldChar w:fldCharType="end"/>
            </w:r>
          </w:hyperlink>
        </w:p>
        <w:p w14:paraId="3EE256D7" w14:textId="0B2B7C0E" w:rsidR="00296286" w:rsidRDefault="00296286">
          <w:pPr>
            <w:pStyle w:val="TOC2"/>
            <w:tabs>
              <w:tab w:val="right" w:leader="dot" w:pos="9016"/>
            </w:tabs>
            <w:rPr>
              <w:rFonts w:asciiTheme="minorHAnsi" w:eastAsiaTheme="minorEastAsia" w:hAnsiTheme="minorHAnsi" w:cstheme="minorBidi"/>
              <w:noProof/>
              <w:lang w:eastAsia="en-GB"/>
            </w:rPr>
          </w:pPr>
          <w:hyperlink w:anchor="_Toc224843816" w:history="1">
            <w:r w:rsidRPr="002713F2">
              <w:rPr>
                <w:rStyle w:val="Hyperlink"/>
                <w:rFonts w:ascii="Arial" w:hAnsi="Arial" w:cs="Arial"/>
                <w:noProof/>
              </w:rPr>
              <w:t>4.2 Behavioural risks and how to reduce them</w:t>
            </w:r>
            <w:r>
              <w:rPr>
                <w:noProof/>
                <w:webHidden/>
              </w:rPr>
              <w:tab/>
            </w:r>
            <w:r>
              <w:rPr>
                <w:noProof/>
                <w:webHidden/>
              </w:rPr>
              <w:fldChar w:fldCharType="begin"/>
            </w:r>
            <w:r>
              <w:rPr>
                <w:noProof/>
                <w:webHidden/>
              </w:rPr>
              <w:instrText xml:space="preserve"> PAGEREF _Toc224843816 \h </w:instrText>
            </w:r>
            <w:r>
              <w:rPr>
                <w:noProof/>
                <w:webHidden/>
              </w:rPr>
            </w:r>
            <w:r>
              <w:rPr>
                <w:noProof/>
                <w:webHidden/>
              </w:rPr>
              <w:fldChar w:fldCharType="separate"/>
            </w:r>
            <w:r>
              <w:rPr>
                <w:noProof/>
                <w:webHidden/>
              </w:rPr>
              <w:t>13</w:t>
            </w:r>
            <w:r>
              <w:rPr>
                <w:noProof/>
                <w:webHidden/>
              </w:rPr>
              <w:fldChar w:fldCharType="end"/>
            </w:r>
          </w:hyperlink>
        </w:p>
        <w:p w14:paraId="0C2A508C" w14:textId="0607B7A7" w:rsidR="00296286" w:rsidRDefault="00296286">
          <w:pPr>
            <w:pStyle w:val="TOC2"/>
            <w:tabs>
              <w:tab w:val="right" w:leader="dot" w:pos="9016"/>
            </w:tabs>
            <w:rPr>
              <w:rFonts w:asciiTheme="minorHAnsi" w:eastAsiaTheme="minorEastAsia" w:hAnsiTheme="minorHAnsi" w:cstheme="minorBidi"/>
              <w:noProof/>
              <w:lang w:eastAsia="en-GB"/>
            </w:rPr>
          </w:pPr>
          <w:hyperlink w:anchor="_Toc224843817" w:history="1">
            <w:r w:rsidRPr="002713F2">
              <w:rPr>
                <w:rStyle w:val="Hyperlink"/>
                <w:rFonts w:ascii="Arial" w:hAnsi="Arial" w:cs="Arial"/>
                <w:noProof/>
              </w:rPr>
              <w:t>4.3 Control tools</w:t>
            </w:r>
            <w:r>
              <w:rPr>
                <w:noProof/>
                <w:webHidden/>
              </w:rPr>
              <w:tab/>
            </w:r>
            <w:r>
              <w:rPr>
                <w:noProof/>
                <w:webHidden/>
              </w:rPr>
              <w:fldChar w:fldCharType="begin"/>
            </w:r>
            <w:r>
              <w:rPr>
                <w:noProof/>
                <w:webHidden/>
              </w:rPr>
              <w:instrText xml:space="preserve"> PAGEREF _Toc224843817 \h </w:instrText>
            </w:r>
            <w:r>
              <w:rPr>
                <w:noProof/>
                <w:webHidden/>
              </w:rPr>
            </w:r>
            <w:r>
              <w:rPr>
                <w:noProof/>
                <w:webHidden/>
              </w:rPr>
              <w:fldChar w:fldCharType="separate"/>
            </w:r>
            <w:r>
              <w:rPr>
                <w:noProof/>
                <w:webHidden/>
              </w:rPr>
              <w:t>14</w:t>
            </w:r>
            <w:r>
              <w:rPr>
                <w:noProof/>
                <w:webHidden/>
              </w:rPr>
              <w:fldChar w:fldCharType="end"/>
            </w:r>
          </w:hyperlink>
        </w:p>
        <w:p w14:paraId="4E60C78D" w14:textId="06F7505A" w:rsidR="00296286" w:rsidRDefault="00296286">
          <w:pPr>
            <w:pStyle w:val="TOC2"/>
            <w:tabs>
              <w:tab w:val="right" w:leader="dot" w:pos="9016"/>
            </w:tabs>
            <w:rPr>
              <w:rFonts w:asciiTheme="minorHAnsi" w:eastAsiaTheme="minorEastAsia" w:hAnsiTheme="minorHAnsi" w:cstheme="minorBidi"/>
              <w:noProof/>
              <w:lang w:eastAsia="en-GB"/>
            </w:rPr>
          </w:pPr>
          <w:hyperlink w:anchor="_Toc224843818" w:history="1">
            <w:r w:rsidRPr="002713F2">
              <w:rPr>
                <w:rStyle w:val="Hyperlink"/>
                <w:rFonts w:ascii="Arial" w:hAnsi="Arial" w:cs="Arial"/>
                <w:noProof/>
              </w:rPr>
              <w:t>4.4 The information for effective control</w:t>
            </w:r>
            <w:r>
              <w:rPr>
                <w:noProof/>
                <w:webHidden/>
              </w:rPr>
              <w:tab/>
            </w:r>
            <w:r>
              <w:rPr>
                <w:noProof/>
                <w:webHidden/>
              </w:rPr>
              <w:fldChar w:fldCharType="begin"/>
            </w:r>
            <w:r>
              <w:rPr>
                <w:noProof/>
                <w:webHidden/>
              </w:rPr>
              <w:instrText xml:space="preserve"> PAGEREF _Toc224843818 \h </w:instrText>
            </w:r>
            <w:r>
              <w:rPr>
                <w:noProof/>
                <w:webHidden/>
              </w:rPr>
            </w:r>
            <w:r>
              <w:rPr>
                <w:noProof/>
                <w:webHidden/>
              </w:rPr>
              <w:fldChar w:fldCharType="separate"/>
            </w:r>
            <w:r>
              <w:rPr>
                <w:noProof/>
                <w:webHidden/>
              </w:rPr>
              <w:t>14</w:t>
            </w:r>
            <w:r>
              <w:rPr>
                <w:noProof/>
                <w:webHidden/>
              </w:rPr>
              <w:fldChar w:fldCharType="end"/>
            </w:r>
          </w:hyperlink>
        </w:p>
        <w:p w14:paraId="71D44B01" w14:textId="15BDE09B" w:rsidR="00296286" w:rsidRDefault="00296286">
          <w:pPr>
            <w:pStyle w:val="TOC2"/>
            <w:tabs>
              <w:tab w:val="right" w:leader="dot" w:pos="9016"/>
            </w:tabs>
            <w:rPr>
              <w:rFonts w:asciiTheme="minorHAnsi" w:eastAsiaTheme="minorEastAsia" w:hAnsiTheme="minorHAnsi" w:cstheme="minorBidi"/>
              <w:noProof/>
              <w:lang w:eastAsia="en-GB"/>
            </w:rPr>
          </w:pPr>
          <w:hyperlink w:anchor="_Toc224843819" w:history="1">
            <w:r w:rsidRPr="002713F2">
              <w:rPr>
                <w:rStyle w:val="Hyperlink"/>
                <w:rFonts w:ascii="Arial" w:hAnsi="Arial" w:cs="Arial"/>
                <w:noProof/>
              </w:rPr>
              <w:t>4.5 Budget culture</w:t>
            </w:r>
            <w:r>
              <w:rPr>
                <w:noProof/>
                <w:webHidden/>
              </w:rPr>
              <w:tab/>
            </w:r>
            <w:r>
              <w:rPr>
                <w:noProof/>
                <w:webHidden/>
              </w:rPr>
              <w:fldChar w:fldCharType="begin"/>
            </w:r>
            <w:r>
              <w:rPr>
                <w:noProof/>
                <w:webHidden/>
              </w:rPr>
              <w:instrText xml:space="preserve"> PAGEREF _Toc224843819 \h </w:instrText>
            </w:r>
            <w:r>
              <w:rPr>
                <w:noProof/>
                <w:webHidden/>
              </w:rPr>
            </w:r>
            <w:r>
              <w:rPr>
                <w:noProof/>
                <w:webHidden/>
              </w:rPr>
              <w:fldChar w:fldCharType="separate"/>
            </w:r>
            <w:r>
              <w:rPr>
                <w:noProof/>
                <w:webHidden/>
              </w:rPr>
              <w:t>14</w:t>
            </w:r>
            <w:r>
              <w:rPr>
                <w:noProof/>
                <w:webHidden/>
              </w:rPr>
              <w:fldChar w:fldCharType="end"/>
            </w:r>
          </w:hyperlink>
        </w:p>
        <w:p w14:paraId="784E5CF2" w14:textId="2F8CCAA8" w:rsidR="00296286" w:rsidRDefault="00296286">
          <w:pPr>
            <w:pStyle w:val="TOC2"/>
            <w:tabs>
              <w:tab w:val="right" w:leader="dot" w:pos="9016"/>
            </w:tabs>
            <w:rPr>
              <w:rFonts w:asciiTheme="minorHAnsi" w:eastAsiaTheme="minorEastAsia" w:hAnsiTheme="minorHAnsi" w:cstheme="minorBidi"/>
              <w:noProof/>
              <w:lang w:eastAsia="en-GB"/>
            </w:rPr>
          </w:pPr>
          <w:hyperlink w:anchor="_Toc224843820" w:history="1">
            <w:r w:rsidRPr="002713F2">
              <w:rPr>
                <w:rStyle w:val="Hyperlink"/>
                <w:rFonts w:ascii="Arial" w:hAnsi="Arial" w:cs="Arial"/>
                <w:noProof/>
              </w:rPr>
              <w:t>4.6 Incremental budgeting</w:t>
            </w:r>
            <w:r>
              <w:rPr>
                <w:noProof/>
                <w:webHidden/>
              </w:rPr>
              <w:tab/>
            </w:r>
            <w:r>
              <w:rPr>
                <w:noProof/>
                <w:webHidden/>
              </w:rPr>
              <w:fldChar w:fldCharType="begin"/>
            </w:r>
            <w:r>
              <w:rPr>
                <w:noProof/>
                <w:webHidden/>
              </w:rPr>
              <w:instrText xml:space="preserve"> PAGEREF _Toc224843820 \h </w:instrText>
            </w:r>
            <w:r>
              <w:rPr>
                <w:noProof/>
                <w:webHidden/>
              </w:rPr>
            </w:r>
            <w:r>
              <w:rPr>
                <w:noProof/>
                <w:webHidden/>
              </w:rPr>
              <w:fldChar w:fldCharType="separate"/>
            </w:r>
            <w:r>
              <w:rPr>
                <w:noProof/>
                <w:webHidden/>
              </w:rPr>
              <w:t>15</w:t>
            </w:r>
            <w:r>
              <w:rPr>
                <w:noProof/>
                <w:webHidden/>
              </w:rPr>
              <w:fldChar w:fldCharType="end"/>
            </w:r>
          </w:hyperlink>
        </w:p>
        <w:p w14:paraId="7150AC38" w14:textId="14FFF931" w:rsidR="00296286" w:rsidRDefault="00296286">
          <w:pPr>
            <w:pStyle w:val="TOC2"/>
            <w:tabs>
              <w:tab w:val="right" w:leader="dot" w:pos="9016"/>
            </w:tabs>
            <w:rPr>
              <w:rFonts w:asciiTheme="minorHAnsi" w:eastAsiaTheme="minorEastAsia" w:hAnsiTheme="minorHAnsi" w:cstheme="minorBidi"/>
              <w:noProof/>
              <w:lang w:eastAsia="en-GB"/>
            </w:rPr>
          </w:pPr>
          <w:hyperlink w:anchor="_Toc224843821" w:history="1">
            <w:r w:rsidRPr="002713F2">
              <w:rPr>
                <w:rStyle w:val="Hyperlink"/>
                <w:rFonts w:ascii="Arial" w:hAnsi="Arial" w:cs="Arial"/>
                <w:noProof/>
              </w:rPr>
              <w:t>4.7 Practical budgetary control cycle for Silver Stitch</w:t>
            </w:r>
            <w:r>
              <w:rPr>
                <w:noProof/>
                <w:webHidden/>
              </w:rPr>
              <w:tab/>
            </w:r>
            <w:r>
              <w:rPr>
                <w:noProof/>
                <w:webHidden/>
              </w:rPr>
              <w:fldChar w:fldCharType="begin"/>
            </w:r>
            <w:r>
              <w:rPr>
                <w:noProof/>
                <w:webHidden/>
              </w:rPr>
              <w:instrText xml:space="preserve"> PAGEREF _Toc224843821 \h </w:instrText>
            </w:r>
            <w:r>
              <w:rPr>
                <w:noProof/>
                <w:webHidden/>
              </w:rPr>
            </w:r>
            <w:r>
              <w:rPr>
                <w:noProof/>
                <w:webHidden/>
              </w:rPr>
              <w:fldChar w:fldCharType="separate"/>
            </w:r>
            <w:r>
              <w:rPr>
                <w:noProof/>
                <w:webHidden/>
              </w:rPr>
              <w:t>16</w:t>
            </w:r>
            <w:r>
              <w:rPr>
                <w:noProof/>
                <w:webHidden/>
              </w:rPr>
              <w:fldChar w:fldCharType="end"/>
            </w:r>
          </w:hyperlink>
        </w:p>
        <w:p w14:paraId="3EEBC75F" w14:textId="2D464DA2" w:rsidR="00296286" w:rsidRDefault="00296286">
          <w:pPr>
            <w:pStyle w:val="TOC1"/>
            <w:tabs>
              <w:tab w:val="right" w:leader="dot" w:pos="9016"/>
            </w:tabs>
            <w:rPr>
              <w:rFonts w:asciiTheme="minorHAnsi" w:eastAsiaTheme="minorEastAsia" w:hAnsiTheme="minorHAnsi" w:cstheme="minorBidi"/>
              <w:noProof/>
              <w:lang w:eastAsia="en-GB"/>
            </w:rPr>
          </w:pPr>
          <w:hyperlink w:anchor="_Toc224843822" w:history="1">
            <w:r w:rsidRPr="002713F2">
              <w:rPr>
                <w:rStyle w:val="Hyperlink"/>
                <w:rFonts w:ascii="Arial" w:hAnsi="Arial" w:cs="Arial"/>
                <w:noProof/>
              </w:rPr>
              <w:t>5. Evaluating traditional budgeting and alternatives in a fast-changing environment</w:t>
            </w:r>
            <w:r>
              <w:rPr>
                <w:noProof/>
                <w:webHidden/>
              </w:rPr>
              <w:tab/>
            </w:r>
            <w:r>
              <w:rPr>
                <w:noProof/>
                <w:webHidden/>
              </w:rPr>
              <w:fldChar w:fldCharType="begin"/>
            </w:r>
            <w:r>
              <w:rPr>
                <w:noProof/>
                <w:webHidden/>
              </w:rPr>
              <w:instrText xml:space="preserve"> PAGEREF _Toc224843822 \h </w:instrText>
            </w:r>
            <w:r>
              <w:rPr>
                <w:noProof/>
                <w:webHidden/>
              </w:rPr>
            </w:r>
            <w:r>
              <w:rPr>
                <w:noProof/>
                <w:webHidden/>
              </w:rPr>
              <w:fldChar w:fldCharType="separate"/>
            </w:r>
            <w:r>
              <w:rPr>
                <w:noProof/>
                <w:webHidden/>
              </w:rPr>
              <w:t>17</w:t>
            </w:r>
            <w:r>
              <w:rPr>
                <w:noProof/>
                <w:webHidden/>
              </w:rPr>
              <w:fldChar w:fldCharType="end"/>
            </w:r>
          </w:hyperlink>
        </w:p>
        <w:p w14:paraId="764C580F" w14:textId="5FDFB370" w:rsidR="00296286" w:rsidRDefault="00296286">
          <w:pPr>
            <w:pStyle w:val="TOC2"/>
            <w:tabs>
              <w:tab w:val="right" w:leader="dot" w:pos="9016"/>
            </w:tabs>
            <w:rPr>
              <w:rFonts w:asciiTheme="minorHAnsi" w:eastAsiaTheme="minorEastAsia" w:hAnsiTheme="minorHAnsi" w:cstheme="minorBidi"/>
              <w:noProof/>
              <w:lang w:eastAsia="en-GB"/>
            </w:rPr>
          </w:pPr>
          <w:hyperlink w:anchor="_Toc224843823" w:history="1">
            <w:r w:rsidRPr="002713F2">
              <w:rPr>
                <w:rStyle w:val="Hyperlink"/>
                <w:rFonts w:ascii="Arial" w:hAnsi="Arial" w:cs="Arial"/>
                <w:noProof/>
              </w:rPr>
              <w:t>5.1 Why annual budgets struggle with volatility</w:t>
            </w:r>
            <w:r>
              <w:rPr>
                <w:noProof/>
                <w:webHidden/>
              </w:rPr>
              <w:tab/>
            </w:r>
            <w:r>
              <w:rPr>
                <w:noProof/>
                <w:webHidden/>
              </w:rPr>
              <w:fldChar w:fldCharType="begin"/>
            </w:r>
            <w:r>
              <w:rPr>
                <w:noProof/>
                <w:webHidden/>
              </w:rPr>
              <w:instrText xml:space="preserve"> PAGEREF _Toc224843823 \h </w:instrText>
            </w:r>
            <w:r>
              <w:rPr>
                <w:noProof/>
                <w:webHidden/>
              </w:rPr>
            </w:r>
            <w:r>
              <w:rPr>
                <w:noProof/>
                <w:webHidden/>
              </w:rPr>
              <w:fldChar w:fldCharType="separate"/>
            </w:r>
            <w:r>
              <w:rPr>
                <w:noProof/>
                <w:webHidden/>
              </w:rPr>
              <w:t>17</w:t>
            </w:r>
            <w:r>
              <w:rPr>
                <w:noProof/>
                <w:webHidden/>
              </w:rPr>
              <w:fldChar w:fldCharType="end"/>
            </w:r>
          </w:hyperlink>
        </w:p>
        <w:p w14:paraId="69DB1B67" w14:textId="57CC59EB" w:rsidR="00296286" w:rsidRDefault="00296286">
          <w:pPr>
            <w:pStyle w:val="TOC2"/>
            <w:tabs>
              <w:tab w:val="right" w:leader="dot" w:pos="9016"/>
            </w:tabs>
            <w:rPr>
              <w:rFonts w:asciiTheme="minorHAnsi" w:eastAsiaTheme="minorEastAsia" w:hAnsiTheme="minorHAnsi" w:cstheme="minorBidi"/>
              <w:noProof/>
              <w:lang w:eastAsia="en-GB"/>
            </w:rPr>
          </w:pPr>
          <w:hyperlink w:anchor="_Toc224843824" w:history="1">
            <w:r w:rsidRPr="002713F2">
              <w:rPr>
                <w:rStyle w:val="Hyperlink"/>
                <w:rFonts w:ascii="Arial" w:hAnsi="Arial" w:cs="Arial"/>
                <w:noProof/>
              </w:rPr>
              <w:t>5.2 Practical alternatives that fit Silver Stitch constraints</w:t>
            </w:r>
            <w:r>
              <w:rPr>
                <w:noProof/>
                <w:webHidden/>
              </w:rPr>
              <w:tab/>
            </w:r>
            <w:r>
              <w:rPr>
                <w:noProof/>
                <w:webHidden/>
              </w:rPr>
              <w:fldChar w:fldCharType="begin"/>
            </w:r>
            <w:r>
              <w:rPr>
                <w:noProof/>
                <w:webHidden/>
              </w:rPr>
              <w:instrText xml:space="preserve"> PAGEREF _Toc224843824 \h </w:instrText>
            </w:r>
            <w:r>
              <w:rPr>
                <w:noProof/>
                <w:webHidden/>
              </w:rPr>
            </w:r>
            <w:r>
              <w:rPr>
                <w:noProof/>
                <w:webHidden/>
              </w:rPr>
              <w:fldChar w:fldCharType="separate"/>
            </w:r>
            <w:r>
              <w:rPr>
                <w:noProof/>
                <w:webHidden/>
              </w:rPr>
              <w:t>18</w:t>
            </w:r>
            <w:r>
              <w:rPr>
                <w:noProof/>
                <w:webHidden/>
              </w:rPr>
              <w:fldChar w:fldCharType="end"/>
            </w:r>
          </w:hyperlink>
        </w:p>
        <w:p w14:paraId="15B72440" w14:textId="537FA88C" w:rsidR="00296286" w:rsidRDefault="00296286">
          <w:pPr>
            <w:pStyle w:val="TOC2"/>
            <w:tabs>
              <w:tab w:val="right" w:leader="dot" w:pos="9016"/>
            </w:tabs>
            <w:rPr>
              <w:rFonts w:asciiTheme="minorHAnsi" w:eastAsiaTheme="minorEastAsia" w:hAnsiTheme="minorHAnsi" w:cstheme="minorBidi"/>
              <w:noProof/>
              <w:lang w:eastAsia="en-GB"/>
            </w:rPr>
          </w:pPr>
          <w:hyperlink w:anchor="_Toc224843825" w:history="1">
            <w:r w:rsidRPr="002713F2">
              <w:rPr>
                <w:rStyle w:val="Hyperlink"/>
                <w:rFonts w:ascii="Arial" w:hAnsi="Arial" w:cs="Arial"/>
                <w:noProof/>
              </w:rPr>
              <w:t>5.3 CVP</w:t>
            </w:r>
            <w:r>
              <w:rPr>
                <w:noProof/>
                <w:webHidden/>
              </w:rPr>
              <w:tab/>
            </w:r>
            <w:r>
              <w:rPr>
                <w:noProof/>
                <w:webHidden/>
              </w:rPr>
              <w:fldChar w:fldCharType="begin"/>
            </w:r>
            <w:r>
              <w:rPr>
                <w:noProof/>
                <w:webHidden/>
              </w:rPr>
              <w:instrText xml:space="preserve"> PAGEREF _Toc224843825 \h </w:instrText>
            </w:r>
            <w:r>
              <w:rPr>
                <w:noProof/>
                <w:webHidden/>
              </w:rPr>
            </w:r>
            <w:r>
              <w:rPr>
                <w:noProof/>
                <w:webHidden/>
              </w:rPr>
              <w:fldChar w:fldCharType="separate"/>
            </w:r>
            <w:r>
              <w:rPr>
                <w:noProof/>
                <w:webHidden/>
              </w:rPr>
              <w:t>18</w:t>
            </w:r>
            <w:r>
              <w:rPr>
                <w:noProof/>
                <w:webHidden/>
              </w:rPr>
              <w:fldChar w:fldCharType="end"/>
            </w:r>
          </w:hyperlink>
        </w:p>
        <w:p w14:paraId="2DF658F5" w14:textId="20B121C6" w:rsidR="00296286" w:rsidRDefault="00296286">
          <w:pPr>
            <w:pStyle w:val="TOC2"/>
            <w:tabs>
              <w:tab w:val="right" w:leader="dot" w:pos="9016"/>
            </w:tabs>
            <w:rPr>
              <w:rFonts w:asciiTheme="minorHAnsi" w:eastAsiaTheme="minorEastAsia" w:hAnsiTheme="minorHAnsi" w:cstheme="minorBidi"/>
              <w:noProof/>
              <w:lang w:eastAsia="en-GB"/>
            </w:rPr>
          </w:pPr>
          <w:hyperlink w:anchor="_Toc224843826" w:history="1">
            <w:r w:rsidRPr="002713F2">
              <w:rPr>
                <w:rStyle w:val="Hyperlink"/>
                <w:rFonts w:ascii="Arial" w:hAnsi="Arial" w:cs="Arial"/>
                <w:noProof/>
              </w:rPr>
              <w:t>5.4 Risk management</w:t>
            </w:r>
            <w:r>
              <w:rPr>
                <w:noProof/>
                <w:webHidden/>
              </w:rPr>
              <w:tab/>
            </w:r>
            <w:r>
              <w:rPr>
                <w:noProof/>
                <w:webHidden/>
              </w:rPr>
              <w:fldChar w:fldCharType="begin"/>
            </w:r>
            <w:r>
              <w:rPr>
                <w:noProof/>
                <w:webHidden/>
              </w:rPr>
              <w:instrText xml:space="preserve"> PAGEREF _Toc224843826 \h </w:instrText>
            </w:r>
            <w:r>
              <w:rPr>
                <w:noProof/>
                <w:webHidden/>
              </w:rPr>
            </w:r>
            <w:r>
              <w:rPr>
                <w:noProof/>
                <w:webHidden/>
              </w:rPr>
              <w:fldChar w:fldCharType="separate"/>
            </w:r>
            <w:r>
              <w:rPr>
                <w:noProof/>
                <w:webHidden/>
              </w:rPr>
              <w:t>19</w:t>
            </w:r>
            <w:r>
              <w:rPr>
                <w:noProof/>
                <w:webHidden/>
              </w:rPr>
              <w:fldChar w:fldCharType="end"/>
            </w:r>
          </w:hyperlink>
        </w:p>
        <w:p w14:paraId="5EBF8133" w14:textId="54020855" w:rsidR="00296286" w:rsidRDefault="00296286">
          <w:pPr>
            <w:pStyle w:val="TOC2"/>
            <w:tabs>
              <w:tab w:val="right" w:leader="dot" w:pos="9016"/>
            </w:tabs>
            <w:rPr>
              <w:rFonts w:asciiTheme="minorHAnsi" w:eastAsiaTheme="minorEastAsia" w:hAnsiTheme="minorHAnsi" w:cstheme="minorBidi"/>
              <w:noProof/>
              <w:lang w:eastAsia="en-GB"/>
            </w:rPr>
          </w:pPr>
          <w:hyperlink w:anchor="_Toc224843827" w:history="1">
            <w:r w:rsidRPr="002713F2">
              <w:rPr>
                <w:rStyle w:val="Hyperlink"/>
                <w:rFonts w:ascii="Arial" w:hAnsi="Arial" w:cs="Arial"/>
                <w:noProof/>
              </w:rPr>
              <w:t>5.5 Sustainability</w:t>
            </w:r>
            <w:r>
              <w:rPr>
                <w:noProof/>
                <w:webHidden/>
              </w:rPr>
              <w:tab/>
            </w:r>
            <w:r>
              <w:rPr>
                <w:noProof/>
                <w:webHidden/>
              </w:rPr>
              <w:fldChar w:fldCharType="begin"/>
            </w:r>
            <w:r>
              <w:rPr>
                <w:noProof/>
                <w:webHidden/>
              </w:rPr>
              <w:instrText xml:space="preserve"> PAGEREF _Toc224843827 \h </w:instrText>
            </w:r>
            <w:r>
              <w:rPr>
                <w:noProof/>
                <w:webHidden/>
              </w:rPr>
            </w:r>
            <w:r>
              <w:rPr>
                <w:noProof/>
                <w:webHidden/>
              </w:rPr>
              <w:fldChar w:fldCharType="separate"/>
            </w:r>
            <w:r>
              <w:rPr>
                <w:noProof/>
                <w:webHidden/>
              </w:rPr>
              <w:t>19</w:t>
            </w:r>
            <w:r>
              <w:rPr>
                <w:noProof/>
                <w:webHidden/>
              </w:rPr>
              <w:fldChar w:fldCharType="end"/>
            </w:r>
          </w:hyperlink>
        </w:p>
        <w:p w14:paraId="73CC6554" w14:textId="2BC83B12" w:rsidR="00296286" w:rsidRDefault="00296286">
          <w:pPr>
            <w:pStyle w:val="TOC2"/>
            <w:tabs>
              <w:tab w:val="right" w:leader="dot" w:pos="9016"/>
            </w:tabs>
            <w:rPr>
              <w:rFonts w:asciiTheme="minorHAnsi" w:eastAsiaTheme="minorEastAsia" w:hAnsiTheme="minorHAnsi" w:cstheme="minorBidi"/>
              <w:noProof/>
              <w:lang w:eastAsia="en-GB"/>
            </w:rPr>
          </w:pPr>
          <w:hyperlink w:anchor="_Toc224843828" w:history="1">
            <w:r w:rsidRPr="002713F2">
              <w:rPr>
                <w:rStyle w:val="Hyperlink"/>
                <w:rFonts w:ascii="Arial" w:hAnsi="Arial" w:cs="Arial"/>
                <w:noProof/>
              </w:rPr>
              <w:t>5.6 Research evidence on budgeting change</w:t>
            </w:r>
            <w:r>
              <w:rPr>
                <w:noProof/>
                <w:webHidden/>
              </w:rPr>
              <w:tab/>
            </w:r>
            <w:r>
              <w:rPr>
                <w:noProof/>
                <w:webHidden/>
              </w:rPr>
              <w:fldChar w:fldCharType="begin"/>
            </w:r>
            <w:r>
              <w:rPr>
                <w:noProof/>
                <w:webHidden/>
              </w:rPr>
              <w:instrText xml:space="preserve"> PAGEREF _Toc224843828 \h </w:instrText>
            </w:r>
            <w:r>
              <w:rPr>
                <w:noProof/>
                <w:webHidden/>
              </w:rPr>
            </w:r>
            <w:r>
              <w:rPr>
                <w:noProof/>
                <w:webHidden/>
              </w:rPr>
              <w:fldChar w:fldCharType="separate"/>
            </w:r>
            <w:r>
              <w:rPr>
                <w:noProof/>
                <w:webHidden/>
              </w:rPr>
              <w:t>20</w:t>
            </w:r>
            <w:r>
              <w:rPr>
                <w:noProof/>
                <w:webHidden/>
              </w:rPr>
              <w:fldChar w:fldCharType="end"/>
            </w:r>
          </w:hyperlink>
        </w:p>
        <w:p w14:paraId="035845A0" w14:textId="75D31AFA" w:rsidR="00296286" w:rsidRDefault="00296286">
          <w:pPr>
            <w:pStyle w:val="TOC2"/>
            <w:tabs>
              <w:tab w:val="right" w:leader="dot" w:pos="9016"/>
            </w:tabs>
            <w:rPr>
              <w:rFonts w:asciiTheme="minorHAnsi" w:eastAsiaTheme="minorEastAsia" w:hAnsiTheme="minorHAnsi" w:cstheme="minorBidi"/>
              <w:noProof/>
              <w:lang w:eastAsia="en-GB"/>
            </w:rPr>
          </w:pPr>
          <w:hyperlink w:anchor="_Toc224843829" w:history="1">
            <w:r w:rsidRPr="002713F2">
              <w:rPr>
                <w:rStyle w:val="Hyperlink"/>
                <w:rFonts w:ascii="Arial" w:hAnsi="Arial" w:cs="Arial"/>
                <w:noProof/>
              </w:rPr>
              <w:t>5.7 The role of internal controls and documentation</w:t>
            </w:r>
            <w:r>
              <w:rPr>
                <w:noProof/>
                <w:webHidden/>
              </w:rPr>
              <w:tab/>
            </w:r>
            <w:r>
              <w:rPr>
                <w:noProof/>
                <w:webHidden/>
              </w:rPr>
              <w:fldChar w:fldCharType="begin"/>
            </w:r>
            <w:r>
              <w:rPr>
                <w:noProof/>
                <w:webHidden/>
              </w:rPr>
              <w:instrText xml:space="preserve"> PAGEREF _Toc224843829 \h </w:instrText>
            </w:r>
            <w:r>
              <w:rPr>
                <w:noProof/>
                <w:webHidden/>
              </w:rPr>
            </w:r>
            <w:r>
              <w:rPr>
                <w:noProof/>
                <w:webHidden/>
              </w:rPr>
              <w:fldChar w:fldCharType="separate"/>
            </w:r>
            <w:r>
              <w:rPr>
                <w:noProof/>
                <w:webHidden/>
              </w:rPr>
              <w:t>20</w:t>
            </w:r>
            <w:r>
              <w:rPr>
                <w:noProof/>
                <w:webHidden/>
              </w:rPr>
              <w:fldChar w:fldCharType="end"/>
            </w:r>
          </w:hyperlink>
        </w:p>
        <w:p w14:paraId="6C73B336" w14:textId="3DF591CE" w:rsidR="00296286" w:rsidRDefault="00296286">
          <w:pPr>
            <w:pStyle w:val="TOC2"/>
            <w:tabs>
              <w:tab w:val="right" w:leader="dot" w:pos="9016"/>
            </w:tabs>
            <w:rPr>
              <w:rFonts w:asciiTheme="minorHAnsi" w:eastAsiaTheme="minorEastAsia" w:hAnsiTheme="minorHAnsi" w:cstheme="minorBidi"/>
              <w:noProof/>
              <w:lang w:eastAsia="en-GB"/>
            </w:rPr>
          </w:pPr>
          <w:hyperlink w:anchor="_Toc224843830" w:history="1">
            <w:r w:rsidRPr="002713F2">
              <w:rPr>
                <w:rStyle w:val="Hyperlink"/>
                <w:rFonts w:ascii="Arial" w:hAnsi="Arial" w:cs="Arial"/>
                <w:noProof/>
              </w:rPr>
              <w:t>5.8 What success should look like by December</w:t>
            </w:r>
            <w:r>
              <w:rPr>
                <w:noProof/>
                <w:webHidden/>
              </w:rPr>
              <w:tab/>
            </w:r>
            <w:r>
              <w:rPr>
                <w:noProof/>
                <w:webHidden/>
              </w:rPr>
              <w:fldChar w:fldCharType="begin"/>
            </w:r>
            <w:r>
              <w:rPr>
                <w:noProof/>
                <w:webHidden/>
              </w:rPr>
              <w:instrText xml:space="preserve"> PAGEREF _Toc224843830 \h </w:instrText>
            </w:r>
            <w:r>
              <w:rPr>
                <w:noProof/>
                <w:webHidden/>
              </w:rPr>
            </w:r>
            <w:r>
              <w:rPr>
                <w:noProof/>
                <w:webHidden/>
              </w:rPr>
              <w:fldChar w:fldCharType="separate"/>
            </w:r>
            <w:r>
              <w:rPr>
                <w:noProof/>
                <w:webHidden/>
              </w:rPr>
              <w:t>20</w:t>
            </w:r>
            <w:r>
              <w:rPr>
                <w:noProof/>
                <w:webHidden/>
              </w:rPr>
              <w:fldChar w:fldCharType="end"/>
            </w:r>
          </w:hyperlink>
        </w:p>
        <w:p w14:paraId="2DAEFF47" w14:textId="17CFD40C" w:rsidR="00296286" w:rsidRDefault="00296286">
          <w:pPr>
            <w:pStyle w:val="TOC1"/>
            <w:tabs>
              <w:tab w:val="right" w:leader="dot" w:pos="9016"/>
            </w:tabs>
            <w:rPr>
              <w:rFonts w:asciiTheme="minorHAnsi" w:eastAsiaTheme="minorEastAsia" w:hAnsiTheme="minorHAnsi" w:cstheme="minorBidi"/>
              <w:noProof/>
              <w:lang w:eastAsia="en-GB"/>
            </w:rPr>
          </w:pPr>
          <w:hyperlink w:anchor="_Toc224843831" w:history="1">
            <w:r w:rsidRPr="002713F2">
              <w:rPr>
                <w:rStyle w:val="Hyperlink"/>
                <w:rFonts w:ascii="Arial" w:hAnsi="Arial" w:cs="Arial"/>
                <w:noProof/>
              </w:rPr>
              <w:t>6. Recommendations</w:t>
            </w:r>
            <w:r>
              <w:rPr>
                <w:noProof/>
                <w:webHidden/>
              </w:rPr>
              <w:tab/>
            </w:r>
            <w:r>
              <w:rPr>
                <w:noProof/>
                <w:webHidden/>
              </w:rPr>
              <w:fldChar w:fldCharType="begin"/>
            </w:r>
            <w:r>
              <w:rPr>
                <w:noProof/>
                <w:webHidden/>
              </w:rPr>
              <w:instrText xml:space="preserve"> PAGEREF _Toc224843831 \h </w:instrText>
            </w:r>
            <w:r>
              <w:rPr>
                <w:noProof/>
                <w:webHidden/>
              </w:rPr>
            </w:r>
            <w:r>
              <w:rPr>
                <w:noProof/>
                <w:webHidden/>
              </w:rPr>
              <w:fldChar w:fldCharType="separate"/>
            </w:r>
            <w:r>
              <w:rPr>
                <w:noProof/>
                <w:webHidden/>
              </w:rPr>
              <w:t>21</w:t>
            </w:r>
            <w:r>
              <w:rPr>
                <w:noProof/>
                <w:webHidden/>
              </w:rPr>
              <w:fldChar w:fldCharType="end"/>
            </w:r>
          </w:hyperlink>
        </w:p>
        <w:p w14:paraId="2D84068F" w14:textId="684968E1" w:rsidR="00296286" w:rsidRDefault="00296286">
          <w:pPr>
            <w:pStyle w:val="TOC1"/>
            <w:tabs>
              <w:tab w:val="right" w:leader="dot" w:pos="9016"/>
            </w:tabs>
            <w:rPr>
              <w:rFonts w:asciiTheme="minorHAnsi" w:eastAsiaTheme="minorEastAsia" w:hAnsiTheme="minorHAnsi" w:cstheme="minorBidi"/>
              <w:noProof/>
              <w:lang w:eastAsia="en-GB"/>
            </w:rPr>
          </w:pPr>
          <w:hyperlink w:anchor="_Toc224843832" w:history="1">
            <w:r w:rsidRPr="002713F2">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_Toc224843832 \h </w:instrText>
            </w:r>
            <w:r>
              <w:rPr>
                <w:noProof/>
                <w:webHidden/>
              </w:rPr>
            </w:r>
            <w:r>
              <w:rPr>
                <w:noProof/>
                <w:webHidden/>
              </w:rPr>
              <w:fldChar w:fldCharType="separate"/>
            </w:r>
            <w:r>
              <w:rPr>
                <w:noProof/>
                <w:webHidden/>
              </w:rPr>
              <w:t>22</w:t>
            </w:r>
            <w:r>
              <w:rPr>
                <w:noProof/>
                <w:webHidden/>
              </w:rPr>
              <w:fldChar w:fldCharType="end"/>
            </w:r>
          </w:hyperlink>
        </w:p>
        <w:p w14:paraId="3CFC6588" w14:textId="14DAFC71" w:rsidR="00296286" w:rsidRDefault="00296286">
          <w:pPr>
            <w:pStyle w:val="TOC1"/>
            <w:tabs>
              <w:tab w:val="right" w:leader="dot" w:pos="9016"/>
            </w:tabs>
            <w:rPr>
              <w:rFonts w:asciiTheme="minorHAnsi" w:eastAsiaTheme="minorEastAsia" w:hAnsiTheme="minorHAnsi" w:cstheme="minorBidi"/>
              <w:noProof/>
              <w:lang w:eastAsia="en-GB"/>
            </w:rPr>
          </w:pPr>
          <w:hyperlink w:anchor="_Toc224843833" w:history="1">
            <w:r w:rsidRPr="002713F2">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_Toc224843833 \h </w:instrText>
            </w:r>
            <w:r>
              <w:rPr>
                <w:noProof/>
                <w:webHidden/>
              </w:rPr>
            </w:r>
            <w:r>
              <w:rPr>
                <w:noProof/>
                <w:webHidden/>
              </w:rPr>
              <w:fldChar w:fldCharType="separate"/>
            </w:r>
            <w:r>
              <w:rPr>
                <w:noProof/>
                <w:webHidden/>
              </w:rPr>
              <w:t>25</w:t>
            </w:r>
            <w:r>
              <w:rPr>
                <w:noProof/>
                <w:webHidden/>
              </w:rPr>
              <w:fldChar w:fldCharType="end"/>
            </w:r>
          </w:hyperlink>
        </w:p>
        <w:p w14:paraId="4F489F13" w14:textId="39CFD41E" w:rsidR="00424FD0" w:rsidRDefault="00424FD0">
          <w:r>
            <w:rPr>
              <w:b/>
              <w:bCs/>
              <w:noProof/>
              <w:lang w:val="en-US"/>
            </w:rPr>
            <w:fldChar w:fldCharType="end"/>
          </w:r>
        </w:p>
      </w:sdtContent>
    </w:sdt>
    <w:p w14:paraId="261BF658" w14:textId="77777777" w:rsidR="00BE1435" w:rsidRDefault="00BE1435" w:rsidP="00BE1435"/>
    <w:p w14:paraId="2841FB6F" w14:textId="77777777" w:rsidR="00424FD0" w:rsidRDefault="00424FD0" w:rsidP="00BE1435"/>
    <w:p w14:paraId="2CB920A6" w14:textId="77777777" w:rsidR="00424FD0" w:rsidRDefault="00424FD0" w:rsidP="00BE1435"/>
    <w:p w14:paraId="1D7C661B" w14:textId="77777777" w:rsidR="00424FD0" w:rsidRDefault="00424FD0" w:rsidP="00BE1435"/>
    <w:p w14:paraId="085B2ED6" w14:textId="0A4BCB47" w:rsidR="00424FD0" w:rsidRPr="00296286" w:rsidRDefault="00424FD0" w:rsidP="00296286">
      <w:pPr>
        <w:pStyle w:val="Heading1"/>
        <w:spacing w:line="360" w:lineRule="auto"/>
        <w:jc w:val="both"/>
        <w:rPr>
          <w:rFonts w:ascii="Arial" w:hAnsi="Arial" w:cs="Arial"/>
          <w:sz w:val="24"/>
          <w:szCs w:val="24"/>
        </w:rPr>
      </w:pPr>
      <w:bookmarkStart w:id="2" w:name="_Toc224843808"/>
      <w:r w:rsidRPr="00296286">
        <w:rPr>
          <w:rFonts w:ascii="Arial" w:hAnsi="Arial" w:cs="Arial"/>
          <w:sz w:val="24"/>
          <w:szCs w:val="24"/>
        </w:rPr>
        <w:t>Executive summary</w:t>
      </w:r>
      <w:bookmarkEnd w:id="2"/>
    </w:p>
    <w:p w14:paraId="462476BB" w14:textId="77777777" w:rsidR="00424FD0" w:rsidRPr="00296286" w:rsidRDefault="00424FD0" w:rsidP="00296286">
      <w:pPr>
        <w:spacing w:line="360" w:lineRule="auto"/>
        <w:jc w:val="both"/>
        <w:rPr>
          <w:rFonts w:ascii="Arial" w:hAnsi="Arial" w:cs="Arial"/>
        </w:rPr>
      </w:pPr>
    </w:p>
    <w:p w14:paraId="13E18F53" w14:textId="000DBE6F" w:rsidR="00424FD0" w:rsidRPr="00296286" w:rsidRDefault="00424FD0" w:rsidP="00296286">
      <w:pPr>
        <w:spacing w:line="360" w:lineRule="auto"/>
        <w:jc w:val="both"/>
        <w:rPr>
          <w:rFonts w:ascii="Arial" w:hAnsi="Arial" w:cs="Arial"/>
        </w:rPr>
      </w:pPr>
      <w:r w:rsidRPr="00296286">
        <w:rPr>
          <w:rFonts w:ascii="Arial" w:hAnsi="Arial" w:cs="Arial"/>
        </w:rPr>
        <w:t>This report uses budgeting and cash control techniques to assess whether Silver Stitch Ltd can remove its opening £30,000 overdraft by the end of December and to identify the management actions needed to make that outcome reliable.</w:t>
      </w:r>
    </w:p>
    <w:p w14:paraId="3EF236A2" w14:textId="784D1B96" w:rsidR="00424FD0" w:rsidRPr="00296286" w:rsidRDefault="00424FD0" w:rsidP="00296286">
      <w:pPr>
        <w:spacing w:line="360" w:lineRule="auto"/>
        <w:jc w:val="both"/>
        <w:rPr>
          <w:rFonts w:ascii="Arial" w:hAnsi="Arial" w:cs="Arial"/>
        </w:rPr>
      </w:pPr>
      <w:r w:rsidRPr="00296286">
        <w:rPr>
          <w:rFonts w:ascii="Arial" w:hAnsi="Arial" w:cs="Arial"/>
        </w:rPr>
        <w:t>The budgets indicate that the overdraft can be cleared, but only if directors stop the inventory from expanding beyond what sales require and manage timing shocks (refurbishment and the September tax payment). The biggest threat is working capital, not profitability.</w:t>
      </w:r>
    </w:p>
    <w:p w14:paraId="27C9E1F6" w14:textId="2C557E7C" w:rsidR="00424FD0" w:rsidRPr="00296286" w:rsidRDefault="00424FD0" w:rsidP="00296286">
      <w:pPr>
        <w:spacing w:line="360" w:lineRule="auto"/>
        <w:jc w:val="both"/>
        <w:rPr>
          <w:rFonts w:ascii="Arial" w:hAnsi="Arial" w:cs="Arial"/>
        </w:rPr>
      </w:pPr>
      <w:r w:rsidRPr="00296286">
        <w:rPr>
          <w:rFonts w:ascii="Arial" w:hAnsi="Arial" w:cs="Arial"/>
        </w:rPr>
        <w:t xml:space="preserve">Silver Stitch should adopt a rolling forecast and a formal stock policy, supported by flexible budgeting and a small dashboard of liquidity-focused KPIs. They </w:t>
      </w:r>
      <w:r w:rsidR="009F5CE9" w:rsidRPr="00296286">
        <w:rPr>
          <w:rFonts w:ascii="Arial" w:hAnsi="Arial" w:cs="Arial"/>
        </w:rPr>
        <w:t>should</w:t>
      </w:r>
    </w:p>
    <w:p w14:paraId="416965CB" w14:textId="436627E1" w:rsidR="00424FD0" w:rsidRPr="00296286" w:rsidRDefault="009F5CE9" w:rsidP="00296286">
      <w:pPr>
        <w:spacing w:line="360" w:lineRule="auto"/>
        <w:jc w:val="both"/>
        <w:rPr>
          <w:rFonts w:ascii="Arial" w:hAnsi="Arial" w:cs="Arial"/>
        </w:rPr>
      </w:pPr>
      <w:r w:rsidRPr="00296286">
        <w:rPr>
          <w:rFonts w:ascii="Arial" w:hAnsi="Arial" w:cs="Arial"/>
        </w:rPr>
        <w:t>Move away from a static annual budget towards an adaptive budgeting cycle consistent with beyond budgeting principles, while retaining clear spending guardrails demanded by leaders.</w:t>
      </w:r>
    </w:p>
    <w:p w14:paraId="10BEFF10" w14:textId="77777777" w:rsidR="00424FD0" w:rsidRPr="00296286" w:rsidRDefault="00424FD0" w:rsidP="00296286">
      <w:pPr>
        <w:spacing w:line="360" w:lineRule="auto"/>
        <w:jc w:val="both"/>
        <w:rPr>
          <w:rFonts w:ascii="Arial" w:hAnsi="Arial" w:cs="Arial"/>
        </w:rPr>
      </w:pPr>
    </w:p>
    <w:p w14:paraId="6986BF1B" w14:textId="77777777" w:rsidR="00424FD0" w:rsidRPr="00296286" w:rsidRDefault="00424FD0" w:rsidP="00296286">
      <w:pPr>
        <w:spacing w:line="360" w:lineRule="auto"/>
        <w:jc w:val="both"/>
        <w:rPr>
          <w:rFonts w:ascii="Arial" w:hAnsi="Arial" w:cs="Arial"/>
        </w:rPr>
      </w:pPr>
    </w:p>
    <w:p w14:paraId="19C65C0C" w14:textId="77777777" w:rsidR="00BE1435" w:rsidRPr="00296286" w:rsidRDefault="00BE1435" w:rsidP="00296286">
      <w:pPr>
        <w:spacing w:line="360" w:lineRule="auto"/>
        <w:jc w:val="both"/>
        <w:rPr>
          <w:rFonts w:ascii="Arial" w:hAnsi="Arial" w:cs="Arial"/>
        </w:rPr>
      </w:pPr>
    </w:p>
    <w:p w14:paraId="5E315F7B" w14:textId="77777777" w:rsidR="002F0B77" w:rsidRPr="00296286" w:rsidRDefault="002F0B77" w:rsidP="00296286">
      <w:pPr>
        <w:spacing w:line="360" w:lineRule="auto"/>
        <w:jc w:val="both"/>
        <w:rPr>
          <w:rFonts w:ascii="Arial" w:hAnsi="Arial" w:cs="Arial"/>
        </w:rPr>
      </w:pPr>
    </w:p>
    <w:p w14:paraId="3D106B9B" w14:textId="77777777" w:rsidR="009F5CE9" w:rsidRPr="00296286" w:rsidRDefault="009F5CE9" w:rsidP="00296286">
      <w:pPr>
        <w:spacing w:line="360" w:lineRule="auto"/>
        <w:jc w:val="both"/>
        <w:rPr>
          <w:rFonts w:ascii="Arial" w:hAnsi="Arial" w:cs="Arial"/>
        </w:rPr>
      </w:pPr>
    </w:p>
    <w:p w14:paraId="36D53851" w14:textId="77777777" w:rsidR="009F5CE9" w:rsidRPr="00296286" w:rsidRDefault="009F5CE9" w:rsidP="00296286">
      <w:pPr>
        <w:spacing w:line="360" w:lineRule="auto"/>
        <w:jc w:val="both"/>
        <w:rPr>
          <w:rFonts w:ascii="Arial" w:hAnsi="Arial" w:cs="Arial"/>
        </w:rPr>
      </w:pPr>
    </w:p>
    <w:p w14:paraId="658025A5" w14:textId="77777777" w:rsidR="009F5CE9" w:rsidRPr="00296286" w:rsidRDefault="009F5CE9" w:rsidP="00296286">
      <w:pPr>
        <w:spacing w:line="360" w:lineRule="auto"/>
        <w:jc w:val="both"/>
        <w:rPr>
          <w:rFonts w:ascii="Arial" w:hAnsi="Arial" w:cs="Arial"/>
        </w:rPr>
      </w:pPr>
    </w:p>
    <w:p w14:paraId="762F0031" w14:textId="77777777" w:rsidR="009F5CE9" w:rsidRPr="00296286" w:rsidRDefault="009F5CE9" w:rsidP="00296286">
      <w:pPr>
        <w:spacing w:line="360" w:lineRule="auto"/>
        <w:jc w:val="both"/>
        <w:rPr>
          <w:rFonts w:ascii="Arial" w:hAnsi="Arial" w:cs="Arial"/>
        </w:rPr>
      </w:pPr>
    </w:p>
    <w:p w14:paraId="742BA122" w14:textId="77777777" w:rsidR="009F5CE9" w:rsidRPr="00296286" w:rsidRDefault="009F5CE9" w:rsidP="00296286">
      <w:pPr>
        <w:spacing w:line="360" w:lineRule="auto"/>
        <w:jc w:val="both"/>
        <w:rPr>
          <w:rFonts w:ascii="Arial" w:hAnsi="Arial" w:cs="Arial"/>
        </w:rPr>
      </w:pPr>
    </w:p>
    <w:p w14:paraId="2C12925F" w14:textId="77777777" w:rsidR="009F5CE9" w:rsidRPr="00296286" w:rsidRDefault="009F5CE9" w:rsidP="00296286">
      <w:pPr>
        <w:spacing w:line="360" w:lineRule="auto"/>
        <w:jc w:val="both"/>
        <w:rPr>
          <w:rFonts w:ascii="Arial" w:hAnsi="Arial" w:cs="Arial"/>
        </w:rPr>
      </w:pPr>
    </w:p>
    <w:p w14:paraId="413E5573" w14:textId="77777777" w:rsidR="009F5CE9" w:rsidRPr="00296286" w:rsidRDefault="009F5CE9" w:rsidP="00296286">
      <w:pPr>
        <w:spacing w:line="360" w:lineRule="auto"/>
        <w:jc w:val="both"/>
        <w:rPr>
          <w:rFonts w:ascii="Arial" w:hAnsi="Arial" w:cs="Arial"/>
        </w:rPr>
      </w:pPr>
    </w:p>
    <w:p w14:paraId="15F03C6D" w14:textId="4788EB32" w:rsidR="009F5CE9" w:rsidRPr="00296286" w:rsidRDefault="00B773B0" w:rsidP="00296286">
      <w:pPr>
        <w:pStyle w:val="Heading1"/>
        <w:spacing w:line="360" w:lineRule="auto"/>
        <w:jc w:val="both"/>
        <w:rPr>
          <w:rFonts w:ascii="Arial" w:hAnsi="Arial" w:cs="Arial"/>
          <w:sz w:val="24"/>
          <w:szCs w:val="24"/>
        </w:rPr>
      </w:pPr>
      <w:bookmarkStart w:id="3" w:name="_Toc224843809"/>
      <w:r w:rsidRPr="00296286">
        <w:rPr>
          <w:rFonts w:ascii="Arial" w:hAnsi="Arial" w:cs="Arial"/>
          <w:sz w:val="24"/>
          <w:szCs w:val="24"/>
        </w:rPr>
        <w:lastRenderedPageBreak/>
        <w:t xml:space="preserve">1. </w:t>
      </w:r>
      <w:r w:rsidR="009F5CE9" w:rsidRPr="00296286">
        <w:rPr>
          <w:rFonts w:ascii="Arial" w:hAnsi="Arial" w:cs="Arial"/>
          <w:sz w:val="24"/>
          <w:szCs w:val="24"/>
        </w:rPr>
        <w:t>Introduction</w:t>
      </w:r>
      <w:bookmarkEnd w:id="3"/>
      <w:r w:rsidR="009F5CE9" w:rsidRPr="00296286">
        <w:rPr>
          <w:rFonts w:ascii="Arial" w:hAnsi="Arial" w:cs="Arial"/>
          <w:sz w:val="24"/>
          <w:szCs w:val="24"/>
        </w:rPr>
        <w:t xml:space="preserve"> </w:t>
      </w:r>
    </w:p>
    <w:p w14:paraId="5C3B2B89" w14:textId="77777777" w:rsidR="009F5CE9" w:rsidRPr="00296286" w:rsidRDefault="009F5CE9" w:rsidP="00296286">
      <w:pPr>
        <w:spacing w:line="360" w:lineRule="auto"/>
        <w:jc w:val="both"/>
        <w:rPr>
          <w:rFonts w:ascii="Arial" w:hAnsi="Arial" w:cs="Arial"/>
        </w:rPr>
      </w:pPr>
    </w:p>
    <w:p w14:paraId="19A1D6F2" w14:textId="6DD3D925" w:rsidR="009F5CE9" w:rsidRPr="00296286" w:rsidRDefault="009F5CE9" w:rsidP="00296286">
      <w:pPr>
        <w:spacing w:line="360" w:lineRule="auto"/>
        <w:jc w:val="both"/>
        <w:rPr>
          <w:rFonts w:ascii="Arial" w:hAnsi="Arial" w:cs="Arial"/>
        </w:rPr>
      </w:pPr>
      <w:r w:rsidRPr="00296286">
        <w:rPr>
          <w:rFonts w:ascii="Arial" w:hAnsi="Arial" w:cs="Arial"/>
        </w:rPr>
        <w:t>Silver Stitch Ltd sells casual clothing and begins June with a bank overdraft of £30,000. The bank expects the overdraft to be eliminated by the end of December.</w:t>
      </w:r>
    </w:p>
    <w:p w14:paraId="37DE106B" w14:textId="421D8DC2" w:rsidR="009F5CE9" w:rsidRPr="00296286" w:rsidRDefault="009F5CE9" w:rsidP="00296286">
      <w:pPr>
        <w:spacing w:line="360" w:lineRule="auto"/>
        <w:jc w:val="both"/>
        <w:rPr>
          <w:rFonts w:ascii="Arial" w:hAnsi="Arial" w:cs="Arial"/>
        </w:rPr>
      </w:pPr>
      <w:r w:rsidRPr="00296286">
        <w:rPr>
          <w:rFonts w:ascii="Arial" w:hAnsi="Arial" w:cs="Arial"/>
        </w:rPr>
        <w:t>Directors have provided monthly plans for sales income, stock purchases, operating expenses, taxation payments, interest, and refurbishment expenditure for June to December</w:t>
      </w:r>
      <w:r w:rsidR="001D7B37" w:rsidRPr="00296286">
        <w:rPr>
          <w:rFonts w:ascii="Arial" w:hAnsi="Arial" w:cs="Arial"/>
        </w:rPr>
        <w:t>. This business receives customer cash in the month of sale, including credit card receipts, and pays a card handling fee. Suppliers allow one month’s credit on purchases, and selling expenses are paid one month in arrears.</w:t>
      </w:r>
    </w:p>
    <w:p w14:paraId="594AE51C" w14:textId="3F7333AC" w:rsidR="001D7B37" w:rsidRPr="00296286" w:rsidRDefault="001D7B37" w:rsidP="00296286">
      <w:pPr>
        <w:spacing w:line="360" w:lineRule="auto"/>
        <w:jc w:val="both"/>
        <w:rPr>
          <w:rFonts w:ascii="Arial" w:hAnsi="Arial" w:cs="Arial"/>
        </w:rPr>
      </w:pPr>
      <w:r w:rsidRPr="00296286">
        <w:rPr>
          <w:rFonts w:ascii="Arial" w:hAnsi="Arial" w:cs="Arial"/>
        </w:rPr>
        <w:t xml:space="preserve">Budgeting matters here because the bank’s requirement is a cash outcome, not an accounting profit outcome. A firm can show profit and still fail on cash if stock grows, if payments cluster, or if management reacts too late (Drury,2021; Atrill and McLaney,2021). </w:t>
      </w:r>
    </w:p>
    <w:p w14:paraId="1C29ED4A" w14:textId="176F2919" w:rsidR="001D7B37" w:rsidRPr="00296286" w:rsidRDefault="001D7B37" w:rsidP="00296286">
      <w:pPr>
        <w:spacing w:line="360" w:lineRule="auto"/>
        <w:jc w:val="both"/>
        <w:rPr>
          <w:rFonts w:ascii="Arial" w:hAnsi="Arial" w:cs="Arial"/>
        </w:rPr>
      </w:pPr>
      <w:r w:rsidRPr="00296286">
        <w:rPr>
          <w:rFonts w:ascii="Arial" w:hAnsi="Arial" w:cs="Arial"/>
        </w:rPr>
        <w:t xml:space="preserve">This report, therefore, focuses </w:t>
      </w:r>
      <w:r w:rsidR="00366F1E" w:rsidRPr="00296286">
        <w:rPr>
          <w:rFonts w:ascii="Arial" w:hAnsi="Arial" w:cs="Arial"/>
        </w:rPr>
        <w:t>on</w:t>
      </w:r>
      <w:r w:rsidRPr="00296286">
        <w:rPr>
          <w:rFonts w:ascii="Arial" w:hAnsi="Arial" w:cs="Arial"/>
        </w:rPr>
        <w:t xml:space="preserve"> the stock budget and what it implies for working capital, the cash budget</w:t>
      </w:r>
      <w:r w:rsidR="00366F1E" w:rsidRPr="00296286">
        <w:rPr>
          <w:rFonts w:ascii="Arial" w:hAnsi="Arial" w:cs="Arial"/>
        </w:rPr>
        <w:t>,</w:t>
      </w:r>
      <w:r w:rsidRPr="00296286">
        <w:rPr>
          <w:rFonts w:ascii="Arial" w:hAnsi="Arial" w:cs="Arial"/>
        </w:rPr>
        <w:t xml:space="preserve"> and whether the overdraft target is robust, and the budget profit and loss statement </w:t>
      </w:r>
      <w:r w:rsidR="00366F1E" w:rsidRPr="00296286">
        <w:rPr>
          <w:rFonts w:ascii="Arial" w:hAnsi="Arial" w:cs="Arial"/>
        </w:rPr>
        <w:t>for</w:t>
      </w:r>
      <w:r w:rsidRPr="00296286">
        <w:rPr>
          <w:rFonts w:ascii="Arial" w:hAnsi="Arial" w:cs="Arial"/>
        </w:rPr>
        <w:t xml:space="preserve"> Ju</w:t>
      </w:r>
      <w:r w:rsidR="00366F1E" w:rsidRPr="00296286">
        <w:rPr>
          <w:rFonts w:ascii="Arial" w:hAnsi="Arial" w:cs="Arial"/>
        </w:rPr>
        <w:t>ne to December to contextualize performance. Then will discuss what conditions make budgeting work in practice and critically evaluate traditional annual budgeting and more adaptive alternatives in fast-changing environments (Hope and Fraser, 2003; Bogsnes,2016).</w:t>
      </w:r>
    </w:p>
    <w:p w14:paraId="6B368CA5" w14:textId="153F5580" w:rsidR="00582CFF" w:rsidRPr="00296286" w:rsidRDefault="00582CFF" w:rsidP="00296286">
      <w:pPr>
        <w:spacing w:line="360" w:lineRule="auto"/>
        <w:jc w:val="both"/>
        <w:rPr>
          <w:rFonts w:ascii="Arial" w:hAnsi="Arial" w:cs="Arial"/>
        </w:rPr>
      </w:pPr>
      <w:r w:rsidRPr="00296286">
        <w:rPr>
          <w:rFonts w:ascii="Arial" w:hAnsi="Arial" w:cs="Arial"/>
        </w:rPr>
        <w:t>Three budgets were prepared using standard management accounting logic.</w:t>
      </w:r>
    </w:p>
    <w:p w14:paraId="10DAD221" w14:textId="0F8EFD47" w:rsidR="00582CFF" w:rsidRPr="00296286" w:rsidRDefault="00582CFF" w:rsidP="00296286">
      <w:pPr>
        <w:spacing w:line="360" w:lineRule="auto"/>
        <w:jc w:val="both"/>
        <w:rPr>
          <w:rFonts w:ascii="Arial" w:hAnsi="Arial" w:cs="Arial"/>
        </w:rPr>
      </w:pPr>
      <w:r w:rsidRPr="00296286">
        <w:rPr>
          <w:rFonts w:ascii="Arial" w:hAnsi="Arial" w:cs="Arial"/>
        </w:rPr>
        <w:t>First, the monthly cost of sales from a given gross profit margin of 40%, meaning the cost of sales equals 60% of sales.</w:t>
      </w:r>
    </w:p>
    <w:p w14:paraId="448873CD" w14:textId="3DA5B308" w:rsidR="00582CFF" w:rsidRPr="00296286" w:rsidRDefault="00582CFF" w:rsidP="00296286">
      <w:pPr>
        <w:spacing w:line="360" w:lineRule="auto"/>
        <w:jc w:val="both"/>
        <w:rPr>
          <w:rFonts w:ascii="Arial" w:hAnsi="Arial" w:cs="Arial"/>
        </w:rPr>
      </w:pPr>
      <w:r w:rsidRPr="00296286">
        <w:rPr>
          <w:rFonts w:ascii="Arial" w:hAnsi="Arial" w:cs="Arial"/>
        </w:rPr>
        <w:t>Second, built a stock budget by linking opening stock, purchases, and cost of sales to closing stock.</w:t>
      </w:r>
    </w:p>
    <w:p w14:paraId="298CC75D" w14:textId="326EDDF0" w:rsidR="00582CFF" w:rsidRPr="00296286" w:rsidRDefault="00582CFF" w:rsidP="00296286">
      <w:pPr>
        <w:spacing w:line="360" w:lineRule="auto"/>
        <w:jc w:val="both"/>
        <w:rPr>
          <w:rFonts w:ascii="Arial" w:hAnsi="Arial" w:cs="Arial"/>
        </w:rPr>
      </w:pPr>
      <w:r w:rsidRPr="00296286">
        <w:rPr>
          <w:rFonts w:ascii="Arial" w:hAnsi="Arial" w:cs="Arial"/>
        </w:rPr>
        <w:t xml:space="preserve">Third, construct a cash budget by applying the timing rules given, cash receipts in </w:t>
      </w:r>
      <w:r w:rsidR="002C210D" w:rsidRPr="00296286">
        <w:rPr>
          <w:rFonts w:ascii="Arial" w:hAnsi="Arial" w:cs="Arial"/>
        </w:rPr>
        <w:t xml:space="preserve">the </w:t>
      </w:r>
      <w:r w:rsidRPr="00296286">
        <w:rPr>
          <w:rFonts w:ascii="Arial" w:hAnsi="Arial" w:cs="Arial"/>
        </w:rPr>
        <w:t xml:space="preserve">month of sale net of card fees, stock payments one month after purchase, selling </w:t>
      </w:r>
      <w:r w:rsidR="002C210D" w:rsidRPr="00296286">
        <w:rPr>
          <w:rFonts w:ascii="Arial" w:hAnsi="Arial" w:cs="Arial"/>
        </w:rPr>
        <w:t>expenses</w:t>
      </w:r>
      <w:r w:rsidRPr="00296286">
        <w:rPr>
          <w:rFonts w:ascii="Arial" w:hAnsi="Arial" w:cs="Arial"/>
        </w:rPr>
        <w:t xml:space="preserve"> paid one month in arrears, and </w:t>
      </w:r>
      <w:r w:rsidR="002C210D" w:rsidRPr="00296286">
        <w:rPr>
          <w:rFonts w:ascii="Arial" w:hAnsi="Arial" w:cs="Arial"/>
        </w:rPr>
        <w:t>non-cash</w:t>
      </w:r>
      <w:r w:rsidRPr="00296286">
        <w:rPr>
          <w:rFonts w:ascii="Arial" w:hAnsi="Arial" w:cs="Arial"/>
        </w:rPr>
        <w:t xml:space="preserve"> depreciation removed from cash payment.</w:t>
      </w:r>
    </w:p>
    <w:p w14:paraId="72B217E1" w14:textId="151C08BE" w:rsidR="00243CAC" w:rsidRPr="00296286" w:rsidRDefault="00243CAC" w:rsidP="00296286">
      <w:pPr>
        <w:spacing w:line="360" w:lineRule="auto"/>
        <w:jc w:val="both"/>
        <w:rPr>
          <w:rFonts w:ascii="Arial" w:hAnsi="Arial" w:cs="Arial"/>
        </w:rPr>
      </w:pPr>
      <w:r w:rsidRPr="00296286">
        <w:rPr>
          <w:rFonts w:ascii="Arial" w:hAnsi="Arial" w:cs="Arial"/>
        </w:rPr>
        <w:lastRenderedPageBreak/>
        <w:t>A budgeted profit and loss statement was prepared on an accrual basis for July to December, including depreciation and recognising expenses in the period they relate to (Seal, Garrison and Noreen, 2018; Dyson,2020).</w:t>
      </w:r>
    </w:p>
    <w:p w14:paraId="50670A23" w14:textId="106389B8" w:rsidR="00243CAC" w:rsidRPr="00296286" w:rsidRDefault="00243CAC" w:rsidP="00296286">
      <w:pPr>
        <w:spacing w:line="360" w:lineRule="auto"/>
        <w:jc w:val="both"/>
        <w:rPr>
          <w:rFonts w:ascii="Arial" w:hAnsi="Arial" w:cs="Arial"/>
        </w:rPr>
      </w:pPr>
      <w:r w:rsidRPr="00296286">
        <w:rPr>
          <w:rFonts w:ascii="Arial" w:hAnsi="Arial" w:cs="Arial"/>
        </w:rPr>
        <w:t xml:space="preserve">Where the case does not provide the prior month’s purchases for the first stock payment month, </w:t>
      </w:r>
      <w:r w:rsidR="009F7477" w:rsidRPr="00296286">
        <w:rPr>
          <w:rFonts w:ascii="Arial" w:hAnsi="Arial" w:cs="Arial"/>
        </w:rPr>
        <w:t xml:space="preserve">it will be an assumption for </w:t>
      </w:r>
      <w:r w:rsidR="00EB6C0E" w:rsidRPr="00296286">
        <w:rPr>
          <w:rFonts w:ascii="Arial" w:hAnsi="Arial" w:cs="Arial"/>
        </w:rPr>
        <w:t xml:space="preserve">the </w:t>
      </w:r>
      <w:r w:rsidR="009F7477" w:rsidRPr="00296286">
        <w:rPr>
          <w:rFonts w:ascii="Arial" w:hAnsi="Arial" w:cs="Arial"/>
        </w:rPr>
        <w:t>June stock payment. May purchases are approximated as equal to June purchases. This keeps the cash model internally consistent with the one-month credit term and can be replaced if the actual May figure is known (Drury,2021).</w:t>
      </w:r>
    </w:p>
    <w:p w14:paraId="14880968" w14:textId="77777777" w:rsidR="009F7477" w:rsidRPr="00296286" w:rsidRDefault="009F7477" w:rsidP="00296286">
      <w:pPr>
        <w:spacing w:line="360" w:lineRule="auto"/>
        <w:jc w:val="both"/>
        <w:rPr>
          <w:rFonts w:ascii="Arial" w:hAnsi="Arial" w:cs="Arial"/>
        </w:rPr>
      </w:pPr>
    </w:p>
    <w:p w14:paraId="7FD703D3" w14:textId="2C5A4289" w:rsidR="009F7477" w:rsidRPr="00296286" w:rsidRDefault="009F7477" w:rsidP="00296286">
      <w:pPr>
        <w:spacing w:line="360" w:lineRule="auto"/>
        <w:jc w:val="both"/>
        <w:rPr>
          <w:rFonts w:ascii="Arial" w:hAnsi="Arial" w:cs="Arial"/>
        </w:rPr>
      </w:pPr>
    </w:p>
    <w:p w14:paraId="7A9CD63D" w14:textId="77777777" w:rsidR="009F5CE9" w:rsidRPr="00296286" w:rsidRDefault="009F5CE9" w:rsidP="00296286">
      <w:pPr>
        <w:spacing w:line="360" w:lineRule="auto"/>
        <w:jc w:val="both"/>
        <w:rPr>
          <w:rFonts w:ascii="Arial" w:hAnsi="Arial" w:cs="Arial"/>
        </w:rPr>
      </w:pPr>
    </w:p>
    <w:p w14:paraId="1924DE59" w14:textId="3FFA3D71" w:rsidR="001D7B37" w:rsidRPr="00296286" w:rsidRDefault="00B773B0" w:rsidP="00296286">
      <w:pPr>
        <w:spacing w:line="360" w:lineRule="auto"/>
        <w:jc w:val="both"/>
        <w:rPr>
          <w:rFonts w:ascii="Arial" w:hAnsi="Arial" w:cs="Arial"/>
        </w:rPr>
      </w:pPr>
      <w:r w:rsidRPr="00296286">
        <w:rPr>
          <w:rFonts w:ascii="Arial" w:hAnsi="Arial" w:cs="Arial"/>
          <w:noProof/>
        </w:rPr>
        <w:drawing>
          <wp:inline distT="0" distB="0" distL="0" distR="0" wp14:anchorId="7E13FF99" wp14:editId="45F03B13">
            <wp:extent cx="6157595" cy="3634489"/>
            <wp:effectExtent l="0" t="0" r="0" b="4445"/>
            <wp:docPr id="6576141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77067" cy="3645982"/>
                    </a:xfrm>
                    <a:prstGeom prst="rect">
                      <a:avLst/>
                    </a:prstGeom>
                    <a:noFill/>
                    <a:ln>
                      <a:noFill/>
                    </a:ln>
                  </pic:spPr>
                </pic:pic>
              </a:graphicData>
            </a:graphic>
          </wp:inline>
        </w:drawing>
      </w:r>
    </w:p>
    <w:p w14:paraId="63CA90B8" w14:textId="77777777" w:rsidR="00B773B0" w:rsidRPr="00296286" w:rsidRDefault="00B773B0" w:rsidP="00296286">
      <w:pPr>
        <w:spacing w:line="360" w:lineRule="auto"/>
        <w:jc w:val="both"/>
        <w:rPr>
          <w:rFonts w:ascii="Arial" w:hAnsi="Arial" w:cs="Arial"/>
        </w:rPr>
      </w:pPr>
    </w:p>
    <w:p w14:paraId="00B1A39B" w14:textId="568B60E7" w:rsidR="009F7477" w:rsidRPr="00296286" w:rsidRDefault="009F7477" w:rsidP="00296286">
      <w:pPr>
        <w:pStyle w:val="ListParagraph"/>
        <w:spacing w:line="360" w:lineRule="auto"/>
        <w:ind w:left="744"/>
        <w:jc w:val="both"/>
        <w:rPr>
          <w:rFonts w:ascii="Arial" w:hAnsi="Arial" w:cs="Arial"/>
        </w:rPr>
      </w:pPr>
    </w:p>
    <w:p w14:paraId="3AC13B0F" w14:textId="77777777" w:rsidR="005D58F4" w:rsidRPr="00296286" w:rsidRDefault="005D58F4" w:rsidP="00296286">
      <w:pPr>
        <w:pStyle w:val="ListParagraph"/>
        <w:spacing w:line="360" w:lineRule="auto"/>
        <w:ind w:left="744"/>
        <w:jc w:val="both"/>
        <w:rPr>
          <w:rFonts w:ascii="Arial" w:hAnsi="Arial" w:cs="Arial"/>
        </w:rPr>
      </w:pPr>
    </w:p>
    <w:p w14:paraId="7D4B2825" w14:textId="77777777" w:rsidR="005D58F4" w:rsidRPr="00296286" w:rsidRDefault="005D58F4" w:rsidP="00296286">
      <w:pPr>
        <w:pStyle w:val="ListParagraph"/>
        <w:spacing w:line="360" w:lineRule="auto"/>
        <w:ind w:left="744"/>
        <w:jc w:val="both"/>
        <w:rPr>
          <w:rFonts w:ascii="Arial" w:hAnsi="Arial" w:cs="Arial"/>
        </w:rPr>
      </w:pPr>
    </w:p>
    <w:p w14:paraId="03416E18" w14:textId="77777777" w:rsidR="005D58F4" w:rsidRPr="00296286" w:rsidRDefault="005D58F4" w:rsidP="00296286">
      <w:pPr>
        <w:spacing w:line="360" w:lineRule="auto"/>
        <w:jc w:val="both"/>
        <w:rPr>
          <w:rFonts w:ascii="Arial" w:hAnsi="Arial" w:cs="Arial"/>
        </w:rPr>
      </w:pPr>
    </w:p>
    <w:p w14:paraId="47CC61A2" w14:textId="1CF4BC0F" w:rsidR="005D58F4" w:rsidRPr="00296286" w:rsidRDefault="005D58F4" w:rsidP="00296286">
      <w:pPr>
        <w:pStyle w:val="Heading1"/>
        <w:spacing w:line="360" w:lineRule="auto"/>
        <w:jc w:val="both"/>
        <w:rPr>
          <w:rFonts w:ascii="Arial" w:hAnsi="Arial" w:cs="Arial"/>
          <w:sz w:val="24"/>
          <w:szCs w:val="24"/>
        </w:rPr>
      </w:pPr>
      <w:bookmarkStart w:id="4" w:name="_Toc224843810"/>
      <w:r w:rsidRPr="00296286">
        <w:rPr>
          <w:rFonts w:ascii="Arial" w:hAnsi="Arial" w:cs="Arial"/>
          <w:sz w:val="24"/>
          <w:szCs w:val="24"/>
        </w:rPr>
        <w:lastRenderedPageBreak/>
        <w:t>2. Stock budget</w:t>
      </w:r>
      <w:bookmarkEnd w:id="4"/>
    </w:p>
    <w:p w14:paraId="1BAE93C1" w14:textId="3F4B89A2" w:rsidR="009F7477" w:rsidRPr="00296286" w:rsidRDefault="009F7477" w:rsidP="00296286">
      <w:pPr>
        <w:spacing w:line="360" w:lineRule="auto"/>
        <w:jc w:val="both"/>
        <w:rPr>
          <w:rFonts w:ascii="Arial" w:hAnsi="Arial" w:cs="Arial"/>
        </w:rPr>
      </w:pPr>
      <w:r w:rsidRPr="00296286">
        <w:rPr>
          <w:rFonts w:ascii="Arial" w:hAnsi="Arial" w:cs="Arial"/>
        </w:rPr>
        <w:t xml:space="preserve">The stock budget is the clearest signal of a control problem. Closing stock rises month after month and reaches £388,000 by December. This is far above the stated minimum stock level of £50,000 and indicates that the planned purchasing volumes are not aligned with the sales plan. </w:t>
      </w:r>
    </w:p>
    <w:p w14:paraId="5423897D" w14:textId="5EB20825" w:rsidR="009F7477" w:rsidRPr="00296286" w:rsidRDefault="009F7477" w:rsidP="00296286">
      <w:pPr>
        <w:spacing w:line="360" w:lineRule="auto"/>
        <w:jc w:val="both"/>
        <w:rPr>
          <w:rFonts w:ascii="Arial" w:hAnsi="Arial" w:cs="Arial"/>
        </w:rPr>
      </w:pPr>
      <w:r w:rsidRPr="00296286">
        <w:rPr>
          <w:rFonts w:ascii="Arial" w:hAnsi="Arial" w:cs="Arial"/>
        </w:rPr>
        <w:t>In a clothing business, excess inventory is not a neutral buffer. It creates cash absorption, higher holding costs, risk of markdowns, and obsolescence as styles change (Atrill and McLaney,2018; Drury,2021).</w:t>
      </w:r>
    </w:p>
    <w:p w14:paraId="390FE63E" w14:textId="226E6512" w:rsidR="009F7477" w:rsidRPr="00296286" w:rsidRDefault="009F7477" w:rsidP="00296286">
      <w:pPr>
        <w:spacing w:line="360" w:lineRule="auto"/>
        <w:jc w:val="both"/>
        <w:rPr>
          <w:rFonts w:ascii="Arial" w:hAnsi="Arial" w:cs="Arial"/>
        </w:rPr>
      </w:pPr>
      <w:r w:rsidRPr="00296286">
        <w:rPr>
          <w:rFonts w:ascii="Arial" w:hAnsi="Arial" w:cs="Arial"/>
        </w:rPr>
        <w:t xml:space="preserve">Directors should treat this as a strategic issue because inventory policy shapes liquidity and competitiveness. </w:t>
      </w:r>
      <w:r w:rsidR="00C35797" w:rsidRPr="00296286">
        <w:rPr>
          <w:rFonts w:ascii="Arial" w:hAnsi="Arial" w:cs="Arial"/>
        </w:rPr>
        <w:t>Excess stock can affect the business into discounting, which weakens the margin and brand position. It can also create “busy work” in warehouses and stores and hide inefficiency because the firm can keep selling without noticing demand shifts until the cash runs out (Bhimani, 2006; Porter, 1985). The core problem is a weak link between budgeting and operational decisions: the budget records purchases, but it does not appear to constrain them.</w:t>
      </w:r>
    </w:p>
    <w:p w14:paraId="61DDD669" w14:textId="0B2490D4" w:rsidR="00182162" w:rsidRPr="00296286" w:rsidRDefault="00B773B0" w:rsidP="00296286">
      <w:pPr>
        <w:spacing w:line="360" w:lineRule="auto"/>
        <w:jc w:val="both"/>
        <w:rPr>
          <w:rFonts w:ascii="Arial" w:hAnsi="Arial" w:cs="Arial"/>
        </w:rPr>
      </w:pPr>
      <w:r w:rsidRPr="00296286">
        <w:rPr>
          <w:rFonts w:ascii="Arial" w:hAnsi="Arial" w:cs="Arial"/>
          <w:noProof/>
        </w:rPr>
        <w:drawing>
          <wp:inline distT="0" distB="0" distL="0" distR="0" wp14:anchorId="58D80E3D" wp14:editId="23FBBA3E">
            <wp:extent cx="5730240" cy="2026920"/>
            <wp:effectExtent l="0" t="0" r="3810" b="0"/>
            <wp:docPr id="20658436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2026920"/>
                    </a:xfrm>
                    <a:prstGeom prst="rect">
                      <a:avLst/>
                    </a:prstGeom>
                    <a:noFill/>
                    <a:ln>
                      <a:noFill/>
                    </a:ln>
                  </pic:spPr>
                </pic:pic>
              </a:graphicData>
            </a:graphic>
          </wp:inline>
        </w:drawing>
      </w:r>
    </w:p>
    <w:p w14:paraId="1EE210CA" w14:textId="77777777" w:rsidR="00C35797" w:rsidRPr="00296286" w:rsidRDefault="00C35797" w:rsidP="00296286">
      <w:pPr>
        <w:spacing w:line="360" w:lineRule="auto"/>
        <w:jc w:val="both"/>
        <w:rPr>
          <w:rFonts w:ascii="Arial" w:hAnsi="Arial" w:cs="Arial"/>
        </w:rPr>
      </w:pPr>
    </w:p>
    <w:p w14:paraId="716C8E85" w14:textId="77777777" w:rsidR="00C35797" w:rsidRPr="00296286" w:rsidRDefault="00C35797" w:rsidP="00296286">
      <w:pPr>
        <w:spacing w:line="360" w:lineRule="auto"/>
        <w:jc w:val="both"/>
        <w:rPr>
          <w:rFonts w:ascii="Arial" w:hAnsi="Arial" w:cs="Arial"/>
        </w:rPr>
      </w:pPr>
    </w:p>
    <w:p w14:paraId="7AD0BE46" w14:textId="52CDC2A1" w:rsidR="00C35797" w:rsidRPr="00296286" w:rsidRDefault="00C35797" w:rsidP="00296286">
      <w:pPr>
        <w:pStyle w:val="Heading2"/>
        <w:spacing w:line="360" w:lineRule="auto"/>
        <w:jc w:val="both"/>
        <w:rPr>
          <w:rFonts w:ascii="Arial" w:hAnsi="Arial" w:cs="Arial"/>
          <w:sz w:val="24"/>
          <w:szCs w:val="24"/>
        </w:rPr>
      </w:pPr>
      <w:bookmarkStart w:id="5" w:name="_Toc224843811"/>
      <w:r w:rsidRPr="00296286">
        <w:rPr>
          <w:rFonts w:ascii="Arial" w:hAnsi="Arial" w:cs="Arial"/>
          <w:sz w:val="24"/>
          <w:szCs w:val="24"/>
        </w:rPr>
        <w:t>2.1 Cash budget</w:t>
      </w:r>
      <w:bookmarkEnd w:id="5"/>
    </w:p>
    <w:p w14:paraId="1EBE52F5" w14:textId="77777777" w:rsidR="00C35797" w:rsidRPr="00296286" w:rsidRDefault="00C35797" w:rsidP="00296286">
      <w:pPr>
        <w:spacing w:line="360" w:lineRule="auto"/>
        <w:jc w:val="both"/>
        <w:rPr>
          <w:rFonts w:ascii="Arial" w:hAnsi="Arial" w:cs="Arial"/>
        </w:rPr>
      </w:pPr>
    </w:p>
    <w:p w14:paraId="29FD13DC" w14:textId="1A332122" w:rsidR="00C35797" w:rsidRPr="00296286" w:rsidRDefault="00C35797" w:rsidP="00296286">
      <w:pPr>
        <w:spacing w:line="360" w:lineRule="auto"/>
        <w:jc w:val="both"/>
        <w:rPr>
          <w:rFonts w:ascii="Arial" w:hAnsi="Arial" w:cs="Arial"/>
        </w:rPr>
      </w:pPr>
      <w:r w:rsidRPr="00296286">
        <w:rPr>
          <w:rFonts w:ascii="Arial" w:hAnsi="Arial" w:cs="Arial"/>
        </w:rPr>
        <w:t xml:space="preserve">The cash budget shows the month-by-month movement from overdraft to positive cash. Under the assumption used, the </w:t>
      </w:r>
      <w:r w:rsidR="008A1C79" w:rsidRPr="00296286">
        <w:rPr>
          <w:rFonts w:ascii="Arial" w:hAnsi="Arial" w:cs="Arial"/>
        </w:rPr>
        <w:t xml:space="preserve">business remains in overdraft during July and August, becomes positive by the end of September, </w:t>
      </w:r>
      <w:r w:rsidRPr="00296286">
        <w:rPr>
          <w:rFonts w:ascii="Arial" w:hAnsi="Arial" w:cs="Arial"/>
        </w:rPr>
        <w:t xml:space="preserve">and ends in December at roughly </w:t>
      </w:r>
      <w:r w:rsidRPr="00296286">
        <w:rPr>
          <w:rFonts w:ascii="Arial" w:hAnsi="Arial" w:cs="Arial"/>
        </w:rPr>
        <w:lastRenderedPageBreak/>
        <w:t>£</w:t>
      </w:r>
      <w:r w:rsidR="008A1C79" w:rsidRPr="00296286">
        <w:rPr>
          <w:rFonts w:ascii="Arial" w:hAnsi="Arial" w:cs="Arial"/>
        </w:rPr>
        <w:t>59,250</w:t>
      </w:r>
      <w:r w:rsidRPr="00296286">
        <w:rPr>
          <w:rFonts w:ascii="Arial" w:hAnsi="Arial" w:cs="Arial"/>
        </w:rPr>
        <w:t xml:space="preserve">. This outcome is mainly driven by strong sales receipts and the timing benefit of supplier credit. It is not driven by </w:t>
      </w:r>
      <w:r w:rsidR="00B95D14" w:rsidRPr="00296286">
        <w:rPr>
          <w:rFonts w:ascii="Arial" w:hAnsi="Arial" w:cs="Arial"/>
        </w:rPr>
        <w:t xml:space="preserve">a </w:t>
      </w:r>
      <w:r w:rsidRPr="00296286">
        <w:rPr>
          <w:rFonts w:ascii="Arial" w:hAnsi="Arial" w:cs="Arial"/>
        </w:rPr>
        <w:t>deliberate working capital strategy.</w:t>
      </w:r>
    </w:p>
    <w:p w14:paraId="468A8312" w14:textId="1A5EDAAE" w:rsidR="00455B35" w:rsidRPr="00296286" w:rsidRDefault="00455B35" w:rsidP="00296286">
      <w:pPr>
        <w:spacing w:line="360" w:lineRule="auto"/>
        <w:jc w:val="both"/>
        <w:rPr>
          <w:rFonts w:ascii="Arial" w:hAnsi="Arial" w:cs="Arial"/>
        </w:rPr>
      </w:pPr>
      <w:r w:rsidRPr="00296286">
        <w:rPr>
          <w:rFonts w:ascii="Arial" w:hAnsi="Arial" w:cs="Arial"/>
        </w:rPr>
        <w:t>The timing profile matters. July to September are the most exposed months because stock payments ramp up, refurbishment outflows occur, and September includes a large tax payment.</w:t>
      </w:r>
    </w:p>
    <w:p w14:paraId="1586028E" w14:textId="1033159A" w:rsidR="00182162" w:rsidRPr="00296286" w:rsidRDefault="00182162" w:rsidP="00296286">
      <w:pPr>
        <w:spacing w:line="360" w:lineRule="auto"/>
        <w:jc w:val="both"/>
        <w:rPr>
          <w:rFonts w:ascii="Arial" w:hAnsi="Arial" w:cs="Arial"/>
        </w:rPr>
      </w:pPr>
      <w:r w:rsidRPr="00296286">
        <w:rPr>
          <w:rFonts w:ascii="Arial" w:hAnsi="Arial" w:cs="Arial"/>
          <w:noProof/>
        </w:rPr>
        <w:drawing>
          <wp:inline distT="0" distB="0" distL="0" distR="0" wp14:anchorId="19E9B7A1" wp14:editId="27F8D5E9">
            <wp:extent cx="5730240" cy="3040380"/>
            <wp:effectExtent l="0" t="0" r="3810" b="7620"/>
            <wp:docPr id="12849230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3040380"/>
                    </a:xfrm>
                    <a:prstGeom prst="rect">
                      <a:avLst/>
                    </a:prstGeom>
                    <a:noFill/>
                    <a:ln>
                      <a:noFill/>
                    </a:ln>
                  </pic:spPr>
                </pic:pic>
              </a:graphicData>
            </a:graphic>
          </wp:inline>
        </w:drawing>
      </w:r>
    </w:p>
    <w:p w14:paraId="6E25B24E" w14:textId="0696DDAF" w:rsidR="00B95D14" w:rsidRPr="00296286" w:rsidRDefault="00455B35" w:rsidP="00296286">
      <w:pPr>
        <w:spacing w:line="360" w:lineRule="auto"/>
        <w:jc w:val="both"/>
        <w:rPr>
          <w:rFonts w:ascii="Arial" w:hAnsi="Arial" w:cs="Arial"/>
        </w:rPr>
      </w:pPr>
      <w:r w:rsidRPr="00296286">
        <w:rPr>
          <w:rFonts w:ascii="Arial" w:hAnsi="Arial" w:cs="Arial"/>
        </w:rPr>
        <w:t xml:space="preserve">This </w:t>
      </w:r>
      <w:r w:rsidR="00D23569" w:rsidRPr="00296286">
        <w:rPr>
          <w:rFonts w:ascii="Arial" w:hAnsi="Arial" w:cs="Arial"/>
        </w:rPr>
        <w:t>means</w:t>
      </w:r>
      <w:r w:rsidRPr="00296286">
        <w:rPr>
          <w:rFonts w:ascii="Arial" w:hAnsi="Arial" w:cs="Arial"/>
        </w:rPr>
        <w:t xml:space="preserve"> that a modest negative surprise</w:t>
      </w:r>
      <w:r w:rsidR="00D23569" w:rsidRPr="00296286">
        <w:rPr>
          <w:rFonts w:ascii="Arial" w:hAnsi="Arial" w:cs="Arial"/>
        </w:rPr>
        <w:t xml:space="preserve"> (lower sales, higher costs, or delayed receipts) could keep the firm in overdraft longer than planned. In practice, banks are often less worried about a temporary overdraft than about management control signals. The build-up of stock may raise questions about whether directors understand cash drivers and whether the forecast is credible (Walsh, 2008; ICAEW, 2022).</w:t>
      </w:r>
    </w:p>
    <w:p w14:paraId="387ED170" w14:textId="7AC63BF6" w:rsidR="00B95D14" w:rsidRPr="00296286" w:rsidRDefault="00B95D14" w:rsidP="00296286">
      <w:pPr>
        <w:pStyle w:val="Heading2"/>
        <w:spacing w:line="360" w:lineRule="auto"/>
        <w:jc w:val="both"/>
        <w:rPr>
          <w:rFonts w:ascii="Arial" w:hAnsi="Arial" w:cs="Arial"/>
          <w:sz w:val="24"/>
          <w:szCs w:val="24"/>
        </w:rPr>
      </w:pPr>
      <w:bookmarkStart w:id="6" w:name="_Toc224843812"/>
      <w:r w:rsidRPr="00296286">
        <w:rPr>
          <w:rFonts w:ascii="Arial" w:hAnsi="Arial" w:cs="Arial"/>
          <w:sz w:val="24"/>
          <w:szCs w:val="24"/>
        </w:rPr>
        <w:t>2.2 Budgeted profit and loss</w:t>
      </w:r>
      <w:bookmarkEnd w:id="6"/>
    </w:p>
    <w:p w14:paraId="5B71EAB6" w14:textId="77777777" w:rsidR="00B95D14" w:rsidRPr="00296286" w:rsidRDefault="00B95D14" w:rsidP="00296286">
      <w:pPr>
        <w:spacing w:line="360" w:lineRule="auto"/>
        <w:jc w:val="both"/>
        <w:rPr>
          <w:rFonts w:ascii="Arial" w:hAnsi="Arial" w:cs="Arial"/>
        </w:rPr>
      </w:pPr>
    </w:p>
    <w:p w14:paraId="590AEC91" w14:textId="77777777" w:rsidR="00182162" w:rsidRPr="00296286" w:rsidRDefault="00B95D14" w:rsidP="00296286">
      <w:pPr>
        <w:spacing w:line="360" w:lineRule="auto"/>
        <w:jc w:val="both"/>
        <w:rPr>
          <w:rFonts w:ascii="Arial" w:hAnsi="Arial" w:cs="Arial"/>
        </w:rPr>
      </w:pPr>
      <w:r w:rsidRPr="00296286">
        <w:rPr>
          <w:rFonts w:ascii="Arial" w:hAnsi="Arial" w:cs="Arial"/>
        </w:rPr>
        <w:t>The budgeted profit and loss statement for July to December shows a healthy net profit of around £3</w:t>
      </w:r>
      <w:r w:rsidR="008A1C79" w:rsidRPr="00296286">
        <w:rPr>
          <w:rFonts w:ascii="Arial" w:hAnsi="Arial" w:cs="Arial"/>
        </w:rPr>
        <w:t>13,140</w:t>
      </w:r>
      <w:r w:rsidRPr="00296286">
        <w:rPr>
          <w:rFonts w:ascii="Arial" w:hAnsi="Arial" w:cs="Arial"/>
        </w:rPr>
        <w:t>. Gross margin delivers substantial gross profit, and operating expenses look controlled relative to sales.</w:t>
      </w:r>
      <w:r w:rsidR="000D3031" w:rsidRPr="00296286">
        <w:rPr>
          <w:rFonts w:ascii="Arial" w:hAnsi="Arial" w:cs="Arial"/>
        </w:rPr>
        <w:t xml:space="preserve"> This is a classic illustration of why profit does not equal cash. Working capital growth can absorb cash even when profit is strong, and cash timing can create short-term stress even when the long-run model is profi</w:t>
      </w:r>
      <w:r w:rsidR="00182162" w:rsidRPr="00296286">
        <w:rPr>
          <w:rFonts w:ascii="Arial" w:hAnsi="Arial" w:cs="Arial"/>
        </w:rPr>
        <w:t>table (Atrill and McLaney,2021).</w:t>
      </w:r>
    </w:p>
    <w:p w14:paraId="59040F66" w14:textId="390110DF" w:rsidR="00182162" w:rsidRPr="00296286" w:rsidRDefault="00182162" w:rsidP="00296286">
      <w:pPr>
        <w:spacing w:line="360" w:lineRule="auto"/>
        <w:jc w:val="both"/>
        <w:rPr>
          <w:rFonts w:ascii="Arial" w:hAnsi="Arial" w:cs="Arial"/>
        </w:rPr>
      </w:pPr>
    </w:p>
    <w:p w14:paraId="6C8B4367" w14:textId="6A1AC59D" w:rsidR="00B95D14" w:rsidRPr="00296286" w:rsidRDefault="00182162" w:rsidP="00296286">
      <w:pPr>
        <w:spacing w:line="360" w:lineRule="auto"/>
        <w:jc w:val="both"/>
        <w:rPr>
          <w:rFonts w:ascii="Arial" w:hAnsi="Arial" w:cs="Arial"/>
        </w:rPr>
      </w:pPr>
      <w:r w:rsidRPr="00296286">
        <w:rPr>
          <w:rFonts w:ascii="Arial" w:hAnsi="Arial" w:cs="Arial"/>
          <w:noProof/>
        </w:rPr>
        <w:lastRenderedPageBreak/>
        <w:drawing>
          <wp:inline distT="0" distB="0" distL="0" distR="0" wp14:anchorId="201BF94B" wp14:editId="1E95DF6D">
            <wp:extent cx="6278880" cy="3253496"/>
            <wp:effectExtent l="0" t="0" r="7620" b="4445"/>
            <wp:docPr id="2164752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93850" cy="3261253"/>
                    </a:xfrm>
                    <a:prstGeom prst="rect">
                      <a:avLst/>
                    </a:prstGeom>
                    <a:noFill/>
                    <a:ln>
                      <a:noFill/>
                    </a:ln>
                  </pic:spPr>
                </pic:pic>
              </a:graphicData>
            </a:graphic>
          </wp:inline>
        </w:drawing>
      </w:r>
    </w:p>
    <w:p w14:paraId="19073D12" w14:textId="0B91F4F7" w:rsidR="000D3031" w:rsidRPr="00296286" w:rsidRDefault="000D3031" w:rsidP="00296286">
      <w:pPr>
        <w:spacing w:line="360" w:lineRule="auto"/>
        <w:jc w:val="both"/>
        <w:rPr>
          <w:rFonts w:ascii="Arial" w:hAnsi="Arial" w:cs="Arial"/>
        </w:rPr>
      </w:pPr>
      <w:r w:rsidRPr="00296286">
        <w:rPr>
          <w:rFonts w:ascii="Arial" w:hAnsi="Arial" w:cs="Arial"/>
        </w:rPr>
        <w:t xml:space="preserve">In Silver Stitch, the profit figure should not create complacency. A high profit forecast alongside a rising stock profile may signal that the budget is optimistic or that managers are measuring success in the wrong way. If the stock must later be marked down, profit will weaken in later periods. </w:t>
      </w:r>
    </w:p>
    <w:p w14:paraId="65CA8396" w14:textId="381CC3E0" w:rsidR="000D3031" w:rsidRPr="00296286" w:rsidRDefault="000D3031" w:rsidP="00296286">
      <w:pPr>
        <w:spacing w:line="360" w:lineRule="auto"/>
        <w:jc w:val="both"/>
        <w:rPr>
          <w:rFonts w:ascii="Arial" w:hAnsi="Arial" w:cs="Arial"/>
        </w:rPr>
      </w:pPr>
      <w:r w:rsidRPr="00296286">
        <w:rPr>
          <w:rFonts w:ascii="Arial" w:hAnsi="Arial" w:cs="Arial"/>
        </w:rPr>
        <w:t>Directors should therefore focus on profit quality: sustainable margin and controlled cash conversion cycle, not just accounting earnings (Marr,2013; Walsh,2008).</w:t>
      </w:r>
    </w:p>
    <w:p w14:paraId="092FAFB7" w14:textId="77777777" w:rsidR="006B4EB2" w:rsidRPr="00296286" w:rsidRDefault="006B4EB2" w:rsidP="00296286">
      <w:pPr>
        <w:spacing w:line="360" w:lineRule="auto"/>
        <w:jc w:val="both"/>
        <w:rPr>
          <w:rFonts w:ascii="Arial" w:hAnsi="Arial" w:cs="Arial"/>
        </w:rPr>
      </w:pPr>
    </w:p>
    <w:p w14:paraId="6A864137" w14:textId="06803206" w:rsidR="006B4EB2" w:rsidRPr="00296286" w:rsidRDefault="006B4EB2" w:rsidP="00296286">
      <w:pPr>
        <w:spacing w:line="360" w:lineRule="auto"/>
        <w:jc w:val="both"/>
        <w:rPr>
          <w:rFonts w:ascii="Arial" w:hAnsi="Arial" w:cs="Arial"/>
        </w:rPr>
      </w:pPr>
      <w:r w:rsidRPr="00296286">
        <w:rPr>
          <w:rFonts w:ascii="Arial" w:hAnsi="Arial" w:cs="Arial"/>
        </w:rPr>
        <w:t>One limitation of the plan is that it treats sales, costs, and purchases as if they will unfold smoothly. In practice, retail demand varies week to week, and clothing sales often peak around promotions, paydays, and seasonal events.</w:t>
      </w:r>
    </w:p>
    <w:p w14:paraId="20B876ED" w14:textId="678FC0A8" w:rsidR="006B4EB2" w:rsidRPr="00296286" w:rsidRDefault="006B4EB2" w:rsidP="00296286">
      <w:pPr>
        <w:spacing w:line="360" w:lineRule="auto"/>
        <w:jc w:val="both"/>
        <w:rPr>
          <w:rFonts w:ascii="Arial" w:hAnsi="Arial" w:cs="Arial"/>
        </w:rPr>
      </w:pPr>
      <w:r w:rsidRPr="00296286">
        <w:rPr>
          <w:rFonts w:ascii="Arial" w:hAnsi="Arial" w:cs="Arial"/>
        </w:rPr>
        <w:t>Directors should not assume that a positive month-end balance means the business was liquid every day in that month. A simple remedy is to add a weekly cash calendar for high-risk months and align payments (stock settlements, refurbishment instalment, and loan payments) to expected sales peaks where possible (ICAEW,2020; FEE, 2019).</w:t>
      </w:r>
    </w:p>
    <w:p w14:paraId="524E7355" w14:textId="313E90E6" w:rsidR="006B4EB2" w:rsidRPr="00296286" w:rsidRDefault="006B4EB2" w:rsidP="00296286">
      <w:pPr>
        <w:spacing w:line="360" w:lineRule="auto"/>
        <w:jc w:val="both"/>
        <w:rPr>
          <w:rFonts w:ascii="Arial" w:hAnsi="Arial" w:cs="Arial"/>
        </w:rPr>
      </w:pPr>
      <w:r w:rsidRPr="00296286">
        <w:rPr>
          <w:rFonts w:ascii="Arial" w:hAnsi="Arial" w:cs="Arial"/>
        </w:rPr>
        <w:t>This also improves credibility with the bank because it shows directors understand liquidity as a da</w:t>
      </w:r>
      <w:r w:rsidR="005E6793" w:rsidRPr="00296286">
        <w:rPr>
          <w:rFonts w:ascii="Arial" w:hAnsi="Arial" w:cs="Arial"/>
        </w:rPr>
        <w:t>ily constraint rather than a spreadsheet outcome.</w:t>
      </w:r>
    </w:p>
    <w:p w14:paraId="4909D0A9" w14:textId="06F39E51" w:rsidR="005E6793" w:rsidRPr="00296286" w:rsidRDefault="005E6793" w:rsidP="00296286">
      <w:pPr>
        <w:spacing w:line="360" w:lineRule="auto"/>
        <w:jc w:val="both"/>
        <w:rPr>
          <w:rFonts w:ascii="Arial" w:hAnsi="Arial" w:cs="Arial"/>
        </w:rPr>
      </w:pPr>
      <w:r w:rsidRPr="00296286">
        <w:rPr>
          <w:rFonts w:ascii="Arial" w:hAnsi="Arial" w:cs="Arial"/>
        </w:rPr>
        <w:lastRenderedPageBreak/>
        <w:t>Directors should also check whether the 40% gross margin is stable across products. Clothing margins often vary by category, and discounting can shift the mix. A single gross margin assumption can therefore overstate profit if sales rely on discounted lines. Segment reporting and contribution analysis by category would provide better decision support (Datar and Rajan, 2017).</w:t>
      </w:r>
    </w:p>
    <w:p w14:paraId="55A13EB1" w14:textId="77777777" w:rsidR="005E6793" w:rsidRDefault="005E6793" w:rsidP="00296286">
      <w:pPr>
        <w:spacing w:line="360" w:lineRule="auto"/>
        <w:jc w:val="both"/>
        <w:rPr>
          <w:rFonts w:ascii="Arial" w:hAnsi="Arial" w:cs="Arial"/>
        </w:rPr>
      </w:pPr>
    </w:p>
    <w:p w14:paraId="75F1C4AB" w14:textId="77777777" w:rsidR="00296286" w:rsidRDefault="00296286" w:rsidP="00296286">
      <w:pPr>
        <w:spacing w:line="360" w:lineRule="auto"/>
        <w:jc w:val="both"/>
        <w:rPr>
          <w:rFonts w:ascii="Arial" w:hAnsi="Arial" w:cs="Arial"/>
        </w:rPr>
      </w:pPr>
    </w:p>
    <w:p w14:paraId="0876A52E" w14:textId="77777777" w:rsidR="00296286" w:rsidRDefault="00296286" w:rsidP="00296286">
      <w:pPr>
        <w:spacing w:line="360" w:lineRule="auto"/>
        <w:jc w:val="both"/>
        <w:rPr>
          <w:rFonts w:ascii="Arial" w:hAnsi="Arial" w:cs="Arial"/>
        </w:rPr>
      </w:pPr>
    </w:p>
    <w:p w14:paraId="6C7D4794" w14:textId="77777777" w:rsidR="00296286" w:rsidRDefault="00296286" w:rsidP="00296286">
      <w:pPr>
        <w:spacing w:line="360" w:lineRule="auto"/>
        <w:jc w:val="both"/>
        <w:rPr>
          <w:rFonts w:ascii="Arial" w:hAnsi="Arial" w:cs="Arial"/>
        </w:rPr>
      </w:pPr>
    </w:p>
    <w:p w14:paraId="5D16C482" w14:textId="77777777" w:rsidR="00296286" w:rsidRDefault="00296286" w:rsidP="00296286">
      <w:pPr>
        <w:spacing w:line="360" w:lineRule="auto"/>
        <w:jc w:val="both"/>
        <w:rPr>
          <w:rFonts w:ascii="Arial" w:hAnsi="Arial" w:cs="Arial"/>
        </w:rPr>
      </w:pPr>
    </w:p>
    <w:p w14:paraId="2B4558D5" w14:textId="77777777" w:rsidR="00296286" w:rsidRDefault="00296286" w:rsidP="00296286">
      <w:pPr>
        <w:spacing w:line="360" w:lineRule="auto"/>
        <w:jc w:val="both"/>
        <w:rPr>
          <w:rFonts w:ascii="Arial" w:hAnsi="Arial" w:cs="Arial"/>
        </w:rPr>
      </w:pPr>
    </w:p>
    <w:p w14:paraId="25E9D6A8" w14:textId="77777777" w:rsidR="00296286" w:rsidRDefault="00296286" w:rsidP="00296286">
      <w:pPr>
        <w:spacing w:line="360" w:lineRule="auto"/>
        <w:jc w:val="both"/>
        <w:rPr>
          <w:rFonts w:ascii="Arial" w:hAnsi="Arial" w:cs="Arial"/>
        </w:rPr>
      </w:pPr>
    </w:p>
    <w:p w14:paraId="29AAE68B" w14:textId="77777777" w:rsidR="00296286" w:rsidRDefault="00296286" w:rsidP="00296286">
      <w:pPr>
        <w:spacing w:line="360" w:lineRule="auto"/>
        <w:jc w:val="both"/>
        <w:rPr>
          <w:rFonts w:ascii="Arial" w:hAnsi="Arial" w:cs="Arial"/>
        </w:rPr>
      </w:pPr>
    </w:p>
    <w:p w14:paraId="64483974" w14:textId="77777777" w:rsidR="00296286" w:rsidRDefault="00296286" w:rsidP="00296286">
      <w:pPr>
        <w:spacing w:line="360" w:lineRule="auto"/>
        <w:jc w:val="both"/>
        <w:rPr>
          <w:rFonts w:ascii="Arial" w:hAnsi="Arial" w:cs="Arial"/>
        </w:rPr>
      </w:pPr>
    </w:p>
    <w:p w14:paraId="6A01AB4F" w14:textId="77777777" w:rsidR="00296286" w:rsidRDefault="00296286" w:rsidP="00296286">
      <w:pPr>
        <w:spacing w:line="360" w:lineRule="auto"/>
        <w:jc w:val="both"/>
        <w:rPr>
          <w:rFonts w:ascii="Arial" w:hAnsi="Arial" w:cs="Arial"/>
        </w:rPr>
      </w:pPr>
    </w:p>
    <w:p w14:paraId="504912F7" w14:textId="77777777" w:rsidR="00296286" w:rsidRDefault="00296286" w:rsidP="00296286">
      <w:pPr>
        <w:spacing w:line="360" w:lineRule="auto"/>
        <w:jc w:val="both"/>
        <w:rPr>
          <w:rFonts w:ascii="Arial" w:hAnsi="Arial" w:cs="Arial"/>
        </w:rPr>
      </w:pPr>
    </w:p>
    <w:p w14:paraId="6ED51C3B" w14:textId="77777777" w:rsidR="00296286" w:rsidRDefault="00296286" w:rsidP="00296286">
      <w:pPr>
        <w:spacing w:line="360" w:lineRule="auto"/>
        <w:jc w:val="both"/>
        <w:rPr>
          <w:rFonts w:ascii="Arial" w:hAnsi="Arial" w:cs="Arial"/>
        </w:rPr>
      </w:pPr>
    </w:p>
    <w:p w14:paraId="7206B442" w14:textId="77777777" w:rsidR="00296286" w:rsidRDefault="00296286" w:rsidP="00296286">
      <w:pPr>
        <w:spacing w:line="360" w:lineRule="auto"/>
        <w:jc w:val="both"/>
        <w:rPr>
          <w:rFonts w:ascii="Arial" w:hAnsi="Arial" w:cs="Arial"/>
        </w:rPr>
      </w:pPr>
    </w:p>
    <w:p w14:paraId="06130FF2" w14:textId="77777777" w:rsidR="00296286" w:rsidRDefault="00296286" w:rsidP="00296286">
      <w:pPr>
        <w:spacing w:line="360" w:lineRule="auto"/>
        <w:jc w:val="both"/>
        <w:rPr>
          <w:rFonts w:ascii="Arial" w:hAnsi="Arial" w:cs="Arial"/>
        </w:rPr>
      </w:pPr>
    </w:p>
    <w:p w14:paraId="6A00BC3A" w14:textId="77777777" w:rsidR="00296286" w:rsidRDefault="00296286" w:rsidP="00296286">
      <w:pPr>
        <w:spacing w:line="360" w:lineRule="auto"/>
        <w:jc w:val="both"/>
        <w:rPr>
          <w:rFonts w:ascii="Arial" w:hAnsi="Arial" w:cs="Arial"/>
        </w:rPr>
      </w:pPr>
    </w:p>
    <w:p w14:paraId="24A1509B" w14:textId="77777777" w:rsidR="00296286" w:rsidRDefault="00296286" w:rsidP="00296286">
      <w:pPr>
        <w:spacing w:line="360" w:lineRule="auto"/>
        <w:jc w:val="both"/>
        <w:rPr>
          <w:rFonts w:ascii="Arial" w:hAnsi="Arial" w:cs="Arial"/>
        </w:rPr>
      </w:pPr>
    </w:p>
    <w:p w14:paraId="42EB5733" w14:textId="77777777" w:rsidR="00296286" w:rsidRDefault="00296286" w:rsidP="00296286">
      <w:pPr>
        <w:spacing w:line="360" w:lineRule="auto"/>
        <w:jc w:val="both"/>
        <w:rPr>
          <w:rFonts w:ascii="Arial" w:hAnsi="Arial" w:cs="Arial"/>
        </w:rPr>
      </w:pPr>
    </w:p>
    <w:p w14:paraId="785609A8" w14:textId="77777777" w:rsidR="00296286" w:rsidRDefault="00296286" w:rsidP="00296286">
      <w:pPr>
        <w:spacing w:line="360" w:lineRule="auto"/>
        <w:jc w:val="both"/>
        <w:rPr>
          <w:rFonts w:ascii="Arial" w:hAnsi="Arial" w:cs="Arial"/>
        </w:rPr>
      </w:pPr>
    </w:p>
    <w:p w14:paraId="5ABB298F" w14:textId="77777777" w:rsidR="00296286" w:rsidRPr="00296286" w:rsidRDefault="00296286" w:rsidP="00296286">
      <w:pPr>
        <w:spacing w:line="360" w:lineRule="auto"/>
        <w:jc w:val="both"/>
        <w:rPr>
          <w:rFonts w:ascii="Arial" w:hAnsi="Arial" w:cs="Arial"/>
        </w:rPr>
      </w:pPr>
    </w:p>
    <w:p w14:paraId="51393359" w14:textId="32DA5F9B" w:rsidR="005E6793" w:rsidRPr="00296286" w:rsidRDefault="005E6793" w:rsidP="00296286">
      <w:pPr>
        <w:pStyle w:val="Heading1"/>
        <w:spacing w:line="360" w:lineRule="auto"/>
        <w:jc w:val="both"/>
        <w:rPr>
          <w:rFonts w:ascii="Arial" w:hAnsi="Arial" w:cs="Arial"/>
          <w:sz w:val="24"/>
          <w:szCs w:val="24"/>
        </w:rPr>
      </w:pPr>
      <w:bookmarkStart w:id="7" w:name="_Toc224843813"/>
      <w:r w:rsidRPr="00296286">
        <w:rPr>
          <w:rFonts w:ascii="Arial" w:hAnsi="Arial" w:cs="Arial"/>
          <w:sz w:val="24"/>
          <w:szCs w:val="24"/>
        </w:rPr>
        <w:lastRenderedPageBreak/>
        <w:t>3. Management actions</w:t>
      </w:r>
      <w:bookmarkEnd w:id="7"/>
    </w:p>
    <w:p w14:paraId="27EA3F95" w14:textId="61799509" w:rsidR="00C35797" w:rsidRPr="00296286" w:rsidRDefault="005E6793" w:rsidP="00296286">
      <w:pPr>
        <w:spacing w:line="360" w:lineRule="auto"/>
        <w:jc w:val="both"/>
        <w:rPr>
          <w:rFonts w:ascii="Arial" w:hAnsi="Arial" w:cs="Arial"/>
        </w:rPr>
      </w:pPr>
      <w:r w:rsidRPr="00296286">
        <w:rPr>
          <w:rFonts w:ascii="Arial" w:hAnsi="Arial" w:cs="Arial"/>
        </w:rPr>
        <w:t>The fastest route to making the bank target reliable is to control inventory. Directors should create a formal stock policy that sets a target for closing stock and stock turns, with clear authorization rules.</w:t>
      </w:r>
    </w:p>
    <w:p w14:paraId="05365A53" w14:textId="26F68A12" w:rsidR="005E6793" w:rsidRPr="00296286" w:rsidRDefault="005E6793" w:rsidP="00296286">
      <w:pPr>
        <w:spacing w:line="360" w:lineRule="auto"/>
        <w:jc w:val="both"/>
        <w:rPr>
          <w:rFonts w:ascii="Arial" w:hAnsi="Arial" w:cs="Arial"/>
        </w:rPr>
      </w:pPr>
      <w:r w:rsidRPr="00296286">
        <w:rPr>
          <w:rFonts w:ascii="Arial" w:hAnsi="Arial" w:cs="Arial"/>
        </w:rPr>
        <w:t>A practical approach is to set closing stock as a defined number of weeks</w:t>
      </w:r>
      <w:r w:rsidR="00B10DDE" w:rsidRPr="00296286">
        <w:rPr>
          <w:rFonts w:ascii="Arial" w:hAnsi="Arial" w:cs="Arial"/>
        </w:rPr>
        <w:t xml:space="preserve">, </w:t>
      </w:r>
      <w:r w:rsidRPr="00296286">
        <w:rPr>
          <w:rFonts w:ascii="Arial" w:hAnsi="Arial" w:cs="Arial"/>
        </w:rPr>
        <w:t>of cost</w:t>
      </w:r>
      <w:r w:rsidR="00B10DDE" w:rsidRPr="00296286">
        <w:rPr>
          <w:rFonts w:ascii="Arial" w:hAnsi="Arial" w:cs="Arial"/>
        </w:rPr>
        <w:t xml:space="preserve">, </w:t>
      </w:r>
      <w:r w:rsidRPr="00296286">
        <w:rPr>
          <w:rFonts w:ascii="Arial" w:hAnsi="Arial" w:cs="Arial"/>
        </w:rPr>
        <w:t>of sales</w:t>
      </w:r>
      <w:r w:rsidR="00B10DDE" w:rsidRPr="00296286">
        <w:rPr>
          <w:rFonts w:ascii="Arial" w:hAnsi="Arial" w:cs="Arial"/>
        </w:rPr>
        <w:t>, adjusted for seasonality and supplier lead times. If projected stock exceeds the ceiling, purchases must stop except for proven fast-moving lines. This turns the stock budget from a reporting document into a decision rule (Drury, 2021; Seal, Garrison, and Noreen,2018).</w:t>
      </w:r>
    </w:p>
    <w:p w14:paraId="6016D8D8" w14:textId="029455F1" w:rsidR="00B10DDE" w:rsidRPr="00296286" w:rsidRDefault="00B10DDE" w:rsidP="00296286">
      <w:pPr>
        <w:spacing w:line="360" w:lineRule="auto"/>
        <w:jc w:val="both"/>
        <w:rPr>
          <w:rFonts w:ascii="Arial" w:hAnsi="Arial" w:cs="Arial"/>
        </w:rPr>
      </w:pPr>
      <w:r w:rsidRPr="00296286">
        <w:rPr>
          <w:rFonts w:ascii="Arial" w:hAnsi="Arial" w:cs="Arial"/>
        </w:rPr>
        <w:t xml:space="preserve">In clothing, ageing stock becomes less valuable </w:t>
      </w:r>
      <w:r w:rsidR="008533D8" w:rsidRPr="00296286">
        <w:rPr>
          <w:rFonts w:ascii="Arial" w:hAnsi="Arial" w:cs="Arial"/>
        </w:rPr>
        <w:t>over time, creating</w:t>
      </w:r>
      <w:r w:rsidRPr="00296286">
        <w:rPr>
          <w:rFonts w:ascii="Arial" w:hAnsi="Arial" w:cs="Arial"/>
        </w:rPr>
        <w:t xml:space="preserve"> a direct link between working capital and profitability. A monthly aged-stock report, plus a pre-planned markdown strategy, reduces the risk of a sudden end-of-season cash and margin collapse (Atrill and McLaney,2018).</w:t>
      </w:r>
    </w:p>
    <w:p w14:paraId="0C4D7429" w14:textId="77777777" w:rsidR="00253969" w:rsidRPr="00296286" w:rsidRDefault="00253969" w:rsidP="00296286">
      <w:pPr>
        <w:spacing w:line="360" w:lineRule="auto"/>
        <w:jc w:val="both"/>
        <w:rPr>
          <w:rFonts w:ascii="Arial" w:hAnsi="Arial" w:cs="Arial"/>
        </w:rPr>
      </w:pPr>
    </w:p>
    <w:p w14:paraId="6056D788" w14:textId="7E976F31" w:rsidR="00253969" w:rsidRPr="00296286" w:rsidRDefault="00253969" w:rsidP="00296286">
      <w:pPr>
        <w:spacing w:line="360" w:lineRule="auto"/>
        <w:jc w:val="both"/>
        <w:rPr>
          <w:rFonts w:ascii="Arial" w:hAnsi="Arial" w:cs="Arial"/>
        </w:rPr>
      </w:pPr>
      <w:r w:rsidRPr="00296286">
        <w:rPr>
          <w:rFonts w:ascii="Arial" w:hAnsi="Arial" w:cs="Arial"/>
        </w:rPr>
        <w:t>The cash budget highlights vulnerable months, so directors should treat July-September as a liquidity management window. Actions include:</w:t>
      </w:r>
    </w:p>
    <w:p w14:paraId="7B917CD2" w14:textId="44B6A227" w:rsidR="00083B4F" w:rsidRPr="00296286" w:rsidRDefault="00253969" w:rsidP="00296286">
      <w:pPr>
        <w:pStyle w:val="ListParagraph"/>
        <w:numPr>
          <w:ilvl w:val="0"/>
          <w:numId w:val="5"/>
        </w:numPr>
        <w:spacing w:line="360" w:lineRule="auto"/>
        <w:jc w:val="both"/>
        <w:rPr>
          <w:rFonts w:ascii="Arial" w:hAnsi="Arial" w:cs="Arial"/>
        </w:rPr>
      </w:pPr>
      <w:r w:rsidRPr="00296286">
        <w:rPr>
          <w:rFonts w:ascii="Arial" w:hAnsi="Arial" w:cs="Arial"/>
        </w:rPr>
        <w:t xml:space="preserve">Phase refurbishment spending so that non-essential work pauses until the overdraft is cleared. This is consistent with cash preservation guidance and avoids using expensive short-term finance for discretionary projects </w:t>
      </w:r>
      <w:r w:rsidR="008533D8" w:rsidRPr="00296286">
        <w:rPr>
          <w:rFonts w:ascii="Arial" w:hAnsi="Arial" w:cs="Arial"/>
        </w:rPr>
        <w:t>(Horner</w:t>
      </w:r>
      <w:r w:rsidRPr="00296286">
        <w:rPr>
          <w:rFonts w:ascii="Arial" w:hAnsi="Arial" w:cs="Arial"/>
        </w:rPr>
        <w:t>, 2020; ICAEW, 2022).</w:t>
      </w:r>
    </w:p>
    <w:p w14:paraId="7231B07B" w14:textId="77777777" w:rsidR="00083B4F" w:rsidRPr="00296286" w:rsidRDefault="00083B4F" w:rsidP="00296286">
      <w:pPr>
        <w:pStyle w:val="ListParagraph"/>
        <w:spacing w:line="360" w:lineRule="auto"/>
        <w:jc w:val="both"/>
        <w:rPr>
          <w:rFonts w:ascii="Arial" w:hAnsi="Arial" w:cs="Arial"/>
        </w:rPr>
      </w:pPr>
    </w:p>
    <w:p w14:paraId="69B48505" w14:textId="66144F34" w:rsidR="00083B4F" w:rsidRPr="00296286" w:rsidRDefault="00253969" w:rsidP="00296286">
      <w:pPr>
        <w:pStyle w:val="ListParagraph"/>
        <w:numPr>
          <w:ilvl w:val="0"/>
          <w:numId w:val="5"/>
        </w:numPr>
        <w:spacing w:line="360" w:lineRule="auto"/>
        <w:jc w:val="both"/>
        <w:rPr>
          <w:rFonts w:ascii="Arial" w:hAnsi="Arial" w:cs="Arial"/>
        </w:rPr>
      </w:pPr>
      <w:r w:rsidRPr="00296286">
        <w:rPr>
          <w:rFonts w:ascii="Arial" w:hAnsi="Arial" w:cs="Arial"/>
        </w:rPr>
        <w:t>Negotiate payment timing for refurbishment where possible (for example</w:t>
      </w:r>
      <w:r w:rsidR="00083B4F" w:rsidRPr="00296286">
        <w:rPr>
          <w:rFonts w:ascii="Arial" w:hAnsi="Arial" w:cs="Arial"/>
        </w:rPr>
        <w:t>, staged payments) while maintaining supplier relationships.</w:t>
      </w:r>
    </w:p>
    <w:p w14:paraId="75D7DD1A" w14:textId="77777777" w:rsidR="00083B4F" w:rsidRPr="00296286" w:rsidRDefault="00083B4F" w:rsidP="00296286">
      <w:pPr>
        <w:pStyle w:val="ListParagraph"/>
        <w:spacing w:line="360" w:lineRule="auto"/>
        <w:jc w:val="both"/>
        <w:rPr>
          <w:rFonts w:ascii="Arial" w:hAnsi="Arial" w:cs="Arial"/>
        </w:rPr>
      </w:pPr>
    </w:p>
    <w:p w14:paraId="17BE2D2D" w14:textId="60A73EDA" w:rsidR="00083B4F" w:rsidRPr="00296286" w:rsidRDefault="00083B4F" w:rsidP="00296286">
      <w:pPr>
        <w:pStyle w:val="ListParagraph"/>
        <w:numPr>
          <w:ilvl w:val="0"/>
          <w:numId w:val="5"/>
        </w:numPr>
        <w:spacing w:line="360" w:lineRule="auto"/>
        <w:jc w:val="both"/>
        <w:rPr>
          <w:rFonts w:ascii="Arial" w:hAnsi="Arial" w:cs="Arial"/>
        </w:rPr>
      </w:pPr>
      <w:r w:rsidRPr="00296286">
        <w:rPr>
          <w:rFonts w:ascii="Arial" w:hAnsi="Arial" w:cs="Arial"/>
        </w:rPr>
        <w:t xml:space="preserve">Increase the frequency of cash forecasting during this period. A monthly forecast is too slow. A weekly cash views allows management to act before a problem becomes visible in bank </w:t>
      </w:r>
      <w:r w:rsidR="008533D8" w:rsidRPr="00296286">
        <w:rPr>
          <w:rFonts w:ascii="Arial" w:hAnsi="Arial" w:cs="Arial"/>
        </w:rPr>
        <w:t>statements</w:t>
      </w:r>
      <w:r w:rsidRPr="00296286">
        <w:rPr>
          <w:rFonts w:ascii="Arial" w:hAnsi="Arial" w:cs="Arial"/>
        </w:rPr>
        <w:t xml:space="preserve"> (Drury, 2011).</w:t>
      </w:r>
    </w:p>
    <w:p w14:paraId="5E2A2812" w14:textId="77777777" w:rsidR="00083B4F" w:rsidRPr="00296286" w:rsidRDefault="00083B4F" w:rsidP="00296286">
      <w:pPr>
        <w:pStyle w:val="ListParagraph"/>
        <w:spacing w:line="360" w:lineRule="auto"/>
        <w:jc w:val="both"/>
        <w:rPr>
          <w:rFonts w:ascii="Arial" w:hAnsi="Arial" w:cs="Arial"/>
        </w:rPr>
      </w:pPr>
    </w:p>
    <w:p w14:paraId="3094F93B" w14:textId="2FAC5422" w:rsidR="00083B4F" w:rsidRPr="00296286" w:rsidRDefault="00083B4F" w:rsidP="00296286">
      <w:pPr>
        <w:spacing w:line="360" w:lineRule="auto"/>
        <w:jc w:val="both"/>
        <w:rPr>
          <w:rFonts w:ascii="Arial" w:hAnsi="Arial" w:cs="Arial"/>
        </w:rPr>
      </w:pPr>
      <w:r w:rsidRPr="00296286">
        <w:rPr>
          <w:rFonts w:ascii="Arial" w:hAnsi="Arial" w:cs="Arial"/>
        </w:rPr>
        <w:t>The business pays card fees on 35% of sales</w:t>
      </w:r>
      <w:r w:rsidR="008A1C79" w:rsidRPr="00296286">
        <w:rPr>
          <w:rFonts w:ascii="Arial" w:hAnsi="Arial" w:cs="Arial"/>
        </w:rPr>
        <w:t xml:space="preserve"> at 2,5%</w:t>
      </w:r>
      <w:r w:rsidRPr="00296286">
        <w:rPr>
          <w:rFonts w:ascii="Arial" w:hAnsi="Arial" w:cs="Arial"/>
        </w:rPr>
        <w:t xml:space="preserve">. The cost is predictable and should be treated as a variable selling cost in contribution analysis. Directors should ensure pricing and promotion decisions reflect payment costs and do not erode margin </w:t>
      </w:r>
      <w:r w:rsidRPr="00296286">
        <w:rPr>
          <w:rFonts w:ascii="Arial" w:hAnsi="Arial" w:cs="Arial"/>
        </w:rPr>
        <w:lastRenderedPageBreak/>
        <w:t>unintentionally. They can also review whether any discounts or promotions are justified by contribution, not by revenue alone (Datar and Rajan, 2017).</w:t>
      </w:r>
    </w:p>
    <w:p w14:paraId="6CE60399" w14:textId="77777777" w:rsidR="00083B4F" w:rsidRPr="00296286" w:rsidRDefault="00083B4F" w:rsidP="00296286">
      <w:pPr>
        <w:spacing w:line="360" w:lineRule="auto"/>
        <w:jc w:val="both"/>
        <w:rPr>
          <w:rFonts w:ascii="Arial" w:hAnsi="Arial" w:cs="Arial"/>
        </w:rPr>
      </w:pPr>
    </w:p>
    <w:p w14:paraId="57B46188" w14:textId="02DEB29E" w:rsidR="00083B4F" w:rsidRPr="00296286" w:rsidRDefault="00083B4F" w:rsidP="00296286">
      <w:pPr>
        <w:spacing w:line="360" w:lineRule="auto"/>
        <w:jc w:val="both"/>
        <w:rPr>
          <w:rFonts w:ascii="Arial" w:hAnsi="Arial" w:cs="Arial"/>
        </w:rPr>
      </w:pPr>
      <w:r w:rsidRPr="00296286">
        <w:rPr>
          <w:rFonts w:ascii="Arial" w:hAnsi="Arial" w:cs="Arial"/>
        </w:rPr>
        <w:t xml:space="preserve">Loan instalments and interest payments reduce flexibility. Even if the forecast </w:t>
      </w:r>
      <w:r w:rsidR="00646A5B" w:rsidRPr="00296286">
        <w:rPr>
          <w:rFonts w:ascii="Arial" w:hAnsi="Arial" w:cs="Arial"/>
        </w:rPr>
        <w:t>sho</w:t>
      </w:r>
      <w:r w:rsidR="005B335B" w:rsidRPr="00296286">
        <w:rPr>
          <w:rFonts w:ascii="Arial" w:hAnsi="Arial" w:cs="Arial"/>
        </w:rPr>
        <w:t>ws</w:t>
      </w:r>
      <w:r w:rsidRPr="00296286">
        <w:rPr>
          <w:rFonts w:ascii="Arial" w:hAnsi="Arial" w:cs="Arial"/>
        </w:rPr>
        <w:t xml:space="preserve"> cash improvement, directors should track in</w:t>
      </w:r>
      <w:r w:rsidR="005B335B" w:rsidRPr="00296286">
        <w:rPr>
          <w:rFonts w:ascii="Arial" w:hAnsi="Arial" w:cs="Arial"/>
        </w:rPr>
        <w:t xml:space="preserve">terest cover and forecast headroom against bank expectations. If headroom becomes tight, directors should prioritise actions </w:t>
      </w:r>
      <w:r w:rsidR="00337E69" w:rsidRPr="00296286">
        <w:rPr>
          <w:rFonts w:ascii="Arial" w:hAnsi="Arial" w:cs="Arial"/>
        </w:rPr>
        <w:t xml:space="preserve">to improve cash conversion (e.g., </w:t>
      </w:r>
      <w:r w:rsidR="005B335B" w:rsidRPr="00296286">
        <w:rPr>
          <w:rFonts w:ascii="Arial" w:hAnsi="Arial" w:cs="Arial"/>
        </w:rPr>
        <w:t>stock reduction, delayed discretionary spending) rather than cutting costs that damage demand (Walsh, 2008; Atrill and McLaney, 2021).</w:t>
      </w:r>
    </w:p>
    <w:p w14:paraId="69E74B5C" w14:textId="3E38C28F" w:rsidR="008533D8" w:rsidRPr="00296286" w:rsidRDefault="008533D8" w:rsidP="00296286">
      <w:pPr>
        <w:spacing w:line="360" w:lineRule="auto"/>
        <w:jc w:val="both"/>
        <w:rPr>
          <w:rFonts w:ascii="Arial" w:hAnsi="Arial" w:cs="Arial"/>
        </w:rPr>
      </w:pPr>
      <w:r w:rsidRPr="00296286">
        <w:rPr>
          <w:rFonts w:ascii="Arial" w:hAnsi="Arial" w:cs="Arial"/>
        </w:rPr>
        <w:t>Although stock is the main driver in this case, directors should consider all working capital levers: inventory, receivables, and payables.  Customers pay in the month of sale, so receivable risk is limited.</w:t>
      </w:r>
    </w:p>
    <w:p w14:paraId="09EDF6D9" w14:textId="69DDAF44" w:rsidR="008533D8" w:rsidRPr="00296286" w:rsidRDefault="008533D8" w:rsidP="00296286">
      <w:pPr>
        <w:spacing w:line="360" w:lineRule="auto"/>
        <w:jc w:val="both"/>
        <w:rPr>
          <w:rFonts w:ascii="Arial" w:hAnsi="Arial" w:cs="Arial"/>
        </w:rPr>
      </w:pPr>
      <w:r w:rsidRPr="00296286">
        <w:rPr>
          <w:rFonts w:ascii="Arial" w:hAnsi="Arial" w:cs="Arial"/>
        </w:rPr>
        <w:t>Payables are more relevant because suppliers offer one-month credit. They should maintain that credit discipline by paying on time and avoiding early payment, which unnecessarily sacrifices working capital.</w:t>
      </w:r>
    </w:p>
    <w:p w14:paraId="0E08ECAF" w14:textId="4F6D2F90" w:rsidR="008533D8" w:rsidRPr="00296286" w:rsidRDefault="008533D8" w:rsidP="00296286">
      <w:pPr>
        <w:spacing w:line="360" w:lineRule="auto"/>
        <w:jc w:val="both"/>
        <w:rPr>
          <w:rFonts w:ascii="Arial" w:hAnsi="Arial" w:cs="Arial"/>
        </w:rPr>
      </w:pPr>
      <w:r w:rsidRPr="00296286">
        <w:rPr>
          <w:rFonts w:ascii="Arial" w:hAnsi="Arial" w:cs="Arial"/>
        </w:rPr>
        <w:t xml:space="preserve">At the same time, directors should avoid stretching payables in ways that damage supplier relationships or delivery reliability. Cash management guidance emphasises </w:t>
      </w:r>
      <w:r w:rsidR="00337E69" w:rsidRPr="00296286">
        <w:rPr>
          <w:rFonts w:ascii="Arial" w:hAnsi="Arial" w:cs="Arial"/>
        </w:rPr>
        <w:t>optimising timing while maintaining trust, not simply delaying payments (Horner, 2020).</w:t>
      </w:r>
    </w:p>
    <w:p w14:paraId="1CCE4169" w14:textId="47153754" w:rsidR="00337E69" w:rsidRPr="00296286" w:rsidRDefault="00337E69" w:rsidP="00296286">
      <w:pPr>
        <w:spacing w:line="360" w:lineRule="auto"/>
        <w:jc w:val="both"/>
        <w:rPr>
          <w:rFonts w:ascii="Arial" w:hAnsi="Arial" w:cs="Arial"/>
        </w:rPr>
      </w:pPr>
      <w:r w:rsidRPr="00296286">
        <w:rPr>
          <w:rFonts w:ascii="Arial" w:hAnsi="Arial" w:cs="Arial"/>
        </w:rPr>
        <w:t>They can also reduce working capital by accelerating the sell-through of slow-moving items and by narrowing the number of lines held where demand is uncertain. This is not a “cost-cut” strategy; it is a risk-reduction strategy. In management control terms, it requires clear policies and transparent decision rights so that buyers understand when they can commit cash and when they must pause (Simons, 1995).</w:t>
      </w:r>
    </w:p>
    <w:p w14:paraId="4137F05D" w14:textId="77777777" w:rsidR="00337E69" w:rsidRPr="00296286" w:rsidRDefault="00337E69" w:rsidP="00296286">
      <w:pPr>
        <w:spacing w:line="360" w:lineRule="auto"/>
        <w:jc w:val="both"/>
        <w:rPr>
          <w:rFonts w:ascii="Arial" w:hAnsi="Arial" w:cs="Arial"/>
        </w:rPr>
      </w:pPr>
    </w:p>
    <w:p w14:paraId="1A8BA7F6" w14:textId="77777777" w:rsidR="005D58F4" w:rsidRPr="00296286" w:rsidRDefault="005D58F4" w:rsidP="00296286">
      <w:pPr>
        <w:spacing w:line="360" w:lineRule="auto"/>
        <w:jc w:val="both"/>
        <w:rPr>
          <w:rFonts w:ascii="Arial" w:hAnsi="Arial" w:cs="Arial"/>
        </w:rPr>
      </w:pPr>
    </w:p>
    <w:p w14:paraId="619F693A" w14:textId="77777777" w:rsidR="005D58F4" w:rsidRPr="00296286" w:rsidRDefault="005D58F4" w:rsidP="00296286">
      <w:pPr>
        <w:spacing w:line="360" w:lineRule="auto"/>
        <w:jc w:val="both"/>
        <w:rPr>
          <w:rFonts w:ascii="Arial" w:hAnsi="Arial" w:cs="Arial"/>
        </w:rPr>
      </w:pPr>
    </w:p>
    <w:p w14:paraId="72B4E9F3" w14:textId="77777777" w:rsidR="005D58F4" w:rsidRPr="00296286" w:rsidRDefault="005D58F4" w:rsidP="00296286">
      <w:pPr>
        <w:spacing w:line="360" w:lineRule="auto"/>
        <w:jc w:val="both"/>
        <w:rPr>
          <w:rFonts w:ascii="Arial" w:hAnsi="Arial" w:cs="Arial"/>
        </w:rPr>
      </w:pPr>
    </w:p>
    <w:p w14:paraId="70BC37FA" w14:textId="77777777" w:rsidR="005D58F4" w:rsidRPr="00296286" w:rsidRDefault="005D58F4" w:rsidP="00296286">
      <w:pPr>
        <w:spacing w:line="360" w:lineRule="auto"/>
        <w:jc w:val="both"/>
        <w:rPr>
          <w:rFonts w:ascii="Arial" w:hAnsi="Arial" w:cs="Arial"/>
        </w:rPr>
      </w:pPr>
    </w:p>
    <w:p w14:paraId="50DE7394" w14:textId="77777777" w:rsidR="005D58F4" w:rsidRPr="00296286" w:rsidRDefault="005D58F4" w:rsidP="00296286">
      <w:pPr>
        <w:spacing w:line="360" w:lineRule="auto"/>
        <w:jc w:val="both"/>
        <w:rPr>
          <w:rFonts w:ascii="Arial" w:hAnsi="Arial" w:cs="Arial"/>
        </w:rPr>
      </w:pPr>
    </w:p>
    <w:p w14:paraId="7D922F26" w14:textId="72549D17" w:rsidR="00337E69" w:rsidRPr="00296286" w:rsidRDefault="00337E69" w:rsidP="00296286">
      <w:pPr>
        <w:pStyle w:val="Heading1"/>
        <w:spacing w:line="360" w:lineRule="auto"/>
        <w:jc w:val="both"/>
        <w:rPr>
          <w:rFonts w:ascii="Arial" w:hAnsi="Arial" w:cs="Arial"/>
          <w:sz w:val="24"/>
          <w:szCs w:val="24"/>
        </w:rPr>
      </w:pPr>
      <w:bookmarkStart w:id="8" w:name="_Toc224843814"/>
      <w:r w:rsidRPr="00296286">
        <w:rPr>
          <w:rFonts w:ascii="Arial" w:hAnsi="Arial" w:cs="Arial"/>
          <w:sz w:val="24"/>
          <w:szCs w:val="24"/>
        </w:rPr>
        <w:lastRenderedPageBreak/>
        <w:t>4. Budgeting and budgetary control</w:t>
      </w:r>
      <w:bookmarkEnd w:id="8"/>
      <w:r w:rsidRPr="00296286">
        <w:rPr>
          <w:rFonts w:ascii="Arial" w:hAnsi="Arial" w:cs="Arial"/>
          <w:sz w:val="24"/>
          <w:szCs w:val="24"/>
        </w:rPr>
        <w:t xml:space="preserve"> </w:t>
      </w:r>
    </w:p>
    <w:p w14:paraId="79095E35" w14:textId="77777777" w:rsidR="005B335B" w:rsidRPr="00296286" w:rsidRDefault="005B335B" w:rsidP="00296286">
      <w:pPr>
        <w:spacing w:line="360" w:lineRule="auto"/>
        <w:jc w:val="both"/>
        <w:rPr>
          <w:rFonts w:ascii="Arial" w:hAnsi="Arial" w:cs="Arial"/>
        </w:rPr>
      </w:pPr>
    </w:p>
    <w:p w14:paraId="20F6240D" w14:textId="76D47639" w:rsidR="005B335B" w:rsidRPr="00296286" w:rsidRDefault="005B335B" w:rsidP="00296286">
      <w:pPr>
        <w:spacing w:line="360" w:lineRule="auto"/>
        <w:jc w:val="both"/>
        <w:rPr>
          <w:rFonts w:ascii="Arial" w:hAnsi="Arial" w:cs="Arial"/>
        </w:rPr>
      </w:pPr>
      <w:r w:rsidRPr="00296286">
        <w:rPr>
          <w:rFonts w:ascii="Arial" w:hAnsi="Arial" w:cs="Arial"/>
        </w:rPr>
        <w:t>A good budgeting system supports planning, coordination</w:t>
      </w:r>
      <w:r w:rsidR="00337E69" w:rsidRPr="00296286">
        <w:rPr>
          <w:rFonts w:ascii="Arial" w:hAnsi="Arial" w:cs="Arial"/>
        </w:rPr>
        <w:t>,</w:t>
      </w:r>
      <w:r w:rsidRPr="00296286">
        <w:rPr>
          <w:rFonts w:ascii="Arial" w:hAnsi="Arial" w:cs="Arial"/>
        </w:rPr>
        <w:t xml:space="preserve"> and learning. It fails when it becomes a blame tool or locks in assumptions that age quickly. For Silver Stitch, the system </w:t>
      </w:r>
      <w:r w:rsidR="00337E69" w:rsidRPr="00296286">
        <w:rPr>
          <w:rFonts w:ascii="Arial" w:hAnsi="Arial" w:cs="Arial"/>
        </w:rPr>
        <w:t>connects sales, purchasing, and cash management and gives managers</w:t>
      </w:r>
      <w:r w:rsidRPr="00296286">
        <w:rPr>
          <w:rFonts w:ascii="Arial" w:hAnsi="Arial" w:cs="Arial"/>
        </w:rPr>
        <w:t xml:space="preserve"> feedback on working capital drivers (Hansen, Otley</w:t>
      </w:r>
      <w:r w:rsidR="00337E69" w:rsidRPr="00296286">
        <w:rPr>
          <w:rFonts w:ascii="Arial" w:hAnsi="Arial" w:cs="Arial"/>
        </w:rPr>
        <w:t>,</w:t>
      </w:r>
      <w:r w:rsidRPr="00296286">
        <w:rPr>
          <w:rFonts w:ascii="Arial" w:hAnsi="Arial" w:cs="Arial"/>
        </w:rPr>
        <w:t xml:space="preserve"> and Van der Stede, 2003; IFAC, 2018; IMA, 2020).</w:t>
      </w:r>
    </w:p>
    <w:p w14:paraId="07832F75" w14:textId="77777777" w:rsidR="00337E69" w:rsidRPr="00296286" w:rsidRDefault="00337E69" w:rsidP="00296286">
      <w:pPr>
        <w:spacing w:line="360" w:lineRule="auto"/>
        <w:jc w:val="both"/>
        <w:rPr>
          <w:rFonts w:ascii="Arial" w:hAnsi="Arial" w:cs="Arial"/>
        </w:rPr>
      </w:pPr>
    </w:p>
    <w:p w14:paraId="448E4EBE" w14:textId="4556D513" w:rsidR="00337E69" w:rsidRPr="00296286" w:rsidRDefault="00337E69" w:rsidP="00296286">
      <w:pPr>
        <w:pStyle w:val="Heading2"/>
        <w:spacing w:line="360" w:lineRule="auto"/>
        <w:jc w:val="both"/>
        <w:rPr>
          <w:rFonts w:ascii="Arial" w:hAnsi="Arial" w:cs="Arial"/>
          <w:sz w:val="24"/>
          <w:szCs w:val="24"/>
        </w:rPr>
      </w:pPr>
      <w:bookmarkStart w:id="9" w:name="_Toc224843815"/>
      <w:r w:rsidRPr="00296286">
        <w:rPr>
          <w:rFonts w:ascii="Arial" w:hAnsi="Arial" w:cs="Arial"/>
          <w:sz w:val="24"/>
          <w:szCs w:val="24"/>
        </w:rPr>
        <w:t>4.1 Key design conditions</w:t>
      </w:r>
      <w:bookmarkEnd w:id="9"/>
    </w:p>
    <w:p w14:paraId="4A73ED9A" w14:textId="77777777" w:rsidR="005B335B" w:rsidRPr="00296286" w:rsidRDefault="005B335B" w:rsidP="00296286">
      <w:pPr>
        <w:spacing w:line="360" w:lineRule="auto"/>
        <w:jc w:val="both"/>
        <w:rPr>
          <w:rFonts w:ascii="Arial" w:hAnsi="Arial" w:cs="Arial"/>
        </w:rPr>
      </w:pPr>
    </w:p>
    <w:p w14:paraId="21D356FC" w14:textId="40B1638D" w:rsidR="006C6FDE" w:rsidRPr="00296286" w:rsidRDefault="006C6FDE" w:rsidP="00296286">
      <w:pPr>
        <w:pStyle w:val="ListParagraph"/>
        <w:numPr>
          <w:ilvl w:val="0"/>
          <w:numId w:val="6"/>
        </w:numPr>
        <w:spacing w:line="360" w:lineRule="auto"/>
        <w:jc w:val="both"/>
        <w:rPr>
          <w:rFonts w:ascii="Arial" w:hAnsi="Arial" w:cs="Arial"/>
        </w:rPr>
      </w:pPr>
      <w:r w:rsidRPr="00296286">
        <w:rPr>
          <w:rFonts w:ascii="Arial" w:hAnsi="Arial" w:cs="Arial"/>
        </w:rPr>
        <w:t xml:space="preserve">Clear responsibility: assign ownership for stock purchases </w:t>
      </w:r>
      <w:r w:rsidR="00337E69" w:rsidRPr="00296286">
        <w:rPr>
          <w:rFonts w:ascii="Arial" w:hAnsi="Arial" w:cs="Arial"/>
        </w:rPr>
        <w:t>and</w:t>
      </w:r>
      <w:r w:rsidRPr="00296286">
        <w:rPr>
          <w:rFonts w:ascii="Arial" w:hAnsi="Arial" w:cs="Arial"/>
        </w:rPr>
        <w:t xml:space="preserve"> operating expenses within responsibility centres, and define which costs are controllable at that level (Drury, 2011).</w:t>
      </w:r>
    </w:p>
    <w:p w14:paraId="358F0A2E" w14:textId="77777777" w:rsidR="006C6FDE" w:rsidRPr="00296286" w:rsidRDefault="006C6FDE" w:rsidP="00296286">
      <w:pPr>
        <w:pStyle w:val="ListParagraph"/>
        <w:spacing w:line="360" w:lineRule="auto"/>
        <w:jc w:val="both"/>
        <w:rPr>
          <w:rFonts w:ascii="Arial" w:hAnsi="Arial" w:cs="Arial"/>
        </w:rPr>
      </w:pPr>
    </w:p>
    <w:p w14:paraId="7B4D08BF" w14:textId="6789E0F5" w:rsidR="006C6FDE" w:rsidRPr="00296286" w:rsidRDefault="006C6FDE" w:rsidP="00296286">
      <w:pPr>
        <w:pStyle w:val="ListParagraph"/>
        <w:numPr>
          <w:ilvl w:val="0"/>
          <w:numId w:val="6"/>
        </w:numPr>
        <w:spacing w:line="360" w:lineRule="auto"/>
        <w:jc w:val="both"/>
        <w:rPr>
          <w:rFonts w:ascii="Arial" w:hAnsi="Arial" w:cs="Arial"/>
        </w:rPr>
      </w:pPr>
      <w:r w:rsidRPr="00296286">
        <w:rPr>
          <w:rFonts w:ascii="Arial" w:hAnsi="Arial" w:cs="Arial"/>
        </w:rPr>
        <w:t>Timely feedback: produce variance analysis linking operational causes (pricing, volume, mix, purchasing) and corrective action (Dyson, 2020; Anthony and Govin</w:t>
      </w:r>
      <w:r w:rsidR="00D83168" w:rsidRPr="00296286">
        <w:rPr>
          <w:rFonts w:ascii="Arial" w:hAnsi="Arial" w:cs="Arial"/>
        </w:rPr>
        <w:t>darajan, 2007).</w:t>
      </w:r>
    </w:p>
    <w:p w14:paraId="75ED303E" w14:textId="77777777" w:rsidR="00D83168" w:rsidRPr="00296286" w:rsidRDefault="00D83168" w:rsidP="00296286">
      <w:pPr>
        <w:pStyle w:val="ListParagraph"/>
        <w:spacing w:line="360" w:lineRule="auto"/>
        <w:jc w:val="both"/>
        <w:rPr>
          <w:rFonts w:ascii="Arial" w:hAnsi="Arial" w:cs="Arial"/>
        </w:rPr>
      </w:pPr>
    </w:p>
    <w:p w14:paraId="2C9BF405" w14:textId="379D2CF3" w:rsidR="00D83168" w:rsidRPr="00296286" w:rsidRDefault="00D83168" w:rsidP="00296286">
      <w:pPr>
        <w:pStyle w:val="ListParagraph"/>
        <w:numPr>
          <w:ilvl w:val="0"/>
          <w:numId w:val="6"/>
        </w:numPr>
        <w:spacing w:line="360" w:lineRule="auto"/>
        <w:jc w:val="both"/>
        <w:rPr>
          <w:rFonts w:ascii="Arial" w:hAnsi="Arial" w:cs="Arial"/>
        </w:rPr>
      </w:pPr>
      <w:r w:rsidRPr="00296286">
        <w:rPr>
          <w:rFonts w:ascii="Arial" w:hAnsi="Arial" w:cs="Arial"/>
        </w:rPr>
        <w:t>Joined-up planning: finance, buyin</w:t>
      </w:r>
      <w:r w:rsidR="00A84310" w:rsidRPr="00296286">
        <w:rPr>
          <w:rFonts w:ascii="Arial" w:hAnsi="Arial" w:cs="Arial"/>
        </w:rPr>
        <w:t>g</w:t>
      </w:r>
      <w:r w:rsidR="00337E69" w:rsidRPr="00296286">
        <w:rPr>
          <w:rFonts w:ascii="Arial" w:hAnsi="Arial" w:cs="Arial"/>
        </w:rPr>
        <w:t>,</w:t>
      </w:r>
      <w:r w:rsidR="00A84310" w:rsidRPr="00296286">
        <w:rPr>
          <w:rFonts w:ascii="Arial" w:hAnsi="Arial" w:cs="Arial"/>
        </w:rPr>
        <w:t xml:space="preserve"> and sales must share one forecast. If departments optimise their own targets, the firm can accumulate stock while believing it is “protecting sales” (Seal, Garrison and Noreen, 2018).</w:t>
      </w:r>
    </w:p>
    <w:p w14:paraId="4DC39D45" w14:textId="77777777" w:rsidR="00D83168" w:rsidRPr="00296286" w:rsidRDefault="00D83168" w:rsidP="00296286">
      <w:pPr>
        <w:pStyle w:val="ListParagraph"/>
        <w:spacing w:line="360" w:lineRule="auto"/>
        <w:jc w:val="both"/>
        <w:rPr>
          <w:rFonts w:ascii="Arial" w:hAnsi="Arial" w:cs="Arial"/>
        </w:rPr>
      </w:pPr>
    </w:p>
    <w:p w14:paraId="0EBEEE2B" w14:textId="587F9267" w:rsidR="00D83168" w:rsidRPr="00296286" w:rsidRDefault="00D83168" w:rsidP="00296286">
      <w:pPr>
        <w:pStyle w:val="ListParagraph"/>
        <w:numPr>
          <w:ilvl w:val="0"/>
          <w:numId w:val="6"/>
        </w:numPr>
        <w:spacing w:line="360" w:lineRule="auto"/>
        <w:jc w:val="both"/>
        <w:rPr>
          <w:rFonts w:ascii="Arial" w:hAnsi="Arial" w:cs="Arial"/>
        </w:rPr>
      </w:pPr>
      <w:r w:rsidRPr="00296286">
        <w:rPr>
          <w:rFonts w:ascii="Arial" w:hAnsi="Arial" w:cs="Arial"/>
        </w:rPr>
        <w:t xml:space="preserve">Appropriate incentives: if managers are rewarded for meeting sales targets, they may push discounting or over-ordering. Control systems need balanced </w:t>
      </w:r>
      <w:r w:rsidR="00337E69" w:rsidRPr="00296286">
        <w:rPr>
          <w:rFonts w:ascii="Arial" w:hAnsi="Arial" w:cs="Arial"/>
        </w:rPr>
        <w:t>measures,</w:t>
      </w:r>
      <w:r w:rsidRPr="00296286">
        <w:rPr>
          <w:rFonts w:ascii="Arial" w:hAnsi="Arial" w:cs="Arial"/>
        </w:rPr>
        <w:t xml:space="preserve"> so managers do not "</w:t>
      </w:r>
      <w:r w:rsidR="00A84310" w:rsidRPr="00296286">
        <w:rPr>
          <w:rFonts w:ascii="Arial" w:hAnsi="Arial" w:cs="Arial"/>
        </w:rPr>
        <w:t>win” by damaging cash (Merchant and Van der Stede, 2017; Marr, 2013).</w:t>
      </w:r>
    </w:p>
    <w:p w14:paraId="513CF7FD" w14:textId="77777777" w:rsidR="00253969" w:rsidRPr="00296286" w:rsidRDefault="00253969" w:rsidP="00296286">
      <w:pPr>
        <w:spacing w:line="360" w:lineRule="auto"/>
        <w:jc w:val="both"/>
        <w:rPr>
          <w:rFonts w:ascii="Arial" w:hAnsi="Arial" w:cs="Arial"/>
        </w:rPr>
      </w:pPr>
    </w:p>
    <w:p w14:paraId="1E351183" w14:textId="70CDEECD" w:rsidR="00337E69" w:rsidRPr="00296286" w:rsidRDefault="00337E69" w:rsidP="00296286">
      <w:pPr>
        <w:pStyle w:val="Heading2"/>
        <w:spacing w:line="360" w:lineRule="auto"/>
        <w:jc w:val="both"/>
        <w:rPr>
          <w:rFonts w:ascii="Arial" w:hAnsi="Arial" w:cs="Arial"/>
          <w:sz w:val="24"/>
          <w:szCs w:val="24"/>
        </w:rPr>
      </w:pPr>
      <w:bookmarkStart w:id="10" w:name="_Toc224843816"/>
      <w:r w:rsidRPr="00296286">
        <w:rPr>
          <w:rFonts w:ascii="Arial" w:hAnsi="Arial" w:cs="Arial"/>
          <w:sz w:val="24"/>
          <w:szCs w:val="24"/>
        </w:rPr>
        <w:t>4.2 Behavioural risks and how to reduce them</w:t>
      </w:r>
      <w:bookmarkEnd w:id="10"/>
    </w:p>
    <w:p w14:paraId="1E6585A7" w14:textId="77777777" w:rsidR="00337E69" w:rsidRPr="00296286" w:rsidRDefault="00337E69" w:rsidP="00296286">
      <w:pPr>
        <w:spacing w:line="360" w:lineRule="auto"/>
        <w:jc w:val="both"/>
        <w:rPr>
          <w:rFonts w:ascii="Arial" w:hAnsi="Arial" w:cs="Arial"/>
        </w:rPr>
      </w:pPr>
    </w:p>
    <w:p w14:paraId="2147A1C9" w14:textId="559D0A82" w:rsidR="009F2156" w:rsidRPr="00296286" w:rsidRDefault="009F2156" w:rsidP="00296286">
      <w:pPr>
        <w:spacing w:line="360" w:lineRule="auto"/>
        <w:jc w:val="both"/>
        <w:rPr>
          <w:rFonts w:ascii="Arial" w:hAnsi="Arial" w:cs="Arial"/>
        </w:rPr>
      </w:pPr>
      <w:r w:rsidRPr="00296286">
        <w:rPr>
          <w:rFonts w:ascii="Arial" w:hAnsi="Arial" w:cs="Arial"/>
        </w:rPr>
        <w:lastRenderedPageBreak/>
        <w:t xml:space="preserve">Budgeting has behavioural side effects. Common issues include budgetary slack, gaming, and short-termism. Managers can also manipulate forecasts if the forecast doubles as a target. One critique of traditional budgeting is that it encourages people to “negotiate” numbers rather than </w:t>
      </w:r>
      <w:r w:rsidR="00337E69" w:rsidRPr="00296286">
        <w:rPr>
          <w:rFonts w:ascii="Arial" w:hAnsi="Arial" w:cs="Arial"/>
        </w:rPr>
        <w:t>to describe reality (Jensen, 2003).</w:t>
      </w:r>
    </w:p>
    <w:p w14:paraId="5B403DFB" w14:textId="29908AB4" w:rsidR="001D0ACB" w:rsidRPr="00296286" w:rsidRDefault="001D0ACB" w:rsidP="00296286">
      <w:pPr>
        <w:spacing w:line="360" w:lineRule="auto"/>
        <w:jc w:val="both"/>
        <w:rPr>
          <w:rFonts w:ascii="Arial" w:hAnsi="Arial" w:cs="Arial"/>
        </w:rPr>
      </w:pPr>
      <w:r w:rsidRPr="00296286">
        <w:rPr>
          <w:rFonts w:ascii="Arial" w:hAnsi="Arial" w:cs="Arial"/>
        </w:rPr>
        <w:t>Directors can reduce these behaviours by separating forecasting from performance evaluation. Forecasts should be updated to reflect the best available information, while targets can be set separately. This aligns with beyond thinking and makes it harder for managers to deliberately understate forecasts to create easier targets (Hope and Fraser, 2003; Bogsnes, 2016).</w:t>
      </w:r>
    </w:p>
    <w:p w14:paraId="2D43EC61" w14:textId="62B232FF" w:rsidR="001D0ACB" w:rsidRPr="00296286" w:rsidRDefault="001D0ACB" w:rsidP="00296286">
      <w:pPr>
        <w:spacing w:line="360" w:lineRule="auto"/>
        <w:jc w:val="both"/>
        <w:rPr>
          <w:rFonts w:ascii="Arial" w:hAnsi="Arial" w:cs="Arial"/>
        </w:rPr>
      </w:pPr>
      <w:r w:rsidRPr="00296286">
        <w:rPr>
          <w:rFonts w:ascii="Arial" w:hAnsi="Arial" w:cs="Arial"/>
        </w:rPr>
        <w:t>Participation can improve commitment, but directors must combine participation with independent challenge, especially for working capital decisions where managers may be overly risk-averse about stock-outs (Drury, 2021).</w:t>
      </w:r>
    </w:p>
    <w:p w14:paraId="6E82AD99" w14:textId="77777777" w:rsidR="001D0ACB" w:rsidRPr="00296286" w:rsidRDefault="001D0ACB" w:rsidP="00296286">
      <w:pPr>
        <w:spacing w:line="360" w:lineRule="auto"/>
        <w:jc w:val="both"/>
        <w:rPr>
          <w:rFonts w:ascii="Arial" w:hAnsi="Arial" w:cs="Arial"/>
        </w:rPr>
      </w:pPr>
    </w:p>
    <w:p w14:paraId="1C404FA3" w14:textId="0BDC99FE" w:rsidR="001D0ACB" w:rsidRPr="00296286" w:rsidRDefault="001D0ACB" w:rsidP="00296286">
      <w:pPr>
        <w:pStyle w:val="Heading2"/>
        <w:spacing w:line="360" w:lineRule="auto"/>
        <w:jc w:val="both"/>
        <w:rPr>
          <w:rFonts w:ascii="Arial" w:hAnsi="Arial" w:cs="Arial"/>
          <w:sz w:val="24"/>
          <w:szCs w:val="24"/>
        </w:rPr>
      </w:pPr>
      <w:bookmarkStart w:id="11" w:name="_Toc224843817"/>
      <w:r w:rsidRPr="00296286">
        <w:rPr>
          <w:rFonts w:ascii="Arial" w:hAnsi="Arial" w:cs="Arial"/>
          <w:sz w:val="24"/>
          <w:szCs w:val="24"/>
        </w:rPr>
        <w:t>4.3 Control tools</w:t>
      </w:r>
      <w:bookmarkEnd w:id="11"/>
    </w:p>
    <w:p w14:paraId="579647DD" w14:textId="77777777" w:rsidR="001D0ACB" w:rsidRPr="00296286" w:rsidRDefault="001D0ACB" w:rsidP="00296286">
      <w:pPr>
        <w:spacing w:line="360" w:lineRule="auto"/>
        <w:jc w:val="both"/>
        <w:rPr>
          <w:rFonts w:ascii="Arial" w:hAnsi="Arial" w:cs="Arial"/>
        </w:rPr>
      </w:pPr>
    </w:p>
    <w:p w14:paraId="7FA9C106" w14:textId="2E9A09B8" w:rsidR="001D0ACB" w:rsidRPr="00296286" w:rsidRDefault="001D0ACB" w:rsidP="00296286">
      <w:pPr>
        <w:spacing w:line="360" w:lineRule="auto"/>
        <w:jc w:val="both"/>
        <w:rPr>
          <w:rFonts w:ascii="Arial" w:hAnsi="Arial" w:cs="Arial"/>
        </w:rPr>
      </w:pPr>
      <w:r w:rsidRPr="00296286">
        <w:rPr>
          <w:rFonts w:ascii="Arial" w:hAnsi="Arial" w:cs="Arial"/>
        </w:rPr>
        <w:t xml:space="preserve">A static budget can mislead managers when activity levels change. Flexible budgeting adjusts cost expectations to the actual level of activity, improving fairness and insight. </w:t>
      </w:r>
    </w:p>
    <w:p w14:paraId="7E15A805" w14:textId="12CCCF45" w:rsidR="001D0ACB" w:rsidRPr="00296286" w:rsidRDefault="001D0ACB" w:rsidP="00296286">
      <w:pPr>
        <w:spacing w:line="360" w:lineRule="auto"/>
        <w:jc w:val="both"/>
        <w:rPr>
          <w:rFonts w:ascii="Arial" w:hAnsi="Arial" w:cs="Arial"/>
        </w:rPr>
      </w:pPr>
      <w:r w:rsidRPr="00296286">
        <w:rPr>
          <w:rFonts w:ascii="Arial" w:hAnsi="Arial" w:cs="Arial"/>
        </w:rPr>
        <w:t>It helps directors separate “volume effects” (sales higher or lower that plan) from “efficiency effects” (cost control and purchasing discipline) (Seal, Garrison and Noreen, 2018).</w:t>
      </w:r>
    </w:p>
    <w:p w14:paraId="46CFC001" w14:textId="3CAB73F7" w:rsidR="00710AE1" w:rsidRPr="00296286" w:rsidRDefault="00710AE1" w:rsidP="00296286">
      <w:pPr>
        <w:spacing w:line="360" w:lineRule="auto"/>
        <w:jc w:val="both"/>
        <w:rPr>
          <w:rFonts w:ascii="Arial" w:hAnsi="Arial" w:cs="Arial"/>
        </w:rPr>
      </w:pPr>
      <w:r w:rsidRPr="00296286">
        <w:rPr>
          <w:rFonts w:ascii="Arial" w:hAnsi="Arial" w:cs="Arial"/>
        </w:rPr>
        <w:t>A KPI dashboard should be small and linked to cash drivers. For Silver Stitch, suitable measures include gross margin, markdown rate, stock turns, aged stock percentage, operating expenses ratio, and liquidity buffer indicator. The point is to measure what predicts cash, not to create a long list of metrics (Marr, 2013). Balanced scorecard thinking is useful here because it prevents single-metric failure and reminds directors to protect customer value while improving finances (Kaplan and Norton, 1996).</w:t>
      </w:r>
    </w:p>
    <w:p w14:paraId="6780DBFA" w14:textId="77777777" w:rsidR="00710AE1" w:rsidRDefault="00710AE1" w:rsidP="00296286">
      <w:pPr>
        <w:spacing w:line="360" w:lineRule="auto"/>
        <w:jc w:val="both"/>
        <w:rPr>
          <w:rFonts w:ascii="Arial" w:hAnsi="Arial" w:cs="Arial"/>
        </w:rPr>
      </w:pPr>
    </w:p>
    <w:p w14:paraId="56A6B688" w14:textId="77777777" w:rsidR="00296286" w:rsidRPr="00296286" w:rsidRDefault="00296286" w:rsidP="00296286">
      <w:pPr>
        <w:spacing w:line="360" w:lineRule="auto"/>
        <w:jc w:val="both"/>
        <w:rPr>
          <w:rFonts w:ascii="Arial" w:hAnsi="Arial" w:cs="Arial"/>
        </w:rPr>
      </w:pPr>
    </w:p>
    <w:p w14:paraId="3F928348" w14:textId="57881F9C" w:rsidR="00710AE1" w:rsidRPr="00296286" w:rsidRDefault="00710AE1" w:rsidP="00296286">
      <w:pPr>
        <w:pStyle w:val="Heading2"/>
        <w:spacing w:line="360" w:lineRule="auto"/>
        <w:jc w:val="both"/>
        <w:rPr>
          <w:rFonts w:ascii="Arial" w:hAnsi="Arial" w:cs="Arial"/>
          <w:sz w:val="24"/>
          <w:szCs w:val="24"/>
        </w:rPr>
      </w:pPr>
      <w:bookmarkStart w:id="12" w:name="_Toc224843818"/>
      <w:r w:rsidRPr="00296286">
        <w:rPr>
          <w:rFonts w:ascii="Arial" w:hAnsi="Arial" w:cs="Arial"/>
          <w:sz w:val="24"/>
          <w:szCs w:val="24"/>
        </w:rPr>
        <w:lastRenderedPageBreak/>
        <w:t>4.4 The information for effective control</w:t>
      </w:r>
      <w:bookmarkEnd w:id="12"/>
    </w:p>
    <w:p w14:paraId="775539D7" w14:textId="77777777" w:rsidR="009F7477" w:rsidRPr="00296286" w:rsidRDefault="009F7477" w:rsidP="00296286">
      <w:pPr>
        <w:spacing w:line="360" w:lineRule="auto"/>
        <w:jc w:val="both"/>
        <w:rPr>
          <w:rFonts w:ascii="Arial" w:hAnsi="Arial" w:cs="Arial"/>
        </w:rPr>
      </w:pPr>
    </w:p>
    <w:p w14:paraId="78498613" w14:textId="779FA7BA" w:rsidR="00710AE1" w:rsidRPr="00296286" w:rsidRDefault="00710AE1" w:rsidP="00296286">
      <w:pPr>
        <w:spacing w:line="360" w:lineRule="auto"/>
        <w:jc w:val="both"/>
        <w:rPr>
          <w:rFonts w:ascii="Arial" w:hAnsi="Arial" w:cs="Arial"/>
        </w:rPr>
      </w:pPr>
      <w:r w:rsidRPr="00296286">
        <w:rPr>
          <w:rFonts w:ascii="Arial" w:hAnsi="Arial" w:cs="Arial"/>
        </w:rPr>
        <w:t xml:space="preserve">Budgeting relies on timely, accurate information. If sales data arrives late, stock records are inaccurate, or managers cannot see the age and location of inventory, budgetary control becomes guesswork. Directors should ensure that the accounting information system </w:t>
      </w:r>
      <w:r w:rsidR="00834CC8" w:rsidRPr="00296286">
        <w:rPr>
          <w:rFonts w:ascii="Arial" w:hAnsi="Arial" w:cs="Arial"/>
        </w:rPr>
        <w:t>supports</w:t>
      </w:r>
      <w:r w:rsidRPr="00296286">
        <w:rPr>
          <w:rFonts w:ascii="Arial" w:hAnsi="Arial" w:cs="Arial"/>
        </w:rPr>
        <w:t xml:space="preserve"> daily sales reporting, stock reconciliation, </w:t>
      </w:r>
      <w:r w:rsidR="00834CC8" w:rsidRPr="00296286">
        <w:rPr>
          <w:rFonts w:ascii="Arial" w:hAnsi="Arial" w:cs="Arial"/>
        </w:rPr>
        <w:t>purchase</w:t>
      </w:r>
      <w:r w:rsidRPr="00296286">
        <w:rPr>
          <w:rFonts w:ascii="Arial" w:hAnsi="Arial" w:cs="Arial"/>
        </w:rPr>
        <w:t xml:space="preserve"> order tracking</w:t>
      </w:r>
      <w:r w:rsidR="00834CC8" w:rsidRPr="00296286">
        <w:rPr>
          <w:rFonts w:ascii="Arial" w:hAnsi="Arial" w:cs="Arial"/>
        </w:rPr>
        <w:t>,</w:t>
      </w:r>
      <w:r w:rsidRPr="00296286">
        <w:rPr>
          <w:rFonts w:ascii="Arial" w:hAnsi="Arial" w:cs="Arial"/>
        </w:rPr>
        <w:t xml:space="preserve"> and exception reporting (Bodnar and Hopwood, 2019; IASB, </w:t>
      </w:r>
      <w:r w:rsidR="00834CC8" w:rsidRPr="00296286">
        <w:rPr>
          <w:rFonts w:ascii="Arial" w:hAnsi="Arial" w:cs="Arial"/>
        </w:rPr>
        <w:t>2018).</w:t>
      </w:r>
    </w:p>
    <w:p w14:paraId="6DABA0B5" w14:textId="0408007E" w:rsidR="00834CC8" w:rsidRPr="00296286" w:rsidRDefault="00834CC8" w:rsidP="00296286">
      <w:pPr>
        <w:spacing w:line="360" w:lineRule="auto"/>
        <w:jc w:val="both"/>
        <w:rPr>
          <w:rFonts w:ascii="Arial" w:hAnsi="Arial" w:cs="Arial"/>
        </w:rPr>
      </w:pPr>
      <w:r w:rsidRPr="00296286">
        <w:rPr>
          <w:rFonts w:ascii="Arial" w:hAnsi="Arial" w:cs="Arial"/>
        </w:rPr>
        <w:t>For example, an exception report that flags items where stock days exceed a threshold is more useful than a long stock list. Similarly, a simple dashboard that shows daily takings versus forecast can detect a downturn earlier than waiting for the month-end accounts.</w:t>
      </w:r>
    </w:p>
    <w:p w14:paraId="44EEC46D" w14:textId="4E76FA27" w:rsidR="003F7D09" w:rsidRPr="00296286" w:rsidRDefault="003F7D09" w:rsidP="00296286">
      <w:pPr>
        <w:pStyle w:val="Heading2"/>
        <w:spacing w:line="360" w:lineRule="auto"/>
        <w:jc w:val="both"/>
        <w:rPr>
          <w:rFonts w:ascii="Arial" w:hAnsi="Arial" w:cs="Arial"/>
          <w:sz w:val="24"/>
          <w:szCs w:val="24"/>
        </w:rPr>
      </w:pPr>
      <w:bookmarkStart w:id="13" w:name="_Toc224843819"/>
      <w:r w:rsidRPr="00296286">
        <w:rPr>
          <w:rFonts w:ascii="Arial" w:hAnsi="Arial" w:cs="Arial"/>
          <w:sz w:val="24"/>
          <w:szCs w:val="24"/>
        </w:rPr>
        <w:t>4.5 Budget culture</w:t>
      </w:r>
      <w:bookmarkEnd w:id="13"/>
    </w:p>
    <w:p w14:paraId="64939261" w14:textId="77777777" w:rsidR="003F7D09" w:rsidRPr="00296286" w:rsidRDefault="003F7D09" w:rsidP="00296286">
      <w:pPr>
        <w:spacing w:line="360" w:lineRule="auto"/>
        <w:jc w:val="both"/>
        <w:rPr>
          <w:rFonts w:ascii="Arial" w:hAnsi="Arial" w:cs="Arial"/>
        </w:rPr>
      </w:pPr>
    </w:p>
    <w:p w14:paraId="60FFC009" w14:textId="7D3D2103" w:rsidR="003F7D09" w:rsidRPr="00296286" w:rsidRDefault="003F7D09" w:rsidP="00296286">
      <w:pPr>
        <w:spacing w:line="360" w:lineRule="auto"/>
        <w:jc w:val="both"/>
        <w:rPr>
          <w:rFonts w:ascii="Arial" w:hAnsi="Arial" w:cs="Arial"/>
        </w:rPr>
      </w:pPr>
      <w:r w:rsidRPr="00296286">
        <w:rPr>
          <w:rFonts w:ascii="Arial" w:hAnsi="Arial" w:cs="Arial"/>
        </w:rPr>
        <w:t xml:space="preserve">Budgets can unintentionally create a compliance mindset: managers focus on hitting numbers rather than improving decisions. This is especially problematic where the key driver is working capital, because purchasing decisions can look “successful” (high availability, full shelves) while damaging cash. </w:t>
      </w:r>
    </w:p>
    <w:p w14:paraId="00D0BCCC" w14:textId="7604C519" w:rsidR="003F7D09" w:rsidRPr="00296286" w:rsidRDefault="003F7D09" w:rsidP="00296286">
      <w:pPr>
        <w:spacing w:line="360" w:lineRule="auto"/>
        <w:jc w:val="both"/>
        <w:rPr>
          <w:rFonts w:ascii="Arial" w:hAnsi="Arial" w:cs="Arial"/>
        </w:rPr>
      </w:pPr>
      <w:r w:rsidRPr="00296286">
        <w:rPr>
          <w:rFonts w:ascii="Arial" w:hAnsi="Arial" w:cs="Arial"/>
        </w:rPr>
        <w:t>Control system research warns against relying on one control lever and instead recommends combining diagnostic controls (budgets, variance reports) with interactive controls (regular discussion of risk and assumptions), so managers pay attention to uncertainty rather than treating the budget as fixed truth (Simons, 1995).</w:t>
      </w:r>
    </w:p>
    <w:p w14:paraId="040144DB" w14:textId="402D0F4A" w:rsidR="003F7D09" w:rsidRPr="00296286" w:rsidRDefault="003F7D09" w:rsidP="00296286">
      <w:pPr>
        <w:spacing w:line="360" w:lineRule="auto"/>
        <w:jc w:val="both"/>
        <w:rPr>
          <w:rFonts w:ascii="Arial" w:hAnsi="Arial" w:cs="Arial"/>
        </w:rPr>
      </w:pPr>
      <w:r w:rsidRPr="00296286">
        <w:rPr>
          <w:rFonts w:ascii="Arial" w:hAnsi="Arial" w:cs="Arial"/>
        </w:rPr>
        <w:t>In Silver Stitch</w:t>
      </w:r>
      <w:r w:rsidR="0043223E" w:rsidRPr="00296286">
        <w:rPr>
          <w:rFonts w:ascii="Arial" w:hAnsi="Arial" w:cs="Arial"/>
        </w:rPr>
        <w:t>, the directors should use the cash forecast interactively: each month, they should review the assumptions behind sales, margin, and purchasing, and ask what has changed in the market.</w:t>
      </w:r>
    </w:p>
    <w:p w14:paraId="75443E14" w14:textId="6D3D94BA" w:rsidR="0043223E" w:rsidRPr="00296286" w:rsidRDefault="0043223E" w:rsidP="00296286">
      <w:pPr>
        <w:spacing w:line="360" w:lineRule="auto"/>
        <w:jc w:val="both"/>
        <w:rPr>
          <w:rFonts w:ascii="Arial" w:hAnsi="Arial" w:cs="Arial"/>
        </w:rPr>
      </w:pPr>
      <w:r w:rsidRPr="00296286">
        <w:rPr>
          <w:rFonts w:ascii="Arial" w:hAnsi="Arial" w:cs="Arial"/>
        </w:rPr>
        <w:t>Behavioural economics also helps explain why inventory can grow despite clear financial risk.</w:t>
      </w:r>
    </w:p>
    <w:p w14:paraId="31253B67" w14:textId="66713984" w:rsidR="0043223E" w:rsidRPr="00296286" w:rsidRDefault="0043223E" w:rsidP="00296286">
      <w:pPr>
        <w:spacing w:line="360" w:lineRule="auto"/>
        <w:jc w:val="both"/>
        <w:rPr>
          <w:rFonts w:ascii="Arial" w:hAnsi="Arial" w:cs="Arial"/>
        </w:rPr>
      </w:pPr>
      <w:r w:rsidRPr="00296286">
        <w:rPr>
          <w:rFonts w:ascii="Arial" w:hAnsi="Arial" w:cs="Arial"/>
        </w:rPr>
        <w:t>Decision-makers often overweight the fear of stock-outs and the regret of missed sales, leading to “insurance buying. They may also anchor on previous purchasing volumes and adjust slowly, even when sales patterns shift.</w:t>
      </w:r>
    </w:p>
    <w:p w14:paraId="15704F80" w14:textId="38212C8E" w:rsidR="0043223E" w:rsidRPr="00296286" w:rsidRDefault="0043223E" w:rsidP="00296286">
      <w:pPr>
        <w:spacing w:line="360" w:lineRule="auto"/>
        <w:jc w:val="both"/>
        <w:rPr>
          <w:rFonts w:ascii="Arial" w:hAnsi="Arial" w:cs="Arial"/>
        </w:rPr>
      </w:pPr>
      <w:r w:rsidRPr="00296286">
        <w:rPr>
          <w:rFonts w:ascii="Arial" w:hAnsi="Arial" w:cs="Arial"/>
        </w:rPr>
        <w:lastRenderedPageBreak/>
        <w:t>In a budgeting context, these biases can appear as incremental buying patterns that continue because “that’s what we always do, not because the data support it. Directors can reduce bias by setting pre-commitment rules (inventory ceilings) and by requiring buyers to document the evidence for large purchases (Drury, 2021).</w:t>
      </w:r>
    </w:p>
    <w:p w14:paraId="6BFEE41C" w14:textId="77777777" w:rsidR="0043223E" w:rsidRPr="00296286" w:rsidRDefault="0043223E" w:rsidP="00296286">
      <w:pPr>
        <w:pStyle w:val="Heading2"/>
        <w:spacing w:line="360" w:lineRule="auto"/>
        <w:jc w:val="both"/>
        <w:rPr>
          <w:rFonts w:ascii="Arial" w:hAnsi="Arial" w:cs="Arial"/>
          <w:sz w:val="24"/>
          <w:szCs w:val="24"/>
        </w:rPr>
      </w:pPr>
    </w:p>
    <w:p w14:paraId="129A69DE" w14:textId="435DB449" w:rsidR="0043223E" w:rsidRPr="00296286" w:rsidRDefault="0043223E" w:rsidP="00296286">
      <w:pPr>
        <w:pStyle w:val="Heading2"/>
        <w:spacing w:line="360" w:lineRule="auto"/>
        <w:jc w:val="both"/>
        <w:rPr>
          <w:rFonts w:ascii="Arial" w:hAnsi="Arial" w:cs="Arial"/>
          <w:sz w:val="24"/>
          <w:szCs w:val="24"/>
        </w:rPr>
      </w:pPr>
      <w:bookmarkStart w:id="14" w:name="_Toc224843820"/>
      <w:r w:rsidRPr="00296286">
        <w:rPr>
          <w:rFonts w:ascii="Arial" w:hAnsi="Arial" w:cs="Arial"/>
          <w:sz w:val="24"/>
          <w:szCs w:val="24"/>
        </w:rPr>
        <w:t>4.6 Incremental budgeting</w:t>
      </w:r>
      <w:bookmarkEnd w:id="14"/>
    </w:p>
    <w:p w14:paraId="468F531A" w14:textId="77777777" w:rsidR="0043223E" w:rsidRPr="00296286" w:rsidRDefault="0043223E" w:rsidP="00296286">
      <w:pPr>
        <w:spacing w:line="360" w:lineRule="auto"/>
        <w:jc w:val="both"/>
        <w:rPr>
          <w:rFonts w:ascii="Arial" w:hAnsi="Arial" w:cs="Arial"/>
        </w:rPr>
      </w:pPr>
    </w:p>
    <w:p w14:paraId="13AE05D6" w14:textId="149FA3D3" w:rsidR="00646BE5" w:rsidRPr="00296286" w:rsidRDefault="00646BE5" w:rsidP="00296286">
      <w:pPr>
        <w:spacing w:line="360" w:lineRule="auto"/>
        <w:jc w:val="both"/>
        <w:rPr>
          <w:rFonts w:ascii="Arial" w:hAnsi="Arial" w:cs="Arial"/>
        </w:rPr>
      </w:pPr>
      <w:r w:rsidRPr="00296286">
        <w:rPr>
          <w:rFonts w:ascii="Arial" w:hAnsi="Arial" w:cs="Arial"/>
        </w:rPr>
        <w:t xml:space="preserve">Incremental budgeting takes last year’s numbers as the baseline and adjusts. It is simple and can feel fair because it preserves departmental expectations. However, it can also lock inefficiency into the system and prevent strategic change. </w:t>
      </w:r>
    </w:p>
    <w:p w14:paraId="67ECB1F1" w14:textId="27B58417" w:rsidR="00646BE5" w:rsidRPr="00296286" w:rsidRDefault="00646BE5" w:rsidP="00296286">
      <w:pPr>
        <w:spacing w:line="360" w:lineRule="auto"/>
        <w:jc w:val="both"/>
        <w:rPr>
          <w:rFonts w:ascii="Arial" w:hAnsi="Arial" w:cs="Arial"/>
        </w:rPr>
      </w:pPr>
      <w:r w:rsidRPr="00296286">
        <w:rPr>
          <w:rFonts w:ascii="Arial" w:hAnsi="Arial" w:cs="Arial"/>
        </w:rPr>
        <w:t>In Silver Stitch, an incremental approach to purchasing could explain the stock build-up, as purchases rise month by month without a clear link to the cost of sales. The danger is that the budget becomes a justification for action rather than a constraint. Directors should therefore apply “zero-based challenge” to working capital decisions, meaning buyers must justify required stock levels from demand forecasts and lead times rather than from historical spend (Bhimani, 2006)</w:t>
      </w:r>
      <w:r w:rsidR="00296286">
        <w:rPr>
          <w:rFonts w:ascii="Arial" w:hAnsi="Arial" w:cs="Arial"/>
        </w:rPr>
        <w:t>.</w:t>
      </w:r>
    </w:p>
    <w:p w14:paraId="27AEBB05" w14:textId="77777777" w:rsidR="00646BE5" w:rsidRPr="00296286" w:rsidRDefault="00646BE5" w:rsidP="00296286">
      <w:pPr>
        <w:pStyle w:val="Heading2"/>
        <w:spacing w:line="360" w:lineRule="auto"/>
        <w:jc w:val="both"/>
        <w:rPr>
          <w:rFonts w:ascii="Arial" w:hAnsi="Arial" w:cs="Arial"/>
          <w:sz w:val="24"/>
          <w:szCs w:val="24"/>
        </w:rPr>
      </w:pPr>
    </w:p>
    <w:p w14:paraId="2A8C6AA0" w14:textId="049D0E3B" w:rsidR="00646BE5" w:rsidRPr="00296286" w:rsidRDefault="00646BE5" w:rsidP="00296286">
      <w:pPr>
        <w:pStyle w:val="Heading2"/>
        <w:spacing w:line="360" w:lineRule="auto"/>
        <w:jc w:val="both"/>
        <w:rPr>
          <w:rFonts w:ascii="Arial" w:hAnsi="Arial" w:cs="Arial"/>
          <w:sz w:val="24"/>
          <w:szCs w:val="24"/>
        </w:rPr>
      </w:pPr>
      <w:bookmarkStart w:id="15" w:name="_Toc224843821"/>
      <w:r w:rsidRPr="00296286">
        <w:rPr>
          <w:rFonts w:ascii="Arial" w:hAnsi="Arial" w:cs="Arial"/>
          <w:sz w:val="24"/>
          <w:szCs w:val="24"/>
        </w:rPr>
        <w:t>4.7 Practical budgetary control cycle for Silver Stitch</w:t>
      </w:r>
      <w:bookmarkEnd w:id="15"/>
      <w:r w:rsidRPr="00296286">
        <w:rPr>
          <w:rFonts w:ascii="Arial" w:hAnsi="Arial" w:cs="Arial"/>
          <w:sz w:val="24"/>
          <w:szCs w:val="24"/>
        </w:rPr>
        <w:t xml:space="preserve"> </w:t>
      </w:r>
    </w:p>
    <w:p w14:paraId="12E22A65" w14:textId="7B18E7CC" w:rsidR="00646BE5" w:rsidRPr="00296286" w:rsidRDefault="00646BE5" w:rsidP="00296286">
      <w:pPr>
        <w:spacing w:line="360" w:lineRule="auto"/>
        <w:jc w:val="both"/>
        <w:rPr>
          <w:rFonts w:ascii="Arial" w:hAnsi="Arial" w:cs="Arial"/>
        </w:rPr>
      </w:pPr>
      <w:r w:rsidRPr="00296286">
        <w:rPr>
          <w:rFonts w:ascii="Arial" w:hAnsi="Arial" w:cs="Arial"/>
        </w:rPr>
        <w:t xml:space="preserve">A workable cycle </w:t>
      </w:r>
      <w:r w:rsidR="00635FAC" w:rsidRPr="00296286">
        <w:rPr>
          <w:rFonts w:ascii="Arial" w:hAnsi="Arial" w:cs="Arial"/>
        </w:rPr>
        <w:t>is plan, execute, measure, learn, and replan. Each month, directors can use the comparison of actuals to the flexible budget, identify the biggest variance, and assign actions. They should also track a weekly cash forecast in the vulnerable months to prevent surprises.</w:t>
      </w:r>
    </w:p>
    <w:p w14:paraId="5291C4BE" w14:textId="18C78CBD" w:rsidR="00635FAC" w:rsidRPr="00296286" w:rsidRDefault="00635FAC" w:rsidP="00296286">
      <w:pPr>
        <w:spacing w:line="360" w:lineRule="auto"/>
        <w:jc w:val="both"/>
        <w:rPr>
          <w:rFonts w:ascii="Arial" w:hAnsi="Arial" w:cs="Arial"/>
        </w:rPr>
      </w:pPr>
      <w:r w:rsidRPr="00296286">
        <w:rPr>
          <w:rFonts w:ascii="Arial" w:hAnsi="Arial" w:cs="Arial"/>
        </w:rPr>
        <w:t>Importantly, they should not punish managers for every variance. Instead, they can focus on material variances and those that reveal decision problems (for example, purchases exceeding policy, or markdown rates rising). This approach supports learning and avoids creating a blame culture that encourages data manipulation (Merchant and Van der Stede, 2017; Bragg, 2020).</w:t>
      </w:r>
    </w:p>
    <w:p w14:paraId="6D27E66A" w14:textId="77777777" w:rsidR="00834CC8" w:rsidRPr="00296286" w:rsidRDefault="00834CC8" w:rsidP="00296286">
      <w:pPr>
        <w:spacing w:line="360" w:lineRule="auto"/>
        <w:jc w:val="both"/>
        <w:rPr>
          <w:rFonts w:ascii="Arial" w:hAnsi="Arial" w:cs="Arial"/>
        </w:rPr>
      </w:pPr>
    </w:p>
    <w:p w14:paraId="39331406" w14:textId="77777777" w:rsidR="005D58F4" w:rsidRPr="00296286" w:rsidRDefault="005D58F4" w:rsidP="00296286">
      <w:pPr>
        <w:spacing w:line="360" w:lineRule="auto"/>
        <w:jc w:val="both"/>
        <w:rPr>
          <w:rFonts w:ascii="Arial" w:hAnsi="Arial" w:cs="Arial"/>
        </w:rPr>
      </w:pPr>
    </w:p>
    <w:p w14:paraId="15F64833" w14:textId="2EEF56C5" w:rsidR="00834CC8" w:rsidRPr="00296286" w:rsidRDefault="00834CC8" w:rsidP="00296286">
      <w:pPr>
        <w:pStyle w:val="Heading1"/>
        <w:spacing w:line="360" w:lineRule="auto"/>
        <w:jc w:val="both"/>
        <w:rPr>
          <w:rFonts w:ascii="Arial" w:hAnsi="Arial" w:cs="Arial"/>
          <w:sz w:val="24"/>
          <w:szCs w:val="24"/>
        </w:rPr>
      </w:pPr>
      <w:bookmarkStart w:id="16" w:name="_Toc224843822"/>
      <w:r w:rsidRPr="00296286">
        <w:rPr>
          <w:rFonts w:ascii="Arial" w:hAnsi="Arial" w:cs="Arial"/>
          <w:sz w:val="24"/>
          <w:szCs w:val="24"/>
        </w:rPr>
        <w:lastRenderedPageBreak/>
        <w:t>5. Evaluating traditional budgeting and alternatives in a fast-changing environment</w:t>
      </w:r>
      <w:bookmarkEnd w:id="16"/>
    </w:p>
    <w:p w14:paraId="6A7A545A" w14:textId="77777777" w:rsidR="00834CC8" w:rsidRPr="00296286" w:rsidRDefault="00834CC8" w:rsidP="00296286">
      <w:pPr>
        <w:spacing w:line="360" w:lineRule="auto"/>
        <w:jc w:val="both"/>
        <w:rPr>
          <w:rFonts w:ascii="Arial" w:hAnsi="Arial" w:cs="Arial"/>
        </w:rPr>
      </w:pPr>
    </w:p>
    <w:p w14:paraId="1BD45BCC" w14:textId="4CF34221" w:rsidR="00834CC8" w:rsidRPr="00296286" w:rsidRDefault="00834CC8" w:rsidP="00296286">
      <w:pPr>
        <w:pStyle w:val="Heading2"/>
        <w:spacing w:line="360" w:lineRule="auto"/>
        <w:jc w:val="both"/>
        <w:rPr>
          <w:rFonts w:ascii="Arial" w:hAnsi="Arial" w:cs="Arial"/>
          <w:sz w:val="24"/>
          <w:szCs w:val="24"/>
        </w:rPr>
      </w:pPr>
      <w:bookmarkStart w:id="17" w:name="_Toc224843823"/>
      <w:r w:rsidRPr="00296286">
        <w:rPr>
          <w:rFonts w:ascii="Arial" w:hAnsi="Arial" w:cs="Arial"/>
          <w:sz w:val="24"/>
          <w:szCs w:val="24"/>
        </w:rPr>
        <w:t>5.1 Why annual budgets struggle with volatility</w:t>
      </w:r>
      <w:bookmarkEnd w:id="17"/>
    </w:p>
    <w:p w14:paraId="7AFA1D09" w14:textId="39BE670C" w:rsidR="00834CC8" w:rsidRPr="00296286" w:rsidRDefault="00834CC8" w:rsidP="00296286">
      <w:pPr>
        <w:spacing w:line="360" w:lineRule="auto"/>
        <w:jc w:val="both"/>
        <w:rPr>
          <w:rFonts w:ascii="Arial" w:hAnsi="Arial" w:cs="Arial"/>
        </w:rPr>
      </w:pPr>
      <w:r w:rsidRPr="00296286">
        <w:rPr>
          <w:rFonts w:ascii="Arial" w:hAnsi="Arial" w:cs="Arial"/>
        </w:rPr>
        <w:t>Traditional annual budgets fix assumptions for too long, particularly in markets with changing demand, supply costs, and competition. When a condition shifts, managers spend time explaining variances instead of adapting.</w:t>
      </w:r>
    </w:p>
    <w:p w14:paraId="5C6F7064" w14:textId="1BDC42C7" w:rsidR="00834CC8" w:rsidRPr="00296286" w:rsidRDefault="00834CC8" w:rsidP="00296286">
      <w:pPr>
        <w:spacing w:line="360" w:lineRule="auto"/>
        <w:jc w:val="both"/>
        <w:rPr>
          <w:rFonts w:ascii="Arial" w:hAnsi="Arial" w:cs="Arial"/>
        </w:rPr>
      </w:pPr>
      <w:r w:rsidRPr="00296286">
        <w:rPr>
          <w:rFonts w:ascii="Arial" w:hAnsi="Arial" w:cs="Arial"/>
        </w:rPr>
        <w:t xml:space="preserve">Annual budgeting can also encourage behaviours like sandbagging and end-of-year spending (Merchant and Van der Stede, 2017). </w:t>
      </w:r>
    </w:p>
    <w:p w14:paraId="047D34CF" w14:textId="482348D8" w:rsidR="00834CC8" w:rsidRPr="00296286" w:rsidRDefault="00834CC8" w:rsidP="00296286">
      <w:pPr>
        <w:spacing w:line="360" w:lineRule="auto"/>
        <w:jc w:val="both"/>
        <w:rPr>
          <w:rFonts w:ascii="Arial" w:hAnsi="Arial" w:cs="Arial"/>
        </w:rPr>
      </w:pPr>
      <w:r w:rsidRPr="00296286">
        <w:rPr>
          <w:rFonts w:ascii="Arial" w:hAnsi="Arial" w:cs="Arial"/>
        </w:rPr>
        <w:t xml:space="preserve">Empirical work </w:t>
      </w:r>
      <w:r w:rsidR="006A366A" w:rsidRPr="00296286">
        <w:rPr>
          <w:rFonts w:ascii="Arial" w:hAnsi="Arial" w:cs="Arial"/>
        </w:rPr>
        <w:t>shows that many organisations keep budgets but continually adapt them because static budgets are too inflexible for modern environments (Libby and Lindsay, 2010; Robertson, 2018; ACCA, 2003).</w:t>
      </w:r>
    </w:p>
    <w:p w14:paraId="167B41DA" w14:textId="70FB7DAB" w:rsidR="006A366A" w:rsidRPr="00296286" w:rsidRDefault="006A366A" w:rsidP="00296286">
      <w:pPr>
        <w:spacing w:line="360" w:lineRule="auto"/>
        <w:jc w:val="both"/>
        <w:rPr>
          <w:rFonts w:ascii="Arial" w:hAnsi="Arial" w:cs="Arial"/>
        </w:rPr>
      </w:pPr>
      <w:r w:rsidRPr="00296286">
        <w:rPr>
          <w:rFonts w:ascii="Arial" w:hAnsi="Arial" w:cs="Arial"/>
        </w:rPr>
        <w:t>In this case, the stock build-up suggests that an annual purchase plan could become self-fulfilling, buying continues because it is “in the plan” even when inventory is already excessive. That is a direct example of a budget acting as a barrier to strategic change rather than enabling it.</w:t>
      </w:r>
    </w:p>
    <w:p w14:paraId="537DB67D" w14:textId="77777777" w:rsidR="006A366A" w:rsidRPr="00296286" w:rsidRDefault="006A366A" w:rsidP="00296286">
      <w:pPr>
        <w:pStyle w:val="Heading2"/>
        <w:spacing w:line="360" w:lineRule="auto"/>
        <w:jc w:val="both"/>
        <w:rPr>
          <w:rFonts w:ascii="Arial" w:hAnsi="Arial" w:cs="Arial"/>
          <w:sz w:val="24"/>
          <w:szCs w:val="24"/>
        </w:rPr>
      </w:pPr>
    </w:p>
    <w:p w14:paraId="50CA415D" w14:textId="6608D21A" w:rsidR="006A366A" w:rsidRPr="00296286" w:rsidRDefault="006A366A" w:rsidP="00296286">
      <w:pPr>
        <w:pStyle w:val="Heading2"/>
        <w:spacing w:line="360" w:lineRule="auto"/>
        <w:jc w:val="both"/>
        <w:rPr>
          <w:rFonts w:ascii="Arial" w:hAnsi="Arial" w:cs="Arial"/>
          <w:sz w:val="24"/>
          <w:szCs w:val="24"/>
        </w:rPr>
      </w:pPr>
      <w:bookmarkStart w:id="18" w:name="_Toc224843824"/>
      <w:r w:rsidRPr="00296286">
        <w:rPr>
          <w:rFonts w:ascii="Arial" w:hAnsi="Arial" w:cs="Arial"/>
          <w:sz w:val="24"/>
          <w:szCs w:val="24"/>
        </w:rPr>
        <w:t>5.2 Practical alternatives that fit Silver Stitch constraints</w:t>
      </w:r>
      <w:bookmarkEnd w:id="18"/>
    </w:p>
    <w:p w14:paraId="2C58EB49" w14:textId="77777777" w:rsidR="006A366A" w:rsidRPr="00296286" w:rsidRDefault="006A366A" w:rsidP="00296286">
      <w:pPr>
        <w:spacing w:line="360" w:lineRule="auto"/>
        <w:jc w:val="both"/>
        <w:rPr>
          <w:rFonts w:ascii="Arial" w:hAnsi="Arial" w:cs="Arial"/>
        </w:rPr>
      </w:pPr>
    </w:p>
    <w:p w14:paraId="4777BB2E" w14:textId="39564A01" w:rsidR="006A366A" w:rsidRPr="00296286" w:rsidRDefault="006A366A" w:rsidP="00296286">
      <w:pPr>
        <w:spacing w:line="360" w:lineRule="auto"/>
        <w:jc w:val="both"/>
        <w:rPr>
          <w:rFonts w:ascii="Arial" w:hAnsi="Arial" w:cs="Arial"/>
        </w:rPr>
      </w:pPr>
      <w:r w:rsidRPr="00296286">
        <w:rPr>
          <w:rFonts w:ascii="Arial" w:hAnsi="Arial" w:cs="Arial"/>
        </w:rPr>
        <w:t>A realistic approach for Silver Stitch is hybrid, not extreme. Directors still need clear spending limits to satisfy the bank. However, they can enhance flexibility by using:</w:t>
      </w:r>
    </w:p>
    <w:p w14:paraId="5777A16F" w14:textId="323F9DE9" w:rsidR="006A366A" w:rsidRPr="00296286" w:rsidRDefault="006A366A" w:rsidP="00296286">
      <w:pPr>
        <w:pStyle w:val="ListParagraph"/>
        <w:numPr>
          <w:ilvl w:val="0"/>
          <w:numId w:val="7"/>
        </w:numPr>
        <w:spacing w:line="360" w:lineRule="auto"/>
        <w:jc w:val="both"/>
        <w:rPr>
          <w:rFonts w:ascii="Arial" w:hAnsi="Arial" w:cs="Arial"/>
        </w:rPr>
      </w:pPr>
      <w:r w:rsidRPr="00296286">
        <w:rPr>
          <w:rFonts w:ascii="Arial" w:hAnsi="Arial" w:cs="Arial"/>
        </w:rPr>
        <w:t>Rolling forecasts; update the cash view and adjust purchasing to demand signals (Hope and Fraser, 2003; Bunce et al., 1995).</w:t>
      </w:r>
    </w:p>
    <w:p w14:paraId="5A5A5673" w14:textId="1E853650" w:rsidR="006A366A" w:rsidRPr="00296286" w:rsidRDefault="00437CFA" w:rsidP="00296286">
      <w:pPr>
        <w:pStyle w:val="ListParagraph"/>
        <w:numPr>
          <w:ilvl w:val="0"/>
          <w:numId w:val="7"/>
        </w:numPr>
        <w:spacing w:line="360" w:lineRule="auto"/>
        <w:jc w:val="both"/>
        <w:rPr>
          <w:rFonts w:ascii="Arial" w:hAnsi="Arial" w:cs="Arial"/>
        </w:rPr>
      </w:pPr>
      <w:r w:rsidRPr="00296286">
        <w:rPr>
          <w:rFonts w:ascii="Arial" w:hAnsi="Arial" w:cs="Arial"/>
        </w:rPr>
        <w:t>Continuous budgeting: maintain control while allowing adjustment as conditions change (Frow, Marginson and Ogden, 2010).</w:t>
      </w:r>
    </w:p>
    <w:p w14:paraId="37330FDB" w14:textId="5D5BB2DB" w:rsidR="00437CFA" w:rsidRPr="00296286" w:rsidRDefault="00437CFA" w:rsidP="00296286">
      <w:pPr>
        <w:pStyle w:val="ListParagraph"/>
        <w:numPr>
          <w:ilvl w:val="0"/>
          <w:numId w:val="7"/>
        </w:numPr>
        <w:spacing w:line="360" w:lineRule="auto"/>
        <w:jc w:val="both"/>
        <w:rPr>
          <w:rFonts w:ascii="Arial" w:hAnsi="Arial" w:cs="Arial"/>
        </w:rPr>
      </w:pPr>
      <w:r w:rsidRPr="00296286">
        <w:rPr>
          <w:rFonts w:ascii="Arial" w:hAnsi="Arial" w:cs="Arial"/>
        </w:rPr>
        <w:t>Scenario analysis: test downside sales and margin cases to identify when cash becomes fragile, then pre-agree responses (Horner, 2020; Bragg, 2020).</w:t>
      </w:r>
    </w:p>
    <w:p w14:paraId="0F21FFDE" w14:textId="0E2302F8" w:rsidR="00437CFA" w:rsidRPr="00296286" w:rsidRDefault="00437CFA" w:rsidP="00296286">
      <w:pPr>
        <w:pStyle w:val="ListParagraph"/>
        <w:numPr>
          <w:ilvl w:val="0"/>
          <w:numId w:val="7"/>
        </w:numPr>
        <w:spacing w:line="360" w:lineRule="auto"/>
        <w:jc w:val="both"/>
        <w:rPr>
          <w:rFonts w:ascii="Arial" w:hAnsi="Arial" w:cs="Arial"/>
        </w:rPr>
      </w:pPr>
      <w:r w:rsidRPr="00296286">
        <w:rPr>
          <w:rFonts w:ascii="Arial" w:hAnsi="Arial" w:cs="Arial"/>
        </w:rPr>
        <w:t>Beyond budgeting principles: decentralise decisions within clear boundaries, increase transparency, and replace fixed targets with relative and directional goals where appropriate (Bogsnes, 2016; Neely, Bourne and Adams, 2003).</w:t>
      </w:r>
    </w:p>
    <w:p w14:paraId="550436B1" w14:textId="77777777" w:rsidR="00437CFA" w:rsidRPr="00296286" w:rsidRDefault="00437CFA" w:rsidP="00296286">
      <w:pPr>
        <w:pStyle w:val="ListParagraph"/>
        <w:spacing w:line="360" w:lineRule="auto"/>
        <w:jc w:val="both"/>
        <w:rPr>
          <w:rFonts w:ascii="Arial" w:hAnsi="Arial" w:cs="Arial"/>
        </w:rPr>
      </w:pPr>
    </w:p>
    <w:p w14:paraId="7609058B" w14:textId="77777777" w:rsidR="00437CFA" w:rsidRPr="00296286" w:rsidRDefault="00437CFA" w:rsidP="00296286">
      <w:pPr>
        <w:pStyle w:val="ListParagraph"/>
        <w:spacing w:line="360" w:lineRule="auto"/>
        <w:jc w:val="both"/>
        <w:rPr>
          <w:rFonts w:ascii="Arial" w:hAnsi="Arial" w:cs="Arial"/>
        </w:rPr>
      </w:pPr>
    </w:p>
    <w:p w14:paraId="62485095" w14:textId="6729D9C5" w:rsidR="00437CFA" w:rsidRPr="00296286" w:rsidRDefault="00437CFA" w:rsidP="00296286">
      <w:pPr>
        <w:pStyle w:val="Heading2"/>
        <w:spacing w:line="360" w:lineRule="auto"/>
        <w:jc w:val="both"/>
        <w:rPr>
          <w:rFonts w:ascii="Arial" w:hAnsi="Arial" w:cs="Arial"/>
          <w:sz w:val="24"/>
          <w:szCs w:val="24"/>
        </w:rPr>
      </w:pPr>
      <w:bookmarkStart w:id="19" w:name="_Toc224843825"/>
      <w:r w:rsidRPr="00296286">
        <w:rPr>
          <w:rFonts w:ascii="Arial" w:hAnsi="Arial" w:cs="Arial"/>
          <w:sz w:val="24"/>
          <w:szCs w:val="24"/>
        </w:rPr>
        <w:t>5.3 CVP</w:t>
      </w:r>
      <w:bookmarkEnd w:id="19"/>
      <w:r w:rsidRPr="00296286">
        <w:rPr>
          <w:rFonts w:ascii="Arial" w:hAnsi="Arial" w:cs="Arial"/>
          <w:sz w:val="24"/>
          <w:szCs w:val="24"/>
        </w:rPr>
        <w:t xml:space="preserve"> </w:t>
      </w:r>
    </w:p>
    <w:p w14:paraId="065050F5" w14:textId="77777777" w:rsidR="00437CFA" w:rsidRPr="00296286" w:rsidRDefault="00437CFA" w:rsidP="00296286">
      <w:pPr>
        <w:pStyle w:val="ListParagraph"/>
        <w:spacing w:line="360" w:lineRule="auto"/>
        <w:jc w:val="both"/>
        <w:rPr>
          <w:rFonts w:ascii="Arial" w:hAnsi="Arial" w:cs="Arial"/>
        </w:rPr>
      </w:pPr>
    </w:p>
    <w:p w14:paraId="0B0D6031" w14:textId="134CD9E8" w:rsidR="00437CFA" w:rsidRPr="00296286" w:rsidRDefault="00437CFA" w:rsidP="00296286">
      <w:pPr>
        <w:spacing w:line="360" w:lineRule="auto"/>
        <w:jc w:val="both"/>
        <w:rPr>
          <w:rFonts w:ascii="Arial" w:hAnsi="Arial" w:cs="Arial"/>
        </w:rPr>
      </w:pPr>
      <w:r w:rsidRPr="00296286">
        <w:rPr>
          <w:rFonts w:ascii="Arial" w:hAnsi="Arial" w:cs="Arial"/>
        </w:rPr>
        <w:t>Directors should use CVP and contribution analysis to understand sensitivity to volume and margin. Contribution shows how much each sales covers fixed costs and finance charges, so it supports quick decisions on pricing, promotions, and cost control.</w:t>
      </w:r>
    </w:p>
    <w:p w14:paraId="41B13512" w14:textId="340DFE66" w:rsidR="00437CFA" w:rsidRPr="00296286" w:rsidRDefault="00437CFA" w:rsidP="00296286">
      <w:pPr>
        <w:spacing w:line="360" w:lineRule="auto"/>
        <w:jc w:val="both"/>
        <w:rPr>
          <w:rFonts w:ascii="Arial" w:hAnsi="Arial" w:cs="Arial"/>
        </w:rPr>
      </w:pPr>
      <w:r w:rsidRPr="00296286">
        <w:rPr>
          <w:rFonts w:ascii="Arial" w:hAnsi="Arial" w:cs="Arial"/>
        </w:rPr>
        <w:t xml:space="preserve">CVP has limitations (for example, it assumes linear cost behaviour </w:t>
      </w:r>
      <w:r w:rsidR="00062EAB" w:rsidRPr="00296286">
        <w:rPr>
          <w:rFonts w:ascii="Arial" w:hAnsi="Arial" w:cs="Arial"/>
        </w:rPr>
        <w:t>and stable sales mix), but it remains useful for short-horizon planning and for challenging optimistic revenue assumptions (Drury,2021; Atrill and McLaney, 2021; Horngren et al., 2015). It also makes card fees visible as a variable selling cost, supporting better pricing discipline (Datar and Rajan, 2017).</w:t>
      </w:r>
    </w:p>
    <w:p w14:paraId="53D9AEB0" w14:textId="77777777" w:rsidR="00062EAB" w:rsidRPr="00296286" w:rsidRDefault="00062EAB" w:rsidP="00296286">
      <w:pPr>
        <w:pStyle w:val="ListParagraph"/>
        <w:spacing w:line="360" w:lineRule="auto"/>
        <w:jc w:val="both"/>
        <w:rPr>
          <w:rFonts w:ascii="Arial" w:hAnsi="Arial" w:cs="Arial"/>
        </w:rPr>
      </w:pPr>
    </w:p>
    <w:p w14:paraId="26C767E9" w14:textId="77777777" w:rsidR="00062EAB" w:rsidRPr="00296286" w:rsidRDefault="00062EAB" w:rsidP="00296286">
      <w:pPr>
        <w:pStyle w:val="ListParagraph"/>
        <w:spacing w:line="360" w:lineRule="auto"/>
        <w:jc w:val="both"/>
        <w:rPr>
          <w:rFonts w:ascii="Arial" w:hAnsi="Arial" w:cs="Arial"/>
        </w:rPr>
      </w:pPr>
    </w:p>
    <w:p w14:paraId="0FC5D7ED" w14:textId="182699CC" w:rsidR="00062EAB" w:rsidRPr="00296286" w:rsidRDefault="000A6DD3" w:rsidP="00296286">
      <w:pPr>
        <w:pStyle w:val="Heading2"/>
        <w:spacing w:line="360" w:lineRule="auto"/>
        <w:jc w:val="both"/>
        <w:rPr>
          <w:rFonts w:ascii="Arial" w:hAnsi="Arial" w:cs="Arial"/>
          <w:sz w:val="24"/>
          <w:szCs w:val="24"/>
        </w:rPr>
      </w:pPr>
      <w:bookmarkStart w:id="20" w:name="_Toc224843826"/>
      <w:r w:rsidRPr="00296286">
        <w:rPr>
          <w:rFonts w:ascii="Arial" w:hAnsi="Arial" w:cs="Arial"/>
          <w:sz w:val="24"/>
          <w:szCs w:val="24"/>
        </w:rPr>
        <w:t>5</w:t>
      </w:r>
      <w:r w:rsidR="00062EAB" w:rsidRPr="00296286">
        <w:rPr>
          <w:rFonts w:ascii="Arial" w:hAnsi="Arial" w:cs="Arial"/>
          <w:sz w:val="24"/>
          <w:szCs w:val="24"/>
        </w:rPr>
        <w:t>.4 Risk management</w:t>
      </w:r>
      <w:bookmarkEnd w:id="20"/>
    </w:p>
    <w:p w14:paraId="097F244F" w14:textId="77777777" w:rsidR="00062EAB" w:rsidRPr="00296286" w:rsidRDefault="00062EAB" w:rsidP="00296286">
      <w:pPr>
        <w:pStyle w:val="Heading2"/>
        <w:spacing w:line="360" w:lineRule="auto"/>
        <w:jc w:val="both"/>
        <w:rPr>
          <w:rFonts w:ascii="Arial" w:hAnsi="Arial" w:cs="Arial"/>
          <w:sz w:val="24"/>
          <w:szCs w:val="24"/>
        </w:rPr>
      </w:pPr>
    </w:p>
    <w:p w14:paraId="45CFB6CC" w14:textId="2B723501" w:rsidR="00062EAB" w:rsidRPr="00296286" w:rsidRDefault="00062EAB" w:rsidP="00296286">
      <w:pPr>
        <w:spacing w:line="360" w:lineRule="auto"/>
        <w:jc w:val="both"/>
        <w:rPr>
          <w:rFonts w:ascii="Arial" w:hAnsi="Arial" w:cs="Arial"/>
        </w:rPr>
      </w:pPr>
      <w:r w:rsidRPr="00296286">
        <w:rPr>
          <w:rFonts w:ascii="Arial" w:hAnsi="Arial" w:cs="Arial"/>
        </w:rPr>
        <w:t>The banks' request to remove the overdraft is a governance signal. Lenders want evidence of control, a clear forecast, sensible assumptions, and credible mitigation plans.</w:t>
      </w:r>
    </w:p>
    <w:p w14:paraId="6DC45591" w14:textId="13A90EAE" w:rsidR="00062EAB" w:rsidRPr="00296286" w:rsidRDefault="00062EAB" w:rsidP="00296286">
      <w:pPr>
        <w:spacing w:line="360" w:lineRule="auto"/>
        <w:jc w:val="both"/>
        <w:rPr>
          <w:rFonts w:ascii="Arial" w:hAnsi="Arial" w:cs="Arial"/>
        </w:rPr>
      </w:pPr>
      <w:r w:rsidRPr="00296286">
        <w:rPr>
          <w:rFonts w:ascii="Arial" w:hAnsi="Arial" w:cs="Arial"/>
        </w:rPr>
        <w:t>Directors should therefore treat risk management as part of budgeting, not as a separate exercise. A practical method is to identify the top five cash risks (sales shortfall, margin erosion, inventory build, refurbishment timing, and supplier disruption) and assign an owner and mitigation plan to each (CIMA, 2020; FRC, 2024). This approach also helps directors avoid “single forecast bias”, where they believe the base case is more certain than it is.</w:t>
      </w:r>
    </w:p>
    <w:p w14:paraId="6AD59C0E" w14:textId="77777777" w:rsidR="00062EAB" w:rsidRPr="00296286" w:rsidRDefault="00062EAB" w:rsidP="00296286">
      <w:pPr>
        <w:pStyle w:val="ListParagraph"/>
        <w:spacing w:line="360" w:lineRule="auto"/>
        <w:jc w:val="both"/>
        <w:rPr>
          <w:rFonts w:ascii="Arial" w:hAnsi="Arial" w:cs="Arial"/>
        </w:rPr>
      </w:pPr>
    </w:p>
    <w:p w14:paraId="2572CD8C" w14:textId="77777777" w:rsidR="00062EAB" w:rsidRPr="00296286" w:rsidRDefault="00062EAB" w:rsidP="00296286">
      <w:pPr>
        <w:pStyle w:val="ListParagraph"/>
        <w:spacing w:line="360" w:lineRule="auto"/>
        <w:jc w:val="both"/>
        <w:rPr>
          <w:rFonts w:ascii="Arial" w:hAnsi="Arial" w:cs="Arial"/>
        </w:rPr>
      </w:pPr>
    </w:p>
    <w:p w14:paraId="15BF10B7" w14:textId="0187C7BD" w:rsidR="00062EAB" w:rsidRPr="00296286" w:rsidRDefault="000A6DD3" w:rsidP="00296286">
      <w:pPr>
        <w:pStyle w:val="Heading2"/>
        <w:spacing w:line="360" w:lineRule="auto"/>
        <w:jc w:val="both"/>
        <w:rPr>
          <w:rFonts w:ascii="Arial" w:hAnsi="Arial" w:cs="Arial"/>
          <w:sz w:val="24"/>
          <w:szCs w:val="24"/>
        </w:rPr>
      </w:pPr>
      <w:bookmarkStart w:id="21" w:name="_Toc224843827"/>
      <w:r w:rsidRPr="00296286">
        <w:rPr>
          <w:rFonts w:ascii="Arial" w:hAnsi="Arial" w:cs="Arial"/>
          <w:sz w:val="24"/>
          <w:szCs w:val="24"/>
        </w:rPr>
        <w:t>5</w:t>
      </w:r>
      <w:r w:rsidR="00062EAB" w:rsidRPr="00296286">
        <w:rPr>
          <w:rFonts w:ascii="Arial" w:hAnsi="Arial" w:cs="Arial"/>
          <w:sz w:val="24"/>
          <w:szCs w:val="24"/>
        </w:rPr>
        <w:t>.5 Sustainability</w:t>
      </w:r>
      <w:bookmarkEnd w:id="21"/>
    </w:p>
    <w:p w14:paraId="0CC4EBC2" w14:textId="1D4845AF" w:rsidR="00062EAB" w:rsidRPr="00296286" w:rsidRDefault="004073EC" w:rsidP="00296286">
      <w:pPr>
        <w:spacing w:line="360" w:lineRule="auto"/>
        <w:jc w:val="both"/>
        <w:rPr>
          <w:rFonts w:ascii="Arial" w:hAnsi="Arial" w:cs="Arial"/>
        </w:rPr>
      </w:pPr>
      <w:r w:rsidRPr="00296286">
        <w:rPr>
          <w:rFonts w:ascii="Arial" w:hAnsi="Arial" w:cs="Arial"/>
        </w:rPr>
        <w:t xml:space="preserve">Although the case is framed around cash and budgeting, directors should avoid actions that boost short-term cash at the expense of long-term value. </w:t>
      </w:r>
    </w:p>
    <w:p w14:paraId="128BD059" w14:textId="6A065EA4" w:rsidR="004073EC" w:rsidRPr="00296286" w:rsidRDefault="004073EC" w:rsidP="00296286">
      <w:pPr>
        <w:spacing w:line="360" w:lineRule="auto"/>
        <w:jc w:val="both"/>
        <w:rPr>
          <w:rFonts w:ascii="Arial" w:hAnsi="Arial" w:cs="Arial"/>
        </w:rPr>
      </w:pPr>
      <w:r w:rsidRPr="00296286">
        <w:rPr>
          <w:rFonts w:ascii="Arial" w:hAnsi="Arial" w:cs="Arial"/>
        </w:rPr>
        <w:lastRenderedPageBreak/>
        <w:t>For example, aggressive discounting may convert stock to cash quickly but can damage brand perception and future pricing power.</w:t>
      </w:r>
    </w:p>
    <w:p w14:paraId="55C5CBA7" w14:textId="5DF52C07" w:rsidR="004073EC" w:rsidRPr="00296286" w:rsidRDefault="004073EC" w:rsidP="00296286">
      <w:pPr>
        <w:spacing w:line="360" w:lineRule="auto"/>
        <w:jc w:val="both"/>
        <w:rPr>
          <w:rFonts w:ascii="Arial" w:hAnsi="Arial" w:cs="Arial"/>
        </w:rPr>
      </w:pPr>
      <w:r w:rsidRPr="00296286">
        <w:rPr>
          <w:rFonts w:ascii="Arial" w:hAnsi="Arial" w:cs="Arial"/>
        </w:rPr>
        <w:t>At the same time, deferring essential maintenance or staff training may reduce cash outflow but can harm operational capability.</w:t>
      </w:r>
    </w:p>
    <w:p w14:paraId="290DCB83" w14:textId="6850FADA" w:rsidR="00437CFA" w:rsidRPr="00296286" w:rsidRDefault="004073EC" w:rsidP="00296286">
      <w:pPr>
        <w:spacing w:line="360" w:lineRule="auto"/>
        <w:jc w:val="both"/>
        <w:rPr>
          <w:rFonts w:ascii="Arial" w:hAnsi="Arial" w:cs="Arial"/>
        </w:rPr>
      </w:pPr>
      <w:r w:rsidRPr="00296286">
        <w:rPr>
          <w:rFonts w:ascii="Arial" w:hAnsi="Arial" w:cs="Arial"/>
        </w:rPr>
        <w:t>The sustainability literature emphasises balancing short-term financial performance with longer-term resilience and stakeholder value (European Commission, 2019; World Economic Forum, 2020). In practical budgeting terms, directors can separate “essential” and “deferrable” spending categories and protect essential spending even while they phase out discretionary projects.</w:t>
      </w:r>
    </w:p>
    <w:p w14:paraId="786981A7" w14:textId="77777777" w:rsidR="004073EC" w:rsidRPr="00296286" w:rsidRDefault="004073EC" w:rsidP="00296286">
      <w:pPr>
        <w:pStyle w:val="ListParagraph"/>
        <w:spacing w:line="360" w:lineRule="auto"/>
        <w:jc w:val="both"/>
        <w:rPr>
          <w:rFonts w:ascii="Arial" w:hAnsi="Arial" w:cs="Arial"/>
        </w:rPr>
      </w:pPr>
    </w:p>
    <w:p w14:paraId="4C8261E9" w14:textId="77777777" w:rsidR="004073EC" w:rsidRPr="00296286" w:rsidRDefault="004073EC" w:rsidP="00296286">
      <w:pPr>
        <w:pStyle w:val="ListParagraph"/>
        <w:spacing w:line="360" w:lineRule="auto"/>
        <w:jc w:val="both"/>
        <w:rPr>
          <w:rFonts w:ascii="Arial" w:hAnsi="Arial" w:cs="Arial"/>
        </w:rPr>
      </w:pPr>
    </w:p>
    <w:p w14:paraId="4789A3D5" w14:textId="7A078186" w:rsidR="004073EC" w:rsidRPr="00296286" w:rsidRDefault="000A6DD3" w:rsidP="00296286">
      <w:pPr>
        <w:pStyle w:val="Heading2"/>
        <w:spacing w:line="360" w:lineRule="auto"/>
        <w:jc w:val="both"/>
        <w:rPr>
          <w:rFonts w:ascii="Arial" w:hAnsi="Arial" w:cs="Arial"/>
          <w:sz w:val="24"/>
          <w:szCs w:val="24"/>
        </w:rPr>
      </w:pPr>
      <w:bookmarkStart w:id="22" w:name="_Toc224843828"/>
      <w:r w:rsidRPr="00296286">
        <w:rPr>
          <w:rFonts w:ascii="Arial" w:hAnsi="Arial" w:cs="Arial"/>
          <w:sz w:val="24"/>
          <w:szCs w:val="24"/>
        </w:rPr>
        <w:t>5</w:t>
      </w:r>
      <w:r w:rsidR="004073EC" w:rsidRPr="00296286">
        <w:rPr>
          <w:rFonts w:ascii="Arial" w:hAnsi="Arial" w:cs="Arial"/>
          <w:sz w:val="24"/>
          <w:szCs w:val="24"/>
        </w:rPr>
        <w:t>.6 Research evidence on budgeting change</w:t>
      </w:r>
      <w:bookmarkEnd w:id="22"/>
    </w:p>
    <w:p w14:paraId="17E22C7A" w14:textId="66C37C5A" w:rsidR="004073EC" w:rsidRPr="00296286" w:rsidRDefault="000A6DD3" w:rsidP="00296286">
      <w:pPr>
        <w:spacing w:line="360" w:lineRule="auto"/>
        <w:jc w:val="both"/>
        <w:rPr>
          <w:rFonts w:ascii="Arial" w:hAnsi="Arial" w:cs="Arial"/>
        </w:rPr>
      </w:pPr>
      <w:r w:rsidRPr="00296286">
        <w:rPr>
          <w:rFonts w:ascii="Arial" w:hAnsi="Arial" w:cs="Arial"/>
        </w:rPr>
        <w:t xml:space="preserve">The beyond budgeting movement argues that rigid budgets create dysfunction and reduce adaptability, but research also shows that many organisations retain budgets because they serve coordination and planning purposes. </w:t>
      </w:r>
    </w:p>
    <w:p w14:paraId="6735E468" w14:textId="6768AF45" w:rsidR="000A6DD3" w:rsidRPr="00296286" w:rsidRDefault="000A6DD3" w:rsidP="00296286">
      <w:pPr>
        <w:spacing w:line="360" w:lineRule="auto"/>
        <w:jc w:val="both"/>
        <w:rPr>
          <w:rFonts w:ascii="Arial" w:hAnsi="Arial" w:cs="Arial"/>
        </w:rPr>
      </w:pPr>
      <w:r w:rsidRPr="00296286">
        <w:rPr>
          <w:rFonts w:ascii="Arial" w:hAnsi="Arial" w:cs="Arial"/>
        </w:rPr>
        <w:t>Surveys indicate that firms often modify rather than abandon budgets, adopting rolling forecasts and reforecasting while still using budgets for accountability (Libby and Lindsay, 2010).</w:t>
      </w:r>
    </w:p>
    <w:p w14:paraId="70E97863" w14:textId="5F106E74" w:rsidR="000A6DD3" w:rsidRPr="00296286" w:rsidRDefault="000A6DD3" w:rsidP="00296286">
      <w:pPr>
        <w:spacing w:line="360" w:lineRule="auto"/>
        <w:jc w:val="both"/>
        <w:rPr>
          <w:rFonts w:ascii="Arial" w:hAnsi="Arial" w:cs="Arial"/>
        </w:rPr>
      </w:pPr>
      <w:r w:rsidRPr="00296286">
        <w:rPr>
          <w:rFonts w:ascii="Arial" w:hAnsi="Arial" w:cs="Arial"/>
        </w:rPr>
        <w:t>Other studies highlight continuous budgeting approaches that reconcile flexibility with control (Frow, Marginson, and Ogden, 2021).</w:t>
      </w:r>
    </w:p>
    <w:p w14:paraId="49C723A4" w14:textId="0DD962E2" w:rsidR="000A6DD3" w:rsidRPr="00296286" w:rsidRDefault="000A6DD3" w:rsidP="00296286">
      <w:pPr>
        <w:spacing w:line="360" w:lineRule="auto"/>
        <w:jc w:val="both"/>
        <w:rPr>
          <w:rFonts w:ascii="Arial" w:hAnsi="Arial" w:cs="Arial"/>
        </w:rPr>
      </w:pPr>
      <w:r w:rsidRPr="00296286">
        <w:rPr>
          <w:rFonts w:ascii="Arial" w:hAnsi="Arial" w:cs="Arial"/>
        </w:rPr>
        <w:t>For Silver Stitch, this supports the recommendation for a hybris model: a stable set of guardrails to satisfy the bank, combined with rolling forecasts and adaptive decision rules to manage volatility (UK Government, 2021).</w:t>
      </w:r>
    </w:p>
    <w:p w14:paraId="4BDA7F65" w14:textId="77777777" w:rsidR="00635FAC" w:rsidRPr="00296286" w:rsidRDefault="00635FAC" w:rsidP="00296286">
      <w:pPr>
        <w:pStyle w:val="Heading2"/>
        <w:spacing w:line="360" w:lineRule="auto"/>
        <w:jc w:val="both"/>
        <w:rPr>
          <w:rFonts w:ascii="Arial" w:hAnsi="Arial" w:cs="Arial"/>
          <w:sz w:val="24"/>
          <w:szCs w:val="24"/>
        </w:rPr>
      </w:pPr>
    </w:p>
    <w:p w14:paraId="3A329F85" w14:textId="5B55653E" w:rsidR="00635FAC" w:rsidRPr="00296286" w:rsidRDefault="00635FAC" w:rsidP="00296286">
      <w:pPr>
        <w:pStyle w:val="Heading2"/>
        <w:spacing w:line="360" w:lineRule="auto"/>
        <w:jc w:val="both"/>
        <w:rPr>
          <w:rFonts w:ascii="Arial" w:hAnsi="Arial" w:cs="Arial"/>
          <w:sz w:val="24"/>
          <w:szCs w:val="24"/>
        </w:rPr>
      </w:pPr>
      <w:bookmarkStart w:id="23" w:name="_Toc224843829"/>
      <w:r w:rsidRPr="00296286">
        <w:rPr>
          <w:rFonts w:ascii="Arial" w:hAnsi="Arial" w:cs="Arial"/>
          <w:sz w:val="24"/>
          <w:szCs w:val="24"/>
        </w:rPr>
        <w:t>5.7 The role of internal controls and documentation</w:t>
      </w:r>
      <w:bookmarkEnd w:id="23"/>
    </w:p>
    <w:p w14:paraId="208088B1" w14:textId="77777777" w:rsidR="004073EC" w:rsidRPr="00296286" w:rsidRDefault="004073EC" w:rsidP="00296286">
      <w:pPr>
        <w:spacing w:line="360" w:lineRule="auto"/>
        <w:jc w:val="both"/>
        <w:rPr>
          <w:rFonts w:ascii="Arial" w:hAnsi="Arial" w:cs="Arial"/>
        </w:rPr>
      </w:pPr>
    </w:p>
    <w:p w14:paraId="63183A9F" w14:textId="590AAE9E" w:rsidR="00635FAC" w:rsidRPr="00296286" w:rsidRDefault="00635FAC" w:rsidP="00296286">
      <w:pPr>
        <w:spacing w:line="360" w:lineRule="auto"/>
        <w:jc w:val="both"/>
        <w:rPr>
          <w:rFonts w:ascii="Arial" w:hAnsi="Arial" w:cs="Arial"/>
        </w:rPr>
      </w:pPr>
      <w:r w:rsidRPr="00296286">
        <w:rPr>
          <w:rFonts w:ascii="Arial" w:hAnsi="Arial" w:cs="Arial"/>
        </w:rPr>
        <w:t xml:space="preserve">Because </w:t>
      </w:r>
      <w:r w:rsidR="00A67ADF" w:rsidRPr="00296286">
        <w:rPr>
          <w:rFonts w:ascii="Arial" w:hAnsi="Arial" w:cs="Arial"/>
        </w:rPr>
        <w:t>the</w:t>
      </w:r>
      <w:r w:rsidRPr="00296286">
        <w:rPr>
          <w:rFonts w:ascii="Arial" w:hAnsi="Arial" w:cs="Arial"/>
        </w:rPr>
        <w:t xml:space="preserve"> bank is monitoring the overdraft, directors can maintain a clear audit trail of </w:t>
      </w:r>
      <w:r w:rsidR="00A67ADF" w:rsidRPr="00296286">
        <w:rPr>
          <w:rFonts w:ascii="Arial" w:hAnsi="Arial" w:cs="Arial"/>
        </w:rPr>
        <w:t>decisions</w:t>
      </w:r>
      <w:r w:rsidRPr="00296286">
        <w:rPr>
          <w:rFonts w:ascii="Arial" w:hAnsi="Arial" w:cs="Arial"/>
        </w:rPr>
        <w:t>. That includes approved purchasing limits, refurbishment phase approvals</w:t>
      </w:r>
      <w:r w:rsidR="00A67ADF" w:rsidRPr="00296286">
        <w:rPr>
          <w:rFonts w:ascii="Arial" w:hAnsi="Arial" w:cs="Arial"/>
        </w:rPr>
        <w:t>, and documented assumptions in the rolling forecast.</w:t>
      </w:r>
    </w:p>
    <w:p w14:paraId="03DE4093" w14:textId="402636DE" w:rsidR="00A67ADF" w:rsidRPr="00296286" w:rsidRDefault="00A67ADF" w:rsidP="00296286">
      <w:pPr>
        <w:spacing w:line="360" w:lineRule="auto"/>
        <w:jc w:val="both"/>
        <w:rPr>
          <w:rFonts w:ascii="Arial" w:hAnsi="Arial" w:cs="Arial"/>
        </w:rPr>
      </w:pPr>
      <w:r w:rsidRPr="00296286">
        <w:rPr>
          <w:rFonts w:ascii="Arial" w:hAnsi="Arial" w:cs="Arial"/>
        </w:rPr>
        <w:lastRenderedPageBreak/>
        <w:t>Internal control does not need to be bureaucratic; it can be a short one-page control log. The point is to ensure consistency and to reduce the chance that informal decisions quickly erode cash discipline. Good documentation also supports continuity if roles change and strengthens governance credibility (Otley, 2016).</w:t>
      </w:r>
    </w:p>
    <w:p w14:paraId="32B127E2" w14:textId="77777777" w:rsidR="00A67ADF" w:rsidRPr="00296286" w:rsidRDefault="00A67ADF" w:rsidP="00296286">
      <w:pPr>
        <w:pStyle w:val="Heading2"/>
        <w:spacing w:line="360" w:lineRule="auto"/>
        <w:jc w:val="both"/>
        <w:rPr>
          <w:rFonts w:ascii="Arial" w:hAnsi="Arial" w:cs="Arial"/>
          <w:sz w:val="24"/>
          <w:szCs w:val="24"/>
        </w:rPr>
      </w:pPr>
    </w:p>
    <w:p w14:paraId="187E3D03" w14:textId="5295315B" w:rsidR="00A67ADF" w:rsidRPr="00296286" w:rsidRDefault="00A67ADF" w:rsidP="00296286">
      <w:pPr>
        <w:pStyle w:val="Heading2"/>
        <w:spacing w:line="360" w:lineRule="auto"/>
        <w:jc w:val="both"/>
        <w:rPr>
          <w:rFonts w:ascii="Arial" w:hAnsi="Arial" w:cs="Arial"/>
          <w:sz w:val="24"/>
          <w:szCs w:val="24"/>
        </w:rPr>
      </w:pPr>
      <w:bookmarkStart w:id="24" w:name="_Toc224843830"/>
      <w:r w:rsidRPr="00296286">
        <w:rPr>
          <w:rFonts w:ascii="Arial" w:hAnsi="Arial" w:cs="Arial"/>
          <w:sz w:val="24"/>
          <w:szCs w:val="24"/>
        </w:rPr>
        <w:t>5.8 What success should look like by December</w:t>
      </w:r>
      <w:bookmarkEnd w:id="24"/>
    </w:p>
    <w:p w14:paraId="0F643B89" w14:textId="77777777" w:rsidR="00A67ADF" w:rsidRPr="00296286" w:rsidRDefault="00A67ADF" w:rsidP="00296286">
      <w:pPr>
        <w:spacing w:line="360" w:lineRule="auto"/>
        <w:jc w:val="both"/>
        <w:rPr>
          <w:rFonts w:ascii="Arial" w:hAnsi="Arial" w:cs="Arial"/>
        </w:rPr>
      </w:pPr>
    </w:p>
    <w:p w14:paraId="01766A2E" w14:textId="3A691348" w:rsidR="00A67ADF" w:rsidRPr="00296286" w:rsidRDefault="00A67ADF" w:rsidP="00296286">
      <w:pPr>
        <w:spacing w:line="360" w:lineRule="auto"/>
        <w:jc w:val="both"/>
        <w:rPr>
          <w:rFonts w:ascii="Arial" w:hAnsi="Arial" w:cs="Arial"/>
        </w:rPr>
      </w:pPr>
      <w:r w:rsidRPr="00296286">
        <w:rPr>
          <w:rFonts w:ascii="Arial" w:hAnsi="Arial" w:cs="Arial"/>
        </w:rPr>
        <w:t>By December, success is not only a zero overdraft, but the business also has control over its cash flow. Directors should therefore aim to show:</w:t>
      </w:r>
    </w:p>
    <w:p w14:paraId="1048D869" w14:textId="3A55B071" w:rsidR="00A67ADF" w:rsidRPr="00296286" w:rsidRDefault="00A67ADF" w:rsidP="00296286">
      <w:pPr>
        <w:pStyle w:val="ListParagraph"/>
        <w:numPr>
          <w:ilvl w:val="0"/>
          <w:numId w:val="8"/>
        </w:numPr>
        <w:spacing w:line="360" w:lineRule="auto"/>
        <w:jc w:val="both"/>
        <w:rPr>
          <w:rFonts w:ascii="Arial" w:hAnsi="Arial" w:cs="Arial"/>
        </w:rPr>
      </w:pPr>
      <w:r w:rsidRPr="00296286">
        <w:rPr>
          <w:rFonts w:ascii="Arial" w:hAnsi="Arial" w:cs="Arial"/>
        </w:rPr>
        <w:t>The overdraft has been eliminated</w:t>
      </w:r>
    </w:p>
    <w:p w14:paraId="0944669E" w14:textId="778F4551" w:rsidR="00A67ADF" w:rsidRPr="00296286" w:rsidRDefault="00A67ADF" w:rsidP="00296286">
      <w:pPr>
        <w:pStyle w:val="ListParagraph"/>
        <w:numPr>
          <w:ilvl w:val="0"/>
          <w:numId w:val="8"/>
        </w:numPr>
        <w:spacing w:line="360" w:lineRule="auto"/>
        <w:jc w:val="both"/>
        <w:rPr>
          <w:rFonts w:ascii="Arial" w:hAnsi="Arial" w:cs="Arial"/>
        </w:rPr>
      </w:pPr>
      <w:r w:rsidRPr="00296286">
        <w:rPr>
          <w:rFonts w:ascii="Arial" w:hAnsi="Arial" w:cs="Arial"/>
        </w:rPr>
        <w:t>Inventory stabilised within an explicit policy</w:t>
      </w:r>
    </w:p>
    <w:p w14:paraId="4C9990D2" w14:textId="13FBC850" w:rsidR="00A67ADF" w:rsidRPr="00296286" w:rsidRDefault="00A67ADF" w:rsidP="00296286">
      <w:pPr>
        <w:pStyle w:val="ListParagraph"/>
        <w:numPr>
          <w:ilvl w:val="0"/>
          <w:numId w:val="8"/>
        </w:numPr>
        <w:spacing w:line="360" w:lineRule="auto"/>
        <w:jc w:val="both"/>
        <w:rPr>
          <w:rFonts w:ascii="Arial" w:hAnsi="Arial" w:cs="Arial"/>
        </w:rPr>
      </w:pPr>
      <w:r w:rsidRPr="00296286">
        <w:rPr>
          <w:rFonts w:ascii="Arial" w:hAnsi="Arial" w:cs="Arial"/>
        </w:rPr>
        <w:t xml:space="preserve">An operating rhythm of rolling forecasts and variance </w:t>
      </w:r>
      <w:r w:rsidR="0053699D" w:rsidRPr="00296286">
        <w:rPr>
          <w:rFonts w:ascii="Arial" w:hAnsi="Arial" w:cs="Arial"/>
        </w:rPr>
        <w:t>reviews</w:t>
      </w:r>
    </w:p>
    <w:p w14:paraId="31152A12" w14:textId="1BFC86C5" w:rsidR="0053699D" w:rsidRPr="00296286" w:rsidRDefault="0053699D" w:rsidP="00296286">
      <w:pPr>
        <w:pStyle w:val="ListParagraph"/>
        <w:numPr>
          <w:ilvl w:val="0"/>
          <w:numId w:val="8"/>
        </w:numPr>
        <w:spacing w:line="360" w:lineRule="auto"/>
        <w:jc w:val="both"/>
        <w:rPr>
          <w:rFonts w:ascii="Arial" w:hAnsi="Arial" w:cs="Arial"/>
        </w:rPr>
      </w:pPr>
      <w:r w:rsidRPr="00296286">
        <w:rPr>
          <w:rFonts w:ascii="Arial" w:hAnsi="Arial" w:cs="Arial"/>
        </w:rPr>
        <w:t xml:space="preserve">A KPI dashboard that links profit quality and liquidity </w:t>
      </w:r>
    </w:p>
    <w:p w14:paraId="1F480B98" w14:textId="4008CEDB" w:rsidR="0053699D" w:rsidRPr="00296286" w:rsidRDefault="0053699D" w:rsidP="00296286">
      <w:pPr>
        <w:spacing w:line="360" w:lineRule="auto"/>
        <w:jc w:val="both"/>
        <w:rPr>
          <w:rFonts w:ascii="Arial" w:hAnsi="Arial" w:cs="Arial"/>
        </w:rPr>
      </w:pPr>
      <w:r w:rsidRPr="00296286">
        <w:rPr>
          <w:rFonts w:ascii="Arial" w:hAnsi="Arial" w:cs="Arial"/>
        </w:rPr>
        <w:t>If Silver Stitch achieves those outcomes, it improves both short-term lender confidence and long-term resilience in a market where demand and costs can change quickly (Hope and Fraser, 2003; Libby and Lindsay, 2010).</w:t>
      </w:r>
    </w:p>
    <w:p w14:paraId="16BA74A7" w14:textId="77777777" w:rsidR="0053699D" w:rsidRPr="00296286" w:rsidRDefault="0053699D" w:rsidP="00296286">
      <w:pPr>
        <w:spacing w:line="360" w:lineRule="auto"/>
        <w:jc w:val="both"/>
        <w:rPr>
          <w:rFonts w:ascii="Arial" w:hAnsi="Arial" w:cs="Arial"/>
        </w:rPr>
      </w:pPr>
    </w:p>
    <w:p w14:paraId="1D46A4CC" w14:textId="77777777" w:rsidR="0053699D" w:rsidRDefault="0053699D" w:rsidP="00296286">
      <w:pPr>
        <w:spacing w:line="360" w:lineRule="auto"/>
        <w:jc w:val="both"/>
        <w:rPr>
          <w:rFonts w:ascii="Arial" w:hAnsi="Arial" w:cs="Arial"/>
        </w:rPr>
      </w:pPr>
    </w:p>
    <w:p w14:paraId="27D276C0" w14:textId="77777777" w:rsidR="00296286" w:rsidRDefault="00296286" w:rsidP="00296286">
      <w:pPr>
        <w:spacing w:line="360" w:lineRule="auto"/>
        <w:jc w:val="both"/>
        <w:rPr>
          <w:rFonts w:ascii="Arial" w:hAnsi="Arial" w:cs="Arial"/>
        </w:rPr>
      </w:pPr>
    </w:p>
    <w:p w14:paraId="5192D111" w14:textId="77777777" w:rsidR="00296286" w:rsidRDefault="00296286" w:rsidP="00296286">
      <w:pPr>
        <w:spacing w:line="360" w:lineRule="auto"/>
        <w:jc w:val="both"/>
        <w:rPr>
          <w:rFonts w:ascii="Arial" w:hAnsi="Arial" w:cs="Arial"/>
        </w:rPr>
      </w:pPr>
    </w:p>
    <w:p w14:paraId="70160C79" w14:textId="77777777" w:rsidR="00296286" w:rsidRDefault="00296286" w:rsidP="00296286">
      <w:pPr>
        <w:spacing w:line="360" w:lineRule="auto"/>
        <w:jc w:val="both"/>
        <w:rPr>
          <w:rFonts w:ascii="Arial" w:hAnsi="Arial" w:cs="Arial"/>
        </w:rPr>
      </w:pPr>
    </w:p>
    <w:p w14:paraId="15281B77" w14:textId="77777777" w:rsidR="00296286" w:rsidRDefault="00296286" w:rsidP="00296286">
      <w:pPr>
        <w:spacing w:line="360" w:lineRule="auto"/>
        <w:jc w:val="both"/>
        <w:rPr>
          <w:rFonts w:ascii="Arial" w:hAnsi="Arial" w:cs="Arial"/>
        </w:rPr>
      </w:pPr>
    </w:p>
    <w:p w14:paraId="746F3B27" w14:textId="77777777" w:rsidR="00296286" w:rsidRDefault="00296286" w:rsidP="00296286">
      <w:pPr>
        <w:spacing w:line="360" w:lineRule="auto"/>
        <w:jc w:val="both"/>
        <w:rPr>
          <w:rFonts w:ascii="Arial" w:hAnsi="Arial" w:cs="Arial"/>
        </w:rPr>
      </w:pPr>
    </w:p>
    <w:p w14:paraId="0A684896" w14:textId="77777777" w:rsidR="00296286" w:rsidRDefault="00296286" w:rsidP="00296286">
      <w:pPr>
        <w:spacing w:line="360" w:lineRule="auto"/>
        <w:jc w:val="both"/>
        <w:rPr>
          <w:rFonts w:ascii="Arial" w:hAnsi="Arial" w:cs="Arial"/>
        </w:rPr>
      </w:pPr>
    </w:p>
    <w:p w14:paraId="53CA7C20" w14:textId="77777777" w:rsidR="00296286" w:rsidRDefault="00296286" w:rsidP="00296286">
      <w:pPr>
        <w:spacing w:line="360" w:lineRule="auto"/>
        <w:jc w:val="both"/>
        <w:rPr>
          <w:rFonts w:ascii="Arial" w:hAnsi="Arial" w:cs="Arial"/>
        </w:rPr>
      </w:pPr>
    </w:p>
    <w:p w14:paraId="35621FA0" w14:textId="77777777" w:rsidR="00296286" w:rsidRPr="00296286" w:rsidRDefault="00296286" w:rsidP="00296286">
      <w:pPr>
        <w:spacing w:line="360" w:lineRule="auto"/>
        <w:jc w:val="both"/>
        <w:rPr>
          <w:rFonts w:ascii="Arial" w:hAnsi="Arial" w:cs="Arial"/>
        </w:rPr>
      </w:pPr>
    </w:p>
    <w:p w14:paraId="67DA67AF" w14:textId="59A5D3E9" w:rsidR="0053699D" w:rsidRPr="00296286" w:rsidRDefault="0053699D" w:rsidP="00296286">
      <w:pPr>
        <w:pStyle w:val="Heading1"/>
        <w:spacing w:line="360" w:lineRule="auto"/>
        <w:jc w:val="both"/>
        <w:rPr>
          <w:rFonts w:ascii="Arial" w:hAnsi="Arial" w:cs="Arial"/>
          <w:sz w:val="24"/>
          <w:szCs w:val="24"/>
        </w:rPr>
      </w:pPr>
      <w:bookmarkStart w:id="25" w:name="_Toc224843831"/>
      <w:r w:rsidRPr="00296286">
        <w:rPr>
          <w:rFonts w:ascii="Arial" w:hAnsi="Arial" w:cs="Arial"/>
          <w:sz w:val="24"/>
          <w:szCs w:val="24"/>
        </w:rPr>
        <w:lastRenderedPageBreak/>
        <w:t>6. Recommendations</w:t>
      </w:r>
      <w:bookmarkEnd w:id="25"/>
    </w:p>
    <w:p w14:paraId="50CD373C" w14:textId="77777777" w:rsidR="0053699D" w:rsidRPr="00296286" w:rsidRDefault="0053699D" w:rsidP="00296286">
      <w:pPr>
        <w:spacing w:line="360" w:lineRule="auto"/>
        <w:jc w:val="both"/>
        <w:rPr>
          <w:rFonts w:ascii="Arial" w:hAnsi="Arial" w:cs="Arial"/>
        </w:rPr>
      </w:pPr>
    </w:p>
    <w:p w14:paraId="45CB40BA" w14:textId="1D07D94D" w:rsidR="0053699D" w:rsidRPr="00296286" w:rsidRDefault="0053699D" w:rsidP="00296286">
      <w:pPr>
        <w:spacing w:line="360" w:lineRule="auto"/>
        <w:jc w:val="both"/>
        <w:rPr>
          <w:rFonts w:ascii="Arial" w:hAnsi="Arial" w:cs="Arial"/>
        </w:rPr>
      </w:pPr>
      <w:r w:rsidRPr="00296286">
        <w:rPr>
          <w:rFonts w:ascii="Arial" w:hAnsi="Arial" w:cs="Arial"/>
        </w:rPr>
        <w:t>To make the recommendations implementable, directors should sequence them.</w:t>
      </w:r>
    </w:p>
    <w:p w14:paraId="0DCDC41C" w14:textId="26291C61" w:rsidR="0053699D" w:rsidRPr="00296286" w:rsidRDefault="0053699D" w:rsidP="00296286">
      <w:pPr>
        <w:spacing w:line="360" w:lineRule="auto"/>
        <w:jc w:val="both"/>
        <w:rPr>
          <w:rFonts w:ascii="Arial" w:hAnsi="Arial" w:cs="Arial"/>
        </w:rPr>
      </w:pPr>
      <w:r w:rsidRPr="00296286">
        <w:rPr>
          <w:rFonts w:ascii="Arial" w:hAnsi="Arial" w:cs="Arial"/>
        </w:rPr>
        <w:t xml:space="preserve">In month one, they should set the inventory ceiling, freeze non-essential </w:t>
      </w:r>
      <w:r w:rsidR="004A3F86" w:rsidRPr="00296286">
        <w:rPr>
          <w:rFonts w:ascii="Arial" w:hAnsi="Arial" w:cs="Arial"/>
        </w:rPr>
        <w:t>refurbishments</w:t>
      </w:r>
      <w:r w:rsidRPr="00296286">
        <w:rPr>
          <w:rFonts w:ascii="Arial" w:hAnsi="Arial" w:cs="Arial"/>
        </w:rPr>
        <w:t>, and implement a weekly cash forecast for July-September.</w:t>
      </w:r>
    </w:p>
    <w:p w14:paraId="57FDA6B5" w14:textId="051E478A" w:rsidR="0053699D" w:rsidRPr="00296286" w:rsidRDefault="0053699D" w:rsidP="00296286">
      <w:pPr>
        <w:spacing w:line="360" w:lineRule="auto"/>
        <w:jc w:val="both"/>
        <w:rPr>
          <w:rFonts w:ascii="Arial" w:hAnsi="Arial" w:cs="Arial"/>
        </w:rPr>
      </w:pPr>
      <w:r w:rsidRPr="00296286">
        <w:rPr>
          <w:rFonts w:ascii="Arial" w:hAnsi="Arial" w:cs="Arial"/>
        </w:rPr>
        <w:t>In months two and three, they should introduce flexible budgeting for controllable costs and establish variance review meetings with clear action owners.</w:t>
      </w:r>
    </w:p>
    <w:p w14:paraId="6C62A17F" w14:textId="51A5F78C" w:rsidR="0053699D" w:rsidRPr="00296286" w:rsidRDefault="0053699D" w:rsidP="00296286">
      <w:pPr>
        <w:spacing w:line="360" w:lineRule="auto"/>
        <w:jc w:val="both"/>
        <w:rPr>
          <w:rFonts w:ascii="Arial" w:hAnsi="Arial" w:cs="Arial"/>
        </w:rPr>
      </w:pPr>
      <w:r w:rsidRPr="00296286">
        <w:rPr>
          <w:rFonts w:ascii="Arial" w:hAnsi="Arial" w:cs="Arial"/>
        </w:rPr>
        <w:t xml:space="preserve">In </w:t>
      </w:r>
      <w:r w:rsidR="004A3F86" w:rsidRPr="00296286">
        <w:rPr>
          <w:rFonts w:ascii="Arial" w:hAnsi="Arial" w:cs="Arial"/>
        </w:rPr>
        <w:t>months</w:t>
      </w:r>
      <w:r w:rsidRPr="00296286">
        <w:rPr>
          <w:rFonts w:ascii="Arial" w:hAnsi="Arial" w:cs="Arial"/>
        </w:rPr>
        <w:t xml:space="preserve"> four to six, they should embed a KPI dashboard and integrate scenario analysis into decision-making. </w:t>
      </w:r>
    </w:p>
    <w:p w14:paraId="298F4D43" w14:textId="06CF807C" w:rsidR="0053699D" w:rsidRPr="00296286" w:rsidRDefault="0053699D" w:rsidP="00296286">
      <w:pPr>
        <w:spacing w:line="360" w:lineRule="auto"/>
        <w:jc w:val="both"/>
        <w:rPr>
          <w:rFonts w:ascii="Arial" w:hAnsi="Arial" w:cs="Arial"/>
        </w:rPr>
      </w:pPr>
      <w:r w:rsidRPr="00296286">
        <w:rPr>
          <w:rFonts w:ascii="Arial" w:hAnsi="Arial" w:cs="Arial"/>
        </w:rPr>
        <w:t xml:space="preserve">This staged approach reduces change overload and makes budgetary control part of </w:t>
      </w:r>
      <w:r w:rsidR="004A3F86" w:rsidRPr="00296286">
        <w:rPr>
          <w:rFonts w:ascii="Arial" w:hAnsi="Arial" w:cs="Arial"/>
        </w:rPr>
        <w:t>routine management rather than a one-off project.</w:t>
      </w:r>
    </w:p>
    <w:p w14:paraId="38CCDD69" w14:textId="77777777" w:rsidR="004A3F86" w:rsidRPr="00296286" w:rsidRDefault="004A3F86" w:rsidP="00296286">
      <w:pPr>
        <w:spacing w:line="360" w:lineRule="auto"/>
        <w:jc w:val="both"/>
        <w:rPr>
          <w:rFonts w:ascii="Arial" w:hAnsi="Arial" w:cs="Arial"/>
        </w:rPr>
      </w:pPr>
    </w:p>
    <w:p w14:paraId="6C88F666" w14:textId="77777777" w:rsidR="00296286" w:rsidRPr="00296286" w:rsidRDefault="00296286" w:rsidP="00296286">
      <w:pPr>
        <w:spacing w:line="360" w:lineRule="auto"/>
        <w:jc w:val="both"/>
        <w:rPr>
          <w:rFonts w:ascii="Arial" w:hAnsi="Arial" w:cs="Arial"/>
        </w:rPr>
      </w:pPr>
    </w:p>
    <w:p w14:paraId="05187AC0" w14:textId="77777777" w:rsidR="00296286" w:rsidRPr="00296286" w:rsidRDefault="00296286" w:rsidP="00296286">
      <w:pPr>
        <w:spacing w:line="360" w:lineRule="auto"/>
        <w:jc w:val="both"/>
        <w:rPr>
          <w:rFonts w:ascii="Arial" w:hAnsi="Arial" w:cs="Arial"/>
        </w:rPr>
      </w:pPr>
    </w:p>
    <w:p w14:paraId="3A66163C" w14:textId="77777777" w:rsidR="00296286" w:rsidRPr="00296286" w:rsidRDefault="00296286" w:rsidP="00296286">
      <w:pPr>
        <w:spacing w:line="360" w:lineRule="auto"/>
        <w:jc w:val="both"/>
        <w:rPr>
          <w:rFonts w:ascii="Arial" w:hAnsi="Arial" w:cs="Arial"/>
        </w:rPr>
      </w:pPr>
    </w:p>
    <w:p w14:paraId="4F1965C7" w14:textId="77777777" w:rsidR="00296286" w:rsidRPr="00296286" w:rsidRDefault="00296286" w:rsidP="00296286">
      <w:pPr>
        <w:spacing w:line="360" w:lineRule="auto"/>
        <w:jc w:val="both"/>
        <w:rPr>
          <w:rFonts w:ascii="Arial" w:hAnsi="Arial" w:cs="Arial"/>
        </w:rPr>
      </w:pPr>
    </w:p>
    <w:p w14:paraId="0747D43F" w14:textId="77777777" w:rsidR="00296286" w:rsidRPr="00296286" w:rsidRDefault="00296286" w:rsidP="00296286">
      <w:pPr>
        <w:spacing w:line="360" w:lineRule="auto"/>
        <w:jc w:val="both"/>
        <w:rPr>
          <w:rFonts w:ascii="Arial" w:hAnsi="Arial" w:cs="Arial"/>
        </w:rPr>
      </w:pPr>
    </w:p>
    <w:p w14:paraId="28D42D86" w14:textId="77777777" w:rsidR="00296286" w:rsidRPr="00296286" w:rsidRDefault="00296286" w:rsidP="00296286">
      <w:pPr>
        <w:spacing w:line="360" w:lineRule="auto"/>
        <w:jc w:val="both"/>
        <w:rPr>
          <w:rFonts w:ascii="Arial" w:hAnsi="Arial" w:cs="Arial"/>
        </w:rPr>
      </w:pPr>
    </w:p>
    <w:p w14:paraId="1EFF5937" w14:textId="77777777" w:rsidR="00296286" w:rsidRPr="00296286" w:rsidRDefault="00296286" w:rsidP="00296286">
      <w:pPr>
        <w:spacing w:line="360" w:lineRule="auto"/>
        <w:jc w:val="both"/>
        <w:rPr>
          <w:rFonts w:ascii="Arial" w:hAnsi="Arial" w:cs="Arial"/>
        </w:rPr>
      </w:pPr>
    </w:p>
    <w:p w14:paraId="545212E4" w14:textId="77777777" w:rsidR="00296286" w:rsidRPr="00296286" w:rsidRDefault="00296286" w:rsidP="00296286">
      <w:pPr>
        <w:spacing w:line="360" w:lineRule="auto"/>
        <w:jc w:val="both"/>
        <w:rPr>
          <w:rFonts w:ascii="Arial" w:hAnsi="Arial" w:cs="Arial"/>
        </w:rPr>
      </w:pPr>
    </w:p>
    <w:p w14:paraId="33C0176D" w14:textId="77777777" w:rsidR="00296286" w:rsidRPr="00296286" w:rsidRDefault="00296286" w:rsidP="00296286">
      <w:pPr>
        <w:spacing w:line="360" w:lineRule="auto"/>
        <w:jc w:val="both"/>
        <w:rPr>
          <w:rFonts w:ascii="Arial" w:hAnsi="Arial" w:cs="Arial"/>
        </w:rPr>
      </w:pPr>
    </w:p>
    <w:p w14:paraId="646AC8C6" w14:textId="77777777" w:rsidR="00296286" w:rsidRDefault="00296286" w:rsidP="00EB6C0E">
      <w:pPr>
        <w:jc w:val="both"/>
        <w:rPr>
          <w:rFonts w:ascii="Arial" w:hAnsi="Arial" w:cs="Arial"/>
        </w:rPr>
      </w:pPr>
    </w:p>
    <w:p w14:paraId="309A1C11" w14:textId="77777777" w:rsidR="00296286" w:rsidRDefault="00296286" w:rsidP="00EB6C0E">
      <w:pPr>
        <w:jc w:val="both"/>
        <w:rPr>
          <w:rFonts w:ascii="Arial" w:hAnsi="Arial" w:cs="Arial"/>
        </w:rPr>
      </w:pPr>
    </w:p>
    <w:p w14:paraId="080EA7D3" w14:textId="77777777" w:rsidR="00296286" w:rsidRDefault="00296286" w:rsidP="00EB6C0E">
      <w:pPr>
        <w:jc w:val="both"/>
        <w:rPr>
          <w:rFonts w:ascii="Arial" w:hAnsi="Arial" w:cs="Arial"/>
        </w:rPr>
      </w:pPr>
    </w:p>
    <w:p w14:paraId="4CB36632" w14:textId="77777777" w:rsidR="00296286" w:rsidRDefault="00296286" w:rsidP="00EB6C0E">
      <w:pPr>
        <w:jc w:val="both"/>
        <w:rPr>
          <w:rFonts w:ascii="Arial" w:hAnsi="Arial" w:cs="Arial"/>
        </w:rPr>
      </w:pPr>
    </w:p>
    <w:p w14:paraId="65C73DDC" w14:textId="77777777" w:rsidR="00296286" w:rsidRDefault="00296286" w:rsidP="00EB6C0E">
      <w:pPr>
        <w:jc w:val="both"/>
        <w:rPr>
          <w:rFonts w:ascii="Arial" w:hAnsi="Arial" w:cs="Arial"/>
        </w:rPr>
      </w:pPr>
    </w:p>
    <w:p w14:paraId="0C18D029" w14:textId="77777777" w:rsidR="00296286" w:rsidRPr="00EB6C0E" w:rsidRDefault="00296286" w:rsidP="00296286">
      <w:pPr>
        <w:pStyle w:val="Heading1"/>
        <w:jc w:val="both"/>
        <w:rPr>
          <w:rFonts w:ascii="Arial" w:hAnsi="Arial" w:cs="Arial"/>
          <w:sz w:val="24"/>
          <w:szCs w:val="24"/>
        </w:rPr>
      </w:pPr>
      <w:r w:rsidRPr="00EB6C0E">
        <w:rPr>
          <w:rFonts w:ascii="Arial" w:hAnsi="Arial" w:cs="Arial"/>
          <w:sz w:val="24"/>
          <w:szCs w:val="24"/>
        </w:rPr>
        <w:lastRenderedPageBreak/>
        <w:t>7. Conclusion</w:t>
      </w:r>
    </w:p>
    <w:p w14:paraId="2EF66D2B" w14:textId="77777777" w:rsidR="00296286" w:rsidRPr="00EB6C0E" w:rsidRDefault="00296286" w:rsidP="00296286">
      <w:pPr>
        <w:jc w:val="both"/>
        <w:rPr>
          <w:rFonts w:ascii="Arial" w:hAnsi="Arial" w:cs="Arial"/>
        </w:rPr>
      </w:pPr>
    </w:p>
    <w:p w14:paraId="3EC6CDE8" w14:textId="77777777" w:rsidR="00296286" w:rsidRPr="00EB6C0E" w:rsidRDefault="00296286" w:rsidP="00296286">
      <w:pPr>
        <w:jc w:val="both"/>
        <w:rPr>
          <w:rFonts w:ascii="Arial" w:hAnsi="Arial" w:cs="Arial"/>
        </w:rPr>
      </w:pPr>
      <w:r w:rsidRPr="00EB6C0E">
        <w:rPr>
          <w:rFonts w:ascii="Arial" w:hAnsi="Arial" w:cs="Arial"/>
        </w:rPr>
        <w:t xml:space="preserve">Silver Stitch's forecast suggests that the overdraft can be removed by </w:t>
      </w:r>
      <w:r>
        <w:rPr>
          <w:rFonts w:ascii="Arial" w:hAnsi="Arial" w:cs="Arial"/>
        </w:rPr>
        <w:t>the end of Septe</w:t>
      </w:r>
      <w:r w:rsidRPr="00EB6C0E">
        <w:rPr>
          <w:rFonts w:ascii="Arial" w:hAnsi="Arial" w:cs="Arial"/>
        </w:rPr>
        <w:t>mber and that the business can finish December with a positive cash balance.</w:t>
      </w:r>
    </w:p>
    <w:p w14:paraId="6BD61B77" w14:textId="77777777" w:rsidR="00296286" w:rsidRPr="00EB6C0E" w:rsidRDefault="00296286" w:rsidP="00296286">
      <w:pPr>
        <w:jc w:val="both"/>
        <w:rPr>
          <w:rFonts w:ascii="Arial" w:hAnsi="Arial" w:cs="Arial"/>
        </w:rPr>
      </w:pPr>
      <w:r w:rsidRPr="00EB6C0E">
        <w:rPr>
          <w:rFonts w:ascii="Arial" w:hAnsi="Arial" w:cs="Arial"/>
        </w:rPr>
        <w:t>However, the same budget reveals a serious working capital risk: inventory grows sharply and reaches £388,000 by December.</w:t>
      </w:r>
    </w:p>
    <w:p w14:paraId="0FE88A70" w14:textId="77777777" w:rsidR="00296286" w:rsidRPr="00EB6C0E" w:rsidRDefault="00296286" w:rsidP="00296286">
      <w:pPr>
        <w:jc w:val="both"/>
        <w:rPr>
          <w:rFonts w:ascii="Arial" w:hAnsi="Arial" w:cs="Arial"/>
        </w:rPr>
      </w:pPr>
      <w:r w:rsidRPr="00EB6C0E">
        <w:rPr>
          <w:rFonts w:ascii="Arial" w:hAnsi="Arial" w:cs="Arial"/>
        </w:rPr>
        <w:t>The bank target is therefore achievable but not secure unless directors control stock and manage the timing of cash outflows in the vulnerable months. The priority actions are to introduce a formal stock policy, phase out discretionary refurbishment spending until liquidity improves, and run a rolling cash forecast supported by flexible budgeting, variance analysis, and a small KPI dashboard focused on cash drivers.</w:t>
      </w:r>
    </w:p>
    <w:p w14:paraId="671394DF" w14:textId="77777777" w:rsidR="00296286" w:rsidRPr="00EB6C0E" w:rsidRDefault="00296286" w:rsidP="00296286">
      <w:pPr>
        <w:jc w:val="both"/>
        <w:rPr>
          <w:rFonts w:ascii="Arial" w:hAnsi="Arial" w:cs="Arial"/>
        </w:rPr>
      </w:pPr>
      <w:r w:rsidRPr="00EB6C0E">
        <w:rPr>
          <w:rFonts w:ascii="Arial" w:hAnsi="Arial" w:cs="Arial"/>
        </w:rPr>
        <w:t>Finally, Silver Stitch should reduce reliance on a static annual budget and adopt a hybrid approach that combines guardrails with adaptive forecasting, consistent with beyond budgeting thinking.</w:t>
      </w:r>
    </w:p>
    <w:p w14:paraId="56B883B4" w14:textId="77777777" w:rsidR="00296286" w:rsidRDefault="00296286" w:rsidP="00EB6C0E">
      <w:pPr>
        <w:jc w:val="both"/>
        <w:rPr>
          <w:rFonts w:ascii="Arial" w:hAnsi="Arial" w:cs="Arial"/>
        </w:rPr>
      </w:pPr>
    </w:p>
    <w:p w14:paraId="39769F62" w14:textId="77777777" w:rsidR="00296286" w:rsidRDefault="00296286" w:rsidP="00EB6C0E">
      <w:pPr>
        <w:jc w:val="both"/>
        <w:rPr>
          <w:rFonts w:ascii="Arial" w:hAnsi="Arial" w:cs="Arial"/>
        </w:rPr>
      </w:pPr>
    </w:p>
    <w:p w14:paraId="5D3999E0" w14:textId="77777777" w:rsidR="00296286" w:rsidRDefault="00296286" w:rsidP="00EB6C0E">
      <w:pPr>
        <w:jc w:val="both"/>
        <w:rPr>
          <w:rFonts w:ascii="Arial" w:hAnsi="Arial" w:cs="Arial"/>
        </w:rPr>
      </w:pPr>
    </w:p>
    <w:p w14:paraId="4199E645" w14:textId="77777777" w:rsidR="00296286" w:rsidRDefault="00296286" w:rsidP="00EB6C0E">
      <w:pPr>
        <w:jc w:val="both"/>
        <w:rPr>
          <w:rFonts w:ascii="Arial" w:hAnsi="Arial" w:cs="Arial"/>
        </w:rPr>
      </w:pPr>
    </w:p>
    <w:p w14:paraId="1C267590" w14:textId="77777777" w:rsidR="00296286" w:rsidRDefault="00296286" w:rsidP="00EB6C0E">
      <w:pPr>
        <w:jc w:val="both"/>
        <w:rPr>
          <w:rFonts w:ascii="Arial" w:hAnsi="Arial" w:cs="Arial"/>
        </w:rPr>
      </w:pPr>
    </w:p>
    <w:p w14:paraId="293B7369" w14:textId="77777777" w:rsidR="00296286" w:rsidRDefault="00296286" w:rsidP="00EB6C0E">
      <w:pPr>
        <w:jc w:val="both"/>
        <w:rPr>
          <w:rFonts w:ascii="Arial" w:hAnsi="Arial" w:cs="Arial"/>
        </w:rPr>
      </w:pPr>
    </w:p>
    <w:p w14:paraId="4055E31A" w14:textId="77777777" w:rsidR="00296286" w:rsidRDefault="00296286" w:rsidP="00EB6C0E">
      <w:pPr>
        <w:jc w:val="both"/>
        <w:rPr>
          <w:rFonts w:ascii="Arial" w:hAnsi="Arial" w:cs="Arial"/>
        </w:rPr>
      </w:pPr>
    </w:p>
    <w:p w14:paraId="3650D766" w14:textId="77777777" w:rsidR="00296286" w:rsidRDefault="00296286" w:rsidP="00EB6C0E">
      <w:pPr>
        <w:jc w:val="both"/>
        <w:rPr>
          <w:rFonts w:ascii="Arial" w:hAnsi="Arial" w:cs="Arial"/>
        </w:rPr>
      </w:pPr>
    </w:p>
    <w:p w14:paraId="5CD5A0D0" w14:textId="77777777" w:rsidR="00296286" w:rsidRDefault="00296286" w:rsidP="00EB6C0E">
      <w:pPr>
        <w:jc w:val="both"/>
        <w:rPr>
          <w:rFonts w:ascii="Arial" w:hAnsi="Arial" w:cs="Arial"/>
        </w:rPr>
      </w:pPr>
    </w:p>
    <w:p w14:paraId="7FF19839" w14:textId="77777777" w:rsidR="00296286" w:rsidRDefault="00296286" w:rsidP="00EB6C0E">
      <w:pPr>
        <w:jc w:val="both"/>
        <w:rPr>
          <w:rFonts w:ascii="Arial" w:hAnsi="Arial" w:cs="Arial"/>
        </w:rPr>
      </w:pPr>
    </w:p>
    <w:p w14:paraId="5B8D173D" w14:textId="77777777" w:rsidR="00296286" w:rsidRDefault="00296286" w:rsidP="00EB6C0E">
      <w:pPr>
        <w:jc w:val="both"/>
        <w:rPr>
          <w:rFonts w:ascii="Arial" w:hAnsi="Arial" w:cs="Arial"/>
        </w:rPr>
      </w:pPr>
    </w:p>
    <w:p w14:paraId="6D20C868" w14:textId="77777777" w:rsidR="00296286" w:rsidRDefault="00296286" w:rsidP="00EB6C0E">
      <w:pPr>
        <w:jc w:val="both"/>
        <w:rPr>
          <w:rFonts w:ascii="Arial" w:hAnsi="Arial" w:cs="Arial"/>
        </w:rPr>
      </w:pPr>
    </w:p>
    <w:p w14:paraId="4C3D481F" w14:textId="77777777" w:rsidR="00296286" w:rsidRDefault="00296286" w:rsidP="00EB6C0E">
      <w:pPr>
        <w:jc w:val="both"/>
        <w:rPr>
          <w:rFonts w:ascii="Arial" w:hAnsi="Arial" w:cs="Arial"/>
        </w:rPr>
      </w:pPr>
    </w:p>
    <w:p w14:paraId="5D76EC00" w14:textId="77777777" w:rsidR="00296286" w:rsidRDefault="00296286" w:rsidP="00EB6C0E">
      <w:pPr>
        <w:jc w:val="both"/>
        <w:rPr>
          <w:rFonts w:ascii="Arial" w:hAnsi="Arial" w:cs="Arial"/>
        </w:rPr>
      </w:pPr>
    </w:p>
    <w:p w14:paraId="1D3861C9" w14:textId="77777777" w:rsidR="00296286" w:rsidRDefault="00296286" w:rsidP="00EB6C0E">
      <w:pPr>
        <w:jc w:val="both"/>
        <w:rPr>
          <w:rFonts w:ascii="Arial" w:hAnsi="Arial" w:cs="Arial"/>
        </w:rPr>
      </w:pPr>
    </w:p>
    <w:p w14:paraId="58372DFC" w14:textId="77777777" w:rsidR="00296286" w:rsidRDefault="00296286" w:rsidP="00EB6C0E">
      <w:pPr>
        <w:jc w:val="both"/>
        <w:rPr>
          <w:rFonts w:ascii="Arial" w:hAnsi="Arial" w:cs="Arial"/>
        </w:rPr>
      </w:pPr>
    </w:p>
    <w:p w14:paraId="51F3E559" w14:textId="77777777" w:rsidR="00296286" w:rsidRPr="00296286" w:rsidRDefault="00296286" w:rsidP="00296286">
      <w:pPr>
        <w:pStyle w:val="Heading1"/>
        <w:rPr>
          <w:rFonts w:eastAsia="Times New Roman"/>
          <w:lang w:eastAsia="en-GB"/>
        </w:rPr>
      </w:pPr>
      <w:bookmarkStart w:id="26" w:name="_Toc224843832"/>
      <w:r w:rsidRPr="00296286">
        <w:rPr>
          <w:rFonts w:eastAsia="Times New Roman"/>
          <w:lang w:eastAsia="en-GB"/>
        </w:rPr>
        <w:lastRenderedPageBreak/>
        <w:t>References</w:t>
      </w:r>
      <w:bookmarkEnd w:id="26"/>
    </w:p>
    <w:p w14:paraId="14B259D5"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 xml:space="preserve">ACCA Advanced budgeting, planning, and forecasting. Available at: </w:t>
      </w:r>
      <w:hyperlink r:id="rId12" w:tgtFrame="_new" w:history="1">
        <w:r w:rsidRPr="00296286">
          <w:rPr>
            <w:rFonts w:ascii="Times New Roman" w:eastAsia="Times New Roman" w:hAnsi="Times New Roman"/>
            <w:color w:val="0000FF"/>
            <w:kern w:val="0"/>
            <w:u w:val="single"/>
            <w:lang w:eastAsia="en-GB"/>
            <w14:ligatures w14:val="none"/>
          </w:rPr>
          <w:t>https://www.accaglobal.com/learning-and-events/financial-management/advanced-budgeting-planning-forecasting.html</w:t>
        </w:r>
      </w:hyperlink>
      <w:r w:rsidRPr="00296286">
        <w:rPr>
          <w:rFonts w:ascii="Times New Roman" w:eastAsia="Times New Roman" w:hAnsi="Times New Roman"/>
          <w:kern w:val="0"/>
          <w:lang w:eastAsia="en-GB"/>
          <w14:ligatures w14:val="none"/>
        </w:rPr>
        <w:t xml:space="preserve"> (Accessed: 12 March 2026).</w:t>
      </w:r>
    </w:p>
    <w:p w14:paraId="192CF355"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Anthony, R.N. and Govindarajan, V. (2007) Management Control Systems. 12th edn. Boston, MA: McGraw-Hill.</w:t>
      </w:r>
    </w:p>
    <w:p w14:paraId="6C7FCB22"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Atrill, P. and McLaney, E. (2018) Accounting and Finance for Non-Specialists. 11th edn. Harlow: Pearson.</w:t>
      </w:r>
    </w:p>
    <w:p w14:paraId="7DA0CD96"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Atrill, P. and McLaney, E. (2021) Management Accounting for Decision Makers. 10th edn. Harlow: Pearson.</w:t>
      </w:r>
    </w:p>
    <w:p w14:paraId="1CFBE59C"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Bhimani, A. (2006). Contemporary Issues in Management Accounting. Oxford: Oxford University Press.</w:t>
      </w:r>
    </w:p>
    <w:p w14:paraId="06A45DBA"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Bodnar, G.H. and Hopwood, W.S. (2019). Accounting Information Systems. 12th edn. Harlow: Pearson.</w:t>
      </w:r>
    </w:p>
    <w:p w14:paraId="6AAC6A0E"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Bogsnes, B. (2016). Implementing Beyond Budgeting: Unlocking the Performance Potential. 2nd edn. Hoboken, NJ: Wiley.</w:t>
      </w:r>
    </w:p>
    <w:p w14:paraId="736D91D8"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Bragg, S.M. (2020). Budgeting: A Comprehensive Guide. 4th edn. Boston, MA: AccountingTools.</w:t>
      </w:r>
    </w:p>
    <w:p w14:paraId="4D8107D9"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Bunce, P., Fraser, R. and Woodcock, L. (1995) ‘Advanced budgeting: a journey to advanced management systems’, Management Accounting Research, 6(3), pp. 253–265.</w:t>
      </w:r>
    </w:p>
    <w:p w14:paraId="6A16FDC0"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Chartered Institute of Management Accountants (CIMA) (2020) ‘Risk management and the role of management accounting’. London: CIMA.</w:t>
      </w:r>
    </w:p>
    <w:p w14:paraId="0F119A80"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Datar, S.M. and Rajan, M.V. (2017). Horngren’s Cost Accounting: A Managerial Emphasis. Global edn. Harlow: Pearson.</w:t>
      </w:r>
    </w:p>
    <w:p w14:paraId="3160DB9F"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Drury, C. (2021). Management and Cost Accounting. 11th edn. Harlow: Pearson.</w:t>
      </w:r>
    </w:p>
    <w:p w14:paraId="6BD6224C"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Dyson, J.R. (2020). Accounting for Non-Accounting Students. 7th edn. Harlow: Pearson.</w:t>
      </w:r>
    </w:p>
    <w:p w14:paraId="10EEBF04"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 xml:space="preserve">European Commission (2019) Guidelines on non-financial reporting: Supplement on reporting climate-related information. Available at: </w:t>
      </w:r>
      <w:hyperlink r:id="rId13" w:tgtFrame="_new" w:history="1">
        <w:r w:rsidRPr="00296286">
          <w:rPr>
            <w:rFonts w:ascii="Times New Roman" w:eastAsia="Times New Roman" w:hAnsi="Times New Roman"/>
            <w:color w:val="0000FF"/>
            <w:kern w:val="0"/>
            <w:u w:val="single"/>
            <w:lang w:eastAsia="en-GB"/>
            <w14:ligatures w14:val="none"/>
          </w:rPr>
          <w:t>https://ec.europa.eu/finance/docs/policy/190618-climate-related-information-reporting-guidelines_en.pdf</w:t>
        </w:r>
      </w:hyperlink>
      <w:r w:rsidRPr="00296286">
        <w:rPr>
          <w:rFonts w:ascii="Times New Roman" w:eastAsia="Times New Roman" w:hAnsi="Times New Roman"/>
          <w:kern w:val="0"/>
          <w:lang w:eastAsia="en-GB"/>
          <w14:ligatures w14:val="none"/>
        </w:rPr>
        <w:t xml:space="preserve"> (Accessed: 09 March 2026).</w:t>
      </w:r>
    </w:p>
    <w:p w14:paraId="3222A43E"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 xml:space="preserve">Financial Reporting Council (2014) Guidance on Risk Management, Internal Control and Related Financial and Business Reporting. Available at: </w:t>
      </w:r>
      <w:hyperlink r:id="rId14" w:tgtFrame="_new" w:history="1">
        <w:r w:rsidRPr="00296286">
          <w:rPr>
            <w:rFonts w:ascii="Times New Roman" w:eastAsia="Times New Roman" w:hAnsi="Times New Roman"/>
            <w:color w:val="0000FF"/>
            <w:kern w:val="0"/>
            <w:u w:val="single"/>
            <w:lang w:eastAsia="en-GB"/>
            <w14:ligatures w14:val="none"/>
          </w:rPr>
          <w:t>https://www.frc.org.uk/library/standards-codes-policy/corporate-governance/corporate-governance-overview/</w:t>
        </w:r>
      </w:hyperlink>
      <w:r w:rsidRPr="00296286">
        <w:rPr>
          <w:rFonts w:ascii="Times New Roman" w:eastAsia="Times New Roman" w:hAnsi="Times New Roman"/>
          <w:kern w:val="0"/>
          <w:lang w:eastAsia="en-GB"/>
          <w14:ligatures w14:val="none"/>
        </w:rPr>
        <w:t xml:space="preserve"> (Accessed: 17 March 2026).</w:t>
      </w:r>
    </w:p>
    <w:p w14:paraId="7603A34E"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lastRenderedPageBreak/>
        <w:t>Frow, N., Marginson, D. and Ogden, S. (2010) ‘Continuous budgeting: reconciling budget flexibility with budgetary control’, Accounting, Organizations and Society, 35(4), pp. 444–461.</w:t>
      </w:r>
    </w:p>
    <w:p w14:paraId="049CDDCD"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Hansen, S.C., Otley, D.T. and Van der Stede, W.A. (2003) ‘Practice developments in budgeting: an overview and research perspective’, Journal of Management Accounting Research, 15(1), pp. 95–116.</w:t>
      </w:r>
    </w:p>
    <w:p w14:paraId="10F5BBB2"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Hope, J. and Fraser, R. (2003) Beyond Budgeting: How Managers Can Break Free from the Annual Performance Trap. Boston, MA: Harvard Business School Press.</w:t>
      </w:r>
    </w:p>
    <w:p w14:paraId="3E2E544F"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Horner, D. (2020). Accounting for Non-Accountants. 12th edn. London: Kogan Page.</w:t>
      </w:r>
    </w:p>
    <w:p w14:paraId="126540D4"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Horngren, C.T., Datar, S.M., and Rajan, M.V. (2015). Cost Accounting: A Managerial Emphasis. 15th edn. Harlow: Pearson.</w:t>
      </w:r>
    </w:p>
    <w:p w14:paraId="5174CE98"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 xml:space="preserve">ICAEW (no date) Managing your cash flow. Available at: </w:t>
      </w:r>
      <w:hyperlink r:id="rId15" w:tgtFrame="_new" w:history="1">
        <w:r w:rsidRPr="00296286">
          <w:rPr>
            <w:rFonts w:ascii="Times New Roman" w:eastAsia="Times New Roman" w:hAnsi="Times New Roman"/>
            <w:color w:val="0000FF"/>
            <w:kern w:val="0"/>
            <w:u w:val="single"/>
            <w:lang w:eastAsia="en-GB"/>
            <w14:ligatures w14:val="none"/>
          </w:rPr>
          <w:t>https://www.icaew.com/technical/corporate-finance/business-finance-guide/more-information/managing-your-cashflow</w:t>
        </w:r>
      </w:hyperlink>
      <w:r w:rsidRPr="00296286">
        <w:rPr>
          <w:rFonts w:ascii="Times New Roman" w:eastAsia="Times New Roman" w:hAnsi="Times New Roman"/>
          <w:kern w:val="0"/>
          <w:lang w:eastAsia="en-GB"/>
          <w14:ligatures w14:val="none"/>
        </w:rPr>
        <w:t xml:space="preserve"> (Accessed: 10 March 2026).</w:t>
      </w:r>
    </w:p>
    <w:p w14:paraId="0926854C"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 xml:space="preserve">Institute of Management Accountants (IMA) (2019) Key Principles of Effective Financial Planning and Analysis. Available at: </w:t>
      </w:r>
      <w:hyperlink r:id="rId16" w:tgtFrame="_new" w:history="1">
        <w:r w:rsidRPr="00296286">
          <w:rPr>
            <w:rFonts w:ascii="Times New Roman" w:eastAsia="Times New Roman" w:hAnsi="Times New Roman"/>
            <w:color w:val="0000FF"/>
            <w:kern w:val="0"/>
            <w:u w:val="single"/>
            <w:lang w:eastAsia="en-GB"/>
            <w14:ligatures w14:val="none"/>
          </w:rPr>
          <w:t>https://www.imanet.org/-/media/c91d297df90e4ad090ac72289b26099c.ashx</w:t>
        </w:r>
      </w:hyperlink>
      <w:r w:rsidRPr="00296286">
        <w:rPr>
          <w:rFonts w:ascii="Times New Roman" w:eastAsia="Times New Roman" w:hAnsi="Times New Roman"/>
          <w:kern w:val="0"/>
          <w:lang w:eastAsia="en-GB"/>
          <w14:ligatures w14:val="none"/>
        </w:rPr>
        <w:t xml:space="preserve"> (Accessed: 12 March 2026).</w:t>
      </w:r>
    </w:p>
    <w:p w14:paraId="25D4738D"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 xml:space="preserve">Institute of Management Accountants (IMA) (2019) Key Principles of Effective Financial Planning and Analysis. Available at: </w:t>
      </w:r>
      <w:hyperlink r:id="rId17" w:tgtFrame="_new" w:history="1">
        <w:r w:rsidRPr="00296286">
          <w:rPr>
            <w:rFonts w:ascii="Times New Roman" w:eastAsia="Times New Roman" w:hAnsi="Times New Roman"/>
            <w:color w:val="0000FF"/>
            <w:kern w:val="0"/>
            <w:u w:val="single"/>
            <w:lang w:eastAsia="en-GB"/>
            <w14:ligatures w14:val="none"/>
          </w:rPr>
          <w:t>https://www.imanet.org/-/media/c91d297df90e4ad090ac72289b26099c.ashx</w:t>
        </w:r>
      </w:hyperlink>
      <w:r w:rsidRPr="00296286">
        <w:rPr>
          <w:rFonts w:ascii="Times New Roman" w:eastAsia="Times New Roman" w:hAnsi="Times New Roman"/>
          <w:kern w:val="0"/>
          <w:lang w:eastAsia="en-GB"/>
          <w14:ligatures w14:val="none"/>
        </w:rPr>
        <w:t xml:space="preserve"> (Accessed: 13 March 2026).</w:t>
      </w:r>
    </w:p>
    <w:p w14:paraId="6261B1E0"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Institute of Management Accountants (IMA) (2020) ‘Statement on management accounting: planning, budgeting and forecasting’. Montvale, NJ: IMA.</w:t>
      </w:r>
    </w:p>
    <w:p w14:paraId="58F1CD6B"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 xml:space="preserve">International Accounting Standards Board (IASB) (2018) Conceptual Framework for Financial Reporting. Available at: </w:t>
      </w:r>
      <w:hyperlink r:id="rId18" w:tgtFrame="_new" w:history="1">
        <w:r w:rsidRPr="00296286">
          <w:rPr>
            <w:rFonts w:ascii="Times New Roman" w:eastAsia="Times New Roman" w:hAnsi="Times New Roman"/>
            <w:color w:val="0000FF"/>
            <w:kern w:val="0"/>
            <w:u w:val="single"/>
            <w:lang w:eastAsia="en-GB"/>
            <w14:ligatures w14:val="none"/>
          </w:rPr>
          <w:t>https://www.ifrs.org/issued-standards/list-of-standards/conceptual-framework/</w:t>
        </w:r>
      </w:hyperlink>
      <w:r w:rsidRPr="00296286">
        <w:rPr>
          <w:rFonts w:ascii="Times New Roman" w:eastAsia="Times New Roman" w:hAnsi="Times New Roman"/>
          <w:kern w:val="0"/>
          <w:lang w:eastAsia="en-GB"/>
          <w14:ligatures w14:val="none"/>
        </w:rPr>
        <w:t xml:space="preserve"> (Accessed: 12 March 2026).</w:t>
      </w:r>
    </w:p>
    <w:p w14:paraId="4F62630D"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International Federation of Accountants (IFAC) (2018) International Good Practice Guidance: Evaluating and Improving Budgeting. New York: IFAC.</w:t>
      </w:r>
    </w:p>
    <w:p w14:paraId="0C7EDA1E"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Jensen, M.C. (2003) ‘Paying people to lie: the truth about the budgeting process’, European Financial Management, 9(3), pp. 379–406.</w:t>
      </w:r>
    </w:p>
    <w:p w14:paraId="7982760E"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Kaplan, R.S. and Norton, D.P. (1996). The Balanced Scorecard: Translating Strategy into Action. Boston, MA: Harvard Business School Press.</w:t>
      </w:r>
    </w:p>
    <w:p w14:paraId="1CF7EA07"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Libby, T. and Lindsay, R.M. (2010). Beyond budgeting or budgeting reconsidered? A survey of North-American budgeting practice, Management Accounting Research, 21(1), pp. 56–75.</w:t>
      </w:r>
    </w:p>
    <w:p w14:paraId="6DD9DA98"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Marr, B. (2013). Key Performance Indicators (KPI): The 75 Measures Every Manager Needs to Know. Harlow: Pearson.</w:t>
      </w:r>
    </w:p>
    <w:p w14:paraId="59A3E111"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lastRenderedPageBreak/>
        <w:t>Merchant, K.A. and Van der Stede, W.A. (2017). Management Control Systems: Performance Measurement, Evaluation and Incentives. 4th edn. Harlow: Pearson.</w:t>
      </w:r>
    </w:p>
    <w:p w14:paraId="7EFE4015"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Neely, A., Bourne, M. and Adams, C. (2003) ‘Better budgeting or beyond budgeting?’, Measuring Business Excellence, 7(3), pp. 22–28.</w:t>
      </w:r>
    </w:p>
    <w:p w14:paraId="7AED6FF1"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Otley, D. (1999) ‘Performance management: a framework for management control systems research’, Management Accounting Research, 10(4), pp. 363–382.</w:t>
      </w:r>
    </w:p>
    <w:p w14:paraId="01EC7CBF"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Otley, D. (2016) ‘The contingency theory of management accounting and control: 1980–2014’, Management Accounting Research, 31, pp. 45–62.</w:t>
      </w:r>
    </w:p>
    <w:p w14:paraId="687A592A"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Porter, M.E. (1985) Competitive Advantage: Creating and Sustaining Superior Performance. New York: Free Press.</w:t>
      </w:r>
    </w:p>
    <w:p w14:paraId="38BB9FCA"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Robertson, D. and Williams, J. (2018) ‘Beyond budgeting: a critical review’, Journal of Applied Accounting Research, 19(2), pp. 211–229.</w:t>
      </w:r>
    </w:p>
    <w:p w14:paraId="10EDD8B6"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Seal, W., Garrison, R.H., and Noreen, E.W. (2018). Management Accounting. 6th edn. Maidenhead: McGraw-Hill Education.</w:t>
      </w:r>
    </w:p>
    <w:p w14:paraId="0F9F66CE"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Simons, R. (1995) Levers of Control: How Managers Use Innovative Control Systems to Drive Strategic Renewal. Boston, MA: Harvard Business School Press.</w:t>
      </w:r>
    </w:p>
    <w:p w14:paraId="7137B883"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UK Government (2021) ‘Business statistics and cost pressures: retail and manufacturing’. London: GOV.UK.</w:t>
      </w:r>
    </w:p>
    <w:p w14:paraId="01AE64F7"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Walsh, C. (2008). Key Management Ratios: The 100+ Ratios Every Manager Needs to Know. 4th edn. Harlow: Prentice Hall.</w:t>
      </w:r>
    </w:p>
    <w:p w14:paraId="1A641673" w14:textId="77777777" w:rsidR="00296286" w:rsidRPr="00296286" w:rsidRDefault="00296286" w:rsidP="00296286">
      <w:pPr>
        <w:spacing w:before="100" w:beforeAutospacing="1" w:after="100" w:afterAutospacing="1" w:line="240" w:lineRule="auto"/>
        <w:rPr>
          <w:rFonts w:ascii="Times New Roman" w:eastAsia="Times New Roman" w:hAnsi="Times New Roman"/>
          <w:kern w:val="0"/>
          <w:lang w:eastAsia="en-GB"/>
          <w14:ligatures w14:val="none"/>
        </w:rPr>
      </w:pPr>
      <w:r w:rsidRPr="00296286">
        <w:rPr>
          <w:rFonts w:ascii="Times New Roman" w:eastAsia="Times New Roman" w:hAnsi="Times New Roman"/>
          <w:kern w:val="0"/>
          <w:lang w:eastAsia="en-GB"/>
          <w14:ligatures w14:val="none"/>
        </w:rPr>
        <w:t xml:space="preserve">World Economic Forum (2020) Measuring Stakeholder Capitalism: Towards Common Metrics and Consistent Reporting of Sustainable Value Creation. Available at: </w:t>
      </w:r>
      <w:hyperlink r:id="rId19" w:tgtFrame="_new" w:history="1">
        <w:r w:rsidRPr="00296286">
          <w:rPr>
            <w:rFonts w:ascii="Times New Roman" w:eastAsia="Times New Roman" w:hAnsi="Times New Roman"/>
            <w:color w:val="0000FF"/>
            <w:kern w:val="0"/>
            <w:u w:val="single"/>
            <w:lang w:eastAsia="en-GB"/>
            <w14:ligatures w14:val="none"/>
          </w:rPr>
          <w:t>https://www.weforum.org/publications/measuring-stakeholder-capitalism-towards-common-metrics-and-consistent-reporting-of-sustainable-value-creation/</w:t>
        </w:r>
      </w:hyperlink>
      <w:r w:rsidRPr="00296286">
        <w:rPr>
          <w:rFonts w:ascii="Times New Roman" w:eastAsia="Times New Roman" w:hAnsi="Times New Roman"/>
          <w:kern w:val="0"/>
          <w:lang w:eastAsia="en-GB"/>
          <w14:ligatures w14:val="none"/>
        </w:rPr>
        <w:t xml:space="preserve"> (Accessed: 12 March 2026).</w:t>
      </w:r>
    </w:p>
    <w:p w14:paraId="113E5250" w14:textId="77777777" w:rsidR="00296286" w:rsidRPr="00EB6C0E" w:rsidRDefault="00296286" w:rsidP="00EB6C0E">
      <w:pPr>
        <w:jc w:val="both"/>
        <w:rPr>
          <w:rFonts w:ascii="Arial" w:hAnsi="Arial" w:cs="Arial"/>
        </w:rPr>
      </w:pPr>
    </w:p>
    <w:p w14:paraId="6E5ED396" w14:textId="77777777" w:rsidR="004A3F86" w:rsidRDefault="004A3F86" w:rsidP="00EB6C0E">
      <w:pPr>
        <w:jc w:val="both"/>
        <w:rPr>
          <w:rFonts w:ascii="Arial" w:hAnsi="Arial" w:cs="Arial"/>
        </w:rPr>
      </w:pPr>
    </w:p>
    <w:p w14:paraId="75BE5F60" w14:textId="77777777" w:rsidR="005D58F4" w:rsidRDefault="005D58F4" w:rsidP="00EB6C0E">
      <w:pPr>
        <w:jc w:val="both"/>
        <w:rPr>
          <w:rFonts w:ascii="Arial" w:hAnsi="Arial" w:cs="Arial"/>
        </w:rPr>
      </w:pPr>
    </w:p>
    <w:p w14:paraId="63228CAA" w14:textId="77777777" w:rsidR="005D58F4" w:rsidRDefault="005D58F4" w:rsidP="00EB6C0E">
      <w:pPr>
        <w:jc w:val="both"/>
        <w:rPr>
          <w:rFonts w:ascii="Arial" w:hAnsi="Arial" w:cs="Arial"/>
        </w:rPr>
      </w:pPr>
    </w:p>
    <w:p w14:paraId="150559FE" w14:textId="77777777" w:rsidR="005D58F4" w:rsidRDefault="005D58F4" w:rsidP="00EB6C0E">
      <w:pPr>
        <w:jc w:val="both"/>
        <w:rPr>
          <w:rFonts w:ascii="Arial" w:hAnsi="Arial" w:cs="Arial"/>
        </w:rPr>
      </w:pPr>
    </w:p>
    <w:p w14:paraId="52FD0B50" w14:textId="77777777" w:rsidR="005D58F4" w:rsidRDefault="005D58F4" w:rsidP="00EB6C0E">
      <w:pPr>
        <w:jc w:val="both"/>
        <w:rPr>
          <w:rFonts w:ascii="Arial" w:hAnsi="Arial" w:cs="Arial"/>
        </w:rPr>
      </w:pPr>
    </w:p>
    <w:p w14:paraId="18A53AFB" w14:textId="77777777" w:rsidR="005D58F4" w:rsidRDefault="005D58F4" w:rsidP="00EB6C0E">
      <w:pPr>
        <w:jc w:val="both"/>
        <w:rPr>
          <w:rFonts w:ascii="Arial" w:hAnsi="Arial" w:cs="Arial"/>
        </w:rPr>
      </w:pPr>
    </w:p>
    <w:p w14:paraId="04785B0B" w14:textId="77777777" w:rsidR="005D58F4" w:rsidRDefault="005D58F4" w:rsidP="00EB6C0E">
      <w:pPr>
        <w:jc w:val="both"/>
        <w:rPr>
          <w:rFonts w:ascii="Arial" w:hAnsi="Arial" w:cs="Arial"/>
        </w:rPr>
      </w:pPr>
    </w:p>
    <w:p w14:paraId="2945A791" w14:textId="77777777" w:rsidR="005D58F4" w:rsidRDefault="005D58F4" w:rsidP="00EB6C0E">
      <w:pPr>
        <w:jc w:val="both"/>
        <w:rPr>
          <w:rFonts w:ascii="Arial" w:hAnsi="Arial" w:cs="Arial"/>
        </w:rPr>
      </w:pPr>
    </w:p>
    <w:p w14:paraId="20BF38EC" w14:textId="77777777" w:rsidR="005D58F4" w:rsidRDefault="005D58F4" w:rsidP="00EB6C0E">
      <w:pPr>
        <w:jc w:val="both"/>
        <w:rPr>
          <w:rFonts w:ascii="Arial" w:hAnsi="Arial" w:cs="Arial"/>
        </w:rPr>
      </w:pPr>
    </w:p>
    <w:p w14:paraId="7E0CBA12" w14:textId="77777777" w:rsidR="005D58F4" w:rsidRDefault="005D58F4" w:rsidP="00EB6C0E">
      <w:pPr>
        <w:jc w:val="both"/>
        <w:rPr>
          <w:rFonts w:ascii="Arial" w:hAnsi="Arial" w:cs="Arial"/>
        </w:rPr>
      </w:pPr>
    </w:p>
    <w:p w14:paraId="03E50325" w14:textId="77777777" w:rsidR="005D58F4" w:rsidRDefault="005D58F4" w:rsidP="00EB6C0E">
      <w:pPr>
        <w:jc w:val="both"/>
        <w:rPr>
          <w:rFonts w:ascii="Arial" w:hAnsi="Arial" w:cs="Arial"/>
        </w:rPr>
      </w:pPr>
    </w:p>
    <w:p w14:paraId="1EB053B3" w14:textId="77777777" w:rsidR="005D58F4" w:rsidRDefault="005D58F4" w:rsidP="00EB6C0E">
      <w:pPr>
        <w:jc w:val="both"/>
        <w:rPr>
          <w:rFonts w:ascii="Arial" w:hAnsi="Arial" w:cs="Arial"/>
        </w:rPr>
      </w:pPr>
    </w:p>
    <w:p w14:paraId="48CDBE24" w14:textId="77777777" w:rsidR="005D58F4" w:rsidRDefault="005D58F4" w:rsidP="00EB6C0E">
      <w:pPr>
        <w:jc w:val="both"/>
        <w:rPr>
          <w:rFonts w:ascii="Arial" w:hAnsi="Arial" w:cs="Arial"/>
        </w:rPr>
      </w:pPr>
    </w:p>
    <w:p w14:paraId="45DE1E97" w14:textId="77777777" w:rsidR="005D58F4" w:rsidRDefault="005D58F4" w:rsidP="00EB6C0E">
      <w:pPr>
        <w:jc w:val="both"/>
        <w:rPr>
          <w:rFonts w:ascii="Arial" w:hAnsi="Arial" w:cs="Arial"/>
        </w:rPr>
      </w:pPr>
    </w:p>
    <w:p w14:paraId="32436747" w14:textId="77777777" w:rsidR="005D58F4" w:rsidRDefault="005D58F4" w:rsidP="00EB6C0E">
      <w:pPr>
        <w:jc w:val="both"/>
        <w:rPr>
          <w:rFonts w:ascii="Arial" w:hAnsi="Arial" w:cs="Arial"/>
        </w:rPr>
      </w:pPr>
    </w:p>
    <w:p w14:paraId="7577A411" w14:textId="77777777" w:rsidR="005D58F4" w:rsidRDefault="005D58F4" w:rsidP="00EB6C0E">
      <w:pPr>
        <w:jc w:val="both"/>
        <w:rPr>
          <w:rFonts w:ascii="Arial" w:hAnsi="Arial" w:cs="Arial"/>
        </w:rPr>
      </w:pPr>
    </w:p>
    <w:p w14:paraId="0B0966FA" w14:textId="77777777" w:rsidR="005D58F4" w:rsidRPr="00EB6C0E" w:rsidRDefault="005D58F4" w:rsidP="00EB6C0E">
      <w:pPr>
        <w:jc w:val="both"/>
        <w:rPr>
          <w:rFonts w:ascii="Arial" w:hAnsi="Arial" w:cs="Arial"/>
        </w:rPr>
      </w:pPr>
    </w:p>
    <w:p w14:paraId="4CCC67F3" w14:textId="170C0D07" w:rsidR="004A3F86" w:rsidRPr="00EB6C0E" w:rsidRDefault="004A3F86" w:rsidP="00EB6C0E">
      <w:pPr>
        <w:jc w:val="both"/>
        <w:rPr>
          <w:rFonts w:ascii="Arial" w:hAnsi="Arial" w:cs="Arial"/>
        </w:rPr>
      </w:pPr>
    </w:p>
    <w:sectPr w:rsidR="004A3F86" w:rsidRPr="00EB6C0E">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67E5C" w14:textId="77777777" w:rsidR="008E5385" w:rsidRDefault="008E5385" w:rsidP="00B773B0">
      <w:pPr>
        <w:spacing w:after="0" w:line="240" w:lineRule="auto"/>
      </w:pPr>
      <w:r>
        <w:separator/>
      </w:r>
    </w:p>
  </w:endnote>
  <w:endnote w:type="continuationSeparator" w:id="0">
    <w:p w14:paraId="0E4970FB" w14:textId="77777777" w:rsidR="008E5385" w:rsidRDefault="008E5385" w:rsidP="00B77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56AC7" w14:textId="77777777" w:rsidR="00B773B0" w:rsidRDefault="00B773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BC679" w14:textId="77777777" w:rsidR="00B773B0" w:rsidRDefault="00B773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BEFD8" w14:textId="77777777" w:rsidR="00B773B0" w:rsidRDefault="00B773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38B63" w14:textId="77777777" w:rsidR="008E5385" w:rsidRDefault="008E5385" w:rsidP="00B773B0">
      <w:pPr>
        <w:spacing w:after="0" w:line="240" w:lineRule="auto"/>
      </w:pPr>
      <w:r>
        <w:separator/>
      </w:r>
    </w:p>
  </w:footnote>
  <w:footnote w:type="continuationSeparator" w:id="0">
    <w:p w14:paraId="25209F78" w14:textId="77777777" w:rsidR="008E5385" w:rsidRDefault="008E5385" w:rsidP="00B773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3C8BA" w14:textId="77777777" w:rsidR="00B773B0" w:rsidRDefault="00B773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3634D" w14:textId="77777777" w:rsidR="00B773B0" w:rsidRDefault="00B773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C1C7E" w14:textId="77777777" w:rsidR="00B773B0" w:rsidRDefault="00B773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A35D4"/>
    <w:multiLevelType w:val="hybridMultilevel"/>
    <w:tmpl w:val="6EB48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FF76D6"/>
    <w:multiLevelType w:val="hybridMultilevel"/>
    <w:tmpl w:val="9D5A1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C5577"/>
    <w:multiLevelType w:val="hybridMultilevel"/>
    <w:tmpl w:val="CE309E5E"/>
    <w:lvl w:ilvl="0" w:tplc="2FD8D8E8">
      <w:start w:val="1"/>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730D06"/>
    <w:multiLevelType w:val="hybridMultilevel"/>
    <w:tmpl w:val="C360C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B30EC8"/>
    <w:multiLevelType w:val="hybridMultilevel"/>
    <w:tmpl w:val="6FFEB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CD10EE"/>
    <w:multiLevelType w:val="hybridMultilevel"/>
    <w:tmpl w:val="39607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E926D3"/>
    <w:multiLevelType w:val="hybridMultilevel"/>
    <w:tmpl w:val="A99C6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E23A4A"/>
    <w:multiLevelType w:val="hybridMultilevel"/>
    <w:tmpl w:val="D8C21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9695935">
    <w:abstractNumId w:val="6"/>
  </w:num>
  <w:num w:numId="2" w16cid:durableId="862590020">
    <w:abstractNumId w:val="2"/>
  </w:num>
  <w:num w:numId="3" w16cid:durableId="388529852">
    <w:abstractNumId w:val="3"/>
  </w:num>
  <w:num w:numId="4" w16cid:durableId="970551261">
    <w:abstractNumId w:val="4"/>
  </w:num>
  <w:num w:numId="5" w16cid:durableId="554001680">
    <w:abstractNumId w:val="5"/>
  </w:num>
  <w:num w:numId="6" w16cid:durableId="514616801">
    <w:abstractNumId w:val="1"/>
  </w:num>
  <w:num w:numId="7" w16cid:durableId="1321228564">
    <w:abstractNumId w:val="0"/>
  </w:num>
  <w:num w:numId="8" w16cid:durableId="5759409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325"/>
    <w:rsid w:val="00062EAB"/>
    <w:rsid w:val="00083B4F"/>
    <w:rsid w:val="000A6DD3"/>
    <w:rsid w:val="000D3031"/>
    <w:rsid w:val="00182162"/>
    <w:rsid w:val="001D0ACB"/>
    <w:rsid w:val="001D7B37"/>
    <w:rsid w:val="00243CAC"/>
    <w:rsid w:val="00253969"/>
    <w:rsid w:val="00286325"/>
    <w:rsid w:val="00296286"/>
    <w:rsid w:val="002C210D"/>
    <w:rsid w:val="002F0B77"/>
    <w:rsid w:val="00337E69"/>
    <w:rsid w:val="00366F1E"/>
    <w:rsid w:val="003F7D09"/>
    <w:rsid w:val="004073EC"/>
    <w:rsid w:val="00424FD0"/>
    <w:rsid w:val="0043223E"/>
    <w:rsid w:val="00437CFA"/>
    <w:rsid w:val="00455B35"/>
    <w:rsid w:val="004579A4"/>
    <w:rsid w:val="004A3F86"/>
    <w:rsid w:val="0053699D"/>
    <w:rsid w:val="0056081A"/>
    <w:rsid w:val="00560BB7"/>
    <w:rsid w:val="00582CFF"/>
    <w:rsid w:val="005B335B"/>
    <w:rsid w:val="005D58F4"/>
    <w:rsid w:val="005E6793"/>
    <w:rsid w:val="00635FAC"/>
    <w:rsid w:val="00646A5B"/>
    <w:rsid w:val="00646BE5"/>
    <w:rsid w:val="006A366A"/>
    <w:rsid w:val="006B4EB2"/>
    <w:rsid w:val="006C6FDE"/>
    <w:rsid w:val="00710AE1"/>
    <w:rsid w:val="00834CC8"/>
    <w:rsid w:val="008533D8"/>
    <w:rsid w:val="008A1C79"/>
    <w:rsid w:val="008E5385"/>
    <w:rsid w:val="009F2156"/>
    <w:rsid w:val="009F5CE9"/>
    <w:rsid w:val="009F7477"/>
    <w:rsid w:val="00A22213"/>
    <w:rsid w:val="00A61862"/>
    <w:rsid w:val="00A67ADF"/>
    <w:rsid w:val="00A84310"/>
    <w:rsid w:val="00AC6C6B"/>
    <w:rsid w:val="00B10DDE"/>
    <w:rsid w:val="00B451C5"/>
    <w:rsid w:val="00B773B0"/>
    <w:rsid w:val="00B95D14"/>
    <w:rsid w:val="00BE1435"/>
    <w:rsid w:val="00C35797"/>
    <w:rsid w:val="00D23569"/>
    <w:rsid w:val="00D83168"/>
    <w:rsid w:val="00DA3A78"/>
    <w:rsid w:val="00DD57CA"/>
    <w:rsid w:val="00EB6C0E"/>
    <w:rsid w:val="00F01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B2275"/>
  <w15:chartTrackingRefBased/>
  <w15:docId w15:val="{1F7D60F2-629B-4CAE-A5DD-3A64B95BA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435"/>
    <w:pPr>
      <w:spacing w:line="276" w:lineRule="auto"/>
    </w:pPr>
    <w:rPr>
      <w:rFonts w:ascii="Aptos" w:eastAsia="Aptos" w:hAnsi="Aptos" w:cs="Times New Roman"/>
    </w:rPr>
  </w:style>
  <w:style w:type="paragraph" w:styleId="Heading1">
    <w:name w:val="heading 1"/>
    <w:basedOn w:val="Normal"/>
    <w:next w:val="Normal"/>
    <w:link w:val="Heading1Char"/>
    <w:uiPriority w:val="9"/>
    <w:qFormat/>
    <w:rsid w:val="00286325"/>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6325"/>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6325"/>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6325"/>
    <w:pPr>
      <w:keepNext/>
      <w:keepLines/>
      <w:spacing w:before="80" w:after="40" w:line="278" w:lineRule="auto"/>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86325"/>
    <w:pPr>
      <w:keepNext/>
      <w:keepLines/>
      <w:spacing w:before="80" w:after="40" w:line="278" w:lineRule="auto"/>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86325"/>
    <w:pPr>
      <w:keepNext/>
      <w:keepLines/>
      <w:spacing w:before="40" w:after="0" w:line="278" w:lineRule="auto"/>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86325"/>
    <w:pPr>
      <w:keepNext/>
      <w:keepLines/>
      <w:spacing w:before="40" w:after="0" w:line="278" w:lineRule="auto"/>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86325"/>
    <w:pPr>
      <w:keepNext/>
      <w:keepLines/>
      <w:spacing w:after="0" w:line="278" w:lineRule="auto"/>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86325"/>
    <w:pPr>
      <w:keepNext/>
      <w:keepLines/>
      <w:spacing w:after="0" w:line="278" w:lineRule="auto"/>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3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63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3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3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3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3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3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3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325"/>
    <w:rPr>
      <w:rFonts w:eastAsiaTheme="majorEastAsia" w:cstheme="majorBidi"/>
      <w:color w:val="272727" w:themeColor="text1" w:themeTint="D8"/>
    </w:rPr>
  </w:style>
  <w:style w:type="paragraph" w:styleId="Title">
    <w:name w:val="Title"/>
    <w:basedOn w:val="Normal"/>
    <w:next w:val="Normal"/>
    <w:link w:val="TitleChar"/>
    <w:uiPriority w:val="10"/>
    <w:qFormat/>
    <w:rsid w:val="002863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3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325"/>
    <w:pPr>
      <w:numPr>
        <w:ilvl w:val="1"/>
      </w:numPr>
      <w:spacing w:line="278"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3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325"/>
    <w:pPr>
      <w:spacing w:before="160" w:line="278" w:lineRule="auto"/>
      <w:jc w:val="center"/>
    </w:pPr>
    <w:rPr>
      <w:rFonts w:asciiTheme="minorHAnsi" w:eastAsiaTheme="minorHAnsi" w:hAnsiTheme="minorHAnsi" w:cstheme="minorBidi"/>
      <w:i/>
      <w:iCs/>
      <w:color w:val="404040" w:themeColor="text1" w:themeTint="BF"/>
    </w:rPr>
  </w:style>
  <w:style w:type="character" w:customStyle="1" w:styleId="QuoteChar">
    <w:name w:val="Quote Char"/>
    <w:basedOn w:val="DefaultParagraphFont"/>
    <w:link w:val="Quote"/>
    <w:uiPriority w:val="29"/>
    <w:rsid w:val="00286325"/>
    <w:rPr>
      <w:i/>
      <w:iCs/>
      <w:color w:val="404040" w:themeColor="text1" w:themeTint="BF"/>
    </w:rPr>
  </w:style>
  <w:style w:type="paragraph" w:styleId="ListParagraph">
    <w:name w:val="List Paragraph"/>
    <w:basedOn w:val="Normal"/>
    <w:uiPriority w:val="34"/>
    <w:qFormat/>
    <w:rsid w:val="00286325"/>
    <w:pPr>
      <w:spacing w:line="278" w:lineRule="auto"/>
      <w:ind w:left="720"/>
      <w:contextualSpacing/>
    </w:pPr>
    <w:rPr>
      <w:rFonts w:asciiTheme="minorHAnsi" w:eastAsiaTheme="minorHAnsi" w:hAnsiTheme="minorHAnsi" w:cstheme="minorBidi"/>
    </w:rPr>
  </w:style>
  <w:style w:type="character" w:styleId="IntenseEmphasis">
    <w:name w:val="Intense Emphasis"/>
    <w:basedOn w:val="DefaultParagraphFont"/>
    <w:uiPriority w:val="21"/>
    <w:qFormat/>
    <w:rsid w:val="00286325"/>
    <w:rPr>
      <w:i/>
      <w:iCs/>
      <w:color w:val="0F4761" w:themeColor="accent1" w:themeShade="BF"/>
    </w:rPr>
  </w:style>
  <w:style w:type="paragraph" w:styleId="IntenseQuote">
    <w:name w:val="Intense Quote"/>
    <w:basedOn w:val="Normal"/>
    <w:next w:val="Normal"/>
    <w:link w:val="IntenseQuoteChar"/>
    <w:uiPriority w:val="30"/>
    <w:qFormat/>
    <w:rsid w:val="0028632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rPr>
  </w:style>
  <w:style w:type="character" w:customStyle="1" w:styleId="IntenseQuoteChar">
    <w:name w:val="Intense Quote Char"/>
    <w:basedOn w:val="DefaultParagraphFont"/>
    <w:link w:val="IntenseQuote"/>
    <w:uiPriority w:val="30"/>
    <w:rsid w:val="00286325"/>
    <w:rPr>
      <w:i/>
      <w:iCs/>
      <w:color w:val="0F4761" w:themeColor="accent1" w:themeShade="BF"/>
    </w:rPr>
  </w:style>
  <w:style w:type="character" w:styleId="IntenseReference">
    <w:name w:val="Intense Reference"/>
    <w:basedOn w:val="DefaultParagraphFont"/>
    <w:uiPriority w:val="32"/>
    <w:qFormat/>
    <w:rsid w:val="00286325"/>
    <w:rPr>
      <w:b/>
      <w:bCs/>
      <w:smallCaps/>
      <w:color w:val="0F4761" w:themeColor="accent1" w:themeShade="BF"/>
      <w:spacing w:val="5"/>
    </w:rPr>
  </w:style>
  <w:style w:type="paragraph" w:styleId="TOCHeading">
    <w:name w:val="TOC Heading"/>
    <w:basedOn w:val="Heading1"/>
    <w:next w:val="Normal"/>
    <w:uiPriority w:val="39"/>
    <w:unhideWhenUsed/>
    <w:qFormat/>
    <w:rsid w:val="00424FD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B6C0E"/>
    <w:pPr>
      <w:spacing w:after="100"/>
    </w:pPr>
  </w:style>
  <w:style w:type="paragraph" w:styleId="TOC2">
    <w:name w:val="toc 2"/>
    <w:basedOn w:val="Normal"/>
    <w:next w:val="Normal"/>
    <w:autoRedefine/>
    <w:uiPriority w:val="39"/>
    <w:unhideWhenUsed/>
    <w:rsid w:val="00EB6C0E"/>
    <w:pPr>
      <w:spacing w:after="100"/>
      <w:ind w:left="240"/>
    </w:pPr>
  </w:style>
  <w:style w:type="character" w:styleId="Hyperlink">
    <w:name w:val="Hyperlink"/>
    <w:basedOn w:val="DefaultParagraphFont"/>
    <w:uiPriority w:val="99"/>
    <w:unhideWhenUsed/>
    <w:rsid w:val="00EB6C0E"/>
    <w:rPr>
      <w:color w:val="467886" w:themeColor="hyperlink"/>
      <w:u w:val="single"/>
    </w:rPr>
  </w:style>
  <w:style w:type="paragraph" w:styleId="Header">
    <w:name w:val="header"/>
    <w:basedOn w:val="Normal"/>
    <w:link w:val="HeaderChar"/>
    <w:uiPriority w:val="99"/>
    <w:unhideWhenUsed/>
    <w:rsid w:val="00B773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3B0"/>
    <w:rPr>
      <w:rFonts w:ascii="Aptos" w:eastAsia="Aptos" w:hAnsi="Aptos" w:cs="Times New Roman"/>
    </w:rPr>
  </w:style>
  <w:style w:type="paragraph" w:styleId="Footer">
    <w:name w:val="footer"/>
    <w:basedOn w:val="Normal"/>
    <w:link w:val="FooterChar"/>
    <w:uiPriority w:val="99"/>
    <w:unhideWhenUsed/>
    <w:rsid w:val="00B773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3B0"/>
    <w:rPr>
      <w:rFonts w:ascii="Aptos" w:eastAsia="Aptos" w:hAnsi="Apto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c.europa.eu/finance/docs/policy/190618-climate-related-information-reporting-guidelines_en.pdf?utm_source=chatgpt.com" TargetMode="External"/><Relationship Id="rId18" Type="http://schemas.openxmlformats.org/officeDocument/2006/relationships/hyperlink" Target="https://www.ifrs.org/issued-standards/list-of-standards/conceptual-framework/?utm_source=chatgpt.c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s://www.accaglobal.com/learning-and-events/financial-management/advanced-budgeting-planning-forecasting.html?utm_source=chatgpt.com" TargetMode="External"/><Relationship Id="rId17" Type="http://schemas.openxmlformats.org/officeDocument/2006/relationships/hyperlink" Target="https://www.imanet.org/-/media/c91d297df90e4ad090ac72289b26099c.ashx?utm_source=chatgpt.com"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imanet.org/-/media/c91d297df90e4ad090ac72289b26099c.ashx?utm_source=chatgpt.co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icaew.com/technical/corporate-finance/business-finance-guide/more-information/managing-your-cashflow?utm_source=chatgpt.com" TargetMode="External"/><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hyperlink" Target="https://www.weforum.org/publications/measuring-stakeholder-capitalism-towards-common-metrics-and-consistent-reporting-of-sustainable-value-creation/?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frc.org.uk/library/standards-codes-policy/corporate-governance/corporate-governance-overview/?utm_source=chatgpt.com"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1400</TotalTime>
  <Pages>1</Pages>
  <Words>5318</Words>
  <Characters>30319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Andreea-Mihaela Tanasa (2332157)</dc:creator>
  <cp:keywords/>
  <dc:description/>
  <cp:lastModifiedBy>Andreea-Mihaela Tanasa (2332157)</cp:lastModifiedBy>
  <cp:revision>13</cp:revision>
  <dcterms:created xsi:type="dcterms:W3CDTF">2026-03-03T13:01:00Z</dcterms:created>
  <dcterms:modified xsi:type="dcterms:W3CDTF">2026-03-19T20:22:00Z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22c06a62-511b-4515-bbe3-d4741de80f1f</vt:lpwstr>
  </property>
</Properties>
</file>