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F75" w:rsidRDefault="00A41F75" w:rsidP="00A41F75">
      <w:pPr>
        <w:rPr>
          <w:rFonts w:cstheme="minorHAnsi"/>
          <w:b/>
          <w:bCs/>
          <w:shd w:val="clear" w:color="auto" w:fill="FFFFFF"/>
        </w:rPr>
      </w:pPr>
      <w:r w:rsidRPr="00F734BF">
        <w:rPr>
          <w:rFonts w:cstheme="minorHAnsi"/>
          <w:b/>
          <w:bCs/>
          <w:shd w:val="clear" w:color="auto" w:fill="FFFFFF"/>
        </w:rPr>
        <w:t>What idea is Merleau-Ponty referring to when he speaks of an ‘inner man’? What does he think is wrong in that idea?</w:t>
      </w:r>
    </w:p>
    <w:p w:rsidR="00A41F75" w:rsidRDefault="00A41F75" w:rsidP="00A41F75">
      <w:pPr>
        <w:rPr>
          <w:rFonts w:cstheme="minorHAnsi"/>
          <w:shd w:val="clear" w:color="auto" w:fill="FFFFFF"/>
        </w:rPr>
      </w:pPr>
      <w:r>
        <w:rPr>
          <w:rFonts w:cstheme="minorHAnsi"/>
          <w:shd w:val="clear" w:color="auto" w:fill="FFFFFF"/>
        </w:rPr>
        <w:t>To answer both these questions, I shall address the first with discussion of St. Augustine and his conception of the ‘inner man’ which is what Merleau-Ponty refers to when he writes about the ‘inner man.’ To address the second question, I will discuss Merleau-Ponty’s view of the individual as a bodily being, in contrast to a dualist Cartesian viewpoint and to a materialist monism viewpoint.</w:t>
      </w:r>
    </w:p>
    <w:p w:rsidR="00A41F75" w:rsidRDefault="00A41F75" w:rsidP="00A41F75">
      <w:pPr>
        <w:rPr>
          <w:rFonts w:cstheme="minorHAnsi"/>
          <w:shd w:val="clear" w:color="auto" w:fill="FFFFFF"/>
        </w:rPr>
      </w:pPr>
      <w:r>
        <w:rPr>
          <w:rFonts w:cstheme="minorHAnsi"/>
          <w:shd w:val="clear" w:color="auto" w:fill="FFFFFF"/>
        </w:rPr>
        <w:t xml:space="preserve">In the preface to </w:t>
      </w:r>
      <w:r w:rsidRPr="003A22EB">
        <w:rPr>
          <w:rFonts w:cstheme="minorHAnsi"/>
          <w:i/>
          <w:iCs/>
          <w:shd w:val="clear" w:color="auto" w:fill="FFFFFF"/>
        </w:rPr>
        <w:t>Phenomenology of Perception</w:t>
      </w:r>
      <w:r>
        <w:rPr>
          <w:rStyle w:val="FootnoteReference"/>
          <w:rFonts w:cstheme="minorHAnsi"/>
          <w:i/>
          <w:iCs/>
          <w:shd w:val="clear" w:color="auto" w:fill="FFFFFF"/>
        </w:rPr>
        <w:footnoteReference w:id="1"/>
      </w:r>
      <w:r>
        <w:rPr>
          <w:rFonts w:cstheme="minorHAnsi"/>
          <w:shd w:val="clear" w:color="auto" w:fill="FFFFFF"/>
        </w:rPr>
        <w:t>, Merleau-Ponty introduces the idea of the ‘inner man’ in discussion about how one perceives the world and reflects on those perceptions.</w:t>
      </w:r>
      <w:r>
        <w:rPr>
          <w:rStyle w:val="FootnoteReference"/>
          <w:rFonts w:cstheme="minorHAnsi"/>
          <w:shd w:val="clear" w:color="auto" w:fill="FFFFFF"/>
        </w:rPr>
        <w:footnoteReference w:id="2"/>
      </w:r>
      <w:r>
        <w:rPr>
          <w:rFonts w:cstheme="minorHAnsi"/>
          <w:shd w:val="clear" w:color="auto" w:fill="FFFFFF"/>
        </w:rPr>
        <w:t xml:space="preserve"> Merleau-Ponty describes the ‘inner man’ as an analogy for the self, seen as something internal to the body. Under this model, reflection is an internal process that creates a subjective view of the world for the individual based on their perception.</w:t>
      </w:r>
      <w:r>
        <w:rPr>
          <w:rStyle w:val="FootnoteReference"/>
          <w:rFonts w:cstheme="minorHAnsi"/>
          <w:shd w:val="clear" w:color="auto" w:fill="FFFFFF"/>
        </w:rPr>
        <w:footnoteReference w:id="3"/>
      </w:r>
    </w:p>
    <w:p w:rsidR="00A41F75" w:rsidRDefault="00A41F75" w:rsidP="00A41F75">
      <w:pPr>
        <w:rPr>
          <w:rFonts w:cstheme="minorHAnsi"/>
          <w:shd w:val="clear" w:color="auto" w:fill="FFFFFF"/>
        </w:rPr>
      </w:pPr>
      <w:r>
        <w:rPr>
          <w:rFonts w:cstheme="minorHAnsi"/>
          <w:shd w:val="clear" w:color="auto" w:fill="FFFFFF"/>
        </w:rPr>
        <w:t>To better understand the concept of the ‘inner man,’ I shall examine how Augustine presents it. Augustine presents the concept of an ‘inner man’ as the thinking being that exists inside the body. It is the ‘inner man’ that forms thoughts and intentions that control the body.</w:t>
      </w:r>
      <w:r>
        <w:rPr>
          <w:rStyle w:val="FootnoteReference"/>
          <w:rFonts w:cstheme="minorHAnsi"/>
          <w:shd w:val="clear" w:color="auto" w:fill="FFFFFF"/>
        </w:rPr>
        <w:footnoteReference w:id="4"/>
      </w:r>
      <w:r>
        <w:rPr>
          <w:rFonts w:cstheme="minorHAnsi"/>
          <w:shd w:val="clear" w:color="auto" w:fill="FFFFFF"/>
        </w:rPr>
        <w:t xml:space="preserve"> Crucial to this view is Augustine’s belief that man consists of body and soul, and that the soul is the more important of the two. For Augustine, the expression ‘inner man’ therefore refers to the soul, whereas the term “’outer man’ is correspondingly to make explicit reference to the body alone.”</w:t>
      </w:r>
      <w:r>
        <w:rPr>
          <w:rStyle w:val="FootnoteReference"/>
          <w:rFonts w:cstheme="minorHAnsi"/>
          <w:shd w:val="clear" w:color="auto" w:fill="FFFFFF"/>
        </w:rPr>
        <w:footnoteReference w:id="5"/>
      </w:r>
    </w:p>
    <w:p w:rsidR="00A41F75" w:rsidRDefault="00A41F75" w:rsidP="00A41F75">
      <w:pPr>
        <w:rPr>
          <w:rFonts w:cstheme="minorHAnsi"/>
          <w:shd w:val="clear" w:color="auto" w:fill="FFFFFF"/>
        </w:rPr>
      </w:pPr>
      <w:r>
        <w:rPr>
          <w:rFonts w:cstheme="minorHAnsi"/>
          <w:shd w:val="clear" w:color="auto" w:fill="FFFFFF"/>
        </w:rPr>
        <w:t xml:space="preserve">From this, we can surmise that Merleau-Ponty was referring to an ‘inner man’ as illustrative for a concept of man being not his body, but existing inside a bodily form. This ‘inner man’ is a reflecting being, but also somewhat detached from the material world that the body, the ‘outer man’ is perceiving. Merleau-Ponty believes this description of how </w:t>
      </w:r>
      <w:proofErr w:type="spellStart"/>
      <w:r>
        <w:rPr>
          <w:rFonts w:cstheme="minorHAnsi"/>
          <w:shd w:val="clear" w:color="auto" w:fill="FFFFFF"/>
        </w:rPr>
        <w:t>man</w:t>
      </w:r>
      <w:proofErr w:type="spellEnd"/>
      <w:r>
        <w:rPr>
          <w:rFonts w:cstheme="minorHAnsi"/>
          <w:shd w:val="clear" w:color="auto" w:fill="FFFFFF"/>
        </w:rPr>
        <w:t xml:space="preserve"> forms reflections about the world he perceives to be incorrect.</w:t>
      </w:r>
      <w:r>
        <w:rPr>
          <w:rStyle w:val="FootnoteReference"/>
          <w:rFonts w:cstheme="minorHAnsi"/>
          <w:shd w:val="clear" w:color="auto" w:fill="FFFFFF"/>
        </w:rPr>
        <w:footnoteReference w:id="6"/>
      </w:r>
      <w:r>
        <w:rPr>
          <w:rFonts w:cstheme="minorHAnsi"/>
          <w:shd w:val="clear" w:color="auto" w:fill="FFFFFF"/>
        </w:rPr>
        <w:t xml:space="preserve"> He describes his idea as one which is </w:t>
      </w:r>
      <w:bookmarkStart w:id="2" w:name="_Hlk26541918"/>
      <w:r>
        <w:rPr>
          <w:rFonts w:cstheme="minorHAnsi"/>
          <w:shd w:val="clear" w:color="auto" w:fill="FFFFFF"/>
        </w:rPr>
        <w:t>“</w:t>
      </w:r>
      <w:r w:rsidRPr="00B5306B">
        <w:rPr>
          <w:rFonts w:cstheme="minorHAnsi"/>
          <w:shd w:val="clear" w:color="auto" w:fill="FFFFFF"/>
        </w:rPr>
        <w:t>an incomplete form of reflection which loses sight of its own beginning</w:t>
      </w:r>
      <w:r>
        <w:rPr>
          <w:rFonts w:cstheme="minorHAnsi"/>
          <w:shd w:val="clear" w:color="auto" w:fill="FFFFFF"/>
        </w:rPr>
        <w:t>.”</w:t>
      </w:r>
      <w:r>
        <w:rPr>
          <w:rStyle w:val="FootnoteReference"/>
          <w:rFonts w:cstheme="minorHAnsi"/>
          <w:shd w:val="clear" w:color="auto" w:fill="FFFFFF"/>
        </w:rPr>
        <w:footnoteReference w:id="7"/>
      </w:r>
      <w:r>
        <w:rPr>
          <w:rFonts w:cstheme="minorHAnsi"/>
          <w:shd w:val="clear" w:color="auto" w:fill="FFFFFF"/>
        </w:rPr>
        <w:t xml:space="preserve"> </w:t>
      </w:r>
      <w:bookmarkEnd w:id="2"/>
      <w:r>
        <w:rPr>
          <w:rFonts w:cstheme="minorHAnsi"/>
          <w:shd w:val="clear" w:color="auto" w:fill="FFFFFF"/>
        </w:rPr>
        <w:t xml:space="preserve">To understand what Merleau-Ponty means by this, I shall examine this extract with reference to Matthews’ </w:t>
      </w:r>
      <w:r>
        <w:rPr>
          <w:rFonts w:cstheme="minorHAnsi"/>
          <w:i/>
          <w:iCs/>
          <w:shd w:val="clear" w:color="auto" w:fill="FFFFFF"/>
        </w:rPr>
        <w:t>The philosophy of Merleau-Ponty.</w:t>
      </w:r>
      <w:r>
        <w:rPr>
          <w:rStyle w:val="FootnoteReference"/>
          <w:rFonts w:cstheme="minorHAnsi"/>
          <w:i/>
          <w:iCs/>
          <w:shd w:val="clear" w:color="auto" w:fill="FFFFFF"/>
        </w:rPr>
        <w:footnoteReference w:id="8"/>
      </w:r>
      <w:r>
        <w:rPr>
          <w:rFonts w:cstheme="minorHAnsi"/>
          <w:i/>
          <w:iCs/>
          <w:shd w:val="clear" w:color="auto" w:fill="FFFFFF"/>
        </w:rPr>
        <w:t xml:space="preserve"> </w:t>
      </w:r>
    </w:p>
    <w:p w:rsidR="00A41F75" w:rsidRDefault="00A41F75" w:rsidP="00A41F75">
      <w:pPr>
        <w:rPr>
          <w:rFonts w:cstheme="minorHAnsi"/>
          <w:shd w:val="clear" w:color="auto" w:fill="FFFFFF"/>
        </w:rPr>
      </w:pPr>
      <w:r>
        <w:rPr>
          <w:rFonts w:cstheme="minorHAnsi"/>
          <w:shd w:val="clear" w:color="auto" w:fill="FFFFFF"/>
        </w:rPr>
        <w:t>By describing a view of the world from the perspective of an ‘inner man’ as “</w:t>
      </w:r>
      <w:r w:rsidRPr="00B5306B">
        <w:rPr>
          <w:rFonts w:cstheme="minorHAnsi"/>
          <w:shd w:val="clear" w:color="auto" w:fill="FFFFFF"/>
        </w:rPr>
        <w:t>an incomplete form of reflection which loses sight of its own beginning</w:t>
      </w:r>
      <w:r>
        <w:rPr>
          <w:rFonts w:cstheme="minorHAnsi"/>
          <w:shd w:val="clear" w:color="auto" w:fill="FFFFFF"/>
        </w:rPr>
        <w:t>.”</w:t>
      </w:r>
      <w:r>
        <w:rPr>
          <w:rStyle w:val="FootnoteReference"/>
          <w:rFonts w:cstheme="minorHAnsi"/>
          <w:shd w:val="clear" w:color="auto" w:fill="FFFFFF"/>
        </w:rPr>
        <w:footnoteReference w:id="9"/>
      </w:r>
      <w:r>
        <w:rPr>
          <w:rFonts w:cstheme="minorHAnsi"/>
          <w:shd w:val="clear" w:color="auto" w:fill="FFFFFF"/>
        </w:rPr>
        <w:t xml:space="preserve"> Merleau-Ponty is acknowledging that human beings are not purely mental beings, but that they are also bodily beings. We exist in the world, rather than existing apart from the world and contemplating it from afar. The physical world is something that we inhabit.</w:t>
      </w:r>
      <w:r>
        <w:rPr>
          <w:rStyle w:val="FootnoteReference"/>
          <w:rFonts w:cstheme="minorHAnsi"/>
          <w:shd w:val="clear" w:color="auto" w:fill="FFFFFF"/>
        </w:rPr>
        <w:footnoteReference w:id="10"/>
      </w:r>
      <w:r>
        <w:rPr>
          <w:rFonts w:cstheme="minorHAnsi"/>
          <w:shd w:val="clear" w:color="auto" w:fill="FFFFFF"/>
        </w:rPr>
        <w:t xml:space="preserve"> This relates to us being subjects that are in the world, and our experience of “being in the world”</w:t>
      </w:r>
      <w:r>
        <w:rPr>
          <w:rStyle w:val="FootnoteReference"/>
          <w:rFonts w:cstheme="minorHAnsi"/>
          <w:shd w:val="clear" w:color="auto" w:fill="FFFFFF"/>
        </w:rPr>
        <w:footnoteReference w:id="11"/>
      </w:r>
      <w:r>
        <w:rPr>
          <w:rFonts w:cstheme="minorHAnsi"/>
          <w:shd w:val="clear" w:color="auto" w:fill="FFFFFF"/>
        </w:rPr>
        <w:t xml:space="preserve"> rather than being separated from it as an ‘inner man’ would suggest. This relates to Merleau-Ponty’s “body-subject”</w:t>
      </w:r>
      <w:r>
        <w:rPr>
          <w:rStyle w:val="FootnoteReference"/>
          <w:rFonts w:cstheme="minorHAnsi"/>
          <w:shd w:val="clear" w:color="auto" w:fill="FFFFFF"/>
        </w:rPr>
        <w:footnoteReference w:id="12"/>
      </w:r>
      <w:r>
        <w:rPr>
          <w:rFonts w:cstheme="minorHAnsi"/>
          <w:shd w:val="clear" w:color="auto" w:fill="FFFFFF"/>
        </w:rPr>
        <w:t xml:space="preserve"> account for how we exist in the world. </w:t>
      </w:r>
    </w:p>
    <w:p w:rsidR="00A41F75" w:rsidRDefault="00A41F75" w:rsidP="00A41F75">
      <w:pPr>
        <w:rPr>
          <w:rFonts w:cstheme="minorHAnsi"/>
          <w:shd w:val="clear" w:color="auto" w:fill="FFFFFF"/>
        </w:rPr>
      </w:pPr>
      <w:r>
        <w:rPr>
          <w:rFonts w:cstheme="minorHAnsi"/>
          <w:shd w:val="clear" w:color="auto" w:fill="FFFFFF"/>
        </w:rPr>
        <w:lastRenderedPageBreak/>
        <w:t>This account is one which incorporates the subjective mind as embodied as a person in a human body inhabiting the physical world. This “body-subject” description of the self is one which explains how we have direct experience in the world, but still form a subjective experience. It does so in a way that the ‘inner man’ account of our existence does not achieve, as it emphasises a detachment from the world rather than a relationship that is interactive with the world.</w:t>
      </w:r>
      <w:r>
        <w:rPr>
          <w:rStyle w:val="FootnoteReference"/>
          <w:rFonts w:cstheme="minorHAnsi"/>
          <w:shd w:val="clear" w:color="auto" w:fill="FFFFFF"/>
        </w:rPr>
        <w:footnoteReference w:id="13"/>
      </w:r>
    </w:p>
    <w:p w:rsidR="00A41F75" w:rsidRDefault="00A41F75" w:rsidP="00A41F75">
      <w:pPr>
        <w:rPr>
          <w:rFonts w:cstheme="minorHAnsi"/>
          <w:shd w:val="clear" w:color="auto" w:fill="FFFFFF"/>
        </w:rPr>
      </w:pPr>
      <w:r>
        <w:rPr>
          <w:rFonts w:cstheme="minorHAnsi"/>
          <w:shd w:val="clear" w:color="auto" w:fill="FFFFFF"/>
        </w:rPr>
        <w:t>For Merleau-Ponty, human beings are not pure consciousness as the idea of the ‘inner man’ suggests, but a body. Without this embodiment, it would not be possible for people to experience the world as conscious being, as this connection with the world is reached with the body, for example, without a nervous system we could not feel the world, and without eyes we could not see the world. In short, what allows us, as human beings, to form conscious experiences with the world is our physicality.</w:t>
      </w:r>
      <w:r>
        <w:rPr>
          <w:rStyle w:val="FootnoteReference"/>
          <w:rFonts w:cstheme="minorHAnsi"/>
          <w:shd w:val="clear" w:color="auto" w:fill="FFFFFF"/>
        </w:rPr>
        <w:footnoteReference w:id="14"/>
      </w:r>
    </w:p>
    <w:p w:rsidR="00A41F75" w:rsidRDefault="00A41F75" w:rsidP="00A41F75">
      <w:pPr>
        <w:rPr>
          <w:rFonts w:cstheme="minorHAnsi"/>
          <w:shd w:val="clear" w:color="auto" w:fill="FFFFFF"/>
        </w:rPr>
      </w:pPr>
      <w:r>
        <w:rPr>
          <w:rFonts w:cstheme="minorHAnsi"/>
          <w:shd w:val="clear" w:color="auto" w:fill="FFFFFF"/>
        </w:rPr>
        <w:t>Now Merleau-Ponty’s view of the “body-subject” has been outlined, it is important to scrutinise this idea. In one sense, Merleau-Ponty’s rejection of an ‘inner man’ paints him to have a materialist stance in so much as he appeals to the body as crucial to what makes up the human experience. However, although the body is crucial and not to be underestimated or discredited like a Cartesian approach would, it is not the only important part to the human experience.</w:t>
      </w:r>
      <w:r>
        <w:rPr>
          <w:rStyle w:val="FootnoteReference"/>
          <w:rFonts w:cstheme="minorHAnsi"/>
          <w:shd w:val="clear" w:color="auto" w:fill="FFFFFF"/>
        </w:rPr>
        <w:footnoteReference w:id="15"/>
      </w:r>
      <w:r>
        <w:rPr>
          <w:rFonts w:cstheme="minorHAnsi"/>
          <w:shd w:val="clear" w:color="auto" w:fill="FFFFFF"/>
        </w:rPr>
        <w:t xml:space="preserve"> Although this discussion of the body and subject seems to echo Cartesian dualism, what makes it distinct from this is the fact that the subject is embedded in the body, rather than existing separately. The “body-subject” is the body and subject existing together and inseparable. By acknowledging this, one avoids falling into mischaracterising Merleau-Ponty as a </w:t>
      </w:r>
      <w:proofErr w:type="gramStart"/>
      <w:r>
        <w:rPr>
          <w:rFonts w:cstheme="minorHAnsi"/>
          <w:shd w:val="clear" w:color="auto" w:fill="FFFFFF"/>
        </w:rPr>
        <w:t>dualist, or</w:t>
      </w:r>
      <w:proofErr w:type="gramEnd"/>
      <w:r>
        <w:rPr>
          <w:rFonts w:cstheme="minorHAnsi"/>
          <w:shd w:val="clear" w:color="auto" w:fill="FFFFFF"/>
        </w:rPr>
        <w:t xml:space="preserve"> oversimplifying his rejection of dualism as materialism.</w:t>
      </w:r>
    </w:p>
    <w:p w:rsidR="00A41F75" w:rsidRDefault="00A41F75" w:rsidP="00A41F75">
      <w:pPr>
        <w:rPr>
          <w:rFonts w:cstheme="minorHAnsi"/>
          <w:shd w:val="clear" w:color="auto" w:fill="FFFFFF"/>
        </w:rPr>
      </w:pPr>
      <w:r>
        <w:rPr>
          <w:rFonts w:cstheme="minorHAnsi"/>
          <w:shd w:val="clear" w:color="auto" w:fill="FFFFFF"/>
        </w:rPr>
        <w:t>Equally, it is important not to mistake his rejection of the idea of an ‘inner man’ as conforming to a purely empirical, materialist outlook. Like Merleau-Ponty’s account of human existence, from a materialistic monism perspective, a human being exists very much in the world rather than as an ‘inner man’ inhabiting a body. However, for the materialistic monist human beings are simply a material object in the world as much as anything else in the world is. Under this account, there is no distinction between subject and object, but for Merleau-Ponty, there is a difference in how thinking beings exist in the world to how objects exist in the world.</w:t>
      </w:r>
      <w:r>
        <w:rPr>
          <w:rStyle w:val="FootnoteReference"/>
          <w:rFonts w:cstheme="minorHAnsi"/>
          <w:shd w:val="clear" w:color="auto" w:fill="FFFFFF"/>
        </w:rPr>
        <w:footnoteReference w:id="16"/>
      </w:r>
      <w:r>
        <w:rPr>
          <w:rFonts w:cstheme="minorHAnsi"/>
          <w:shd w:val="clear" w:color="auto" w:fill="FFFFFF"/>
        </w:rPr>
        <w:t xml:space="preserve"> Subjective experience is therefore reduced to merely be a description for the causal impact of an object stimulating sense organs and the brain.</w:t>
      </w:r>
      <w:r>
        <w:rPr>
          <w:rStyle w:val="FootnoteReference"/>
          <w:rFonts w:cstheme="minorHAnsi"/>
          <w:shd w:val="clear" w:color="auto" w:fill="FFFFFF"/>
        </w:rPr>
        <w:footnoteReference w:id="17"/>
      </w:r>
      <w:r>
        <w:rPr>
          <w:rFonts w:cstheme="minorHAnsi"/>
          <w:shd w:val="clear" w:color="auto" w:fill="FFFFFF"/>
        </w:rPr>
        <w:t xml:space="preserve"> This monist view is one which reduces all things to fit an objective, empirical account of the world that would be accepted by science.</w:t>
      </w:r>
      <w:r>
        <w:rPr>
          <w:rStyle w:val="FootnoteReference"/>
          <w:rFonts w:cstheme="minorHAnsi"/>
          <w:shd w:val="clear" w:color="auto" w:fill="FFFFFF"/>
        </w:rPr>
        <w:footnoteReference w:id="18"/>
      </w:r>
      <w:r>
        <w:rPr>
          <w:rFonts w:cstheme="minorHAnsi"/>
          <w:shd w:val="clear" w:color="auto" w:fill="FFFFFF"/>
        </w:rPr>
        <w:t xml:space="preserve"> For Merleau-Ponty, this too is unsatisfactory. He argued that the subjectivity of our perception of the world through our bodies (our senses) is an essential part of the meaning we give what we perceive.</w:t>
      </w:r>
      <w:r>
        <w:rPr>
          <w:rStyle w:val="FootnoteReference"/>
          <w:rFonts w:cstheme="minorHAnsi"/>
          <w:shd w:val="clear" w:color="auto" w:fill="FFFFFF"/>
        </w:rPr>
        <w:footnoteReference w:id="19"/>
      </w:r>
      <w:r>
        <w:rPr>
          <w:rFonts w:cstheme="minorHAnsi"/>
          <w:shd w:val="clear" w:color="auto" w:fill="FFFFFF"/>
        </w:rPr>
        <w:t xml:space="preserve"> By trying to avoid subjectivity in our descriptions of what we perceive in the way that empiricists would approve, we limit our understanding. In other words, by trying to reach a pure objective understanding of the world, we can only achieve a limited understanding, because the facticity of our bodies from which we gain understanding actually contribute to that understanding. It is our involvement in the world is what has to be understood.</w:t>
      </w:r>
      <w:r>
        <w:rPr>
          <w:rStyle w:val="FootnoteReference"/>
          <w:rFonts w:cstheme="minorHAnsi"/>
          <w:shd w:val="clear" w:color="auto" w:fill="FFFFFF"/>
        </w:rPr>
        <w:footnoteReference w:id="20"/>
      </w:r>
    </w:p>
    <w:p w:rsidR="00A41F75" w:rsidRDefault="00A41F75" w:rsidP="00A41F75">
      <w:pPr>
        <w:rPr>
          <w:rFonts w:cstheme="minorHAnsi"/>
          <w:shd w:val="clear" w:color="auto" w:fill="FFFFFF"/>
        </w:rPr>
      </w:pPr>
      <w:r>
        <w:rPr>
          <w:rFonts w:cstheme="minorHAnsi"/>
          <w:shd w:val="clear" w:color="auto" w:fill="FFFFFF"/>
        </w:rPr>
        <w:lastRenderedPageBreak/>
        <w:t>In conclusion, the ‘inner man’ is a phrase from Augustine that illustrates a dualist position where there is two parts to a human: body and soul (or consciousness). Under this view, the soul is represented by the ‘inner man’ and is considered to be superior to the body, which the soul inhabits. Merleau-Ponty rejects this picture of human existence, arguing that the body and consciousness are essentially intertwined and should not be seen as two distinct entities. This view of human existence was crucial to his theory on perception, so to understand his work, this view must also be understood.</w:t>
      </w:r>
    </w:p>
    <w:p w:rsidR="00A41F75" w:rsidRDefault="00A41F75" w:rsidP="00A41F75">
      <w:pPr>
        <w:rPr>
          <w:rFonts w:cstheme="minorHAnsi"/>
          <w:shd w:val="clear" w:color="auto" w:fill="FFFFFF"/>
        </w:rPr>
      </w:pPr>
      <w:r>
        <w:rPr>
          <w:rFonts w:cstheme="minorHAnsi"/>
          <w:shd w:val="clear" w:color="auto" w:fill="FFFFFF"/>
        </w:rPr>
        <w:br w:type="page"/>
      </w:r>
    </w:p>
    <w:p w:rsidR="00A41F75" w:rsidRPr="0018280E" w:rsidRDefault="00A41F75" w:rsidP="00A41F75">
      <w:pPr>
        <w:rPr>
          <w:rFonts w:cstheme="minorHAnsi"/>
          <w:b/>
          <w:bCs/>
          <w:shd w:val="clear" w:color="auto" w:fill="FFFFFF"/>
        </w:rPr>
      </w:pPr>
      <w:r>
        <w:rPr>
          <w:rFonts w:cstheme="minorHAnsi"/>
          <w:b/>
          <w:bCs/>
          <w:shd w:val="clear" w:color="auto" w:fill="FFFFFF"/>
        </w:rPr>
        <w:lastRenderedPageBreak/>
        <w:t>Bibliography</w:t>
      </w:r>
    </w:p>
    <w:p w:rsidR="00A41F75" w:rsidRPr="0018280E" w:rsidRDefault="00A41F75" w:rsidP="00A41F75">
      <w:pPr>
        <w:pStyle w:val="ListParagraph"/>
        <w:numPr>
          <w:ilvl w:val="0"/>
          <w:numId w:val="1"/>
        </w:numPr>
        <w:rPr>
          <w:rFonts w:cstheme="minorHAnsi"/>
          <w:shd w:val="clear" w:color="auto" w:fill="FFFFFF"/>
        </w:rPr>
      </w:pPr>
      <w:r>
        <w:t xml:space="preserve">Langer, Monika M., </w:t>
      </w:r>
      <w:r w:rsidRPr="0018280E">
        <w:rPr>
          <w:i/>
          <w:iCs/>
        </w:rPr>
        <w:t xml:space="preserve">Merleau-Ponty’s Phenomenology of Perception. </w:t>
      </w:r>
      <w:r>
        <w:t>(London: The Macmillan Press, 1989).</w:t>
      </w:r>
    </w:p>
    <w:p w:rsidR="00A41F75" w:rsidRPr="0018280E" w:rsidRDefault="00A41F75" w:rsidP="00A41F75">
      <w:pPr>
        <w:pStyle w:val="ListParagraph"/>
        <w:rPr>
          <w:rFonts w:cstheme="minorHAnsi"/>
          <w:shd w:val="clear" w:color="auto" w:fill="FFFFFF"/>
        </w:rPr>
      </w:pPr>
    </w:p>
    <w:p w:rsidR="00A41F75" w:rsidRDefault="00A41F75" w:rsidP="00A41F75">
      <w:pPr>
        <w:pStyle w:val="ListParagraph"/>
        <w:numPr>
          <w:ilvl w:val="0"/>
          <w:numId w:val="1"/>
        </w:numPr>
      </w:pPr>
      <w:r>
        <w:t xml:space="preserve">Matthews, Eric, </w:t>
      </w:r>
      <w:r w:rsidRPr="0018280E">
        <w:rPr>
          <w:i/>
          <w:iCs/>
        </w:rPr>
        <w:t>The philosophy of Merleau-Ponty.</w:t>
      </w:r>
      <w:r>
        <w:t xml:space="preserve"> (</w:t>
      </w:r>
      <w:r w:rsidRPr="00CF201A">
        <w:t>Chesham: Acumen Publishing</w:t>
      </w:r>
      <w:r>
        <w:t>,</w:t>
      </w:r>
      <w:r w:rsidRPr="00CF201A">
        <w:t> 2002</w:t>
      </w:r>
      <w:r>
        <w:t>).</w:t>
      </w:r>
    </w:p>
    <w:p w:rsidR="00A41F75" w:rsidRDefault="00A41F75" w:rsidP="00A41F75">
      <w:pPr>
        <w:pStyle w:val="ListParagraph"/>
      </w:pPr>
    </w:p>
    <w:p w:rsidR="00A41F75" w:rsidRDefault="00A41F75" w:rsidP="00A41F75">
      <w:pPr>
        <w:pStyle w:val="ListParagraph"/>
        <w:numPr>
          <w:ilvl w:val="0"/>
          <w:numId w:val="1"/>
        </w:numPr>
        <w:spacing w:after="0"/>
      </w:pPr>
      <w:r w:rsidRPr="00124657">
        <w:t xml:space="preserve">Matthews, Gareth B. </w:t>
      </w:r>
      <w:r>
        <w:t>‘</w:t>
      </w:r>
      <w:r w:rsidRPr="00124657">
        <w:t>The Inner Man</w:t>
      </w:r>
      <w:r>
        <w:t>’,</w:t>
      </w:r>
      <w:r w:rsidRPr="00124657">
        <w:t> </w:t>
      </w:r>
      <w:r w:rsidRPr="0018280E">
        <w:rPr>
          <w:i/>
          <w:iCs/>
        </w:rPr>
        <w:t>American Philosophical Quarterly</w:t>
      </w:r>
      <w:r w:rsidRPr="00124657">
        <w:t xml:space="preserve">, vol. 4, no. 2, </w:t>
      </w:r>
      <w:r>
        <w:t>(</w:t>
      </w:r>
      <w:r w:rsidRPr="00124657">
        <w:t>1967</w:t>
      </w:r>
      <w:r>
        <w:t>)</w:t>
      </w:r>
      <w:r w:rsidRPr="00124657">
        <w:t>, pp. 166–172</w:t>
      </w:r>
      <w:r>
        <w:t>.</w:t>
      </w:r>
    </w:p>
    <w:p w:rsidR="00A41F75" w:rsidRDefault="00A41F75" w:rsidP="00A41F75">
      <w:pPr>
        <w:pStyle w:val="ListParagraph"/>
        <w:spacing w:after="0"/>
      </w:pPr>
    </w:p>
    <w:p w:rsidR="00A41F75" w:rsidRDefault="00A41F75" w:rsidP="00A41F75">
      <w:pPr>
        <w:pStyle w:val="ListParagraph"/>
        <w:numPr>
          <w:ilvl w:val="0"/>
          <w:numId w:val="1"/>
        </w:numPr>
      </w:pPr>
      <w:r>
        <w:t xml:space="preserve">Merleau-Ponty, Maurice, </w:t>
      </w:r>
      <w:r w:rsidRPr="0018280E">
        <w:rPr>
          <w:i/>
          <w:iCs/>
        </w:rPr>
        <w:t>Phenomenology of Perception</w:t>
      </w:r>
      <w:r>
        <w:t>. (London:</w:t>
      </w:r>
      <w:r w:rsidRPr="0018280E">
        <w:rPr>
          <w:rFonts w:ascii="Calibri" w:eastAsia="Calibri" w:hAnsi="Calibri" w:cs="Calibri"/>
          <w:color w:val="000000"/>
          <w:sz w:val="18"/>
          <w:lang w:eastAsia="en-GB"/>
        </w:rPr>
        <w:t xml:space="preserve"> </w:t>
      </w:r>
      <w:r w:rsidRPr="00124657">
        <w:t>Routledge &amp; Kegan Paul</w:t>
      </w:r>
      <w:r>
        <w:t>, 1962).</w:t>
      </w:r>
    </w:p>
    <w:p w:rsidR="00A41F75" w:rsidRDefault="00A41F75">
      <w:r>
        <w:br w:type="page"/>
      </w:r>
    </w:p>
    <w:p w:rsidR="00A41F75" w:rsidRPr="00AF2AFB" w:rsidRDefault="00A41F75" w:rsidP="00A41F75">
      <w:pPr>
        <w:rPr>
          <w:rFonts w:cstheme="minorHAnsi"/>
          <w:b/>
          <w:bCs/>
          <w:shd w:val="clear" w:color="auto" w:fill="FFFFFF"/>
        </w:rPr>
      </w:pPr>
      <w:r w:rsidRPr="0088540D">
        <w:rPr>
          <w:rFonts w:cstheme="minorHAnsi"/>
          <w:b/>
          <w:bCs/>
          <w:shd w:val="clear" w:color="auto" w:fill="FFFFFF"/>
        </w:rPr>
        <w:lastRenderedPageBreak/>
        <w:t xml:space="preserve">What, if anything, is wrong with the idea that what is given to me in visual perception is an </w:t>
      </w:r>
      <w:r w:rsidRPr="00AF2AFB">
        <w:rPr>
          <w:rFonts w:cstheme="minorHAnsi"/>
          <w:b/>
          <w:bCs/>
          <w:shd w:val="clear" w:color="auto" w:fill="FFFFFF"/>
        </w:rPr>
        <w:t>arrangement of patches of colour in my visual field on the basis of which I form a judgement about an object out there in the world?</w:t>
      </w:r>
    </w:p>
    <w:p w:rsidR="00A41F75" w:rsidRPr="00AF2AFB" w:rsidRDefault="00A41F75" w:rsidP="00A41F75">
      <w:pPr>
        <w:rPr>
          <w:rFonts w:cstheme="minorHAnsi"/>
          <w:shd w:val="clear" w:color="auto" w:fill="FFFFFF"/>
        </w:rPr>
      </w:pPr>
      <w:r w:rsidRPr="00AF2AFB">
        <w:rPr>
          <w:rFonts w:cstheme="minorHAnsi"/>
          <w:shd w:val="clear" w:color="auto" w:fill="FFFFFF"/>
        </w:rPr>
        <w:t>In order to answer this question, the idea that it presents will be laid out. This will be done with reference to Russell’s rather scientific approach. This shall be examined against Merleau-Ponty’s idea of perception and examples he gives to support it. By doing this, it will be established if the idea expressed here is indeed how people form judgements about objects in the world, or whether, as Merleau-Ponty believed, it is indeed a flawed idea of perception and judgement.</w:t>
      </w:r>
    </w:p>
    <w:p w:rsidR="00A41F75" w:rsidRPr="00AF2AFB" w:rsidRDefault="00A41F75" w:rsidP="00A41F75">
      <w:pPr>
        <w:rPr>
          <w:rFonts w:cstheme="minorHAnsi"/>
        </w:rPr>
      </w:pPr>
      <w:r w:rsidRPr="00AF2AFB">
        <w:rPr>
          <w:rFonts w:cstheme="minorHAnsi"/>
        </w:rPr>
        <w:t>Bertrand Russell discusses the idea of visual perception as an arrangement of colour patches on ones’ visual field by using an example of a table.</w:t>
      </w:r>
      <w:r w:rsidRPr="00AF2AFB">
        <w:rPr>
          <w:rStyle w:val="FootnoteReference"/>
          <w:rFonts w:cstheme="minorHAnsi"/>
        </w:rPr>
        <w:footnoteReference w:id="21"/>
      </w:r>
      <w:r w:rsidRPr="00AF2AFB">
        <w:rPr>
          <w:rFonts w:cstheme="minorHAnsi"/>
        </w:rPr>
        <w:t xml:space="preserve"> He claims that, to the eye, the table is “oblong, brown, and shiny.”</w:t>
      </w:r>
      <w:r w:rsidRPr="00AF2AFB">
        <w:rPr>
          <w:rStyle w:val="FootnoteReference"/>
          <w:rFonts w:cstheme="minorHAnsi"/>
        </w:rPr>
        <w:footnoteReference w:id="22"/>
      </w:r>
      <w:r w:rsidRPr="00AF2AFB">
        <w:rPr>
          <w:rFonts w:cstheme="minorHAnsi"/>
        </w:rPr>
        <w:t xml:space="preserve"> Russell describes how we see these features (a brown oblong, four darker, thin cylinders at each corner supporting it etc.) and infer that a table is there based on these perceptions.</w:t>
      </w:r>
      <w:r w:rsidRPr="00AF2AFB">
        <w:rPr>
          <w:rStyle w:val="FootnoteReference"/>
          <w:rFonts w:cstheme="minorHAnsi"/>
        </w:rPr>
        <w:footnoteReference w:id="23"/>
      </w:r>
      <w:r w:rsidRPr="00AF2AFB">
        <w:rPr>
          <w:rFonts w:cstheme="minorHAnsi"/>
        </w:rPr>
        <w:t xml:space="preserve"> Russell is not merely describing what the table is really like in the objective world by listing adjectives that relate to it, but also describing our judgement of the table: how we perceive the colour patches arranged in a certain way and judge this to be a table. This is our experience of the table. In this view, there is a split between the brain and the body, where the brain is considered to be the real person, contained within the body. Following this, the body (the eyes in this case) perceive objects in the world as patches of colour in particular arrangements, and this sense-data is then used by the brain to make a judgement about the world: for example, there is a table.</w:t>
      </w:r>
    </w:p>
    <w:p w:rsidR="00A41F75" w:rsidRPr="00AF2AFB" w:rsidRDefault="00A41F75" w:rsidP="00A41F75">
      <w:pPr>
        <w:rPr>
          <w:rFonts w:cstheme="minorHAnsi"/>
        </w:rPr>
      </w:pPr>
      <w:r w:rsidRPr="00AF2AFB">
        <w:rPr>
          <w:rFonts w:cstheme="minorHAnsi"/>
        </w:rPr>
        <w:t>Russell’s position is one or empiricism, a view that Merleau-Ponty does not subscribe to. Merleau-Ponty believes this way of thinking to be prejudiced in favour of an objective world.</w:t>
      </w:r>
      <w:r w:rsidRPr="00AF2AFB">
        <w:rPr>
          <w:rStyle w:val="FootnoteReference"/>
          <w:rFonts w:cstheme="minorHAnsi"/>
        </w:rPr>
        <w:footnoteReference w:id="24"/>
      </w:r>
      <w:r w:rsidRPr="00AF2AFB">
        <w:rPr>
          <w:rFonts w:cstheme="minorHAnsi"/>
        </w:rPr>
        <w:t xml:space="preserve"> The argument that the objective world is a stimulus that causally affects the perceiver, like in the case of visual perception goes as follows: the eye collects sense-data from the world, and this data is transmitted to the brain. The brain then decodes this sense-data to reproduce a picture of the external stimulus from the so-called objective world.</w:t>
      </w:r>
      <w:r w:rsidRPr="00AF2AFB">
        <w:rPr>
          <w:rStyle w:val="FootnoteReference"/>
          <w:rFonts w:cstheme="minorHAnsi"/>
        </w:rPr>
        <w:footnoteReference w:id="25"/>
      </w:r>
      <w:r w:rsidRPr="00AF2AFB">
        <w:rPr>
          <w:rFonts w:cstheme="minorHAnsi"/>
        </w:rPr>
        <w:t xml:space="preserve"> However, Merleau-Ponty argues that this fails to account for discrepancies between what we perceive and the so-called objective world. For example, if a table surface was made up of patches of red and green, it would be seen and perceived as a grey table.</w:t>
      </w:r>
      <w:r w:rsidRPr="00AF2AFB">
        <w:rPr>
          <w:rStyle w:val="FootnoteReference"/>
          <w:rFonts w:cstheme="minorHAnsi"/>
        </w:rPr>
        <w:footnoteReference w:id="26"/>
      </w:r>
      <w:r w:rsidRPr="00AF2AFB">
        <w:rPr>
          <w:rFonts w:cstheme="minorHAnsi"/>
        </w:rPr>
        <w:t xml:space="preserve"> </w:t>
      </w:r>
    </w:p>
    <w:p w:rsidR="00A41F75" w:rsidRPr="00AF2AFB" w:rsidRDefault="00A41F75" w:rsidP="00A41F75">
      <w:pPr>
        <w:rPr>
          <w:rFonts w:cstheme="minorHAnsi"/>
        </w:rPr>
      </w:pPr>
      <w:r w:rsidRPr="00AF2AFB">
        <w:rPr>
          <w:rFonts w:cstheme="minorHAnsi"/>
        </w:rPr>
        <w:t>This, as Merleau-Ponty argues, is certainly good grounds to believe the empiricists position to be flawed. The perceiver sees a table, not a collection of different coloured shapes that they then take to be a table. Likewise, if the surface appears grey to the perceiver, even if it is in fact green and red, it would still make sense to describe it as grey. Supporters of empiricism, and intellectualism may argue that with further reflection and attention, one understands that the real appearance of the table is red and green, but this is unsatisfactory.</w:t>
      </w:r>
      <w:r w:rsidRPr="00AF2AFB">
        <w:rPr>
          <w:rStyle w:val="FootnoteReference"/>
          <w:rFonts w:cstheme="minorHAnsi"/>
        </w:rPr>
        <w:t xml:space="preserve"> </w:t>
      </w:r>
      <w:r w:rsidRPr="00AF2AFB">
        <w:rPr>
          <w:rStyle w:val="FootnoteReference"/>
          <w:rFonts w:cstheme="minorHAnsi"/>
        </w:rPr>
        <w:footnoteReference w:id="27"/>
      </w:r>
      <w:r w:rsidRPr="00AF2AFB">
        <w:rPr>
          <w:rFonts w:cstheme="minorHAnsi"/>
        </w:rPr>
        <w:t xml:space="preserve"> This is because in an effort to make our perceptions closer to the objective, the empiricist appeals to objective factors, so these reflections are no longer an immediate effect of external stimuli.</w:t>
      </w:r>
      <w:r w:rsidRPr="00AF2AFB">
        <w:rPr>
          <w:rStyle w:val="FootnoteReference"/>
          <w:rFonts w:cstheme="minorHAnsi"/>
        </w:rPr>
        <w:footnoteReference w:id="28"/>
      </w:r>
      <w:r w:rsidRPr="00AF2AFB">
        <w:rPr>
          <w:rFonts w:cstheme="minorHAnsi"/>
        </w:rPr>
        <w:t xml:space="preserve"> </w:t>
      </w:r>
    </w:p>
    <w:p w:rsidR="00A41F75" w:rsidRPr="00AF2AFB" w:rsidRDefault="00A41F75" w:rsidP="00A41F75">
      <w:pPr>
        <w:rPr>
          <w:rFonts w:cstheme="minorHAnsi"/>
        </w:rPr>
      </w:pPr>
      <w:r w:rsidRPr="00AF2AFB">
        <w:rPr>
          <w:rFonts w:cstheme="minorHAnsi"/>
        </w:rPr>
        <w:lastRenderedPageBreak/>
        <w:t>But these approaches fail to account for what Merleau-Ponty describes as the “living nucleus of perception.”</w:t>
      </w:r>
      <w:r w:rsidRPr="00AF2AFB">
        <w:rPr>
          <w:rStyle w:val="FootnoteReference"/>
          <w:rFonts w:cstheme="minorHAnsi"/>
        </w:rPr>
        <w:footnoteReference w:id="29"/>
      </w:r>
      <w:r w:rsidRPr="00AF2AFB">
        <w:rPr>
          <w:rFonts w:cstheme="minorHAnsi"/>
        </w:rPr>
        <w:t xml:space="preserve"> This term refers to the nature of human perception and how it gives what we experience meaning. To fully illustrate this, take the example of a child with a candle.</w:t>
      </w:r>
      <w:r w:rsidRPr="00AF2AFB">
        <w:rPr>
          <w:rStyle w:val="FootnoteReference"/>
          <w:rFonts w:cstheme="minorHAnsi"/>
        </w:rPr>
        <w:footnoteReference w:id="30"/>
      </w:r>
      <w:r w:rsidRPr="00AF2AFB">
        <w:rPr>
          <w:rFonts w:cstheme="minorHAnsi"/>
        </w:rPr>
        <w:t xml:space="preserve"> When the child first sees the candle flame, they may be attracted to its warm glow that they perceive, however once they burn themselves on it, their perception of the candle changes and it goes from being an attractive object in the world to being a repulsive one. This demonstrates how it is our subjective experience that gives the world meaning rather than the objective picture painted by empiricism.</w:t>
      </w:r>
    </w:p>
    <w:p w:rsidR="00A41F75" w:rsidRPr="00AF2AFB" w:rsidRDefault="00A41F75" w:rsidP="00A41F75">
      <w:pPr>
        <w:rPr>
          <w:rFonts w:cstheme="minorHAnsi"/>
        </w:rPr>
      </w:pPr>
      <w:r w:rsidRPr="00AF2AFB">
        <w:rPr>
          <w:rFonts w:cstheme="minorHAnsi"/>
        </w:rPr>
        <w:t>Wittgenstein presents a view that could support Merleau-Ponty. Like Russell, he does this with an example of a painter. With this account, it is demonstrated how one has a mental picture. Although a description of this may consist of explaining components of different colours arranged in certain shapes,</w:t>
      </w:r>
      <w:r w:rsidRPr="00AF2AFB">
        <w:rPr>
          <w:rStyle w:val="FootnoteReference"/>
          <w:rFonts w:cstheme="minorHAnsi"/>
        </w:rPr>
        <w:footnoteReference w:id="31"/>
      </w:r>
      <w:r w:rsidRPr="00AF2AFB">
        <w:rPr>
          <w:rFonts w:cstheme="minorHAnsi"/>
        </w:rPr>
        <w:t xml:space="preserve"> they see these things in the world with meaning beyond colours and shapes. For example, in seeing a smiling face, one would recognise it to be an expression of happiness rather than just an arbitrary arrangement of colour and shapes.</w:t>
      </w:r>
      <w:r w:rsidRPr="00AF2AFB">
        <w:rPr>
          <w:rStyle w:val="FootnoteReference"/>
          <w:rFonts w:cstheme="minorHAnsi"/>
        </w:rPr>
        <w:footnoteReference w:id="32"/>
      </w:r>
      <w:r w:rsidRPr="00AF2AFB">
        <w:rPr>
          <w:rFonts w:cstheme="minorHAnsi"/>
        </w:rPr>
        <w:t xml:space="preserve"> The opposing explanation, where one does merely see components, could demonstrate how a purely empirical view that has become, moving to a form of atomism, or material reductionism in explaining human experience. The position being argued here is that this does not give a satisfactory account of human experience.</w:t>
      </w:r>
    </w:p>
    <w:p w:rsidR="00A41F75" w:rsidRPr="00AF2AFB" w:rsidRDefault="00A41F75" w:rsidP="00A41F75">
      <w:pPr>
        <w:rPr>
          <w:rFonts w:cstheme="minorHAnsi"/>
        </w:rPr>
      </w:pPr>
      <w:r w:rsidRPr="00AF2AFB">
        <w:rPr>
          <w:rFonts w:cstheme="minorHAnsi"/>
        </w:rPr>
        <w:t>Under this approach, the brain is considered synonymous with the mind. Merleau-Ponty does not consider the brain/mind relationship to the body to be any more than superficially different to the mind-body divide of cartesian dualism thus has the can have the same criticisms levelled at it.</w:t>
      </w:r>
      <w:r w:rsidRPr="00AF2AFB">
        <w:rPr>
          <w:rStyle w:val="FootnoteReference"/>
          <w:rFonts w:cstheme="minorHAnsi"/>
        </w:rPr>
        <w:footnoteReference w:id="33"/>
      </w:r>
      <w:r w:rsidRPr="00AF2AFB">
        <w:rPr>
          <w:rFonts w:cstheme="minorHAnsi"/>
        </w:rPr>
        <w:t xml:space="preserve"> This also leads to the rejection of the idea of an ‘inner man’, as in this case the brain is represented by the ‘inner man’ rather than the incorporeal mind. It can be seen just how similar material reductionism is to cartesian dualism from reading how Descartes describes the soul possessing sensory perception of objects: “…objects produce certain movements in the organs or external senses, and, by means of the nerves , produce other movements in the brain, which cause the soul to have sensory perception of the objects.”</w:t>
      </w:r>
      <w:r w:rsidRPr="00AF2AFB">
        <w:rPr>
          <w:rStyle w:val="FootnoteReference"/>
          <w:rFonts w:cstheme="minorHAnsi"/>
        </w:rPr>
        <w:footnoteReference w:id="34"/>
      </w:r>
    </w:p>
    <w:p w:rsidR="00A41F75" w:rsidRPr="00AF2AFB" w:rsidRDefault="00A41F75" w:rsidP="00A41F75">
      <w:pPr>
        <w:rPr>
          <w:rFonts w:cstheme="minorHAnsi"/>
        </w:rPr>
      </w:pPr>
      <w:r w:rsidRPr="00AF2AFB">
        <w:rPr>
          <w:rFonts w:cstheme="minorHAnsi"/>
        </w:rPr>
        <w:t xml:space="preserve">The case against an account that seeks to reduce human experience to the perception of colour patches in a particular arrangement can be further solidified with the example of </w:t>
      </w:r>
      <w:proofErr w:type="spellStart"/>
      <w:r w:rsidRPr="00AF2AFB">
        <w:rPr>
          <w:rFonts w:cstheme="minorHAnsi"/>
        </w:rPr>
        <w:t>Schneinder</w:t>
      </w:r>
      <w:proofErr w:type="spellEnd"/>
      <w:r w:rsidRPr="00AF2AFB">
        <w:rPr>
          <w:rFonts w:cstheme="minorHAnsi"/>
        </w:rPr>
        <w:t>. Here is a man who perceives the world exactly how the empiricist says we all see. When shown a fountain pen, he can describe how it appears (its colours and so on) and from this can judge it to be a fountain pen. Merleau-Ponty argues that, because we recognise this case to be peculiar, it demonstrates that this is not a normal way of perceiving the world.</w:t>
      </w:r>
      <w:r w:rsidRPr="00AF2AFB">
        <w:rPr>
          <w:rStyle w:val="FootnoteReference"/>
          <w:rFonts w:cstheme="minorHAnsi"/>
        </w:rPr>
        <w:footnoteReference w:id="35"/>
      </w:r>
    </w:p>
    <w:p w:rsidR="00A41F75" w:rsidRPr="00AF2AFB" w:rsidRDefault="00A41F75" w:rsidP="00A41F75">
      <w:pPr>
        <w:rPr>
          <w:rFonts w:cstheme="minorHAnsi"/>
        </w:rPr>
      </w:pPr>
      <w:r w:rsidRPr="00AF2AFB">
        <w:rPr>
          <w:rFonts w:cstheme="minorHAnsi"/>
        </w:rPr>
        <w:t xml:space="preserve">The response from supporters of the inner-man account, or reductionist accounts, would be the suggestion that we all really see the world like Schneider does, but generally people have the capability to rapidly interpret these colour patches as the physical objects that they are, and that this happens automatically so that we are not consciously aware of this process. </w:t>
      </w:r>
    </w:p>
    <w:p w:rsidR="00A41F75" w:rsidRPr="00AF2AFB" w:rsidRDefault="00A41F75" w:rsidP="00A41F75">
      <w:pPr>
        <w:rPr>
          <w:rFonts w:cstheme="minorHAnsi"/>
        </w:rPr>
      </w:pPr>
      <w:r w:rsidRPr="00AF2AFB">
        <w:rPr>
          <w:rFonts w:cstheme="minorHAnsi"/>
        </w:rPr>
        <w:t xml:space="preserve">In turn, one sympathetic to Merleau-Ponty’s account would point out that this response simply does not work or have any hope at being convincing to someone unless they have already accepted this detached ‘inner-man’ account of perception. Another way in which this account is unsatisfactory can </w:t>
      </w:r>
      <w:r w:rsidRPr="00AF2AFB">
        <w:rPr>
          <w:rFonts w:cstheme="minorHAnsi"/>
        </w:rPr>
        <w:lastRenderedPageBreak/>
        <w:t>be seen with the example of an angry face. Upon seeing a face with an expression of anger, one can judge it as angry, but equally can distinguish whether it is a face of mock anger. If our judgements of the world were formed purely on the perception of the arrangement of the facial features, we would not be able to distinguish between real and mock anger in this situation. The suggestion that this is how we perceive the world leaves the account of our experience lacking.</w:t>
      </w:r>
      <w:r w:rsidRPr="00AF2AFB">
        <w:rPr>
          <w:rStyle w:val="FootnoteReference"/>
          <w:rFonts w:cstheme="minorHAnsi"/>
        </w:rPr>
        <w:footnoteReference w:id="36"/>
      </w:r>
    </w:p>
    <w:p w:rsidR="00A41F75" w:rsidRPr="00AF2AFB" w:rsidRDefault="00A41F75" w:rsidP="00A41F75">
      <w:pPr>
        <w:rPr>
          <w:rFonts w:cstheme="minorHAnsi"/>
        </w:rPr>
      </w:pPr>
      <w:r w:rsidRPr="00AF2AFB">
        <w:rPr>
          <w:rFonts w:cstheme="minorHAnsi"/>
        </w:rPr>
        <w:t>Ultimately, the idea that our perceptions are purely a compilation of patches of colour on our visual field is one which, in seeking to reach a true picture of reality, in fact distances itself from real human experience with the world.</w:t>
      </w:r>
    </w:p>
    <w:p w:rsidR="00A41F75" w:rsidRPr="00AF2AFB" w:rsidRDefault="00A41F75" w:rsidP="00A41F75">
      <w:pPr>
        <w:rPr>
          <w:rFonts w:cstheme="minorHAnsi"/>
        </w:rPr>
      </w:pPr>
      <w:r w:rsidRPr="00AF2AFB">
        <w:rPr>
          <w:rFonts w:cstheme="minorHAnsi"/>
        </w:rPr>
        <w:br w:type="page"/>
      </w:r>
    </w:p>
    <w:p w:rsidR="00A41F75" w:rsidRDefault="00A41F75" w:rsidP="00A41F75">
      <w:pPr>
        <w:rPr>
          <w:rFonts w:cstheme="minorHAnsi"/>
          <w:b/>
          <w:bCs/>
        </w:rPr>
      </w:pPr>
      <w:r>
        <w:rPr>
          <w:rFonts w:cstheme="minorHAnsi"/>
          <w:b/>
          <w:bCs/>
        </w:rPr>
        <w:lastRenderedPageBreak/>
        <w:t>Bibliography</w:t>
      </w:r>
    </w:p>
    <w:p w:rsidR="00A41F75" w:rsidRDefault="00A41F75" w:rsidP="00A41F75">
      <w:pPr>
        <w:pStyle w:val="ListParagraph"/>
        <w:numPr>
          <w:ilvl w:val="0"/>
          <w:numId w:val="2"/>
        </w:numPr>
        <w:rPr>
          <w:rFonts w:cstheme="minorHAnsi"/>
        </w:rPr>
      </w:pPr>
      <w:r w:rsidRPr="000358DD">
        <w:rPr>
          <w:rFonts w:cstheme="minorHAnsi"/>
        </w:rPr>
        <w:t xml:space="preserve">Cockburn, David, </w:t>
      </w:r>
      <w:r w:rsidRPr="000358DD">
        <w:rPr>
          <w:rFonts w:cstheme="minorHAnsi"/>
          <w:i/>
          <w:iCs/>
        </w:rPr>
        <w:t xml:space="preserve">My experience of my own body </w:t>
      </w:r>
      <w:r w:rsidRPr="000358DD">
        <w:rPr>
          <w:rFonts w:cstheme="minorHAnsi"/>
        </w:rPr>
        <w:t xml:space="preserve">[Lecture to B.A. Philosophy Year 3] </w:t>
      </w:r>
      <w:r>
        <w:rPr>
          <w:rFonts w:cstheme="minorHAnsi"/>
        </w:rPr>
        <w:tab/>
      </w:r>
      <w:r w:rsidRPr="000358DD">
        <w:rPr>
          <w:rFonts w:cstheme="minorHAnsi"/>
          <w:i/>
          <w:iCs/>
        </w:rPr>
        <w:t xml:space="preserve">HPPH6014: Merleau-Ponty and Wittgenstein. </w:t>
      </w:r>
      <w:r>
        <w:rPr>
          <w:rFonts w:cstheme="minorHAnsi"/>
          <w:i/>
          <w:iCs/>
        </w:rPr>
        <w:tab/>
      </w:r>
      <w:r>
        <w:rPr>
          <w:rFonts w:cstheme="minorHAnsi"/>
          <w:i/>
          <w:iCs/>
        </w:rPr>
        <w:tab/>
      </w:r>
      <w:r>
        <w:rPr>
          <w:rFonts w:cstheme="minorHAnsi"/>
          <w:i/>
          <w:iCs/>
        </w:rPr>
        <w:tab/>
      </w:r>
      <w:r>
        <w:rPr>
          <w:rFonts w:cstheme="minorHAnsi"/>
          <w:i/>
          <w:iCs/>
        </w:rPr>
        <w:tab/>
      </w:r>
      <w:r>
        <w:rPr>
          <w:rFonts w:cstheme="minorHAnsi"/>
          <w:i/>
          <w:iCs/>
        </w:rPr>
        <w:tab/>
      </w:r>
      <w:r w:rsidRPr="000358DD">
        <w:rPr>
          <w:rFonts w:cstheme="minorHAnsi"/>
        </w:rPr>
        <w:t>(University of Wales Trinity Saint David, 16</w:t>
      </w:r>
      <w:r w:rsidRPr="000358DD">
        <w:rPr>
          <w:rFonts w:cstheme="minorHAnsi"/>
          <w:vertAlign w:val="superscript"/>
        </w:rPr>
        <w:t>th</w:t>
      </w:r>
      <w:r w:rsidRPr="000358DD">
        <w:rPr>
          <w:rFonts w:cstheme="minorHAnsi"/>
        </w:rPr>
        <w:t xml:space="preserve"> December 2019).</w:t>
      </w:r>
    </w:p>
    <w:p w:rsidR="00A41F75" w:rsidRDefault="00A41F75" w:rsidP="00A41F75">
      <w:pPr>
        <w:pStyle w:val="ListParagraph"/>
        <w:rPr>
          <w:rFonts w:cstheme="minorHAnsi"/>
        </w:rPr>
      </w:pPr>
    </w:p>
    <w:p w:rsidR="00A41F75" w:rsidRPr="000358DD" w:rsidRDefault="00A41F75" w:rsidP="00A41F75">
      <w:pPr>
        <w:pStyle w:val="ListParagraph"/>
        <w:numPr>
          <w:ilvl w:val="0"/>
          <w:numId w:val="2"/>
        </w:numPr>
        <w:rPr>
          <w:rFonts w:cstheme="minorHAnsi"/>
        </w:rPr>
      </w:pPr>
      <w:r>
        <w:t xml:space="preserve">Descartes, Rene, </w:t>
      </w:r>
      <w:r>
        <w:rPr>
          <w:i/>
          <w:iCs/>
        </w:rPr>
        <w:t xml:space="preserve">The Passions of the Soul. </w:t>
      </w:r>
    </w:p>
    <w:p w:rsidR="00A41F75" w:rsidRPr="000358DD" w:rsidRDefault="00A41F75" w:rsidP="00A41F75">
      <w:pPr>
        <w:pStyle w:val="ListParagraph"/>
        <w:rPr>
          <w:rFonts w:cstheme="minorHAnsi"/>
        </w:rPr>
      </w:pPr>
    </w:p>
    <w:p w:rsidR="00A41F75" w:rsidRPr="000358DD" w:rsidRDefault="00A41F75" w:rsidP="00A41F75">
      <w:pPr>
        <w:pStyle w:val="ListParagraph"/>
        <w:numPr>
          <w:ilvl w:val="0"/>
          <w:numId w:val="2"/>
        </w:numPr>
        <w:rPr>
          <w:rFonts w:cstheme="minorHAnsi"/>
        </w:rPr>
      </w:pPr>
      <w:r>
        <w:t xml:space="preserve">Langer, Monika M., </w:t>
      </w:r>
      <w:r w:rsidRPr="000358DD">
        <w:rPr>
          <w:i/>
          <w:iCs/>
        </w:rPr>
        <w:t>Merleau-Ponty’s Phenomenology of Perception,</w:t>
      </w:r>
      <w:r w:rsidRPr="000358DD">
        <w:rPr>
          <w:i/>
          <w:iCs/>
        </w:rPr>
        <w:tab/>
      </w:r>
      <w:r w:rsidRPr="000358DD">
        <w:rPr>
          <w:i/>
          <w:iCs/>
        </w:rPr>
        <w:tab/>
      </w:r>
      <w:r w:rsidRPr="000358DD">
        <w:rPr>
          <w:i/>
          <w:iCs/>
        </w:rPr>
        <w:tab/>
      </w:r>
      <w:r w:rsidRPr="000358DD">
        <w:rPr>
          <w:i/>
          <w:iCs/>
        </w:rPr>
        <w:tab/>
      </w:r>
      <w:r>
        <w:t>(London: Macmillan Press, 1989).</w:t>
      </w:r>
    </w:p>
    <w:p w:rsidR="00A41F75" w:rsidRPr="006140C7" w:rsidRDefault="00A41F75" w:rsidP="00A41F75">
      <w:pPr>
        <w:pStyle w:val="ListParagraph"/>
        <w:rPr>
          <w:rFonts w:cstheme="minorHAnsi"/>
        </w:rPr>
      </w:pPr>
    </w:p>
    <w:p w:rsidR="00A41F75" w:rsidRDefault="00A41F75" w:rsidP="00A41F75">
      <w:pPr>
        <w:pStyle w:val="ListParagraph"/>
        <w:numPr>
          <w:ilvl w:val="0"/>
          <w:numId w:val="2"/>
        </w:numPr>
        <w:spacing w:after="0"/>
        <w:rPr>
          <w:rFonts w:cstheme="minorHAnsi"/>
        </w:rPr>
      </w:pPr>
      <w:r w:rsidRPr="006140C7">
        <w:rPr>
          <w:rFonts w:cstheme="minorHAnsi"/>
        </w:rPr>
        <w:t xml:space="preserve">Merleau-Ponty, Maurice, </w:t>
      </w:r>
      <w:r w:rsidRPr="006140C7">
        <w:rPr>
          <w:rFonts w:cstheme="minorHAnsi"/>
          <w:i/>
          <w:iCs/>
        </w:rPr>
        <w:t>Phenomenology of Perception</w:t>
      </w:r>
      <w:r w:rsidRPr="006140C7">
        <w:rPr>
          <w:rFonts w:cstheme="minorHAnsi"/>
        </w:rPr>
        <w:t xml:space="preserve">, </w:t>
      </w:r>
      <w:r>
        <w:rPr>
          <w:rFonts w:cstheme="minorHAnsi"/>
        </w:rPr>
        <w:tab/>
      </w:r>
      <w:r>
        <w:rPr>
          <w:rFonts w:cstheme="minorHAnsi"/>
        </w:rPr>
        <w:tab/>
      </w:r>
      <w:r>
        <w:rPr>
          <w:rFonts w:cstheme="minorHAnsi"/>
        </w:rPr>
        <w:tab/>
      </w:r>
      <w:r>
        <w:rPr>
          <w:rFonts w:cstheme="minorHAnsi"/>
        </w:rPr>
        <w:tab/>
      </w:r>
      <w:r w:rsidRPr="006140C7">
        <w:rPr>
          <w:rFonts w:cstheme="minorHAnsi"/>
        </w:rPr>
        <w:t>(London: Routledge &amp; Kegan Paul, 1962).</w:t>
      </w:r>
    </w:p>
    <w:p w:rsidR="00A41F75" w:rsidRPr="006140C7" w:rsidRDefault="00A41F75" w:rsidP="00A41F75">
      <w:pPr>
        <w:spacing w:after="0"/>
        <w:rPr>
          <w:rFonts w:cstheme="minorHAnsi"/>
        </w:rPr>
      </w:pPr>
    </w:p>
    <w:p w:rsidR="00A41F75" w:rsidRDefault="00A41F75" w:rsidP="00A41F75">
      <w:pPr>
        <w:pStyle w:val="ListParagraph"/>
        <w:numPr>
          <w:ilvl w:val="0"/>
          <w:numId w:val="2"/>
        </w:numPr>
        <w:spacing w:after="0"/>
        <w:rPr>
          <w:rFonts w:cstheme="minorHAnsi"/>
        </w:rPr>
      </w:pPr>
      <w:r w:rsidRPr="006140C7">
        <w:rPr>
          <w:rFonts w:cstheme="minorHAnsi"/>
        </w:rPr>
        <w:t xml:space="preserve">Russell, Bertrand, </w:t>
      </w:r>
      <w:r w:rsidRPr="006140C7">
        <w:rPr>
          <w:rFonts w:cstheme="minorHAnsi"/>
          <w:i/>
          <w:iCs/>
        </w:rPr>
        <w:t xml:space="preserve">The Problems of Philosophy, </w:t>
      </w:r>
      <w:r w:rsidRPr="006140C7">
        <w:rPr>
          <w:rFonts w:cstheme="minorHAnsi"/>
        </w:rPr>
        <w:t>(Oxford, Oxford University Press, 1967).</w:t>
      </w:r>
    </w:p>
    <w:p w:rsidR="00A41F75" w:rsidRPr="006140C7" w:rsidRDefault="00A41F75" w:rsidP="00A41F75">
      <w:pPr>
        <w:spacing w:after="0"/>
        <w:rPr>
          <w:rFonts w:cstheme="minorHAnsi"/>
        </w:rPr>
      </w:pPr>
    </w:p>
    <w:p w:rsidR="00A41F75" w:rsidRPr="006140C7" w:rsidRDefault="00A41F75" w:rsidP="00A41F75">
      <w:pPr>
        <w:pStyle w:val="ListParagraph"/>
        <w:numPr>
          <w:ilvl w:val="0"/>
          <w:numId w:val="2"/>
        </w:numPr>
        <w:rPr>
          <w:rFonts w:cstheme="minorHAnsi"/>
        </w:rPr>
      </w:pPr>
      <w:r w:rsidRPr="006140C7">
        <w:rPr>
          <w:rFonts w:cstheme="minorHAnsi"/>
        </w:rPr>
        <w:t xml:space="preserve">Wittgenstein, Ludwig, </w:t>
      </w:r>
      <w:r w:rsidRPr="006140C7">
        <w:rPr>
          <w:rFonts w:cstheme="minorHAnsi"/>
          <w:i/>
          <w:iCs/>
        </w:rPr>
        <w:t>Philosophical Investigations,</w:t>
      </w:r>
      <w:r w:rsidRPr="006140C7">
        <w:rPr>
          <w:rFonts w:cstheme="minorHAnsi"/>
        </w:rPr>
        <w:t xml:space="preserve"> 4</w:t>
      </w:r>
      <w:r w:rsidRPr="006140C7">
        <w:rPr>
          <w:rFonts w:cstheme="minorHAnsi"/>
          <w:vertAlign w:val="superscript"/>
        </w:rPr>
        <w:t>th</w:t>
      </w:r>
      <w:r w:rsidRPr="006140C7">
        <w:rPr>
          <w:rFonts w:cstheme="minorHAnsi"/>
        </w:rPr>
        <w:t xml:space="preserve"> ed. </w:t>
      </w:r>
      <w:r>
        <w:rPr>
          <w:rFonts w:cstheme="minorHAnsi"/>
        </w:rPr>
        <w:tab/>
      </w:r>
      <w:r>
        <w:rPr>
          <w:rFonts w:cstheme="minorHAnsi"/>
        </w:rPr>
        <w:tab/>
      </w:r>
      <w:r>
        <w:rPr>
          <w:rFonts w:cstheme="minorHAnsi"/>
        </w:rPr>
        <w:tab/>
      </w:r>
      <w:r>
        <w:rPr>
          <w:rFonts w:cstheme="minorHAnsi"/>
        </w:rPr>
        <w:tab/>
      </w:r>
      <w:r w:rsidRPr="006140C7">
        <w:rPr>
          <w:rFonts w:cstheme="minorHAnsi"/>
        </w:rPr>
        <w:t>(Oxford: Blackwell Publishing, 2009).</w:t>
      </w:r>
    </w:p>
    <w:p w:rsidR="00F139B8" w:rsidRDefault="00F139B8">
      <w:bookmarkStart w:id="13" w:name="_GoBack"/>
      <w:bookmarkEnd w:id="13"/>
    </w:p>
    <w:sectPr w:rsidR="00F139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77EB" w:rsidRDefault="002177EB" w:rsidP="00A41F75">
      <w:pPr>
        <w:spacing w:after="0" w:line="240" w:lineRule="auto"/>
      </w:pPr>
      <w:r>
        <w:separator/>
      </w:r>
    </w:p>
  </w:endnote>
  <w:endnote w:type="continuationSeparator" w:id="0">
    <w:p w:rsidR="002177EB" w:rsidRDefault="002177EB" w:rsidP="00A41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77EB" w:rsidRDefault="002177EB" w:rsidP="00A41F75">
      <w:pPr>
        <w:spacing w:after="0" w:line="240" w:lineRule="auto"/>
      </w:pPr>
      <w:r>
        <w:separator/>
      </w:r>
    </w:p>
  </w:footnote>
  <w:footnote w:type="continuationSeparator" w:id="0">
    <w:p w:rsidR="002177EB" w:rsidRDefault="002177EB" w:rsidP="00A41F75">
      <w:pPr>
        <w:spacing w:after="0" w:line="240" w:lineRule="auto"/>
      </w:pPr>
      <w:r>
        <w:continuationSeparator/>
      </w:r>
    </w:p>
  </w:footnote>
  <w:footnote w:id="1">
    <w:p w:rsidR="00A41F75" w:rsidRDefault="00A41F75" w:rsidP="00A41F75">
      <w:pPr>
        <w:pStyle w:val="FootnoteText"/>
      </w:pPr>
      <w:r>
        <w:rPr>
          <w:rStyle w:val="FootnoteReference"/>
        </w:rPr>
        <w:footnoteRef/>
      </w:r>
      <w:r>
        <w:t xml:space="preserve"> Merleau-Ponty, Maurice, </w:t>
      </w:r>
      <w:r w:rsidRPr="00936DA4">
        <w:rPr>
          <w:i/>
          <w:iCs/>
        </w:rPr>
        <w:t>Phenomenology of Perception</w:t>
      </w:r>
      <w:r>
        <w:t>. (London:</w:t>
      </w:r>
      <w:r w:rsidRPr="00124657">
        <w:rPr>
          <w:rFonts w:ascii="Calibri" w:eastAsia="Calibri" w:hAnsi="Calibri" w:cs="Calibri"/>
          <w:color w:val="000000"/>
          <w:sz w:val="18"/>
          <w:szCs w:val="22"/>
          <w:lang w:eastAsia="en-GB"/>
        </w:rPr>
        <w:t xml:space="preserve"> </w:t>
      </w:r>
      <w:r w:rsidRPr="00124657">
        <w:t>Routledge &amp; Kegan Paul</w:t>
      </w:r>
      <w:r>
        <w:t>, 1962) pp. vii-xxv.</w:t>
      </w:r>
    </w:p>
  </w:footnote>
  <w:footnote w:id="2">
    <w:p w:rsidR="00A41F75" w:rsidRDefault="00A41F75" w:rsidP="00A41F75">
      <w:pPr>
        <w:pStyle w:val="FootnoteText"/>
      </w:pPr>
      <w:r>
        <w:rPr>
          <w:rStyle w:val="FootnoteReference"/>
        </w:rPr>
        <w:footnoteRef/>
      </w:r>
      <w:r>
        <w:t xml:space="preserve"> Ibid., p. xi.</w:t>
      </w:r>
    </w:p>
  </w:footnote>
  <w:footnote w:id="3">
    <w:p w:rsidR="00A41F75" w:rsidRDefault="00A41F75" w:rsidP="00A41F75">
      <w:pPr>
        <w:pStyle w:val="FootnoteText"/>
      </w:pPr>
      <w:r>
        <w:rPr>
          <w:rStyle w:val="FootnoteReference"/>
        </w:rPr>
        <w:footnoteRef/>
      </w:r>
      <w:r>
        <w:t xml:space="preserve"> Ibid.</w:t>
      </w:r>
    </w:p>
  </w:footnote>
  <w:footnote w:id="4">
    <w:p w:rsidR="00A41F75" w:rsidRDefault="00A41F75" w:rsidP="00A41F75">
      <w:pPr>
        <w:pStyle w:val="FootnoteText"/>
      </w:pPr>
      <w:r>
        <w:rPr>
          <w:rStyle w:val="FootnoteReference"/>
        </w:rPr>
        <w:footnoteRef/>
      </w:r>
      <w:r>
        <w:t xml:space="preserve"> </w:t>
      </w:r>
      <w:bookmarkStart w:id="0" w:name="_Hlk26719423"/>
      <w:r w:rsidRPr="00124657">
        <w:t xml:space="preserve">Matthews, Gareth B. </w:t>
      </w:r>
      <w:r>
        <w:t>‘</w:t>
      </w:r>
      <w:r w:rsidRPr="00124657">
        <w:t>The Inner Man</w:t>
      </w:r>
      <w:r>
        <w:t>’,</w:t>
      </w:r>
      <w:r w:rsidRPr="00124657">
        <w:t> </w:t>
      </w:r>
      <w:r w:rsidRPr="00124657">
        <w:rPr>
          <w:i/>
          <w:iCs/>
        </w:rPr>
        <w:t>American Philosophical Quarterly</w:t>
      </w:r>
      <w:r w:rsidRPr="00124657">
        <w:t xml:space="preserve">, vol. 4, no. 2, </w:t>
      </w:r>
      <w:r>
        <w:t>(</w:t>
      </w:r>
      <w:r w:rsidRPr="00124657">
        <w:t>1967</w:t>
      </w:r>
      <w:r>
        <w:t>)</w:t>
      </w:r>
      <w:r w:rsidRPr="00124657">
        <w:t>, pp. 166–172</w:t>
      </w:r>
      <w:bookmarkEnd w:id="0"/>
      <w:r>
        <w:t xml:space="preserve"> (pp. 166-167).</w:t>
      </w:r>
    </w:p>
  </w:footnote>
  <w:footnote w:id="5">
    <w:p w:rsidR="00A41F75" w:rsidRDefault="00A41F75" w:rsidP="00A41F75">
      <w:pPr>
        <w:pStyle w:val="FootnoteText"/>
      </w:pPr>
      <w:r>
        <w:rPr>
          <w:rStyle w:val="FootnoteReference"/>
        </w:rPr>
        <w:footnoteRef/>
      </w:r>
      <w:r>
        <w:t xml:space="preserve"> Ibid., p. 167.</w:t>
      </w:r>
    </w:p>
  </w:footnote>
  <w:footnote w:id="6">
    <w:p w:rsidR="00A41F75" w:rsidRDefault="00A41F75" w:rsidP="00A41F75">
      <w:pPr>
        <w:pStyle w:val="FootnoteText"/>
      </w:pPr>
      <w:r>
        <w:rPr>
          <w:rStyle w:val="FootnoteReference"/>
        </w:rPr>
        <w:footnoteRef/>
      </w:r>
      <w:r>
        <w:t xml:space="preserve"> </w:t>
      </w:r>
      <w:bookmarkStart w:id="1" w:name="_Hlk26719208"/>
      <w:r>
        <w:t xml:space="preserve">Merleau-Ponty, </w:t>
      </w:r>
      <w:r>
        <w:rPr>
          <w:i/>
          <w:iCs/>
        </w:rPr>
        <w:t xml:space="preserve">Phenomenology of Perception. </w:t>
      </w:r>
      <w:r>
        <w:t>p. xi.</w:t>
      </w:r>
      <w:bookmarkEnd w:id="1"/>
    </w:p>
  </w:footnote>
  <w:footnote w:id="7">
    <w:p w:rsidR="00A41F75" w:rsidRDefault="00A41F75" w:rsidP="00A41F75">
      <w:pPr>
        <w:pStyle w:val="FootnoteText"/>
      </w:pPr>
      <w:r>
        <w:rPr>
          <w:rStyle w:val="FootnoteReference"/>
        </w:rPr>
        <w:footnoteRef/>
      </w:r>
      <w:r>
        <w:t xml:space="preserve"> ibid.</w:t>
      </w:r>
    </w:p>
  </w:footnote>
  <w:footnote w:id="8">
    <w:p w:rsidR="00A41F75" w:rsidRPr="00CF201A" w:rsidRDefault="00A41F75" w:rsidP="00A41F75">
      <w:pPr>
        <w:pStyle w:val="FootnoteText"/>
      </w:pPr>
      <w:r>
        <w:rPr>
          <w:rStyle w:val="FootnoteReference"/>
        </w:rPr>
        <w:footnoteRef/>
      </w:r>
      <w:r>
        <w:t xml:space="preserve"> </w:t>
      </w:r>
      <w:bookmarkStart w:id="3" w:name="_Hlk26718009"/>
      <w:r>
        <w:t xml:space="preserve">Matthews, Eric, </w:t>
      </w:r>
      <w:r>
        <w:rPr>
          <w:i/>
          <w:iCs/>
        </w:rPr>
        <w:t>The philosophy of Merleau-Ponty.</w:t>
      </w:r>
      <w:r>
        <w:t xml:space="preserve"> (</w:t>
      </w:r>
      <w:r w:rsidRPr="00CF201A">
        <w:t>Chesham: Acumen Publishing</w:t>
      </w:r>
      <w:r>
        <w:t>,</w:t>
      </w:r>
      <w:r w:rsidRPr="00CF201A">
        <w:t> 2002</w:t>
      </w:r>
      <w:r>
        <w:t>).</w:t>
      </w:r>
      <w:bookmarkEnd w:id="3"/>
    </w:p>
  </w:footnote>
  <w:footnote w:id="9">
    <w:p w:rsidR="00A41F75" w:rsidRDefault="00A41F75" w:rsidP="00A41F75">
      <w:pPr>
        <w:pStyle w:val="FootnoteText"/>
      </w:pPr>
      <w:r>
        <w:rPr>
          <w:rStyle w:val="FootnoteReference"/>
        </w:rPr>
        <w:footnoteRef/>
      </w:r>
      <w:r>
        <w:t xml:space="preserve"> Merleau-Ponty, </w:t>
      </w:r>
      <w:r>
        <w:rPr>
          <w:i/>
          <w:iCs/>
        </w:rPr>
        <w:t xml:space="preserve">Phenomenology of Perception. </w:t>
      </w:r>
      <w:r>
        <w:t>p. xi.</w:t>
      </w:r>
    </w:p>
  </w:footnote>
  <w:footnote w:id="10">
    <w:p w:rsidR="00A41F75" w:rsidRDefault="00A41F75" w:rsidP="00A41F75">
      <w:pPr>
        <w:pStyle w:val="FootnoteText"/>
      </w:pPr>
      <w:r>
        <w:rPr>
          <w:rStyle w:val="FootnoteReference"/>
        </w:rPr>
        <w:footnoteRef/>
      </w:r>
      <w:r>
        <w:t xml:space="preserve"> </w:t>
      </w:r>
      <w:bookmarkStart w:id="4" w:name="_Hlk26718170"/>
      <w:r>
        <w:t xml:space="preserve">Matthews, </w:t>
      </w:r>
      <w:r>
        <w:rPr>
          <w:i/>
          <w:iCs/>
        </w:rPr>
        <w:t>The philosophy of Merleau-Ponty</w:t>
      </w:r>
      <w:bookmarkEnd w:id="4"/>
      <w:r>
        <w:rPr>
          <w:i/>
          <w:iCs/>
        </w:rPr>
        <w:t xml:space="preserve">, </w:t>
      </w:r>
      <w:r>
        <w:t>p. 45.</w:t>
      </w:r>
    </w:p>
  </w:footnote>
  <w:footnote w:id="11">
    <w:p w:rsidR="00A41F75" w:rsidRDefault="00A41F75" w:rsidP="00A41F75">
      <w:pPr>
        <w:pStyle w:val="FootnoteText"/>
      </w:pPr>
      <w:r>
        <w:rPr>
          <w:rStyle w:val="FootnoteReference"/>
        </w:rPr>
        <w:footnoteRef/>
      </w:r>
      <w:r>
        <w:t xml:space="preserve"> Ibid., p. 46.</w:t>
      </w:r>
    </w:p>
  </w:footnote>
  <w:footnote w:id="12">
    <w:p w:rsidR="00A41F75" w:rsidRDefault="00A41F75" w:rsidP="00A41F75">
      <w:pPr>
        <w:pStyle w:val="FootnoteText"/>
      </w:pPr>
      <w:r>
        <w:rPr>
          <w:rStyle w:val="FootnoteReference"/>
        </w:rPr>
        <w:footnoteRef/>
      </w:r>
      <w:r>
        <w:t xml:space="preserve"> Ibid., p. 55.</w:t>
      </w:r>
    </w:p>
  </w:footnote>
  <w:footnote w:id="13">
    <w:p w:rsidR="00A41F75" w:rsidRDefault="00A41F75" w:rsidP="00A41F75">
      <w:pPr>
        <w:pStyle w:val="FootnoteText"/>
      </w:pPr>
      <w:r>
        <w:rPr>
          <w:rStyle w:val="FootnoteReference"/>
        </w:rPr>
        <w:footnoteRef/>
      </w:r>
      <w:r>
        <w:t xml:space="preserve"> Ibid., p. 56.</w:t>
      </w:r>
    </w:p>
  </w:footnote>
  <w:footnote w:id="14">
    <w:p w:rsidR="00A41F75" w:rsidRDefault="00A41F75" w:rsidP="00A41F75">
      <w:pPr>
        <w:pStyle w:val="FootnoteText"/>
      </w:pPr>
      <w:r>
        <w:rPr>
          <w:rStyle w:val="FootnoteReference"/>
        </w:rPr>
        <w:footnoteRef/>
      </w:r>
      <w:r>
        <w:t xml:space="preserve"> Ibid., p. 57.</w:t>
      </w:r>
    </w:p>
  </w:footnote>
  <w:footnote w:id="15">
    <w:p w:rsidR="00A41F75" w:rsidRDefault="00A41F75" w:rsidP="00A41F75">
      <w:pPr>
        <w:pStyle w:val="FootnoteText"/>
      </w:pPr>
      <w:r>
        <w:rPr>
          <w:rStyle w:val="FootnoteReference"/>
        </w:rPr>
        <w:footnoteRef/>
      </w:r>
      <w:r>
        <w:t xml:space="preserve"> Ibid., pp. 57-58.</w:t>
      </w:r>
    </w:p>
  </w:footnote>
  <w:footnote w:id="16">
    <w:p w:rsidR="00A41F75" w:rsidRDefault="00A41F75" w:rsidP="00A41F75">
      <w:pPr>
        <w:pStyle w:val="FootnoteText"/>
      </w:pPr>
      <w:r>
        <w:rPr>
          <w:rStyle w:val="FootnoteReference"/>
        </w:rPr>
        <w:footnoteRef/>
      </w:r>
      <w:r>
        <w:t xml:space="preserve"> </w:t>
      </w:r>
      <w:bookmarkStart w:id="5" w:name="_Hlk26719265"/>
      <w:r w:rsidRPr="00F90D6D">
        <w:t xml:space="preserve">Merleau-Ponty, </w:t>
      </w:r>
      <w:r w:rsidRPr="00F90D6D">
        <w:rPr>
          <w:i/>
          <w:iCs/>
        </w:rPr>
        <w:t>Phenomenology of Perception.</w:t>
      </w:r>
      <w:r>
        <w:t xml:space="preserve"> p</w:t>
      </w:r>
      <w:bookmarkEnd w:id="5"/>
      <w:r>
        <w:t>. xv.</w:t>
      </w:r>
    </w:p>
  </w:footnote>
  <w:footnote w:id="17">
    <w:p w:rsidR="00A41F75" w:rsidRDefault="00A41F75" w:rsidP="00A41F75">
      <w:pPr>
        <w:pStyle w:val="FootnoteText"/>
      </w:pPr>
      <w:r>
        <w:rPr>
          <w:rStyle w:val="FootnoteReference"/>
        </w:rPr>
        <w:footnoteRef/>
      </w:r>
      <w:r>
        <w:t xml:space="preserve"> Matthews, </w:t>
      </w:r>
      <w:r>
        <w:rPr>
          <w:i/>
          <w:iCs/>
        </w:rPr>
        <w:t xml:space="preserve">The philosophy of Merleau-Ponty, </w:t>
      </w:r>
      <w:r>
        <w:t>pp. 67-68.</w:t>
      </w:r>
    </w:p>
  </w:footnote>
  <w:footnote w:id="18">
    <w:p w:rsidR="00A41F75" w:rsidRDefault="00A41F75" w:rsidP="00A41F75">
      <w:pPr>
        <w:pStyle w:val="FootnoteText"/>
      </w:pPr>
      <w:r>
        <w:rPr>
          <w:rStyle w:val="FootnoteReference"/>
        </w:rPr>
        <w:footnoteRef/>
      </w:r>
      <w:r>
        <w:t xml:space="preserve"> Ibid., pp. 61-62.</w:t>
      </w:r>
    </w:p>
  </w:footnote>
  <w:footnote w:id="19">
    <w:p w:rsidR="00A41F75" w:rsidRDefault="00A41F75" w:rsidP="00A41F75">
      <w:pPr>
        <w:pStyle w:val="FootnoteText"/>
      </w:pPr>
      <w:r>
        <w:rPr>
          <w:rStyle w:val="FootnoteReference"/>
        </w:rPr>
        <w:footnoteRef/>
      </w:r>
      <w:r>
        <w:t xml:space="preserve"> Ibid., p. 68.</w:t>
      </w:r>
    </w:p>
  </w:footnote>
  <w:footnote w:id="20">
    <w:p w:rsidR="00A41F75" w:rsidRDefault="00A41F75" w:rsidP="00A41F75">
      <w:pPr>
        <w:pStyle w:val="FootnoteText"/>
      </w:pPr>
      <w:r>
        <w:rPr>
          <w:rStyle w:val="FootnoteReference"/>
        </w:rPr>
        <w:footnoteRef/>
      </w:r>
      <w:r>
        <w:t xml:space="preserve"> </w:t>
      </w:r>
      <w:r w:rsidRPr="00F90D6D">
        <w:t xml:space="preserve">Merleau-Ponty, </w:t>
      </w:r>
      <w:r w:rsidRPr="00F90D6D">
        <w:rPr>
          <w:i/>
          <w:iCs/>
        </w:rPr>
        <w:t>Phenomenology of Perception.</w:t>
      </w:r>
      <w:r w:rsidRPr="00F90D6D">
        <w:t xml:space="preserve"> p</w:t>
      </w:r>
      <w:r>
        <w:t>. xvii.</w:t>
      </w:r>
    </w:p>
  </w:footnote>
  <w:footnote w:id="21">
    <w:p w:rsidR="00A41F75" w:rsidRPr="00255149" w:rsidRDefault="00A41F75" w:rsidP="00A41F75">
      <w:pPr>
        <w:pStyle w:val="FootnoteText"/>
      </w:pPr>
      <w:r>
        <w:rPr>
          <w:rStyle w:val="FootnoteReference"/>
        </w:rPr>
        <w:footnoteRef/>
      </w:r>
      <w:r>
        <w:t xml:space="preserve"> </w:t>
      </w:r>
      <w:bookmarkStart w:id="6" w:name="_Hlk26999334"/>
      <w:r>
        <w:t xml:space="preserve">Russell, Bertrand, </w:t>
      </w:r>
      <w:r>
        <w:rPr>
          <w:i/>
          <w:iCs/>
        </w:rPr>
        <w:t xml:space="preserve">The Problems of Philosophy, </w:t>
      </w:r>
      <w:r>
        <w:t>(Oxford, Oxford University Press, 1967)</w:t>
      </w:r>
      <w:bookmarkEnd w:id="6"/>
      <w:r>
        <w:t xml:space="preserve"> pp. 2-4.  </w:t>
      </w:r>
    </w:p>
  </w:footnote>
  <w:footnote w:id="22">
    <w:p w:rsidR="00A41F75" w:rsidRDefault="00A41F75" w:rsidP="00A41F75">
      <w:pPr>
        <w:pStyle w:val="FootnoteText"/>
      </w:pPr>
      <w:r>
        <w:rPr>
          <w:rStyle w:val="FootnoteReference"/>
        </w:rPr>
        <w:footnoteRef/>
      </w:r>
      <w:r>
        <w:t xml:space="preserve"> Ibid., p. 2.</w:t>
      </w:r>
    </w:p>
  </w:footnote>
  <w:footnote w:id="23">
    <w:p w:rsidR="00A41F75" w:rsidRDefault="00A41F75" w:rsidP="00A41F75">
      <w:pPr>
        <w:pStyle w:val="FootnoteText"/>
      </w:pPr>
      <w:r>
        <w:rPr>
          <w:rStyle w:val="FootnoteReference"/>
        </w:rPr>
        <w:footnoteRef/>
      </w:r>
      <w:r>
        <w:t xml:space="preserve"> Ibid.</w:t>
      </w:r>
    </w:p>
  </w:footnote>
  <w:footnote w:id="24">
    <w:p w:rsidR="00A41F75" w:rsidRPr="00BD49DB" w:rsidRDefault="00A41F75" w:rsidP="00A41F75">
      <w:pPr>
        <w:pStyle w:val="FootnoteText"/>
      </w:pPr>
      <w:r>
        <w:rPr>
          <w:rStyle w:val="FootnoteReference"/>
        </w:rPr>
        <w:footnoteRef/>
      </w:r>
      <w:r>
        <w:t xml:space="preserve"> </w:t>
      </w:r>
      <w:bookmarkStart w:id="7" w:name="_Hlk26999379"/>
      <w:r>
        <w:t xml:space="preserve">Langer, Monika M., </w:t>
      </w:r>
      <w:r>
        <w:rPr>
          <w:i/>
          <w:iCs/>
        </w:rPr>
        <w:t xml:space="preserve">Merleau-Ponty’s Phenomenology of Perception, </w:t>
      </w:r>
      <w:r>
        <w:t xml:space="preserve">(London: Macmillan Press, 1989) </w:t>
      </w:r>
      <w:bookmarkEnd w:id="7"/>
      <w:r>
        <w:t>p. 10.</w:t>
      </w:r>
    </w:p>
  </w:footnote>
  <w:footnote w:id="25">
    <w:p w:rsidR="00A41F75" w:rsidRDefault="00A41F75" w:rsidP="00A41F75">
      <w:pPr>
        <w:pStyle w:val="FootnoteText"/>
      </w:pPr>
      <w:r>
        <w:rPr>
          <w:rStyle w:val="FootnoteReference"/>
        </w:rPr>
        <w:footnoteRef/>
      </w:r>
      <w:r>
        <w:t xml:space="preserve"> Ibid.</w:t>
      </w:r>
    </w:p>
  </w:footnote>
  <w:footnote w:id="26">
    <w:p w:rsidR="00A41F75" w:rsidRDefault="00A41F75" w:rsidP="00A41F75">
      <w:pPr>
        <w:pStyle w:val="FootnoteText"/>
      </w:pPr>
      <w:r>
        <w:rPr>
          <w:rStyle w:val="FootnoteReference"/>
        </w:rPr>
        <w:footnoteRef/>
      </w:r>
      <w:r>
        <w:t xml:space="preserve"> Ibid.</w:t>
      </w:r>
    </w:p>
  </w:footnote>
  <w:footnote w:id="27">
    <w:p w:rsidR="00A41F75" w:rsidRDefault="00A41F75" w:rsidP="00A41F75">
      <w:pPr>
        <w:pStyle w:val="FootnoteText"/>
      </w:pPr>
      <w:r>
        <w:rPr>
          <w:rStyle w:val="FootnoteReference"/>
        </w:rPr>
        <w:footnoteRef/>
      </w:r>
      <w:r>
        <w:t xml:space="preserve"> Ibid.</w:t>
      </w:r>
    </w:p>
  </w:footnote>
  <w:footnote w:id="28">
    <w:p w:rsidR="00A41F75" w:rsidRDefault="00A41F75" w:rsidP="00A41F75">
      <w:pPr>
        <w:pStyle w:val="FootnoteText"/>
      </w:pPr>
      <w:r>
        <w:rPr>
          <w:rStyle w:val="FootnoteReference"/>
        </w:rPr>
        <w:footnoteRef/>
      </w:r>
      <w:r>
        <w:t xml:space="preserve"> Ibid., pp. 10-11.</w:t>
      </w:r>
    </w:p>
  </w:footnote>
  <w:footnote w:id="29">
    <w:p w:rsidR="00A41F75" w:rsidRDefault="00A41F75" w:rsidP="00A41F75">
      <w:pPr>
        <w:pStyle w:val="FootnoteText"/>
      </w:pPr>
      <w:r>
        <w:rPr>
          <w:rStyle w:val="FootnoteReference"/>
        </w:rPr>
        <w:footnoteRef/>
      </w:r>
      <w:bookmarkStart w:id="8" w:name="_Hlk26999416"/>
      <w:r>
        <w:t xml:space="preserve">Merleau-Ponty, Maurice, </w:t>
      </w:r>
      <w:r>
        <w:rPr>
          <w:i/>
          <w:iCs/>
        </w:rPr>
        <w:t>Phenomenology of Perception</w:t>
      </w:r>
      <w:r>
        <w:t>, (London:</w:t>
      </w:r>
      <w:r>
        <w:rPr>
          <w:rFonts w:ascii="Calibri" w:eastAsia="Calibri" w:hAnsi="Calibri" w:cs="Calibri"/>
          <w:color w:val="000000"/>
          <w:sz w:val="18"/>
          <w:lang w:eastAsia="en-GB"/>
        </w:rPr>
        <w:t xml:space="preserve"> </w:t>
      </w:r>
      <w:r>
        <w:t xml:space="preserve">Routledge &amp; Kegan Paul, 1962) </w:t>
      </w:r>
      <w:bookmarkEnd w:id="8"/>
      <w:r>
        <w:t>p. 53.</w:t>
      </w:r>
    </w:p>
  </w:footnote>
  <w:footnote w:id="30">
    <w:p w:rsidR="00A41F75" w:rsidRDefault="00A41F75" w:rsidP="00A41F75">
      <w:pPr>
        <w:pStyle w:val="FootnoteText"/>
      </w:pPr>
      <w:r>
        <w:rPr>
          <w:rStyle w:val="FootnoteReference"/>
        </w:rPr>
        <w:footnoteRef/>
      </w:r>
      <w:r>
        <w:t xml:space="preserve"> Ibid., pp. 60-61.</w:t>
      </w:r>
    </w:p>
  </w:footnote>
  <w:footnote w:id="31">
    <w:p w:rsidR="00A41F75" w:rsidRDefault="00A41F75" w:rsidP="00A41F75">
      <w:pPr>
        <w:pStyle w:val="FootnoteText"/>
      </w:pPr>
      <w:r>
        <w:rPr>
          <w:rStyle w:val="FootnoteReference"/>
        </w:rPr>
        <w:footnoteRef/>
      </w:r>
      <w:r>
        <w:t xml:space="preserve"> </w:t>
      </w:r>
      <w:bookmarkStart w:id="9" w:name="_Hlk26999452"/>
      <w:r>
        <w:t xml:space="preserve">Wittgenstein, Ludwig, </w:t>
      </w:r>
      <w:r w:rsidRPr="00B03956">
        <w:rPr>
          <w:i/>
          <w:iCs/>
        </w:rPr>
        <w:t>Philosophical Investigations</w:t>
      </w:r>
      <w:r>
        <w:rPr>
          <w:i/>
          <w:iCs/>
        </w:rPr>
        <w:t>,</w:t>
      </w:r>
      <w:r>
        <w:t xml:space="preserve"> 4</w:t>
      </w:r>
      <w:r w:rsidRPr="00B03956">
        <w:rPr>
          <w:vertAlign w:val="superscript"/>
        </w:rPr>
        <w:t>th</w:t>
      </w:r>
      <w:r>
        <w:t xml:space="preserve"> ed. (Oxford: Blackwell Publishing, 2009)</w:t>
      </w:r>
      <w:bookmarkEnd w:id="9"/>
      <w:r>
        <w:t xml:space="preserve"> pp. 123-126.</w:t>
      </w:r>
    </w:p>
  </w:footnote>
  <w:footnote w:id="32">
    <w:p w:rsidR="00A41F75" w:rsidRPr="00697DE9" w:rsidRDefault="00A41F75" w:rsidP="00A41F75">
      <w:pPr>
        <w:pStyle w:val="FootnoteText"/>
        <w:rPr>
          <w:lang w:val="en-US"/>
        </w:rPr>
      </w:pPr>
      <w:r>
        <w:rPr>
          <w:rStyle w:val="FootnoteReference"/>
        </w:rPr>
        <w:footnoteRef/>
      </w:r>
      <w:r>
        <w:t xml:space="preserve"> </w:t>
      </w:r>
      <w:r>
        <w:rPr>
          <w:lang w:val="en-US"/>
        </w:rPr>
        <w:t>Ibid., pp. 203-204.</w:t>
      </w:r>
    </w:p>
  </w:footnote>
  <w:footnote w:id="33">
    <w:p w:rsidR="00A41F75" w:rsidRDefault="00A41F75" w:rsidP="00A41F75">
      <w:pPr>
        <w:pStyle w:val="FootnoteText"/>
      </w:pPr>
      <w:r>
        <w:rPr>
          <w:rStyle w:val="FootnoteReference"/>
        </w:rPr>
        <w:footnoteRef/>
      </w:r>
      <w:r>
        <w:t xml:space="preserve"> </w:t>
      </w:r>
      <w:bookmarkStart w:id="10" w:name="_Hlk27399424"/>
      <w:r>
        <w:t>Ibid.</w:t>
      </w:r>
      <w:r>
        <w:rPr>
          <w:i/>
          <w:iCs/>
        </w:rPr>
        <w:t xml:space="preserve">, </w:t>
      </w:r>
      <w:r>
        <w:t xml:space="preserve">pp. </w:t>
      </w:r>
      <w:bookmarkEnd w:id="10"/>
      <w:r>
        <w:t>131-132.</w:t>
      </w:r>
    </w:p>
  </w:footnote>
  <w:footnote w:id="34">
    <w:p w:rsidR="00A41F75" w:rsidRPr="0018062B" w:rsidRDefault="00A41F75" w:rsidP="00A41F75">
      <w:pPr>
        <w:pStyle w:val="FootnoteText"/>
      </w:pPr>
      <w:r>
        <w:rPr>
          <w:rStyle w:val="FootnoteReference"/>
        </w:rPr>
        <w:footnoteRef/>
      </w:r>
      <w:r>
        <w:t xml:space="preserve"> </w:t>
      </w:r>
      <w:bookmarkStart w:id="11" w:name="_Hlk27480572"/>
      <w:r>
        <w:t xml:space="preserve">Descartes, Rene, </w:t>
      </w:r>
      <w:r>
        <w:rPr>
          <w:i/>
          <w:iCs/>
        </w:rPr>
        <w:t>The Passions of the Soul</w:t>
      </w:r>
      <w:bookmarkEnd w:id="11"/>
      <w:r>
        <w:rPr>
          <w:i/>
          <w:iCs/>
        </w:rPr>
        <w:t xml:space="preserve">, </w:t>
      </w:r>
      <w:r>
        <w:t>p.23.</w:t>
      </w:r>
    </w:p>
  </w:footnote>
  <w:footnote w:id="35">
    <w:p w:rsidR="00A41F75" w:rsidRDefault="00A41F75" w:rsidP="00A41F75">
      <w:pPr>
        <w:pStyle w:val="FootnoteText"/>
      </w:pPr>
      <w:r>
        <w:rPr>
          <w:rStyle w:val="FootnoteReference"/>
        </w:rPr>
        <w:footnoteRef/>
      </w:r>
      <w:r>
        <w:t xml:space="preserve"> Merleau-Ponty, </w:t>
      </w:r>
      <w:r>
        <w:rPr>
          <w:i/>
          <w:iCs/>
        </w:rPr>
        <w:t xml:space="preserve">Phenomenology of Perception, </w:t>
      </w:r>
      <w:r>
        <w:t>p. 151.</w:t>
      </w:r>
    </w:p>
  </w:footnote>
  <w:footnote w:id="36">
    <w:p w:rsidR="00A41F75" w:rsidRPr="000358DD" w:rsidRDefault="00A41F75" w:rsidP="00A41F75">
      <w:pPr>
        <w:pStyle w:val="FootnoteText"/>
      </w:pPr>
      <w:r>
        <w:rPr>
          <w:rStyle w:val="FootnoteReference"/>
        </w:rPr>
        <w:footnoteRef/>
      </w:r>
      <w:r>
        <w:t xml:space="preserve"> </w:t>
      </w:r>
      <w:bookmarkStart w:id="12" w:name="_Hlk27402161"/>
      <w:r>
        <w:t xml:space="preserve">Cockburn, David, </w:t>
      </w:r>
      <w:r>
        <w:rPr>
          <w:i/>
          <w:iCs/>
        </w:rPr>
        <w:t xml:space="preserve">My experience of my own body </w:t>
      </w:r>
      <w:r>
        <w:t xml:space="preserve">[Lecture to B.A. Philosophy Year 3] </w:t>
      </w:r>
      <w:r>
        <w:rPr>
          <w:i/>
          <w:iCs/>
        </w:rPr>
        <w:t xml:space="preserve">HPPH6014: Merleau-Ponty and Wittgenstein. </w:t>
      </w:r>
      <w:r>
        <w:t>(University of Wales Trinity Saint David, 16</w:t>
      </w:r>
      <w:r w:rsidRPr="000358DD">
        <w:rPr>
          <w:vertAlign w:val="superscript"/>
        </w:rPr>
        <w:t>th</w:t>
      </w:r>
      <w:r>
        <w:t xml:space="preserve"> December 2019).</w:t>
      </w:r>
      <w:bookmarkEnd w:id="12"/>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3D0B9A"/>
    <w:multiLevelType w:val="hybridMultilevel"/>
    <w:tmpl w:val="6D2822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4B1680"/>
    <w:multiLevelType w:val="hybridMultilevel"/>
    <w:tmpl w:val="3B56DDD6"/>
    <w:lvl w:ilvl="0" w:tplc="F4B2E4B2">
      <w:start w:val="1"/>
      <w:numFmt w:val="decimal"/>
      <w:lvlText w:val="%1)"/>
      <w:lvlJc w:val="left"/>
      <w:pPr>
        <w:ind w:left="720" w:hanging="360"/>
      </w:pPr>
      <w:rPr>
        <w:rFonts w:cstheme="minorBid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F75"/>
    <w:rsid w:val="002177EB"/>
    <w:rsid w:val="00A41F75"/>
    <w:rsid w:val="00F13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8F5B75-611F-4322-8829-28ECC237A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41F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41F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1F75"/>
    <w:rPr>
      <w:sz w:val="20"/>
      <w:szCs w:val="20"/>
    </w:rPr>
  </w:style>
  <w:style w:type="character" w:styleId="FootnoteReference">
    <w:name w:val="footnote reference"/>
    <w:basedOn w:val="DefaultParagraphFont"/>
    <w:uiPriority w:val="99"/>
    <w:semiHidden/>
    <w:unhideWhenUsed/>
    <w:rsid w:val="00A41F75"/>
    <w:rPr>
      <w:vertAlign w:val="superscript"/>
    </w:rPr>
  </w:style>
  <w:style w:type="paragraph" w:styleId="ListParagraph">
    <w:name w:val="List Paragraph"/>
    <w:basedOn w:val="Normal"/>
    <w:uiPriority w:val="34"/>
    <w:qFormat/>
    <w:rsid w:val="00A41F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2332</Words>
  <Characters>13295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Iona Mokandpuri (1700549)</dc:creator>
  <cp:keywords/>
  <dc:description/>
  <cp:lastModifiedBy>Iona Mokandpuri (1700549)</cp:lastModifiedBy>
  <cp:revision>1</cp:revision>
  <dcterms:created xsi:type="dcterms:W3CDTF">2019-12-18T16:05:00Z</dcterms:created>
  <dcterms:modified xsi:type="dcterms:W3CDTF">2019-12-18T16:08:00Z</dcterms:modified>
</cp:coreProperties>
</file>