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D9784C" w14:textId="77777777" w:rsidR="00824E75" w:rsidRDefault="00824E75"/>
    <w:p w14:paraId="65E8DF56" w14:textId="7BB06BD6" w:rsidR="00AA3A50" w:rsidRDefault="00AA3A50"/>
    <w:p w14:paraId="3A25E854" w14:textId="77777777" w:rsidR="009850C9" w:rsidRDefault="009850C9"/>
    <w:p w14:paraId="31CCDD61" w14:textId="77777777" w:rsidR="00AA3A50" w:rsidRDefault="00AA3A50"/>
    <w:p w14:paraId="1B55A4BD" w14:textId="77777777" w:rsidR="00AA3A50" w:rsidRDefault="00AA3A50"/>
    <w:p w14:paraId="3F9D999D" w14:textId="77777777" w:rsidR="00AA3A50" w:rsidRDefault="00AA3A50"/>
    <w:p w14:paraId="1C1AE34B" w14:textId="77777777" w:rsidR="00AA3A50" w:rsidRDefault="00AA3A50"/>
    <w:p w14:paraId="4E8E841E" w14:textId="77777777" w:rsidR="003461A1" w:rsidRPr="009850C9" w:rsidRDefault="003461A1" w:rsidP="003461A1">
      <w:pPr>
        <w:jc w:val="center"/>
        <w:rPr>
          <w:rFonts w:ascii="Arial" w:hAnsi="Arial" w:cs="Arial"/>
          <w:b/>
          <w:szCs w:val="24"/>
        </w:rPr>
      </w:pPr>
      <w:r w:rsidRPr="009850C9">
        <w:rPr>
          <w:rFonts w:ascii="Arial" w:hAnsi="Arial" w:cs="Arial"/>
          <w:b/>
          <w:szCs w:val="24"/>
        </w:rPr>
        <w:t>Cultural Awareness</w:t>
      </w:r>
    </w:p>
    <w:p w14:paraId="4C6F64DD" w14:textId="3E71C0BA" w:rsidR="003461A1" w:rsidRPr="009850C9" w:rsidRDefault="003461A1" w:rsidP="003461A1">
      <w:pPr>
        <w:jc w:val="center"/>
        <w:rPr>
          <w:rFonts w:ascii="Arial" w:hAnsi="Arial" w:cs="Arial"/>
          <w:b/>
          <w:szCs w:val="24"/>
        </w:rPr>
      </w:pPr>
      <w:r w:rsidRPr="009850C9">
        <w:rPr>
          <w:rFonts w:ascii="Arial" w:hAnsi="Arial" w:cs="Arial"/>
          <w:b/>
          <w:szCs w:val="24"/>
        </w:rPr>
        <w:t>Hotel Handbook for Intercultural Competence</w:t>
      </w:r>
    </w:p>
    <w:p w14:paraId="2CFB712B" w14:textId="4531510B" w:rsidR="0044453B" w:rsidRPr="009850C9" w:rsidRDefault="0044453B" w:rsidP="003461A1">
      <w:pPr>
        <w:jc w:val="center"/>
        <w:rPr>
          <w:rFonts w:ascii="Arial" w:hAnsi="Arial" w:cs="Arial"/>
          <w:b/>
          <w:szCs w:val="24"/>
        </w:rPr>
      </w:pPr>
    </w:p>
    <w:p w14:paraId="0FFEE558" w14:textId="40B12C59" w:rsidR="0044453B" w:rsidRPr="009850C9" w:rsidRDefault="0044453B" w:rsidP="003461A1">
      <w:pPr>
        <w:jc w:val="center"/>
        <w:rPr>
          <w:rFonts w:ascii="Arial" w:hAnsi="Arial" w:cs="Arial"/>
          <w:b/>
          <w:szCs w:val="24"/>
        </w:rPr>
      </w:pPr>
    </w:p>
    <w:p w14:paraId="67FF21D4" w14:textId="41C1B781" w:rsidR="0044453B" w:rsidRPr="009850C9" w:rsidRDefault="0044453B" w:rsidP="003461A1">
      <w:pPr>
        <w:jc w:val="center"/>
        <w:rPr>
          <w:rFonts w:ascii="Arial" w:hAnsi="Arial" w:cs="Arial"/>
          <w:bCs/>
          <w:szCs w:val="24"/>
        </w:rPr>
      </w:pPr>
    </w:p>
    <w:p w14:paraId="3FA9A282" w14:textId="4DD0FF09" w:rsidR="0044453B" w:rsidRPr="009850C9" w:rsidRDefault="0044453B" w:rsidP="003461A1">
      <w:pPr>
        <w:jc w:val="center"/>
        <w:rPr>
          <w:rFonts w:ascii="Arial" w:hAnsi="Arial" w:cs="Arial"/>
          <w:bCs/>
          <w:szCs w:val="24"/>
        </w:rPr>
      </w:pPr>
      <w:r w:rsidRPr="009850C9">
        <w:rPr>
          <w:rFonts w:ascii="Arial" w:hAnsi="Arial" w:cs="Arial"/>
          <w:bCs/>
          <w:szCs w:val="24"/>
        </w:rPr>
        <w:t>Lenuta Maria Furo</w:t>
      </w:r>
    </w:p>
    <w:p w14:paraId="687D56B0" w14:textId="64A1EB8B" w:rsidR="003461A1" w:rsidRPr="009850C9" w:rsidRDefault="003461A1" w:rsidP="003461A1">
      <w:pPr>
        <w:jc w:val="center"/>
        <w:rPr>
          <w:rFonts w:ascii="Arial" w:hAnsi="Arial" w:cs="Arial"/>
          <w:bCs/>
          <w:szCs w:val="24"/>
        </w:rPr>
      </w:pPr>
      <w:r w:rsidRPr="009850C9">
        <w:rPr>
          <w:rFonts w:ascii="Arial" w:hAnsi="Arial" w:cs="Arial"/>
          <w:bCs/>
          <w:szCs w:val="24"/>
        </w:rPr>
        <w:t>Student ID:</w:t>
      </w:r>
      <w:r w:rsidR="0044453B" w:rsidRPr="009850C9">
        <w:rPr>
          <w:rFonts w:ascii="Arial" w:hAnsi="Arial" w:cs="Arial"/>
          <w:bCs/>
          <w:szCs w:val="24"/>
        </w:rPr>
        <w:t>2019723</w:t>
      </w:r>
    </w:p>
    <w:p w14:paraId="32D625EA" w14:textId="2DEE92E7" w:rsidR="0044453B" w:rsidRPr="009850C9" w:rsidRDefault="0044453B" w:rsidP="003461A1">
      <w:pPr>
        <w:jc w:val="center"/>
        <w:rPr>
          <w:rFonts w:ascii="Arial" w:hAnsi="Arial" w:cs="Arial"/>
          <w:bCs/>
          <w:szCs w:val="24"/>
        </w:rPr>
      </w:pPr>
      <w:r w:rsidRPr="009850C9">
        <w:rPr>
          <w:rFonts w:ascii="Arial" w:hAnsi="Arial" w:cs="Arial"/>
          <w:bCs/>
          <w:szCs w:val="24"/>
        </w:rPr>
        <w:t>Mike Davies</w:t>
      </w:r>
    </w:p>
    <w:p w14:paraId="5D9DF0C8" w14:textId="3F050EBA" w:rsidR="0044453B" w:rsidRPr="009850C9" w:rsidRDefault="0044453B" w:rsidP="0044453B">
      <w:pPr>
        <w:jc w:val="center"/>
        <w:rPr>
          <w:rFonts w:ascii="Arial" w:hAnsi="Arial" w:cs="Arial"/>
          <w:bCs/>
          <w:szCs w:val="24"/>
        </w:rPr>
      </w:pPr>
      <w:r w:rsidRPr="009850C9">
        <w:rPr>
          <w:rFonts w:ascii="Arial" w:hAnsi="Arial" w:cs="Arial"/>
          <w:bCs/>
          <w:szCs w:val="24"/>
        </w:rPr>
        <w:t>Module:5003</w:t>
      </w:r>
    </w:p>
    <w:p w14:paraId="5191E9D4" w14:textId="29214BF3" w:rsidR="0017089D" w:rsidRDefault="0017089D" w:rsidP="0044453B">
      <w:pPr>
        <w:spacing w:line="259" w:lineRule="auto"/>
        <w:jc w:val="left"/>
        <w:sectPr w:rsidR="0017089D" w:rsidSect="0017089D">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fmt="lowerRoman"/>
          <w:cols w:space="720"/>
          <w:docGrid w:linePitch="360"/>
        </w:sectPr>
      </w:pPr>
    </w:p>
    <w:p w14:paraId="65C43DB5" w14:textId="77777777" w:rsidR="00AA3A50" w:rsidRPr="0044453B" w:rsidRDefault="000F29EE" w:rsidP="00AA3A50">
      <w:pPr>
        <w:pStyle w:val="Heading1"/>
        <w:rPr>
          <w:rFonts w:ascii="Arial" w:hAnsi="Arial" w:cs="Arial"/>
          <w:sz w:val="24"/>
          <w:szCs w:val="24"/>
        </w:rPr>
      </w:pPr>
      <w:bookmarkStart w:id="0" w:name="_Toc97034242"/>
      <w:r w:rsidRPr="0044453B">
        <w:rPr>
          <w:rFonts w:ascii="Arial" w:hAnsi="Arial" w:cs="Arial"/>
          <w:sz w:val="24"/>
          <w:szCs w:val="24"/>
        </w:rPr>
        <w:lastRenderedPageBreak/>
        <w:t>Introduction</w:t>
      </w:r>
      <w:bookmarkEnd w:id="0"/>
      <w:r w:rsidRPr="0044453B">
        <w:rPr>
          <w:rFonts w:ascii="Arial" w:hAnsi="Arial" w:cs="Arial"/>
          <w:sz w:val="24"/>
          <w:szCs w:val="24"/>
        </w:rPr>
        <w:t xml:space="preserve"> </w:t>
      </w:r>
    </w:p>
    <w:p w14:paraId="348044D6" w14:textId="77777777" w:rsidR="002A4281" w:rsidRPr="0044453B" w:rsidRDefault="000F29EE" w:rsidP="003461A1">
      <w:pPr>
        <w:rPr>
          <w:rFonts w:ascii="Arial" w:hAnsi="Arial" w:cs="Arial"/>
          <w:szCs w:val="24"/>
        </w:rPr>
      </w:pPr>
      <w:r w:rsidRPr="0044453B">
        <w:rPr>
          <w:rFonts w:ascii="Arial" w:hAnsi="Arial" w:cs="Arial"/>
          <w:szCs w:val="24"/>
        </w:rPr>
        <w:t xml:space="preserve">Cultural implications are the most important factors while catering to an international audience. People from different cultures and parts of the world have different preferences and understanding of the society he or she lives in. Therefore, the expectations the person has from the Hotels or other hospitality services might vary a lot as well. The role of the management and the staff of the hotel, in this situation, is to make sure that the hotel serves the consumers that make use of it, not the idea it has of itself. Such flexibility while catering to an international audience greatly improves the capability of the hotel to boost its brand image and service quality. This assignment focuses on understanding the implications of having Saudi guests in a British hotel. </w:t>
      </w:r>
    </w:p>
    <w:p w14:paraId="37DD97CA" w14:textId="77777777" w:rsidR="002A4281" w:rsidRPr="0044453B" w:rsidRDefault="000F29EE" w:rsidP="002A4281">
      <w:pPr>
        <w:pStyle w:val="Heading2"/>
        <w:rPr>
          <w:rFonts w:ascii="Arial" w:hAnsi="Arial" w:cs="Arial"/>
          <w:sz w:val="24"/>
          <w:szCs w:val="24"/>
        </w:rPr>
      </w:pPr>
      <w:bookmarkStart w:id="1" w:name="_Toc97034244"/>
      <w:r w:rsidRPr="0044453B">
        <w:rPr>
          <w:rFonts w:ascii="Arial" w:hAnsi="Arial" w:cs="Arial"/>
          <w:sz w:val="24"/>
          <w:szCs w:val="24"/>
        </w:rPr>
        <w:t>The role of cultural intelligence and sensitivity in hotel management</w:t>
      </w:r>
      <w:bookmarkEnd w:id="1"/>
      <w:r w:rsidRPr="0044453B">
        <w:rPr>
          <w:rFonts w:ascii="Arial" w:hAnsi="Arial" w:cs="Arial"/>
          <w:sz w:val="24"/>
          <w:szCs w:val="24"/>
        </w:rPr>
        <w:t xml:space="preserve"> </w:t>
      </w:r>
    </w:p>
    <w:p w14:paraId="4B14F640" w14:textId="652ED435" w:rsidR="00F75957" w:rsidRPr="0044453B" w:rsidRDefault="000F29EE" w:rsidP="002A4281">
      <w:pPr>
        <w:rPr>
          <w:rFonts w:ascii="Arial" w:hAnsi="Arial" w:cs="Arial"/>
          <w:szCs w:val="24"/>
        </w:rPr>
      </w:pPr>
      <w:r w:rsidRPr="0044453B">
        <w:rPr>
          <w:rFonts w:ascii="Arial" w:hAnsi="Arial" w:cs="Arial"/>
          <w:szCs w:val="24"/>
        </w:rPr>
        <w:t>National culture is often called the collective level of mind programming of a people from a specific geological background</w:t>
      </w:r>
      <w:r w:rsidR="00C854C9" w:rsidRPr="0044453B">
        <w:rPr>
          <w:rFonts w:ascii="Arial" w:hAnsi="Arial" w:cs="Arial"/>
          <w:szCs w:val="24"/>
        </w:rPr>
        <w:t xml:space="preserve"> (Brian, 2021)</w:t>
      </w:r>
      <w:r w:rsidRPr="0044453B">
        <w:rPr>
          <w:rFonts w:ascii="Arial" w:hAnsi="Arial" w:cs="Arial"/>
          <w:szCs w:val="24"/>
        </w:rPr>
        <w:t>. Geography and climate have a strong role in creating and nurturing the national culture. The history of the nation concerned also practices a strong influence on this matter</w:t>
      </w:r>
      <w:r w:rsidR="00C854C9" w:rsidRPr="0044453B">
        <w:rPr>
          <w:rFonts w:ascii="Arial" w:hAnsi="Arial" w:cs="Arial"/>
          <w:szCs w:val="24"/>
        </w:rPr>
        <w:t xml:space="preserve"> (Jones and Joy, 2021)</w:t>
      </w:r>
      <w:r w:rsidRPr="0044453B">
        <w:rPr>
          <w:rFonts w:ascii="Arial" w:hAnsi="Arial" w:cs="Arial"/>
          <w:szCs w:val="24"/>
        </w:rPr>
        <w:t xml:space="preserve">. A hotel, which is predominantly a service-based business, </w:t>
      </w:r>
      <w:r w:rsidR="007B27E3" w:rsidRPr="0044453B">
        <w:rPr>
          <w:rFonts w:ascii="Arial" w:hAnsi="Arial" w:cs="Arial"/>
          <w:szCs w:val="24"/>
        </w:rPr>
        <w:t>must</w:t>
      </w:r>
      <w:r w:rsidRPr="0044453B">
        <w:rPr>
          <w:rFonts w:ascii="Arial" w:hAnsi="Arial" w:cs="Arial"/>
          <w:szCs w:val="24"/>
        </w:rPr>
        <w:t xml:space="preserve"> consider the national culture and individual mindset of the customers when creating a service model that caters to their customers. However, the staff cannot go overboard with the process, as the person or the group of people coming here might not view that practice is acceptable. Sometimes, going overboard with national cultural issues might seem like the hotel is mocking the culture of the people who are visiting</w:t>
      </w:r>
      <w:r w:rsidR="00C854C9" w:rsidRPr="0044453B">
        <w:rPr>
          <w:rFonts w:ascii="Arial" w:hAnsi="Arial" w:cs="Arial"/>
          <w:szCs w:val="24"/>
        </w:rPr>
        <w:t xml:space="preserve"> (Anderson, 2015)</w:t>
      </w:r>
      <w:r w:rsidRPr="0044453B">
        <w:rPr>
          <w:rFonts w:ascii="Arial" w:hAnsi="Arial" w:cs="Arial"/>
          <w:szCs w:val="24"/>
        </w:rPr>
        <w:t xml:space="preserve">. Therefore, cultural customization calls for a delicate balancing of the cultural choices and the hotel's national identity. This is only possible if the hotel staff has adequate cultural intelligence and sensitivity while catering to international customers. </w:t>
      </w:r>
    </w:p>
    <w:p w14:paraId="7E37D53B" w14:textId="77777777" w:rsidR="00901EB8" w:rsidRPr="0044453B" w:rsidRDefault="000F29EE" w:rsidP="002A4281">
      <w:pPr>
        <w:rPr>
          <w:rFonts w:ascii="Arial" w:hAnsi="Arial" w:cs="Arial"/>
          <w:szCs w:val="24"/>
        </w:rPr>
      </w:pPr>
      <w:r w:rsidRPr="0044453B">
        <w:rPr>
          <w:rFonts w:ascii="Arial" w:hAnsi="Arial" w:cs="Arial"/>
          <w:szCs w:val="24"/>
        </w:rPr>
        <w:t xml:space="preserve">One way to be culturally intelligent is understanding the food requirement and the role of religion and customs in choosing the type of food one eats. For example, people from the Indian subcontinent generally like a spicier flavour, which might cause traditional British recipes to taste a bit too bland in their mouths. To right this situation, it is generally better to incorporate some elements of Indian cooking in the process. Also, Muslims do not eat pork, even serving such a thing in front of them might leave them to feel offended by this. </w:t>
      </w:r>
      <w:r w:rsidRPr="0044453B">
        <w:rPr>
          <w:rFonts w:ascii="Arial" w:hAnsi="Arial" w:cs="Arial"/>
          <w:szCs w:val="24"/>
        </w:rPr>
        <w:lastRenderedPageBreak/>
        <w:t>Jews, on the other hand, prefer kosher food when it comes to eating meat. Understanding such customs and preferences and the role of religion in the lifestyle of people is an important element of cultural intelligence and sensitivity</w:t>
      </w:r>
      <w:r w:rsidR="00C854C9" w:rsidRPr="0044453B">
        <w:rPr>
          <w:rFonts w:ascii="Arial" w:hAnsi="Arial" w:cs="Arial"/>
          <w:szCs w:val="24"/>
        </w:rPr>
        <w:t xml:space="preserve"> (Williams, 2021)</w:t>
      </w:r>
      <w:r w:rsidRPr="0044453B">
        <w:rPr>
          <w:rFonts w:ascii="Arial" w:hAnsi="Arial" w:cs="Arial"/>
          <w:szCs w:val="24"/>
        </w:rPr>
        <w:t xml:space="preserve">. </w:t>
      </w:r>
    </w:p>
    <w:p w14:paraId="3EFC2C6C" w14:textId="77777777" w:rsidR="00901EB8" w:rsidRPr="0044453B" w:rsidRDefault="003461A1" w:rsidP="00901EB8">
      <w:pPr>
        <w:pStyle w:val="Heading2"/>
        <w:rPr>
          <w:rFonts w:ascii="Arial" w:hAnsi="Arial" w:cs="Arial"/>
          <w:sz w:val="24"/>
          <w:szCs w:val="24"/>
        </w:rPr>
      </w:pPr>
      <w:bookmarkStart w:id="2" w:name="_Toc97034245"/>
      <w:r w:rsidRPr="0044453B">
        <w:rPr>
          <w:rFonts w:ascii="Arial" w:hAnsi="Arial" w:cs="Arial"/>
          <w:sz w:val="24"/>
          <w:szCs w:val="24"/>
        </w:rPr>
        <w:t xml:space="preserve">Catering to </w:t>
      </w:r>
      <w:r w:rsidR="000F29EE" w:rsidRPr="0044453B">
        <w:rPr>
          <w:rFonts w:ascii="Arial" w:hAnsi="Arial" w:cs="Arial"/>
          <w:sz w:val="24"/>
          <w:szCs w:val="24"/>
        </w:rPr>
        <w:t>Saudi</w:t>
      </w:r>
      <w:r w:rsidRPr="0044453B">
        <w:rPr>
          <w:rFonts w:ascii="Arial" w:hAnsi="Arial" w:cs="Arial"/>
          <w:sz w:val="24"/>
          <w:szCs w:val="24"/>
        </w:rPr>
        <w:t xml:space="preserve"> Guests</w:t>
      </w:r>
      <w:r w:rsidR="000F29EE" w:rsidRPr="0044453B">
        <w:rPr>
          <w:rFonts w:ascii="Arial" w:hAnsi="Arial" w:cs="Arial"/>
          <w:sz w:val="24"/>
          <w:szCs w:val="24"/>
        </w:rPr>
        <w:t xml:space="preserve"> </w:t>
      </w:r>
      <w:bookmarkEnd w:id="2"/>
    </w:p>
    <w:p w14:paraId="6B410BF7" w14:textId="6C9E1D54" w:rsidR="00901EB8" w:rsidRPr="0044453B" w:rsidRDefault="000F29EE" w:rsidP="00901EB8">
      <w:pPr>
        <w:rPr>
          <w:rFonts w:ascii="Arial" w:hAnsi="Arial" w:cs="Arial"/>
          <w:szCs w:val="24"/>
        </w:rPr>
      </w:pPr>
      <w:r w:rsidRPr="0044453B">
        <w:rPr>
          <w:rFonts w:ascii="Arial" w:hAnsi="Arial" w:cs="Arial"/>
          <w:szCs w:val="24"/>
        </w:rPr>
        <w:t xml:space="preserve">There are </w:t>
      </w:r>
      <w:r w:rsidR="007B27E3" w:rsidRPr="0044453B">
        <w:rPr>
          <w:rFonts w:ascii="Arial" w:hAnsi="Arial" w:cs="Arial"/>
          <w:szCs w:val="24"/>
        </w:rPr>
        <w:t>many</w:t>
      </w:r>
      <w:r w:rsidRPr="0044453B">
        <w:rPr>
          <w:rFonts w:ascii="Arial" w:hAnsi="Arial" w:cs="Arial"/>
          <w:szCs w:val="24"/>
        </w:rPr>
        <w:t xml:space="preserve"> Saudi people who do business here in Great Britain and due to business requirements, they often stay at hotels and temporary accommodations. To cater to them, the hotel needs to understand their unique cultural elements and customs before making a move. One of the ways to do that is utilizing the grading system based on Hofstede's cultural factors. The following graph provides some understanding of the Saudi customs and social system through Hofstede's rating system. </w:t>
      </w:r>
    </w:p>
    <w:p w14:paraId="3974EFAD" w14:textId="77777777" w:rsidR="00901EB8" w:rsidRDefault="000F29EE" w:rsidP="00901EB8">
      <w:pPr>
        <w:keepNext/>
      </w:pPr>
      <w:r w:rsidRPr="00901EB8">
        <w:rPr>
          <w:noProof/>
          <w:lang w:val="en-US"/>
        </w:rPr>
        <w:drawing>
          <wp:inline distT="0" distB="0" distL="0" distR="0" wp14:anchorId="1BFFD83B" wp14:editId="411710EC">
            <wp:extent cx="5943600" cy="24390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2439035"/>
                    </a:xfrm>
                    <a:prstGeom prst="rect">
                      <a:avLst/>
                    </a:prstGeom>
                  </pic:spPr>
                </pic:pic>
              </a:graphicData>
            </a:graphic>
          </wp:inline>
        </w:drawing>
      </w:r>
    </w:p>
    <w:p w14:paraId="561B9DE2" w14:textId="77777777" w:rsidR="00901EB8" w:rsidRDefault="000F29EE" w:rsidP="00901EB8">
      <w:pPr>
        <w:pStyle w:val="Caption"/>
        <w:jc w:val="center"/>
      </w:pPr>
      <w:r>
        <w:t xml:space="preserve">Figure </w:t>
      </w:r>
      <w:r w:rsidR="00DF0BA1">
        <w:fldChar w:fldCharType="begin"/>
      </w:r>
      <w:r>
        <w:instrText xml:space="preserve"> SEQ Figure \* ARABIC </w:instrText>
      </w:r>
      <w:r w:rsidR="00DF0BA1">
        <w:fldChar w:fldCharType="separate"/>
      </w:r>
      <w:r w:rsidR="00DF0BA1">
        <w:rPr>
          <w:noProof/>
        </w:rPr>
        <w:t>1</w:t>
      </w:r>
      <w:r w:rsidR="00DF0BA1">
        <w:rPr>
          <w:noProof/>
        </w:rPr>
        <w:fldChar w:fldCharType="end"/>
      </w:r>
      <w:r>
        <w:rPr>
          <w:lang w:val="en-US"/>
        </w:rPr>
        <w:t>: Hofstede Cultural Dimensions applied to Saudi Arabia</w:t>
      </w:r>
      <w:r w:rsidR="00C854C9">
        <w:rPr>
          <w:lang w:val="en-US"/>
        </w:rPr>
        <w:t xml:space="preserve"> </w:t>
      </w:r>
      <w:r w:rsidR="00C854C9" w:rsidRPr="00C854C9">
        <w:rPr>
          <w:lang w:val="en-US"/>
        </w:rPr>
        <w:t>(Wright, 2021)</w:t>
      </w:r>
    </w:p>
    <w:p w14:paraId="7C84BF5D" w14:textId="77777777" w:rsidR="00901EB8" w:rsidRPr="0044453B" w:rsidRDefault="000F29EE" w:rsidP="00901EB8">
      <w:pPr>
        <w:rPr>
          <w:rFonts w:ascii="Arial" w:hAnsi="Arial" w:cs="Arial"/>
          <w:szCs w:val="24"/>
        </w:rPr>
      </w:pPr>
      <w:r w:rsidRPr="0044453B">
        <w:rPr>
          <w:rFonts w:ascii="Arial" w:hAnsi="Arial" w:cs="Arial"/>
          <w:szCs w:val="24"/>
        </w:rPr>
        <w:t xml:space="preserve">Hofstede's scoring system reveals some important factors about Saudi culture. The first thing that catches the eye is the very high level of power distance. This is a very important factor for the hotels that are going to cater to them. This implies that the </w:t>
      </w:r>
      <w:r w:rsidR="00474230" w:rsidRPr="0044453B">
        <w:rPr>
          <w:rFonts w:ascii="Arial" w:hAnsi="Arial" w:cs="Arial"/>
          <w:szCs w:val="24"/>
        </w:rPr>
        <w:t>high-ranking officials of the Saudi business team will always stay separately from the comparatively lower-ranking officials</w:t>
      </w:r>
      <w:r w:rsidR="00C854C9" w:rsidRPr="0044453B">
        <w:rPr>
          <w:rFonts w:ascii="Arial" w:hAnsi="Arial" w:cs="Arial"/>
          <w:szCs w:val="24"/>
        </w:rPr>
        <w:t xml:space="preserve"> (Morris, 2017)</w:t>
      </w:r>
      <w:r w:rsidR="00474230" w:rsidRPr="0044453B">
        <w:rPr>
          <w:rFonts w:ascii="Arial" w:hAnsi="Arial" w:cs="Arial"/>
          <w:szCs w:val="24"/>
        </w:rPr>
        <w:t xml:space="preserve">. The high-ranking officials are less likely to actively engage in conversations with the hotel staff and all the engagement needs are likely to be handled by the lower-ranking workers. Even when having meals, the high-ranking officials will likely eat separately from the lower-ranking officials and even when having </w:t>
      </w:r>
      <w:r w:rsidR="00474230" w:rsidRPr="0044453B">
        <w:rPr>
          <w:rFonts w:ascii="Arial" w:hAnsi="Arial" w:cs="Arial"/>
          <w:szCs w:val="24"/>
        </w:rPr>
        <w:lastRenderedPageBreak/>
        <w:t>meals together, they will retain seats and positions that display their superiority</w:t>
      </w:r>
      <w:r w:rsidR="00C854C9" w:rsidRPr="0044453B">
        <w:rPr>
          <w:rFonts w:ascii="Arial" w:hAnsi="Arial" w:cs="Arial"/>
          <w:szCs w:val="24"/>
        </w:rPr>
        <w:t xml:space="preserve"> (Burton and Jared, 2012)</w:t>
      </w:r>
      <w:r w:rsidR="00474230" w:rsidRPr="0044453B">
        <w:rPr>
          <w:rFonts w:ascii="Arial" w:hAnsi="Arial" w:cs="Arial"/>
          <w:szCs w:val="24"/>
        </w:rPr>
        <w:t xml:space="preserve">. </w:t>
      </w:r>
    </w:p>
    <w:p w14:paraId="0BAE51F1" w14:textId="3BE13017" w:rsidR="00474230" w:rsidRPr="0044453B" w:rsidRDefault="000F29EE" w:rsidP="00901EB8">
      <w:pPr>
        <w:rPr>
          <w:rFonts w:ascii="Arial" w:hAnsi="Arial" w:cs="Arial"/>
          <w:szCs w:val="24"/>
        </w:rPr>
      </w:pPr>
      <w:r w:rsidRPr="0044453B">
        <w:rPr>
          <w:rFonts w:ascii="Arial" w:hAnsi="Arial" w:cs="Arial"/>
          <w:szCs w:val="24"/>
        </w:rPr>
        <w:t xml:space="preserve">Individualism level is </w:t>
      </w:r>
      <w:r w:rsidR="007B27E3" w:rsidRPr="0044453B">
        <w:rPr>
          <w:rFonts w:ascii="Arial" w:hAnsi="Arial" w:cs="Arial"/>
          <w:szCs w:val="24"/>
        </w:rPr>
        <w:t>low</w:t>
      </w:r>
      <w:r w:rsidRPr="0044453B">
        <w:rPr>
          <w:rFonts w:ascii="Arial" w:hAnsi="Arial" w:cs="Arial"/>
          <w:szCs w:val="24"/>
        </w:rPr>
        <w:t xml:space="preserve"> for Saudi nationals, which shows that they are more likely to act in a group rather than act individually</w:t>
      </w:r>
      <w:r w:rsidR="00C854C9" w:rsidRPr="0044453B">
        <w:rPr>
          <w:rFonts w:ascii="Arial" w:hAnsi="Arial" w:cs="Arial"/>
          <w:szCs w:val="24"/>
        </w:rPr>
        <w:t xml:space="preserve"> (Watson, 2012)</w:t>
      </w:r>
      <w:r w:rsidRPr="0044453B">
        <w:rPr>
          <w:rFonts w:ascii="Arial" w:hAnsi="Arial" w:cs="Arial"/>
          <w:szCs w:val="24"/>
        </w:rPr>
        <w:t xml:space="preserve">. The workers are more likely to show absolute obedience to their superiors. This social dynamic, while not very significant in daily life, has an important implication for the product and experience design of the hotels. </w:t>
      </w:r>
    </w:p>
    <w:p w14:paraId="398A4778" w14:textId="77777777" w:rsidR="00474230" w:rsidRPr="0044453B" w:rsidRDefault="000F29EE" w:rsidP="00901EB8">
      <w:pPr>
        <w:rPr>
          <w:rFonts w:ascii="Arial" w:hAnsi="Arial" w:cs="Arial"/>
          <w:szCs w:val="24"/>
        </w:rPr>
      </w:pPr>
      <w:r w:rsidRPr="0044453B">
        <w:rPr>
          <w:rFonts w:ascii="Arial" w:hAnsi="Arial" w:cs="Arial"/>
          <w:szCs w:val="24"/>
        </w:rPr>
        <w:t>The long</w:t>
      </w:r>
      <w:r w:rsidR="001350D1" w:rsidRPr="0044453B">
        <w:rPr>
          <w:rFonts w:ascii="Arial" w:hAnsi="Arial" w:cs="Arial"/>
          <w:szCs w:val="24"/>
        </w:rPr>
        <w:t>-</w:t>
      </w:r>
      <w:r w:rsidRPr="0044453B">
        <w:rPr>
          <w:rFonts w:ascii="Arial" w:hAnsi="Arial" w:cs="Arial"/>
          <w:szCs w:val="24"/>
        </w:rPr>
        <w:t>term orientation is quite low for Saudi nationals, which implies that they are less likely to plan many things and are prone to spending a lot</w:t>
      </w:r>
      <w:r w:rsidR="00C854C9" w:rsidRPr="0044453B">
        <w:rPr>
          <w:rFonts w:ascii="Arial" w:hAnsi="Arial" w:cs="Arial"/>
          <w:szCs w:val="24"/>
        </w:rPr>
        <w:t xml:space="preserve"> (Griffin, 2021)</w:t>
      </w:r>
      <w:r w:rsidRPr="0044453B">
        <w:rPr>
          <w:rFonts w:ascii="Arial" w:hAnsi="Arial" w:cs="Arial"/>
          <w:szCs w:val="24"/>
        </w:rPr>
        <w:t>. While this is a profitable element for the hotel, it also comes with some inherent risks. The hotel staff is supposed to be ready at every beck and call of the Saudi customers, and short</w:t>
      </w:r>
      <w:r w:rsidR="001350D1" w:rsidRPr="0044453B">
        <w:rPr>
          <w:rFonts w:ascii="Arial" w:hAnsi="Arial" w:cs="Arial"/>
          <w:szCs w:val="24"/>
        </w:rPr>
        <w:t>-</w:t>
      </w:r>
      <w:r w:rsidRPr="0044453B">
        <w:rPr>
          <w:rFonts w:ascii="Arial" w:hAnsi="Arial" w:cs="Arial"/>
          <w:szCs w:val="24"/>
        </w:rPr>
        <w:t xml:space="preserve">term delays combined with the inability to fulfil needs might result in the loss of future business. </w:t>
      </w:r>
    </w:p>
    <w:p w14:paraId="08E493EC" w14:textId="77777777" w:rsidR="001350D1" w:rsidRPr="0044453B" w:rsidRDefault="000F29EE" w:rsidP="00901EB8">
      <w:pPr>
        <w:rPr>
          <w:rFonts w:ascii="Arial" w:hAnsi="Arial" w:cs="Arial"/>
          <w:szCs w:val="24"/>
        </w:rPr>
      </w:pPr>
      <w:r w:rsidRPr="0044453B">
        <w:rPr>
          <w:rFonts w:ascii="Arial" w:hAnsi="Arial" w:cs="Arial"/>
          <w:szCs w:val="24"/>
        </w:rPr>
        <w:t>The social cognitive theory argues that people are more likely to use categorizations and stereotypes when there is a large amount of information to be processed</w:t>
      </w:r>
      <w:r w:rsidR="00C854C9" w:rsidRPr="0044453B">
        <w:rPr>
          <w:rFonts w:ascii="Arial" w:hAnsi="Arial" w:cs="Arial"/>
          <w:szCs w:val="24"/>
        </w:rPr>
        <w:t xml:space="preserve"> (Davidson, 2018)</w:t>
      </w:r>
      <w:r w:rsidRPr="0044453B">
        <w:rPr>
          <w:rFonts w:ascii="Arial" w:hAnsi="Arial" w:cs="Arial"/>
          <w:szCs w:val="24"/>
        </w:rPr>
        <w:t>. This is likely to happen in the case of the hotel that is catering to Saudi nationals as well. Each person has their understanding and preferences, and overgeneralization might leave the customers dissatisfied or even offended with the service that has been provided to them</w:t>
      </w:r>
      <w:r w:rsidR="00C854C9" w:rsidRPr="0044453B">
        <w:rPr>
          <w:rFonts w:ascii="Arial" w:hAnsi="Arial" w:cs="Arial"/>
          <w:szCs w:val="24"/>
        </w:rPr>
        <w:t xml:space="preserve"> (Brooks and Phoenix, 2014)</w:t>
      </w:r>
      <w:r w:rsidRPr="0044453B">
        <w:rPr>
          <w:rFonts w:ascii="Arial" w:hAnsi="Arial" w:cs="Arial"/>
          <w:szCs w:val="24"/>
        </w:rPr>
        <w:t xml:space="preserve">. To prevent this from happening, it is a good option for the hotel to provide dedicated staff for each of the teams that are staying together. In that way, the service becomes even more personalized and customized, which increases the chances of succeeding in satisfying the customer. </w:t>
      </w:r>
    </w:p>
    <w:p w14:paraId="440B8998" w14:textId="77777777" w:rsidR="00DF0BA1" w:rsidRDefault="000F29EE" w:rsidP="00DF0BA1">
      <w:pPr>
        <w:keepNext/>
      </w:pPr>
      <w:r>
        <w:rPr>
          <w:noProof/>
          <w:lang w:val="en-US"/>
        </w:rPr>
        <w:lastRenderedPageBreak/>
        <w:drawing>
          <wp:inline distT="0" distB="0" distL="0" distR="0" wp14:anchorId="2CF0FE22" wp14:editId="3452345F">
            <wp:extent cx="5943600" cy="3343275"/>
            <wp:effectExtent l="0" t="0" r="0" b="9525"/>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p>
    <w:p w14:paraId="09AA634A" w14:textId="77777777" w:rsidR="001350D1" w:rsidRDefault="000F29EE" w:rsidP="00DF0BA1">
      <w:pPr>
        <w:pStyle w:val="Caption"/>
        <w:jc w:val="center"/>
      </w:pPr>
      <w:r>
        <w:t xml:space="preserve">Figure </w:t>
      </w:r>
      <w:r w:rsidR="009C6094">
        <w:fldChar w:fldCharType="begin"/>
      </w:r>
      <w:r w:rsidR="009C6094">
        <w:instrText xml:space="preserve"> SEQ Figure \* ARABIC </w:instrText>
      </w:r>
      <w:r w:rsidR="009C6094">
        <w:fldChar w:fldCharType="separate"/>
      </w:r>
      <w:r>
        <w:rPr>
          <w:noProof/>
        </w:rPr>
        <w:t>2</w:t>
      </w:r>
      <w:r w:rsidR="009C6094">
        <w:rPr>
          <w:noProof/>
        </w:rPr>
        <w:fldChar w:fldCharType="end"/>
      </w:r>
      <w:r>
        <w:rPr>
          <w:lang w:val="en-US"/>
        </w:rPr>
        <w:t>: Social Cognitive Theory explaining the distortion of service provider's summarized understanding of the customer</w:t>
      </w:r>
      <w:r w:rsidR="00C854C9">
        <w:rPr>
          <w:lang w:val="en-US"/>
        </w:rPr>
        <w:t xml:space="preserve"> </w:t>
      </w:r>
      <w:r w:rsidR="00C854C9" w:rsidRPr="00C854C9">
        <w:rPr>
          <w:lang w:val="en-US"/>
        </w:rPr>
        <w:t>(Barnes and Flanagan, 2015)</w:t>
      </w:r>
    </w:p>
    <w:p w14:paraId="68AFC3E7" w14:textId="77777777" w:rsidR="00DF0BA1" w:rsidRDefault="000F29EE" w:rsidP="00901EB8">
      <w:r>
        <w:t xml:space="preserve">The following table provides some guidelines on the dos and don’ts of providing service to a Saudi team on a business trip. </w:t>
      </w:r>
    </w:p>
    <w:p w14:paraId="39FB73B3" w14:textId="77777777" w:rsidR="0015635B" w:rsidRDefault="000F29EE" w:rsidP="0015635B">
      <w:pPr>
        <w:pStyle w:val="Caption"/>
        <w:keepNext/>
        <w:jc w:val="center"/>
      </w:pPr>
      <w:r>
        <w:t xml:space="preserve">Table </w:t>
      </w:r>
      <w:r w:rsidR="009C6094">
        <w:fldChar w:fldCharType="begin"/>
      </w:r>
      <w:r w:rsidR="009C6094">
        <w:instrText xml:space="preserve"> SEQ Table \* ARABIC </w:instrText>
      </w:r>
      <w:r w:rsidR="009C6094">
        <w:fldChar w:fldCharType="separate"/>
      </w:r>
      <w:r>
        <w:rPr>
          <w:noProof/>
        </w:rPr>
        <w:t>1</w:t>
      </w:r>
      <w:r w:rsidR="009C6094">
        <w:rPr>
          <w:noProof/>
        </w:rPr>
        <w:fldChar w:fldCharType="end"/>
      </w:r>
      <w:r>
        <w:rPr>
          <w:lang w:val="en-US"/>
        </w:rPr>
        <w:t>: Summary of Dos and Don'ts (source: Author)</w:t>
      </w:r>
    </w:p>
    <w:tbl>
      <w:tblPr>
        <w:tblStyle w:val="TableGrid"/>
        <w:tblW w:w="0" w:type="auto"/>
        <w:tblLook w:val="04A0" w:firstRow="1" w:lastRow="0" w:firstColumn="1" w:lastColumn="0" w:noHBand="0" w:noVBand="1"/>
      </w:tblPr>
      <w:tblGrid>
        <w:gridCol w:w="4675"/>
        <w:gridCol w:w="4675"/>
      </w:tblGrid>
      <w:tr w:rsidR="00323441" w14:paraId="2979C981" w14:textId="77777777" w:rsidTr="00DF0BA1">
        <w:tc>
          <w:tcPr>
            <w:tcW w:w="4675" w:type="dxa"/>
          </w:tcPr>
          <w:p w14:paraId="7E925A63" w14:textId="77777777" w:rsidR="00DF0BA1" w:rsidRPr="00DF0BA1" w:rsidRDefault="000F29EE" w:rsidP="00DF0BA1">
            <w:pPr>
              <w:jc w:val="center"/>
              <w:rPr>
                <w:b/>
                <w:bCs/>
              </w:rPr>
            </w:pPr>
            <w:r w:rsidRPr="00DF0BA1">
              <w:rPr>
                <w:b/>
                <w:bCs/>
              </w:rPr>
              <w:t>Things to do</w:t>
            </w:r>
          </w:p>
        </w:tc>
        <w:tc>
          <w:tcPr>
            <w:tcW w:w="4675" w:type="dxa"/>
          </w:tcPr>
          <w:p w14:paraId="4FA2894A" w14:textId="77777777" w:rsidR="00DF0BA1" w:rsidRPr="00DF0BA1" w:rsidRDefault="000F29EE" w:rsidP="00DF0BA1">
            <w:pPr>
              <w:jc w:val="center"/>
              <w:rPr>
                <w:b/>
                <w:bCs/>
              </w:rPr>
            </w:pPr>
            <w:r w:rsidRPr="00DF0BA1">
              <w:rPr>
                <w:b/>
                <w:bCs/>
              </w:rPr>
              <w:t>Things to avoid</w:t>
            </w:r>
          </w:p>
        </w:tc>
      </w:tr>
      <w:tr w:rsidR="00323441" w14:paraId="35AA8048" w14:textId="77777777" w:rsidTr="00DF0BA1">
        <w:tc>
          <w:tcPr>
            <w:tcW w:w="4675" w:type="dxa"/>
          </w:tcPr>
          <w:p w14:paraId="403429BD" w14:textId="77777777" w:rsidR="00DF0BA1" w:rsidRDefault="000F29EE" w:rsidP="00DF0BA1">
            <w:pPr>
              <w:pStyle w:val="ListBullet"/>
            </w:pPr>
            <w:r>
              <w:t xml:space="preserve">Have a keen understanding of the religion that governs the day to day lives of the people who are staying. </w:t>
            </w:r>
          </w:p>
          <w:p w14:paraId="2C320344" w14:textId="77777777" w:rsidR="00DF0BA1" w:rsidRDefault="000F29EE" w:rsidP="00DF0BA1">
            <w:pPr>
              <w:pStyle w:val="ListBullet"/>
            </w:pPr>
            <w:r>
              <w:t xml:space="preserve">Have a clear understanding of the type of food that is forbidden and might draw sharp criticisms from the stayers. </w:t>
            </w:r>
          </w:p>
          <w:p w14:paraId="15B405BF" w14:textId="77777777" w:rsidR="00DF0BA1" w:rsidRDefault="000F29EE" w:rsidP="00DF0BA1">
            <w:pPr>
              <w:pStyle w:val="ListBullet"/>
            </w:pPr>
            <w:r>
              <w:t xml:space="preserve">Paying close attention to the group dynamics and the power distance </w:t>
            </w:r>
          </w:p>
          <w:p w14:paraId="364D3326" w14:textId="77777777" w:rsidR="00DF0BA1" w:rsidRDefault="000F29EE" w:rsidP="00DF0BA1">
            <w:pPr>
              <w:pStyle w:val="ListBullet"/>
            </w:pPr>
            <w:r>
              <w:t xml:space="preserve">Provide dedicated staff to each of the groups </w:t>
            </w:r>
          </w:p>
        </w:tc>
        <w:tc>
          <w:tcPr>
            <w:tcW w:w="4675" w:type="dxa"/>
          </w:tcPr>
          <w:p w14:paraId="4AB00C93" w14:textId="77777777" w:rsidR="00DF0BA1" w:rsidRDefault="000F29EE" w:rsidP="00DF0BA1">
            <w:pPr>
              <w:pStyle w:val="ListBullet"/>
            </w:pPr>
            <w:r>
              <w:t xml:space="preserve">Avoid over-generalizing based on Hofstede’s scores and cultural stereotypes. </w:t>
            </w:r>
          </w:p>
          <w:p w14:paraId="5EDF4016" w14:textId="77777777" w:rsidR="00DF0BA1" w:rsidRDefault="000F29EE" w:rsidP="00DF0BA1">
            <w:pPr>
              <w:pStyle w:val="ListBullet"/>
            </w:pPr>
            <w:r>
              <w:t xml:space="preserve">Avoid too much customization as that might create the impression that the workers are mocking Saudi culture. </w:t>
            </w:r>
          </w:p>
        </w:tc>
      </w:tr>
    </w:tbl>
    <w:p w14:paraId="69082066" w14:textId="77777777" w:rsidR="0015635B" w:rsidRDefault="0015635B">
      <w:pPr>
        <w:spacing w:line="259" w:lineRule="auto"/>
        <w:jc w:val="left"/>
      </w:pPr>
    </w:p>
    <w:p w14:paraId="77CFC583" w14:textId="77777777" w:rsidR="0015635B" w:rsidRPr="0044453B" w:rsidRDefault="000F29EE" w:rsidP="0015635B">
      <w:pPr>
        <w:pStyle w:val="Heading1"/>
        <w:rPr>
          <w:rFonts w:ascii="Arial" w:hAnsi="Arial" w:cs="Arial"/>
          <w:sz w:val="24"/>
          <w:szCs w:val="24"/>
        </w:rPr>
      </w:pPr>
      <w:bookmarkStart w:id="3" w:name="_Toc97034246"/>
      <w:r w:rsidRPr="0044453B">
        <w:rPr>
          <w:rFonts w:ascii="Arial" w:hAnsi="Arial" w:cs="Arial"/>
          <w:sz w:val="24"/>
          <w:szCs w:val="24"/>
        </w:rPr>
        <w:lastRenderedPageBreak/>
        <w:t>Conclusion</w:t>
      </w:r>
      <w:bookmarkEnd w:id="3"/>
    </w:p>
    <w:p w14:paraId="78D93855" w14:textId="77777777" w:rsidR="0015635B" w:rsidRPr="0044453B" w:rsidRDefault="000F29EE" w:rsidP="0015635B">
      <w:pPr>
        <w:rPr>
          <w:rFonts w:ascii="Arial" w:hAnsi="Arial" w:cs="Arial"/>
          <w:szCs w:val="24"/>
        </w:rPr>
      </w:pPr>
      <w:r w:rsidRPr="0044453B">
        <w:rPr>
          <w:rFonts w:ascii="Arial" w:hAnsi="Arial" w:cs="Arial"/>
          <w:szCs w:val="24"/>
        </w:rPr>
        <w:t xml:space="preserve">Catering to a Saudi team has its challenges, but that can be immensely profitable for the hotels as they tend to spend a lot. However, understanding the cultural and special dynamics is key to serving the group effectively and efficiently. The hotel must take adequate measures to manage and motivate staff in a manner that provides the most value to the customers and benefits the hotel the most. </w:t>
      </w:r>
    </w:p>
    <w:p w14:paraId="40531DEC" w14:textId="77777777" w:rsidR="0015635B" w:rsidRPr="0044453B" w:rsidRDefault="000F29EE">
      <w:pPr>
        <w:spacing w:line="259" w:lineRule="auto"/>
        <w:jc w:val="left"/>
        <w:rPr>
          <w:rFonts w:ascii="Arial" w:hAnsi="Arial" w:cs="Arial"/>
          <w:szCs w:val="24"/>
        </w:rPr>
      </w:pPr>
      <w:r w:rsidRPr="0044453B">
        <w:rPr>
          <w:rFonts w:ascii="Arial" w:hAnsi="Arial" w:cs="Arial"/>
          <w:szCs w:val="24"/>
        </w:rPr>
        <w:br w:type="page"/>
      </w:r>
    </w:p>
    <w:p w14:paraId="4FAFC91D" w14:textId="77777777" w:rsidR="0015635B" w:rsidRPr="007B27E3" w:rsidRDefault="000F29EE" w:rsidP="0015635B">
      <w:pPr>
        <w:pStyle w:val="Heading1"/>
        <w:rPr>
          <w:rFonts w:ascii="Arial" w:hAnsi="Arial" w:cs="Arial"/>
          <w:sz w:val="24"/>
          <w:szCs w:val="24"/>
        </w:rPr>
      </w:pPr>
      <w:bookmarkStart w:id="4" w:name="_Toc97034247"/>
      <w:r w:rsidRPr="007B27E3">
        <w:rPr>
          <w:rFonts w:ascii="Arial" w:hAnsi="Arial" w:cs="Arial"/>
          <w:sz w:val="24"/>
          <w:szCs w:val="24"/>
        </w:rPr>
        <w:lastRenderedPageBreak/>
        <w:t>References</w:t>
      </w:r>
      <w:bookmarkEnd w:id="4"/>
    </w:p>
    <w:p w14:paraId="25C34A55" w14:textId="77777777" w:rsidR="003461A1" w:rsidRPr="007B27E3" w:rsidRDefault="003461A1" w:rsidP="00C854C9">
      <w:pPr>
        <w:rPr>
          <w:rFonts w:ascii="Arial" w:hAnsi="Arial" w:cs="Arial"/>
          <w:szCs w:val="24"/>
        </w:rPr>
      </w:pPr>
      <w:r w:rsidRPr="007B27E3">
        <w:rPr>
          <w:rFonts w:ascii="Arial" w:hAnsi="Arial" w:cs="Arial"/>
          <w:szCs w:val="24"/>
        </w:rPr>
        <w:t>Anderson, T. (2015). Designing Products and services in the middle eastern countries. </w:t>
      </w:r>
      <w:r w:rsidRPr="007B27E3">
        <w:rPr>
          <w:rFonts w:ascii="Arial" w:hAnsi="Arial" w:cs="Arial"/>
          <w:i/>
          <w:iCs/>
          <w:szCs w:val="24"/>
        </w:rPr>
        <w:t>Journal of Finance and Investments</w:t>
      </w:r>
      <w:r w:rsidRPr="007B27E3">
        <w:rPr>
          <w:rFonts w:ascii="Arial" w:hAnsi="Arial" w:cs="Arial"/>
          <w:szCs w:val="24"/>
        </w:rPr>
        <w:t>, 2017(17), pp.19-45.</w:t>
      </w:r>
    </w:p>
    <w:p w14:paraId="50076ED4" w14:textId="77777777" w:rsidR="003461A1" w:rsidRPr="007B27E3" w:rsidRDefault="003461A1" w:rsidP="00C854C9">
      <w:pPr>
        <w:rPr>
          <w:rFonts w:ascii="Arial" w:hAnsi="Arial" w:cs="Arial"/>
          <w:szCs w:val="24"/>
        </w:rPr>
      </w:pPr>
      <w:r w:rsidRPr="007B27E3">
        <w:rPr>
          <w:rFonts w:ascii="Arial" w:hAnsi="Arial" w:cs="Arial"/>
          <w:szCs w:val="24"/>
        </w:rPr>
        <w:t>Barnes, M. and Flanagan, A. (2015). Hospitality industry and cultural implications on a larger scale. </w:t>
      </w:r>
      <w:r w:rsidRPr="007B27E3">
        <w:rPr>
          <w:rFonts w:ascii="Arial" w:hAnsi="Arial" w:cs="Arial"/>
          <w:i/>
          <w:iCs/>
          <w:szCs w:val="24"/>
        </w:rPr>
        <w:t>Journal of Managerial Sciences</w:t>
      </w:r>
      <w:r w:rsidRPr="007B27E3">
        <w:rPr>
          <w:rFonts w:ascii="Arial" w:hAnsi="Arial" w:cs="Arial"/>
          <w:szCs w:val="24"/>
        </w:rPr>
        <w:t>, 2017(5), pp.65-67.</w:t>
      </w:r>
    </w:p>
    <w:p w14:paraId="48338D96" w14:textId="77777777" w:rsidR="003461A1" w:rsidRPr="007B27E3" w:rsidRDefault="003461A1" w:rsidP="00C854C9">
      <w:pPr>
        <w:rPr>
          <w:rFonts w:ascii="Arial" w:hAnsi="Arial" w:cs="Arial"/>
          <w:szCs w:val="24"/>
        </w:rPr>
      </w:pPr>
      <w:r w:rsidRPr="007B27E3">
        <w:rPr>
          <w:rFonts w:ascii="Arial" w:hAnsi="Arial" w:cs="Arial"/>
          <w:szCs w:val="24"/>
        </w:rPr>
        <w:t>Brian, K. (2021). National Culture and Hospitality Industry. </w:t>
      </w:r>
      <w:r w:rsidRPr="007B27E3">
        <w:rPr>
          <w:rFonts w:ascii="Arial" w:hAnsi="Arial" w:cs="Arial"/>
          <w:i/>
          <w:iCs/>
          <w:szCs w:val="24"/>
        </w:rPr>
        <w:t>Journal of Finance and Investments</w:t>
      </w:r>
      <w:r w:rsidRPr="007B27E3">
        <w:rPr>
          <w:rFonts w:ascii="Arial" w:hAnsi="Arial" w:cs="Arial"/>
          <w:szCs w:val="24"/>
        </w:rPr>
        <w:t>, 2021(6), pp.12-14.</w:t>
      </w:r>
    </w:p>
    <w:p w14:paraId="7CCB93C6" w14:textId="77777777" w:rsidR="003461A1" w:rsidRPr="007B27E3" w:rsidRDefault="003461A1" w:rsidP="00C854C9">
      <w:pPr>
        <w:rPr>
          <w:rFonts w:ascii="Arial" w:hAnsi="Arial" w:cs="Arial"/>
          <w:szCs w:val="24"/>
        </w:rPr>
      </w:pPr>
      <w:r w:rsidRPr="007B27E3">
        <w:rPr>
          <w:rFonts w:ascii="Arial" w:hAnsi="Arial" w:cs="Arial"/>
          <w:szCs w:val="24"/>
        </w:rPr>
        <w:t>Brooks, L. and Phoenix, C. (2014). Business continuity through cultural understanding. </w:t>
      </w:r>
      <w:r w:rsidRPr="007B27E3">
        <w:rPr>
          <w:rFonts w:ascii="Arial" w:hAnsi="Arial" w:cs="Arial"/>
          <w:i/>
          <w:iCs/>
          <w:szCs w:val="24"/>
        </w:rPr>
        <w:t>Journal of Statistics for Humane Studies</w:t>
      </w:r>
      <w:r w:rsidRPr="007B27E3">
        <w:rPr>
          <w:rFonts w:ascii="Arial" w:hAnsi="Arial" w:cs="Arial"/>
          <w:szCs w:val="24"/>
        </w:rPr>
        <w:t>, 2018(3), pp.12-15.</w:t>
      </w:r>
    </w:p>
    <w:p w14:paraId="28F0FC6E" w14:textId="77777777" w:rsidR="003461A1" w:rsidRPr="007B27E3" w:rsidRDefault="003461A1" w:rsidP="00C854C9">
      <w:pPr>
        <w:rPr>
          <w:rFonts w:ascii="Arial" w:hAnsi="Arial" w:cs="Arial"/>
          <w:szCs w:val="24"/>
        </w:rPr>
      </w:pPr>
      <w:r w:rsidRPr="007B27E3">
        <w:rPr>
          <w:rFonts w:ascii="Arial" w:hAnsi="Arial" w:cs="Arial"/>
          <w:szCs w:val="24"/>
        </w:rPr>
        <w:t>Burton, G. and Jared, R. (2012). Strategic dominance through cultural dominance. </w:t>
      </w:r>
      <w:r w:rsidRPr="007B27E3">
        <w:rPr>
          <w:rFonts w:ascii="Arial" w:hAnsi="Arial" w:cs="Arial"/>
          <w:i/>
          <w:iCs/>
          <w:szCs w:val="24"/>
        </w:rPr>
        <w:t>Journal of Culture Development</w:t>
      </w:r>
      <w:r w:rsidRPr="007B27E3">
        <w:rPr>
          <w:rFonts w:ascii="Arial" w:hAnsi="Arial" w:cs="Arial"/>
          <w:szCs w:val="24"/>
        </w:rPr>
        <w:t>, 2017(1), pp.15-77.</w:t>
      </w:r>
    </w:p>
    <w:p w14:paraId="4010D836" w14:textId="77777777" w:rsidR="003461A1" w:rsidRPr="007B27E3" w:rsidRDefault="003461A1" w:rsidP="00C854C9">
      <w:pPr>
        <w:rPr>
          <w:rFonts w:ascii="Arial" w:hAnsi="Arial" w:cs="Arial"/>
          <w:szCs w:val="24"/>
        </w:rPr>
      </w:pPr>
      <w:r w:rsidRPr="007B27E3">
        <w:rPr>
          <w:rFonts w:ascii="Arial" w:hAnsi="Arial" w:cs="Arial"/>
          <w:szCs w:val="24"/>
        </w:rPr>
        <w:t>Davidson, H. (2018). Role of leadership in understanding customer culture. </w:t>
      </w:r>
      <w:r w:rsidRPr="007B27E3">
        <w:rPr>
          <w:rFonts w:ascii="Arial" w:hAnsi="Arial" w:cs="Arial"/>
          <w:i/>
          <w:iCs/>
          <w:szCs w:val="24"/>
        </w:rPr>
        <w:t>Journal of Management Studies</w:t>
      </w:r>
      <w:r w:rsidRPr="007B27E3">
        <w:rPr>
          <w:rFonts w:ascii="Arial" w:hAnsi="Arial" w:cs="Arial"/>
          <w:szCs w:val="24"/>
        </w:rPr>
        <w:t>, 2020(6), pp.13-15.</w:t>
      </w:r>
    </w:p>
    <w:p w14:paraId="614357B2" w14:textId="77777777" w:rsidR="003461A1" w:rsidRPr="007B27E3" w:rsidRDefault="003461A1" w:rsidP="00C854C9">
      <w:pPr>
        <w:rPr>
          <w:rFonts w:ascii="Arial" w:hAnsi="Arial" w:cs="Arial"/>
          <w:szCs w:val="24"/>
        </w:rPr>
      </w:pPr>
      <w:r w:rsidRPr="007B27E3">
        <w:rPr>
          <w:rFonts w:ascii="Arial" w:hAnsi="Arial" w:cs="Arial"/>
          <w:szCs w:val="24"/>
        </w:rPr>
        <w:t>Griffin, T. (2021). Building Organizational Culture as a Part of Competitive Advantage. </w:t>
      </w:r>
      <w:r w:rsidRPr="007B27E3">
        <w:rPr>
          <w:rFonts w:ascii="Arial" w:hAnsi="Arial" w:cs="Arial"/>
          <w:i/>
          <w:iCs/>
          <w:szCs w:val="24"/>
        </w:rPr>
        <w:t>Journal of Cultural Studies</w:t>
      </w:r>
      <w:r w:rsidRPr="007B27E3">
        <w:rPr>
          <w:rFonts w:ascii="Arial" w:hAnsi="Arial" w:cs="Arial"/>
          <w:szCs w:val="24"/>
        </w:rPr>
        <w:t>, 2019(2), pp.12-14.</w:t>
      </w:r>
    </w:p>
    <w:p w14:paraId="6F883DD3" w14:textId="77777777" w:rsidR="003461A1" w:rsidRPr="007B27E3" w:rsidRDefault="003461A1" w:rsidP="00C854C9">
      <w:pPr>
        <w:rPr>
          <w:rFonts w:ascii="Arial" w:hAnsi="Arial" w:cs="Arial"/>
          <w:szCs w:val="24"/>
        </w:rPr>
      </w:pPr>
      <w:r w:rsidRPr="007B27E3">
        <w:rPr>
          <w:rFonts w:ascii="Arial" w:hAnsi="Arial" w:cs="Arial"/>
          <w:szCs w:val="24"/>
        </w:rPr>
        <w:t>Jones, G. and Joy, A. (2021). Understanding the role of culture in creating products. </w:t>
      </w:r>
      <w:r w:rsidRPr="007B27E3">
        <w:rPr>
          <w:rFonts w:ascii="Arial" w:hAnsi="Arial" w:cs="Arial"/>
          <w:i/>
          <w:iCs/>
          <w:szCs w:val="24"/>
        </w:rPr>
        <w:t>Journal of Finance</w:t>
      </w:r>
      <w:r w:rsidRPr="007B27E3">
        <w:rPr>
          <w:rFonts w:ascii="Arial" w:hAnsi="Arial" w:cs="Arial"/>
          <w:szCs w:val="24"/>
        </w:rPr>
        <w:t>, 2021(8), pp.56-57.</w:t>
      </w:r>
    </w:p>
    <w:p w14:paraId="58B8B2A6" w14:textId="77777777" w:rsidR="003461A1" w:rsidRPr="007B27E3" w:rsidRDefault="003461A1" w:rsidP="00C854C9">
      <w:pPr>
        <w:rPr>
          <w:rFonts w:ascii="Arial" w:hAnsi="Arial" w:cs="Arial"/>
          <w:szCs w:val="24"/>
        </w:rPr>
      </w:pPr>
      <w:r w:rsidRPr="007B27E3">
        <w:rPr>
          <w:rFonts w:ascii="Arial" w:hAnsi="Arial" w:cs="Arial"/>
          <w:szCs w:val="24"/>
        </w:rPr>
        <w:t>Morris, N. (2017). Merging financial and human resources. </w:t>
      </w:r>
      <w:r w:rsidRPr="007B27E3">
        <w:rPr>
          <w:rFonts w:ascii="Arial" w:hAnsi="Arial" w:cs="Arial"/>
          <w:i/>
          <w:iCs/>
          <w:szCs w:val="24"/>
        </w:rPr>
        <w:t>Journal of Human Resources</w:t>
      </w:r>
      <w:r w:rsidRPr="007B27E3">
        <w:rPr>
          <w:rFonts w:ascii="Arial" w:hAnsi="Arial" w:cs="Arial"/>
          <w:szCs w:val="24"/>
        </w:rPr>
        <w:t>, 2017(9), pp.8-11.</w:t>
      </w:r>
    </w:p>
    <w:p w14:paraId="40AA72D4" w14:textId="77777777" w:rsidR="003461A1" w:rsidRPr="007B27E3" w:rsidRDefault="003461A1" w:rsidP="00C854C9">
      <w:pPr>
        <w:rPr>
          <w:rFonts w:ascii="Arial" w:hAnsi="Arial" w:cs="Arial"/>
          <w:szCs w:val="24"/>
        </w:rPr>
      </w:pPr>
      <w:r w:rsidRPr="007B27E3">
        <w:rPr>
          <w:rFonts w:ascii="Arial" w:hAnsi="Arial" w:cs="Arial"/>
          <w:szCs w:val="24"/>
        </w:rPr>
        <w:t>Watson, H. (2012). Visionary leadership and cultural factors. </w:t>
      </w:r>
      <w:r w:rsidRPr="007B27E3">
        <w:rPr>
          <w:rFonts w:ascii="Arial" w:hAnsi="Arial" w:cs="Arial"/>
          <w:i/>
          <w:iCs/>
          <w:szCs w:val="24"/>
        </w:rPr>
        <w:t>Journal of Leadership and Cultural Studies</w:t>
      </w:r>
      <w:r w:rsidRPr="007B27E3">
        <w:rPr>
          <w:rFonts w:ascii="Arial" w:hAnsi="Arial" w:cs="Arial"/>
          <w:szCs w:val="24"/>
        </w:rPr>
        <w:t>, 2020(3), pp.65-78.</w:t>
      </w:r>
    </w:p>
    <w:p w14:paraId="660417C3" w14:textId="77777777" w:rsidR="003461A1" w:rsidRPr="007B27E3" w:rsidRDefault="003461A1" w:rsidP="00C854C9">
      <w:pPr>
        <w:rPr>
          <w:rFonts w:ascii="Arial" w:hAnsi="Arial" w:cs="Arial"/>
          <w:szCs w:val="24"/>
        </w:rPr>
      </w:pPr>
      <w:r w:rsidRPr="007B27E3">
        <w:rPr>
          <w:rFonts w:ascii="Arial" w:hAnsi="Arial" w:cs="Arial"/>
          <w:szCs w:val="24"/>
        </w:rPr>
        <w:t>Williams, K. (2021). The role of religion in shaping the culture and customs of Arabian Countries. </w:t>
      </w:r>
      <w:r w:rsidRPr="007B27E3">
        <w:rPr>
          <w:rFonts w:ascii="Arial" w:hAnsi="Arial" w:cs="Arial"/>
          <w:i/>
          <w:iCs/>
          <w:szCs w:val="24"/>
        </w:rPr>
        <w:t>Journal of Finance and Investments</w:t>
      </w:r>
      <w:r w:rsidRPr="007B27E3">
        <w:rPr>
          <w:rFonts w:ascii="Arial" w:hAnsi="Arial" w:cs="Arial"/>
          <w:szCs w:val="24"/>
        </w:rPr>
        <w:t>, 2021(9), pp.21-22.</w:t>
      </w:r>
    </w:p>
    <w:p w14:paraId="4610917F" w14:textId="77777777" w:rsidR="003461A1" w:rsidRPr="007B27E3" w:rsidRDefault="003461A1" w:rsidP="00C854C9">
      <w:pPr>
        <w:rPr>
          <w:rFonts w:ascii="Arial" w:hAnsi="Arial" w:cs="Arial"/>
          <w:szCs w:val="24"/>
        </w:rPr>
      </w:pPr>
      <w:r w:rsidRPr="007B27E3">
        <w:rPr>
          <w:rFonts w:ascii="Arial" w:hAnsi="Arial" w:cs="Arial"/>
          <w:szCs w:val="24"/>
        </w:rPr>
        <w:t>Wright, F. (2021). Customization of services according to culture: Dos and Don’ts. </w:t>
      </w:r>
      <w:r w:rsidRPr="007B27E3">
        <w:rPr>
          <w:rFonts w:ascii="Arial" w:hAnsi="Arial" w:cs="Arial"/>
          <w:i/>
          <w:iCs/>
          <w:szCs w:val="24"/>
        </w:rPr>
        <w:t>Journal of Human Resource Development</w:t>
      </w:r>
      <w:r w:rsidRPr="007B27E3">
        <w:rPr>
          <w:rFonts w:ascii="Arial" w:hAnsi="Arial" w:cs="Arial"/>
          <w:szCs w:val="24"/>
        </w:rPr>
        <w:t>, 2021(5), pp.5-16.</w:t>
      </w:r>
    </w:p>
    <w:p w14:paraId="04AA8012" w14:textId="77777777" w:rsidR="0015635B" w:rsidRPr="0015635B" w:rsidRDefault="0015635B" w:rsidP="0015635B"/>
    <w:sectPr w:rsidR="0015635B" w:rsidRPr="0015635B" w:rsidSect="0017089D">
      <w:headerReference w:type="default" r:id="rId1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726954" w14:textId="77777777" w:rsidR="009C6094" w:rsidRDefault="009C6094">
      <w:pPr>
        <w:spacing w:after="0" w:line="240" w:lineRule="auto"/>
      </w:pPr>
      <w:r>
        <w:separator/>
      </w:r>
    </w:p>
  </w:endnote>
  <w:endnote w:type="continuationSeparator" w:id="0">
    <w:p w14:paraId="477F6827" w14:textId="77777777" w:rsidR="009C6094" w:rsidRDefault="009C60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A05F86" w14:textId="77777777" w:rsidR="00E632F8" w:rsidRDefault="00E632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6195889"/>
      <w:docPartObj>
        <w:docPartGallery w:val="Page Numbers (Bottom of Page)"/>
        <w:docPartUnique/>
      </w:docPartObj>
    </w:sdtPr>
    <w:sdtEndPr>
      <w:rPr>
        <w:noProof/>
      </w:rPr>
    </w:sdtEndPr>
    <w:sdtContent>
      <w:p w14:paraId="193A3DE0" w14:textId="77777777" w:rsidR="0017089D" w:rsidRDefault="000F29EE">
        <w:pPr>
          <w:pStyle w:val="Footer"/>
          <w:jc w:val="center"/>
        </w:pPr>
        <w:r>
          <w:fldChar w:fldCharType="begin"/>
        </w:r>
        <w:r>
          <w:instrText xml:space="preserve"> PAGE   \* MERGEFORMAT </w:instrText>
        </w:r>
        <w:r>
          <w:fldChar w:fldCharType="separate"/>
        </w:r>
        <w:r w:rsidR="00F75957">
          <w:rPr>
            <w:noProof/>
          </w:rPr>
          <w:t>1</w:t>
        </w:r>
        <w:r>
          <w:rPr>
            <w:noProof/>
          </w:rPr>
          <w:fldChar w:fldCharType="end"/>
        </w:r>
      </w:p>
    </w:sdtContent>
  </w:sdt>
  <w:p w14:paraId="6A6484A0" w14:textId="77777777" w:rsidR="0017089D" w:rsidRDefault="0017089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473D9" w14:textId="77777777" w:rsidR="00E632F8" w:rsidRDefault="00E632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A5EACD" w14:textId="77777777" w:rsidR="009C6094" w:rsidRDefault="009C6094">
      <w:pPr>
        <w:spacing w:after="0" w:line="240" w:lineRule="auto"/>
      </w:pPr>
      <w:r>
        <w:separator/>
      </w:r>
    </w:p>
  </w:footnote>
  <w:footnote w:type="continuationSeparator" w:id="0">
    <w:p w14:paraId="24BBCEEA" w14:textId="77777777" w:rsidR="009C6094" w:rsidRDefault="009C60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B2205B" w14:textId="77777777" w:rsidR="00E632F8" w:rsidRDefault="00E632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AB5E78" w14:textId="77777777" w:rsidR="00E632F8" w:rsidRDefault="00E632F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0C7DCD" w14:textId="77777777" w:rsidR="00E632F8" w:rsidRDefault="00E632F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C9117E" w14:textId="77777777" w:rsidR="0017089D" w:rsidRDefault="001708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F012737A"/>
    <w:lvl w:ilvl="0">
      <w:start w:val="1"/>
      <w:numFmt w:val="bullet"/>
      <w:pStyle w:val="ListBullet"/>
      <w:lvlText w:val=""/>
      <w:lvlJc w:val="left"/>
      <w:pPr>
        <w:tabs>
          <w:tab w:val="num" w:pos="360"/>
        </w:tabs>
        <w:ind w:left="360" w:hanging="360"/>
      </w:pPr>
      <w:rPr>
        <w:rFonts w:ascii="Symbol" w:hAnsi="Symbo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3A50"/>
    <w:rsid w:val="000F29EE"/>
    <w:rsid w:val="001350D1"/>
    <w:rsid w:val="0015635B"/>
    <w:rsid w:val="0017089D"/>
    <w:rsid w:val="002A4281"/>
    <w:rsid w:val="00323441"/>
    <w:rsid w:val="003461A1"/>
    <w:rsid w:val="0044453B"/>
    <w:rsid w:val="00474230"/>
    <w:rsid w:val="006B56FF"/>
    <w:rsid w:val="006F0A18"/>
    <w:rsid w:val="0078071F"/>
    <w:rsid w:val="007B27E3"/>
    <w:rsid w:val="00824E75"/>
    <w:rsid w:val="00901EB8"/>
    <w:rsid w:val="009739FA"/>
    <w:rsid w:val="009850C9"/>
    <w:rsid w:val="009C6094"/>
    <w:rsid w:val="00A333BF"/>
    <w:rsid w:val="00AA3A50"/>
    <w:rsid w:val="00B61C81"/>
    <w:rsid w:val="00C22BCC"/>
    <w:rsid w:val="00C854C9"/>
    <w:rsid w:val="00CC2238"/>
    <w:rsid w:val="00DF0BA1"/>
    <w:rsid w:val="00E57C30"/>
    <w:rsid w:val="00E632F8"/>
    <w:rsid w:val="00F7595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83F91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223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C2238"/>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CC2238"/>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6B56FF"/>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2238"/>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CC2238"/>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6B56FF"/>
    <w:rPr>
      <w:rFonts w:ascii="Times New Roman" w:eastAsiaTheme="majorEastAsia" w:hAnsi="Times New Roman" w:cstheme="majorBidi"/>
      <w:b/>
      <w:sz w:val="24"/>
      <w:szCs w:val="24"/>
      <w:lang w:val="en-GB"/>
    </w:rPr>
  </w:style>
  <w:style w:type="paragraph" w:styleId="TOCHeading">
    <w:name w:val="TOC Heading"/>
    <w:basedOn w:val="Heading1"/>
    <w:next w:val="Normal"/>
    <w:uiPriority w:val="39"/>
    <w:unhideWhenUsed/>
    <w:qFormat/>
    <w:rsid w:val="00AA3A50"/>
    <w:pPr>
      <w:spacing w:line="259" w:lineRule="auto"/>
      <w:jc w:val="left"/>
      <w:outlineLvl w:val="9"/>
    </w:pPr>
    <w:rPr>
      <w:rFonts w:asciiTheme="majorHAnsi" w:hAnsiTheme="majorHAnsi"/>
      <w:b w:val="0"/>
      <w:color w:val="2F5496" w:themeColor="accent1" w:themeShade="BF"/>
      <w:lang w:val="en-US"/>
    </w:rPr>
  </w:style>
  <w:style w:type="paragraph" w:styleId="Caption">
    <w:name w:val="caption"/>
    <w:basedOn w:val="Normal"/>
    <w:next w:val="Normal"/>
    <w:uiPriority w:val="35"/>
    <w:unhideWhenUsed/>
    <w:qFormat/>
    <w:rsid w:val="00901EB8"/>
    <w:pPr>
      <w:spacing w:after="200" w:line="240" w:lineRule="auto"/>
    </w:pPr>
    <w:rPr>
      <w:i/>
      <w:iCs/>
      <w:color w:val="44546A" w:themeColor="text2"/>
      <w:sz w:val="18"/>
      <w:szCs w:val="18"/>
    </w:rPr>
  </w:style>
  <w:style w:type="table" w:styleId="TableGrid">
    <w:name w:val="Table Grid"/>
    <w:basedOn w:val="TableNormal"/>
    <w:uiPriority w:val="39"/>
    <w:rsid w:val="00DF0B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Bullet">
    <w:name w:val="List Bullet"/>
    <w:basedOn w:val="Normal"/>
    <w:uiPriority w:val="99"/>
    <w:unhideWhenUsed/>
    <w:rsid w:val="00DF0BA1"/>
    <w:pPr>
      <w:numPr>
        <w:numId w:val="1"/>
      </w:numPr>
      <w:contextualSpacing/>
    </w:pPr>
  </w:style>
  <w:style w:type="paragraph" w:styleId="TOC1">
    <w:name w:val="toc 1"/>
    <w:basedOn w:val="Normal"/>
    <w:next w:val="Normal"/>
    <w:autoRedefine/>
    <w:uiPriority w:val="39"/>
    <w:unhideWhenUsed/>
    <w:rsid w:val="009739FA"/>
    <w:pPr>
      <w:spacing w:after="100"/>
    </w:pPr>
  </w:style>
  <w:style w:type="paragraph" w:styleId="TOC2">
    <w:name w:val="toc 2"/>
    <w:basedOn w:val="Normal"/>
    <w:next w:val="Normal"/>
    <w:autoRedefine/>
    <w:uiPriority w:val="39"/>
    <w:unhideWhenUsed/>
    <w:rsid w:val="009739FA"/>
    <w:pPr>
      <w:spacing w:after="100"/>
      <w:ind w:left="240"/>
    </w:pPr>
  </w:style>
  <w:style w:type="character" w:styleId="Hyperlink">
    <w:name w:val="Hyperlink"/>
    <w:basedOn w:val="DefaultParagraphFont"/>
    <w:uiPriority w:val="99"/>
    <w:unhideWhenUsed/>
    <w:rsid w:val="009739FA"/>
    <w:rPr>
      <w:color w:val="0563C1" w:themeColor="hyperlink"/>
      <w:u w:val="single"/>
    </w:rPr>
  </w:style>
  <w:style w:type="paragraph" w:styleId="Header">
    <w:name w:val="header"/>
    <w:basedOn w:val="Normal"/>
    <w:link w:val="HeaderChar"/>
    <w:uiPriority w:val="99"/>
    <w:unhideWhenUsed/>
    <w:rsid w:val="001708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89D"/>
    <w:rPr>
      <w:rFonts w:ascii="Times New Roman" w:hAnsi="Times New Roman"/>
      <w:sz w:val="24"/>
    </w:rPr>
  </w:style>
  <w:style w:type="paragraph" w:styleId="Footer">
    <w:name w:val="footer"/>
    <w:basedOn w:val="Normal"/>
    <w:link w:val="FooterChar"/>
    <w:uiPriority w:val="99"/>
    <w:unhideWhenUsed/>
    <w:rsid w:val="001708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89D"/>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header" Target="header4.xml"/><Relationship Id="rId2" Type="http://schemas.openxmlformats.org/officeDocument/2006/relationships/numbering" Target="numbering.xml"/><Relationship Id="rId16" Type="http://schemas.openxmlformats.org/officeDocument/2006/relationships/image" Target="media/image3.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CB73E3-94FD-4141-8C33-2D360A1A1A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1328</Words>
  <Characters>7575</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2022-03-16T17:21:00Z</dcterms:created>
  <dcterms:modified xsi:type="dcterms:W3CDTF">2022-03-16T17:21:00Z</dcterms:modified>
</cp:coreProperties>
</file>