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45F46" w14:textId="77777777" w:rsidR="00A13DA8" w:rsidRDefault="00A13DA8" w:rsidP="00A13DA8">
      <w:pPr>
        <w:spacing w:line="276" w:lineRule="auto"/>
        <w:jc w:val="center"/>
        <w:rPr>
          <w:sz w:val="72"/>
          <w:szCs w:val="72"/>
          <w:shd w:val="clear" w:color="auto" w:fill="FFFFFF"/>
          <w:lang w:val="en-US"/>
        </w:rPr>
      </w:pPr>
      <w:r>
        <w:rPr>
          <w:sz w:val="72"/>
          <w:szCs w:val="72"/>
          <w:shd w:val="clear" w:color="auto" w:fill="FFFFFF"/>
          <w:lang w:val="en-US"/>
        </w:rPr>
        <w:t>International Financial Management</w:t>
      </w:r>
    </w:p>
    <w:p w14:paraId="60B15F74" w14:textId="77777777" w:rsidR="0053296B" w:rsidRDefault="00A13DA8" w:rsidP="00A13DA8">
      <w:pPr>
        <w:spacing w:line="276" w:lineRule="auto"/>
        <w:jc w:val="center"/>
        <w:rPr>
          <w:sz w:val="72"/>
          <w:szCs w:val="72"/>
          <w:shd w:val="clear" w:color="auto" w:fill="FFFFFF"/>
          <w:lang w:val="en-US"/>
        </w:rPr>
      </w:pPr>
      <w:r>
        <w:rPr>
          <w:sz w:val="72"/>
          <w:szCs w:val="72"/>
          <w:shd w:val="clear" w:color="auto" w:fill="FFFFFF"/>
          <w:lang w:val="en-US"/>
        </w:rPr>
        <w:t xml:space="preserve">Assessment </w:t>
      </w:r>
      <w:r w:rsidR="0053296B">
        <w:rPr>
          <w:sz w:val="72"/>
          <w:szCs w:val="72"/>
          <w:shd w:val="clear" w:color="auto" w:fill="FFFFFF"/>
          <w:lang w:val="en-US"/>
        </w:rPr>
        <w:t>1</w:t>
      </w:r>
    </w:p>
    <w:p w14:paraId="26CFC7EE" w14:textId="77777777" w:rsidR="0053296B" w:rsidRDefault="0053296B" w:rsidP="00A13DA8">
      <w:pPr>
        <w:spacing w:line="276" w:lineRule="auto"/>
        <w:jc w:val="center"/>
        <w:rPr>
          <w:sz w:val="72"/>
          <w:szCs w:val="72"/>
          <w:shd w:val="clear" w:color="auto" w:fill="FFFFFF"/>
          <w:lang w:val="en-US"/>
        </w:rPr>
      </w:pPr>
      <w:r>
        <w:rPr>
          <w:sz w:val="72"/>
          <w:szCs w:val="72"/>
          <w:shd w:val="clear" w:color="auto" w:fill="FFFFFF"/>
          <w:lang w:val="en-US"/>
        </w:rPr>
        <w:t>Name: Vasile Sorin Bricioc</w:t>
      </w:r>
    </w:p>
    <w:p w14:paraId="5B8EFA4F" w14:textId="77777777" w:rsidR="0053296B" w:rsidRDefault="0053296B" w:rsidP="00A13DA8">
      <w:pPr>
        <w:spacing w:line="276" w:lineRule="auto"/>
        <w:jc w:val="center"/>
        <w:rPr>
          <w:sz w:val="72"/>
          <w:szCs w:val="72"/>
          <w:shd w:val="clear" w:color="auto" w:fill="FFFFFF"/>
          <w:lang w:val="en-US"/>
        </w:rPr>
      </w:pPr>
      <w:r>
        <w:rPr>
          <w:sz w:val="72"/>
          <w:szCs w:val="72"/>
          <w:shd w:val="clear" w:color="auto" w:fill="FFFFFF"/>
          <w:lang w:val="en-US"/>
        </w:rPr>
        <w:t>ID:2030895</w:t>
      </w:r>
    </w:p>
    <w:p w14:paraId="747D7CB8" w14:textId="5C9BDA74" w:rsidR="00A13DA8" w:rsidRDefault="0053296B" w:rsidP="00A13DA8">
      <w:pPr>
        <w:spacing w:line="276" w:lineRule="auto"/>
        <w:jc w:val="center"/>
        <w:rPr>
          <w:rFonts w:eastAsiaTheme="majorEastAsia" w:cstheme="majorBidi"/>
          <w:b/>
          <w:bCs/>
          <w:sz w:val="72"/>
          <w:szCs w:val="72"/>
          <w:shd w:val="clear" w:color="auto" w:fill="FFFFFF"/>
          <w:lang w:val="en-US"/>
        </w:rPr>
      </w:pPr>
      <w:r>
        <w:rPr>
          <w:sz w:val="72"/>
          <w:szCs w:val="72"/>
          <w:shd w:val="clear" w:color="auto" w:fill="FFFFFF"/>
          <w:lang w:val="en-US"/>
        </w:rPr>
        <w:t>Module code: LCBB 6002</w:t>
      </w:r>
      <w:r w:rsidR="00A13DA8">
        <w:rPr>
          <w:sz w:val="72"/>
          <w:szCs w:val="72"/>
          <w:shd w:val="clear" w:color="auto" w:fill="FFFFFF"/>
          <w:lang w:val="en-US"/>
        </w:rPr>
        <w:br w:type="page"/>
      </w:r>
    </w:p>
    <w:sdt>
      <w:sdtPr>
        <w:rPr>
          <w:rFonts w:ascii="Times New Roman" w:eastAsiaTheme="minorHAnsi" w:hAnsi="Times New Roman" w:cstheme="minorBidi"/>
          <w:b w:val="0"/>
          <w:bCs w:val="0"/>
          <w:color w:val="auto"/>
          <w:sz w:val="24"/>
          <w:szCs w:val="22"/>
          <w:lang w:val="en-GB"/>
        </w:rPr>
        <w:id w:val="96431610"/>
        <w:docPartObj>
          <w:docPartGallery w:val="Table of Contents"/>
          <w:docPartUnique/>
        </w:docPartObj>
      </w:sdtPr>
      <w:sdtContent>
        <w:p w14:paraId="0D268A85" w14:textId="77777777" w:rsidR="00A13DA8" w:rsidRDefault="00A13DA8" w:rsidP="00A13DA8">
          <w:pPr>
            <w:pStyle w:val="TOCHeading"/>
            <w:jc w:val="center"/>
          </w:pPr>
          <w:r>
            <w:rPr>
              <w:rFonts w:ascii="Times New Roman" w:hAnsi="Times New Roman" w:cs="Times New Roman"/>
              <w:color w:val="000000" w:themeColor="text1"/>
              <w:sz w:val="24"/>
              <w:szCs w:val="24"/>
            </w:rPr>
            <w:t>Table of Contents</w:t>
          </w:r>
        </w:p>
        <w:p w14:paraId="1A9CC48B" w14:textId="77777777" w:rsidR="00A13DA8" w:rsidRDefault="00A13DA8" w:rsidP="00A13DA8">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r:id="rId6" w:anchor="_Toc140058519" w:history="1">
            <w:r>
              <w:rPr>
                <w:rStyle w:val="Hyperlink"/>
                <w:noProof/>
                <w:shd w:val="clear" w:color="auto" w:fill="FFFFFF"/>
                <w:lang w:val="en-US"/>
              </w:rPr>
              <w:t>INTRODUCTION</w:t>
            </w:r>
            <w:r>
              <w:rPr>
                <w:rStyle w:val="Hyperlink"/>
                <w:noProof/>
                <w:webHidden/>
              </w:rPr>
              <w:tab/>
            </w:r>
            <w:r>
              <w:rPr>
                <w:rStyle w:val="Hyperlink"/>
                <w:noProof/>
                <w:webHidden/>
              </w:rPr>
              <w:fldChar w:fldCharType="begin"/>
            </w:r>
            <w:r>
              <w:rPr>
                <w:rStyle w:val="Hyperlink"/>
                <w:noProof/>
                <w:webHidden/>
              </w:rPr>
              <w:instrText xml:space="preserve"> PAGEREF _Toc140058519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0B2CD321" w14:textId="77777777" w:rsidR="00A13DA8" w:rsidRDefault="00A13DA8" w:rsidP="00A13DA8">
          <w:pPr>
            <w:pStyle w:val="TOC1"/>
            <w:tabs>
              <w:tab w:val="right" w:leader="dot" w:pos="9350"/>
            </w:tabs>
            <w:rPr>
              <w:rFonts w:asciiTheme="minorHAnsi" w:eastAsiaTheme="minorEastAsia" w:hAnsiTheme="minorHAnsi"/>
              <w:noProof/>
              <w:sz w:val="22"/>
              <w:lang w:val="en-US"/>
            </w:rPr>
          </w:pPr>
          <w:hyperlink r:id="rId7" w:anchor="_Toc140058520" w:history="1">
            <w:r>
              <w:rPr>
                <w:rStyle w:val="Hyperlink"/>
                <w:noProof/>
                <w:lang w:val="en-US"/>
              </w:rPr>
              <w:t>Task</w:t>
            </w:r>
            <w:r>
              <w:rPr>
                <w:rStyle w:val="Hyperlink"/>
                <w:noProof/>
                <w:webHidden/>
              </w:rPr>
              <w:tab/>
            </w:r>
            <w:r>
              <w:rPr>
                <w:rStyle w:val="Hyperlink"/>
                <w:noProof/>
                <w:webHidden/>
              </w:rPr>
              <w:fldChar w:fldCharType="begin"/>
            </w:r>
            <w:r>
              <w:rPr>
                <w:rStyle w:val="Hyperlink"/>
                <w:noProof/>
                <w:webHidden/>
              </w:rPr>
              <w:instrText xml:space="preserve"> PAGEREF _Toc140058520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51AC492B" w14:textId="77777777" w:rsidR="00A13DA8" w:rsidRDefault="00A13DA8" w:rsidP="00A13DA8">
          <w:pPr>
            <w:pStyle w:val="TOC2"/>
            <w:tabs>
              <w:tab w:val="right" w:leader="dot" w:pos="9350"/>
            </w:tabs>
            <w:rPr>
              <w:rFonts w:asciiTheme="minorHAnsi" w:eastAsiaTheme="minorEastAsia" w:hAnsiTheme="minorHAnsi"/>
              <w:noProof/>
              <w:sz w:val="22"/>
              <w:lang w:val="en-US"/>
            </w:rPr>
          </w:pPr>
          <w:hyperlink r:id="rId8" w:anchor="_Toc140058521" w:history="1">
            <w:r>
              <w:rPr>
                <w:rStyle w:val="Hyperlink"/>
                <w:noProof/>
                <w:lang w:val="en-US"/>
              </w:rPr>
              <w:t>Importance of international finance management</w:t>
            </w:r>
            <w:r>
              <w:rPr>
                <w:rStyle w:val="Hyperlink"/>
                <w:noProof/>
                <w:webHidden/>
              </w:rPr>
              <w:tab/>
            </w:r>
            <w:r>
              <w:rPr>
                <w:rStyle w:val="Hyperlink"/>
                <w:noProof/>
                <w:webHidden/>
              </w:rPr>
              <w:fldChar w:fldCharType="begin"/>
            </w:r>
            <w:r>
              <w:rPr>
                <w:rStyle w:val="Hyperlink"/>
                <w:noProof/>
                <w:webHidden/>
              </w:rPr>
              <w:instrText xml:space="preserve"> PAGEREF _Toc140058521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597FC897" w14:textId="77777777" w:rsidR="00A13DA8" w:rsidRDefault="00A13DA8" w:rsidP="00A13DA8">
          <w:pPr>
            <w:pStyle w:val="TOC2"/>
            <w:tabs>
              <w:tab w:val="right" w:leader="dot" w:pos="9350"/>
            </w:tabs>
            <w:rPr>
              <w:rFonts w:asciiTheme="minorHAnsi" w:eastAsiaTheme="minorEastAsia" w:hAnsiTheme="minorHAnsi"/>
              <w:noProof/>
              <w:sz w:val="22"/>
              <w:lang w:val="en-US"/>
            </w:rPr>
          </w:pPr>
          <w:hyperlink r:id="rId9" w:anchor="_Toc140058522" w:history="1">
            <w:r>
              <w:rPr>
                <w:rStyle w:val="Hyperlink"/>
                <w:noProof/>
                <w:lang w:val="en-US"/>
              </w:rPr>
              <w:t>Challenges in international financial market</w:t>
            </w:r>
            <w:r>
              <w:rPr>
                <w:rStyle w:val="Hyperlink"/>
                <w:noProof/>
                <w:webHidden/>
              </w:rPr>
              <w:tab/>
            </w:r>
            <w:r>
              <w:rPr>
                <w:rStyle w:val="Hyperlink"/>
                <w:noProof/>
                <w:webHidden/>
              </w:rPr>
              <w:fldChar w:fldCharType="begin"/>
            </w:r>
            <w:r>
              <w:rPr>
                <w:rStyle w:val="Hyperlink"/>
                <w:noProof/>
                <w:webHidden/>
              </w:rPr>
              <w:instrText xml:space="preserve"> PAGEREF _Toc140058522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163F3E1F" w14:textId="77777777" w:rsidR="00A13DA8" w:rsidRDefault="00A13DA8" w:rsidP="00A13DA8">
          <w:pPr>
            <w:pStyle w:val="TOC2"/>
            <w:tabs>
              <w:tab w:val="right" w:leader="dot" w:pos="9350"/>
            </w:tabs>
            <w:rPr>
              <w:rFonts w:asciiTheme="minorHAnsi" w:eastAsiaTheme="minorEastAsia" w:hAnsiTheme="minorHAnsi"/>
              <w:noProof/>
              <w:sz w:val="22"/>
              <w:lang w:val="en-US"/>
            </w:rPr>
          </w:pPr>
          <w:hyperlink r:id="rId10" w:anchor="_Toc140058523" w:history="1">
            <w:r>
              <w:rPr>
                <w:rStyle w:val="Hyperlink"/>
                <w:noProof/>
                <w:lang w:val="en-US"/>
              </w:rPr>
              <w:t>International finance management theories</w:t>
            </w:r>
            <w:r>
              <w:rPr>
                <w:rStyle w:val="Hyperlink"/>
                <w:noProof/>
                <w:webHidden/>
              </w:rPr>
              <w:tab/>
            </w:r>
            <w:r>
              <w:rPr>
                <w:rStyle w:val="Hyperlink"/>
                <w:noProof/>
                <w:webHidden/>
              </w:rPr>
              <w:fldChar w:fldCharType="begin"/>
            </w:r>
            <w:r>
              <w:rPr>
                <w:rStyle w:val="Hyperlink"/>
                <w:noProof/>
                <w:webHidden/>
              </w:rPr>
              <w:instrText xml:space="preserve"> PAGEREF _Toc140058523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133EE901" w14:textId="77777777" w:rsidR="00A13DA8" w:rsidRDefault="00A13DA8" w:rsidP="00A13DA8">
          <w:pPr>
            <w:pStyle w:val="TOC1"/>
            <w:tabs>
              <w:tab w:val="right" w:leader="dot" w:pos="9350"/>
            </w:tabs>
            <w:rPr>
              <w:rFonts w:asciiTheme="minorHAnsi" w:eastAsiaTheme="minorEastAsia" w:hAnsiTheme="minorHAnsi"/>
              <w:noProof/>
              <w:sz w:val="22"/>
              <w:lang w:val="en-US"/>
            </w:rPr>
          </w:pPr>
          <w:hyperlink r:id="rId11" w:anchor="_Toc140058524" w:history="1">
            <w:r>
              <w:rPr>
                <w:rStyle w:val="Hyperlink"/>
                <w:noProof/>
                <w:lang w:val="en-US"/>
              </w:rPr>
              <w:t>CONCLUSION</w:t>
            </w:r>
            <w:r>
              <w:rPr>
                <w:rStyle w:val="Hyperlink"/>
                <w:noProof/>
                <w:webHidden/>
              </w:rPr>
              <w:tab/>
            </w:r>
            <w:r>
              <w:rPr>
                <w:rStyle w:val="Hyperlink"/>
                <w:noProof/>
                <w:webHidden/>
              </w:rPr>
              <w:fldChar w:fldCharType="begin"/>
            </w:r>
            <w:r>
              <w:rPr>
                <w:rStyle w:val="Hyperlink"/>
                <w:noProof/>
                <w:webHidden/>
              </w:rPr>
              <w:instrText xml:space="preserve"> PAGEREF _Toc140058524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6F7D989D" w14:textId="77777777" w:rsidR="00A13DA8" w:rsidRDefault="00A13DA8" w:rsidP="00A13DA8">
          <w:pPr>
            <w:pStyle w:val="TOC1"/>
            <w:tabs>
              <w:tab w:val="right" w:leader="dot" w:pos="9350"/>
            </w:tabs>
            <w:rPr>
              <w:rFonts w:asciiTheme="minorHAnsi" w:eastAsiaTheme="minorEastAsia" w:hAnsiTheme="minorHAnsi"/>
              <w:noProof/>
              <w:sz w:val="22"/>
              <w:lang w:val="en-US"/>
            </w:rPr>
          </w:pPr>
          <w:hyperlink r:id="rId12" w:anchor="_Toc140058525" w:history="1">
            <w:r>
              <w:rPr>
                <w:rStyle w:val="Hyperlink"/>
                <w:noProof/>
                <w:lang w:val="en-US"/>
              </w:rPr>
              <w:t>REFERENCES</w:t>
            </w:r>
            <w:r>
              <w:rPr>
                <w:rStyle w:val="Hyperlink"/>
                <w:noProof/>
                <w:webHidden/>
              </w:rPr>
              <w:tab/>
            </w:r>
            <w:r>
              <w:rPr>
                <w:rStyle w:val="Hyperlink"/>
                <w:noProof/>
                <w:webHidden/>
              </w:rPr>
              <w:fldChar w:fldCharType="begin"/>
            </w:r>
            <w:r>
              <w:rPr>
                <w:rStyle w:val="Hyperlink"/>
                <w:noProof/>
                <w:webHidden/>
              </w:rPr>
              <w:instrText xml:space="preserve"> PAGEREF _Toc140058525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4054A34A" w14:textId="77777777" w:rsidR="00A13DA8" w:rsidRDefault="00A13DA8" w:rsidP="00A13DA8">
          <w:r>
            <w:fldChar w:fldCharType="end"/>
          </w:r>
        </w:p>
      </w:sdtContent>
    </w:sdt>
    <w:p w14:paraId="0A092939" w14:textId="77777777" w:rsidR="00A13DA8" w:rsidRDefault="00A13DA8" w:rsidP="00A13DA8">
      <w:pPr>
        <w:spacing w:line="276" w:lineRule="auto"/>
        <w:jc w:val="left"/>
        <w:rPr>
          <w:rFonts w:eastAsiaTheme="majorEastAsia" w:cstheme="majorBidi"/>
          <w:b/>
          <w:bCs/>
          <w:sz w:val="28"/>
          <w:szCs w:val="28"/>
          <w:shd w:val="clear" w:color="auto" w:fill="FFFFFF"/>
          <w:lang w:val="en-US"/>
        </w:rPr>
      </w:pPr>
      <w:r>
        <w:rPr>
          <w:shd w:val="clear" w:color="auto" w:fill="FFFFFF"/>
          <w:lang w:val="en-US"/>
        </w:rPr>
        <w:br w:type="page"/>
      </w:r>
    </w:p>
    <w:p w14:paraId="1C7F334B" w14:textId="77777777" w:rsidR="00A13DA8" w:rsidRDefault="00A13DA8" w:rsidP="00A13DA8">
      <w:pPr>
        <w:pStyle w:val="Heading1"/>
        <w:rPr>
          <w:shd w:val="clear" w:color="auto" w:fill="FFFFFF"/>
          <w:lang w:val="en-US"/>
        </w:rPr>
      </w:pPr>
      <w:bookmarkStart w:id="0" w:name="_Toc140058519"/>
      <w:r>
        <w:rPr>
          <w:shd w:val="clear" w:color="auto" w:fill="FFFFFF"/>
          <w:lang w:val="en-US"/>
        </w:rPr>
        <w:lastRenderedPageBreak/>
        <w:t>INTRODUCTION</w:t>
      </w:r>
      <w:bookmarkEnd w:id="0"/>
    </w:p>
    <w:p w14:paraId="56DF97F1" w14:textId="77777777" w:rsidR="00A13DA8" w:rsidRDefault="00A13DA8" w:rsidP="00A13DA8">
      <w:pPr>
        <w:rPr>
          <w:lang w:val="en-US"/>
        </w:rPr>
      </w:pPr>
      <w:r>
        <w:rPr>
          <w:lang w:val="en-US"/>
        </w:rPr>
        <w:t xml:space="preserve">Financial management refers to planning, organizing, directs and controls financial activities like procurement as well as utilization of funds. International financial management refers to managing financial activities in relation to global context. It includes investing foreign market, managing foreign market risk and following international financial regulations. For this report “Unilever” is chose for case study. It is multinational consumer packaged Product Company. It was founded in 1929 by Lever brothers and Margarine </w:t>
      </w:r>
      <w:proofErr w:type="spellStart"/>
      <w:r>
        <w:rPr>
          <w:lang w:val="en-US"/>
        </w:rPr>
        <w:t>Unie</w:t>
      </w:r>
      <w:proofErr w:type="spellEnd"/>
      <w:r>
        <w:rPr>
          <w:lang w:val="en-US"/>
        </w:rPr>
        <w:t xml:space="preserve"> line (</w:t>
      </w:r>
      <w:r>
        <w:rPr>
          <w:rFonts w:cs="Times New Roman"/>
          <w:color w:val="222222"/>
          <w:szCs w:val="24"/>
          <w:shd w:val="clear" w:color="auto" w:fill="FFFFFF"/>
        </w:rPr>
        <w:t>Madura, 2020)</w:t>
      </w:r>
      <w:r>
        <w:rPr>
          <w:lang w:val="en-US"/>
        </w:rPr>
        <w:t xml:space="preserve">. In this report it will discuss about international financial management of the company. The report aims to discuss about challenges and theories. It will also discuss methods of appraising project used by company. </w:t>
      </w:r>
    </w:p>
    <w:p w14:paraId="5AD4CE44" w14:textId="77777777" w:rsidR="00A13DA8" w:rsidRDefault="00A13DA8" w:rsidP="00A13DA8">
      <w:pPr>
        <w:pStyle w:val="Heading1"/>
        <w:rPr>
          <w:lang w:val="en-US"/>
        </w:rPr>
      </w:pPr>
      <w:bookmarkStart w:id="1" w:name="_Toc140058520"/>
      <w:r>
        <w:rPr>
          <w:lang w:val="en-US"/>
        </w:rPr>
        <w:t>Task</w:t>
      </w:r>
      <w:bookmarkEnd w:id="1"/>
    </w:p>
    <w:p w14:paraId="30F9FF1D" w14:textId="77777777" w:rsidR="00A13DA8" w:rsidRDefault="00A13DA8" w:rsidP="00A13DA8">
      <w:pPr>
        <w:pStyle w:val="Heading2"/>
        <w:rPr>
          <w:lang w:val="en-US"/>
        </w:rPr>
      </w:pPr>
      <w:bookmarkStart w:id="2" w:name="_Toc140058521"/>
      <w:r>
        <w:rPr>
          <w:lang w:val="en-US"/>
        </w:rPr>
        <w:t>Importance of international finance management</w:t>
      </w:r>
      <w:bookmarkEnd w:id="2"/>
    </w:p>
    <w:p w14:paraId="01BCD168" w14:textId="77777777" w:rsidR="00A13DA8" w:rsidRDefault="00A13DA8" w:rsidP="00A13DA8">
      <w:pPr>
        <w:rPr>
          <w:lang w:val="en-US"/>
        </w:rPr>
      </w:pPr>
      <w:r>
        <w:rPr>
          <w:lang w:val="en-US"/>
        </w:rPr>
        <w:t>International finance management is also called as international finance. It is management of finance in international business environment. It is related to acquiring funds in optimum way to maximize shareholders and their wealth. There are many factors involves in financial management such as political situation, currency, diversified opportunity set, imperfect market. It is one of the determinants of the Unilever’s success. It plays important role in suggesting higher level management effective solution for range of financial professionals and problems. It provides financial position of Unilever and makes it easier for management to assess the performance and make proper decision making (</w:t>
      </w:r>
      <w:r>
        <w:rPr>
          <w:rFonts w:cs="Times New Roman"/>
          <w:color w:val="222222"/>
          <w:szCs w:val="24"/>
          <w:shd w:val="clear" w:color="auto" w:fill="FFFFFF"/>
        </w:rPr>
        <w:t xml:space="preserve">Shapiro and </w:t>
      </w:r>
      <w:proofErr w:type="spellStart"/>
      <w:r>
        <w:rPr>
          <w:rFonts w:cs="Times New Roman"/>
          <w:color w:val="222222"/>
          <w:szCs w:val="24"/>
          <w:shd w:val="clear" w:color="auto" w:fill="FFFFFF"/>
        </w:rPr>
        <w:t>Hanouna</w:t>
      </w:r>
      <w:proofErr w:type="spellEnd"/>
      <w:r>
        <w:rPr>
          <w:rFonts w:cs="Times New Roman"/>
          <w:color w:val="222222"/>
          <w:szCs w:val="24"/>
          <w:shd w:val="clear" w:color="auto" w:fill="FFFFFF"/>
        </w:rPr>
        <w:t>, 2019)</w:t>
      </w:r>
      <w:r>
        <w:rPr>
          <w:lang w:val="en-US"/>
        </w:rPr>
        <w:t xml:space="preserve">. It helps company in generating funds from external as well as internal sources. Aim of international finance is to obtain funds at lowest possible costs. It is concerned with acquiring of funds to maximize the wealth of stakeholders. It helps Unilever in connecting with international partners such as suppliers, lenders, customer etc. It </w:t>
      </w:r>
      <w:proofErr w:type="gramStart"/>
      <w:r>
        <w:rPr>
          <w:lang w:val="en-US"/>
        </w:rPr>
        <w:t>provide</w:t>
      </w:r>
      <w:proofErr w:type="gramEnd"/>
      <w:r>
        <w:rPr>
          <w:lang w:val="en-US"/>
        </w:rPr>
        <w:t xml:space="preserve"> company greater comparability with other companies. It also helps Unilever in making better decision making about investments. With rapid move towards globalization, international fiancé helps company in growing magnitudes. It helps Unilever in raising funds in international trade and effectively managing capital. It provides specialization of products and services of the organization. It helps Unilever in opening new economies. It helps in globalization </w:t>
      </w:r>
      <w:proofErr w:type="gramStart"/>
      <w:r>
        <w:rPr>
          <w:lang w:val="en-US"/>
        </w:rPr>
        <w:t>and also</w:t>
      </w:r>
      <w:proofErr w:type="gramEnd"/>
      <w:r>
        <w:rPr>
          <w:lang w:val="en-US"/>
        </w:rPr>
        <w:t xml:space="preserve"> emergence of fresh form of business. </w:t>
      </w:r>
    </w:p>
    <w:p w14:paraId="43BA3C67" w14:textId="77777777" w:rsidR="00A13DA8" w:rsidRDefault="00A13DA8" w:rsidP="00A13DA8">
      <w:pPr>
        <w:rPr>
          <w:b/>
          <w:lang w:val="en-US"/>
        </w:rPr>
      </w:pPr>
      <w:r>
        <w:rPr>
          <w:b/>
          <w:lang w:val="en-US"/>
        </w:rPr>
        <w:t>Dividend distribution policy</w:t>
      </w:r>
    </w:p>
    <w:p w14:paraId="5AAC090B" w14:textId="77777777" w:rsidR="00A13DA8" w:rsidRDefault="00A13DA8" w:rsidP="00A13DA8">
      <w:pPr>
        <w:rPr>
          <w:lang w:val="en-US"/>
        </w:rPr>
      </w:pPr>
      <w:r>
        <w:rPr>
          <w:lang w:val="en-US"/>
        </w:rPr>
        <w:lastRenderedPageBreak/>
        <w:t xml:space="preserve">Dividend refers to distribution of company’s earnings for its shareholders as well determined by company’s board of directors. It is usually distributed quarterly in form of cash or reinvestment in some stock. Dividend distribution policy refers to distribution as per recommendations of Board and is decided in annual general meeting (AGM) of shareholders. It outlines how dividend will be distributed to shareholders. Unilever’s final dividend is declared in its annual general meeting and amount of dividend must not exceed as recommended by directors. The organization use companies act to decide dividend.  Unilever’s dividend distribution policy </w:t>
      </w:r>
      <w:proofErr w:type="gramStart"/>
      <w:r>
        <w:rPr>
          <w:lang w:val="en-US"/>
        </w:rPr>
        <w:t>make</w:t>
      </w:r>
      <w:proofErr w:type="gramEnd"/>
      <w:r>
        <w:rPr>
          <w:lang w:val="en-US"/>
        </w:rPr>
        <w:t xml:space="preserve"> sure that company returns cash from its operations which is more than its foreseeable and immediate needs back to shareholders over long-term (</w:t>
      </w:r>
      <w:r>
        <w:rPr>
          <w:rFonts w:cs="Times New Roman"/>
          <w:color w:val="222222"/>
          <w:szCs w:val="24"/>
          <w:shd w:val="clear" w:color="auto" w:fill="FFFFFF"/>
        </w:rPr>
        <w:t>Pinto, and et. Al, 2020)</w:t>
      </w:r>
      <w:r>
        <w:rPr>
          <w:lang w:val="en-US"/>
        </w:rPr>
        <w:t xml:space="preserve">. Unilever believes in continuous value enhancement of shareholder and seeks to pay sustainable, </w:t>
      </w:r>
      <w:proofErr w:type="gramStart"/>
      <w:r>
        <w:rPr>
          <w:lang w:val="en-US"/>
        </w:rPr>
        <w:t>attractive</w:t>
      </w:r>
      <w:proofErr w:type="gramEnd"/>
      <w:r>
        <w:rPr>
          <w:lang w:val="en-US"/>
        </w:rPr>
        <w:t xml:space="preserve"> and growing dividend to shareholders of the company. Board of directors of the company many consider situation prevalent at relevant point of time, then propose only if dividend requires to be declared as well as rate at which it is to be declared. They take decision of both interim dividend and final dividend based on performance of Unilever. Unilever provide dividend out of its current year’s profit after tax. </w:t>
      </w:r>
    </w:p>
    <w:p w14:paraId="14E3E2BC" w14:textId="77777777" w:rsidR="00A13DA8" w:rsidRDefault="00A13DA8" w:rsidP="00A13DA8">
      <w:pPr>
        <w:pStyle w:val="Heading2"/>
        <w:rPr>
          <w:lang w:val="en-US"/>
        </w:rPr>
      </w:pPr>
      <w:bookmarkStart w:id="3" w:name="_Toc140058522"/>
      <w:r>
        <w:rPr>
          <w:lang w:val="en-US"/>
        </w:rPr>
        <w:t>Challenges in international financial market</w:t>
      </w:r>
      <w:bookmarkEnd w:id="3"/>
    </w:p>
    <w:p w14:paraId="057E03D1" w14:textId="77777777" w:rsidR="00A13DA8" w:rsidRDefault="00A13DA8" w:rsidP="00A13DA8">
      <w:pPr>
        <w:rPr>
          <w:lang w:val="en-US"/>
        </w:rPr>
      </w:pPr>
      <w:r>
        <w:rPr>
          <w:lang w:val="en-US"/>
        </w:rPr>
        <w:t xml:space="preserve">Following are the challenges of organization in different financial market </w:t>
      </w:r>
      <w:proofErr w:type="gramStart"/>
      <w:r>
        <w:rPr>
          <w:lang w:val="en-US"/>
        </w:rPr>
        <w:t>are:-</w:t>
      </w:r>
      <w:proofErr w:type="gramEnd"/>
    </w:p>
    <w:p w14:paraId="4E652145" w14:textId="77777777" w:rsidR="00A13DA8" w:rsidRDefault="00A13DA8" w:rsidP="00A13DA8">
      <w:pPr>
        <w:rPr>
          <w:lang w:val="en-US"/>
        </w:rPr>
      </w:pPr>
      <w:r>
        <w:rPr>
          <w:lang w:val="en-US"/>
        </w:rPr>
        <w:t xml:space="preserve">Language barrier: Unilever is engaged in international business and is crucial challenges faced by it. It is important for company to consider all the languages spoken by different employees in different international offices. </w:t>
      </w:r>
    </w:p>
    <w:p w14:paraId="18BA44B0" w14:textId="77777777" w:rsidR="00A13DA8" w:rsidRDefault="00A13DA8" w:rsidP="00A13DA8">
      <w:pPr>
        <w:rPr>
          <w:lang w:val="en-US"/>
        </w:rPr>
      </w:pPr>
      <w:r>
        <w:rPr>
          <w:lang w:val="en-US"/>
        </w:rPr>
        <w:t>Foreign exchange risk: it is financial loss that is result of fluctuations in exchange rates of currency. Exchange rates fluctuation in international market leads to risk of financial loss of Unilever (</w:t>
      </w:r>
      <w:proofErr w:type="spellStart"/>
      <w:r>
        <w:rPr>
          <w:rFonts w:cs="Times New Roman"/>
          <w:color w:val="222222"/>
          <w:szCs w:val="24"/>
          <w:shd w:val="clear" w:color="auto" w:fill="FFFFFF"/>
        </w:rPr>
        <w:t>Mosteanu</w:t>
      </w:r>
      <w:proofErr w:type="spellEnd"/>
      <w:r>
        <w:rPr>
          <w:rFonts w:cs="Times New Roman"/>
          <w:color w:val="222222"/>
          <w:szCs w:val="24"/>
          <w:shd w:val="clear" w:color="auto" w:fill="FFFFFF"/>
        </w:rPr>
        <w:t xml:space="preserve"> and </w:t>
      </w:r>
      <w:proofErr w:type="spellStart"/>
      <w:r>
        <w:rPr>
          <w:rFonts w:cs="Times New Roman"/>
          <w:color w:val="222222"/>
          <w:szCs w:val="24"/>
          <w:shd w:val="clear" w:color="auto" w:fill="FFFFFF"/>
        </w:rPr>
        <w:t>Faccia</w:t>
      </w:r>
      <w:proofErr w:type="spellEnd"/>
      <w:r>
        <w:rPr>
          <w:rFonts w:cs="Times New Roman"/>
          <w:color w:val="222222"/>
          <w:szCs w:val="24"/>
          <w:shd w:val="clear" w:color="auto" w:fill="FFFFFF"/>
        </w:rPr>
        <w:t>, 2020)</w:t>
      </w:r>
      <w:r>
        <w:rPr>
          <w:lang w:val="en-US"/>
        </w:rPr>
        <w:t xml:space="preserve">. </w:t>
      </w:r>
    </w:p>
    <w:p w14:paraId="3CE9C7A3" w14:textId="77777777" w:rsidR="00A13DA8" w:rsidRDefault="00A13DA8" w:rsidP="00A13DA8">
      <w:pPr>
        <w:rPr>
          <w:lang w:val="en-US"/>
        </w:rPr>
      </w:pPr>
      <w:r>
        <w:rPr>
          <w:lang w:val="en-US"/>
        </w:rPr>
        <w:t xml:space="preserve">Political risk: it refers to challenges faced by company due to political events like changes in regulations, </w:t>
      </w:r>
      <w:proofErr w:type="gramStart"/>
      <w:r>
        <w:rPr>
          <w:lang w:val="en-US"/>
        </w:rPr>
        <w:t>insecurity</w:t>
      </w:r>
      <w:proofErr w:type="gramEnd"/>
      <w:r>
        <w:rPr>
          <w:lang w:val="en-US"/>
        </w:rPr>
        <w:t xml:space="preserve"> and government policies. Change in political, laws, relationship with countries and policies affects the financial management of Unilever, </w:t>
      </w:r>
    </w:p>
    <w:p w14:paraId="6F9C9ECA" w14:textId="77777777" w:rsidR="00A13DA8" w:rsidRDefault="00A13DA8" w:rsidP="00A13DA8">
      <w:pPr>
        <w:rPr>
          <w:lang w:val="en-US"/>
        </w:rPr>
      </w:pPr>
      <w:r>
        <w:rPr>
          <w:lang w:val="en-US"/>
        </w:rPr>
        <w:t xml:space="preserve">Cultural differences: it has different approaches to finance, </w:t>
      </w:r>
      <w:proofErr w:type="gramStart"/>
      <w:r>
        <w:rPr>
          <w:lang w:val="en-US"/>
        </w:rPr>
        <w:t>risk</w:t>
      </w:r>
      <w:proofErr w:type="gramEnd"/>
      <w:r>
        <w:rPr>
          <w:lang w:val="en-US"/>
        </w:rPr>
        <w:t xml:space="preserve"> and business. Each country has its own traditions, art, food, social norms etc. integration of multicultural may leads to miscommunication and leads to financial crises. </w:t>
      </w:r>
    </w:p>
    <w:p w14:paraId="66849EC5" w14:textId="77777777" w:rsidR="00A13DA8" w:rsidRDefault="00A13DA8" w:rsidP="00A13DA8">
      <w:pPr>
        <w:rPr>
          <w:lang w:val="en-US"/>
        </w:rPr>
      </w:pPr>
      <w:r>
        <w:rPr>
          <w:lang w:val="en-US"/>
        </w:rPr>
        <w:lastRenderedPageBreak/>
        <w:t xml:space="preserve">International financial regulations: every country has own position of financial regulations. </w:t>
      </w:r>
      <w:proofErr w:type="spellStart"/>
      <w:proofErr w:type="gramStart"/>
      <w:r>
        <w:rPr>
          <w:lang w:val="en-US"/>
        </w:rPr>
        <w:t>Non compliance</w:t>
      </w:r>
      <w:proofErr w:type="spellEnd"/>
      <w:proofErr w:type="gramEnd"/>
      <w:r>
        <w:rPr>
          <w:lang w:val="en-US"/>
        </w:rPr>
        <w:t xml:space="preserve"> of international financial regulations by Unilever may face various challenges in supervision and regulations or change in financial intermediation.</w:t>
      </w:r>
    </w:p>
    <w:p w14:paraId="08CBE148" w14:textId="77777777" w:rsidR="00A13DA8" w:rsidRDefault="00A13DA8" w:rsidP="00A13DA8">
      <w:pPr>
        <w:rPr>
          <w:lang w:val="en-US"/>
        </w:rPr>
      </w:pPr>
      <w:r>
        <w:rPr>
          <w:lang w:val="en-US"/>
        </w:rPr>
        <w:t xml:space="preserve">Economic insecurity: this condition may vary greatly across regions and countries. It has adverse impact on Unilever’s economic growth. </w:t>
      </w:r>
    </w:p>
    <w:p w14:paraId="108E4859" w14:textId="77777777" w:rsidR="00A13DA8" w:rsidRDefault="00A13DA8" w:rsidP="00A13DA8">
      <w:pPr>
        <w:rPr>
          <w:b/>
          <w:lang w:val="en-US"/>
        </w:rPr>
      </w:pPr>
      <w:r>
        <w:rPr>
          <w:b/>
          <w:lang w:val="en-US"/>
        </w:rPr>
        <w:t>The efficient market hypothesis theory</w:t>
      </w:r>
    </w:p>
    <w:p w14:paraId="3D7A32DB" w14:textId="77777777" w:rsidR="00A13DA8" w:rsidRDefault="00A13DA8" w:rsidP="00A13DA8">
      <w:pPr>
        <w:rPr>
          <w:lang w:val="en-US"/>
        </w:rPr>
      </w:pPr>
      <w:r>
        <w:rPr>
          <w:lang w:val="en-US"/>
        </w:rPr>
        <w:t>This theory states that new information comes into market, it immediately reflects in stock price. It is neither fundamental nor technical analysis may generate excess return. This theory states that share price reflects information as well as consistent alpha creation is impossible. It states that stock is traded at fair value and makes it not possible for investors to sell stock at inflated price or purchase unvalued stock. This theory argues that present stock price reflects existing available data, making fairly valued currently. It is based on assumptions that outperforming market by market timing or stock picking is highly unlikely. There are three types of efficient market hypothesis: weak form, semi strong and strong form efficient market hypothesis (</w:t>
      </w:r>
      <w:proofErr w:type="spellStart"/>
      <w:r>
        <w:rPr>
          <w:rFonts w:cs="Times New Roman"/>
          <w:color w:val="222222"/>
          <w:szCs w:val="24"/>
          <w:shd w:val="clear" w:color="auto" w:fill="FFFFFF"/>
        </w:rPr>
        <w:t>Ehiedu</w:t>
      </w:r>
      <w:proofErr w:type="spellEnd"/>
      <w:r>
        <w:rPr>
          <w:rFonts w:cs="Times New Roman"/>
          <w:color w:val="222222"/>
          <w:szCs w:val="24"/>
          <w:shd w:val="clear" w:color="auto" w:fill="FFFFFF"/>
        </w:rPr>
        <w:t xml:space="preserve"> and Obi, 2022)</w:t>
      </w:r>
      <w:r>
        <w:rPr>
          <w:lang w:val="en-US"/>
        </w:rPr>
        <w:t xml:space="preserve">. This hypothesis helps Unilever in asset pricing models. In the there is no requirement of government intervention as stock price is automatically adjusts. It helps traders of Unilever to trade stocks at fair value. It eliminates the probability of beating market, as any information obtainable to trader is already incorporated in market price. It argues that markets are efficient and leaves room for excess profits because everything is accurately and </w:t>
      </w:r>
      <w:proofErr w:type="gramStart"/>
      <w:r>
        <w:rPr>
          <w:lang w:val="en-US"/>
        </w:rPr>
        <w:t>fairly priced</w:t>
      </w:r>
      <w:proofErr w:type="gramEnd"/>
      <w:r>
        <w:rPr>
          <w:lang w:val="en-US"/>
        </w:rPr>
        <w:t>. It helps Unilever in maintaining quality of products also at decreasing production costs. It helps Unilever in presenting prices of all financial instruments that will reflect all market information.</w:t>
      </w:r>
    </w:p>
    <w:p w14:paraId="13FDE210" w14:textId="77777777" w:rsidR="00A13DA8" w:rsidRDefault="00A13DA8" w:rsidP="00A13DA8">
      <w:pPr>
        <w:pStyle w:val="Heading2"/>
        <w:rPr>
          <w:lang w:val="en-US"/>
        </w:rPr>
      </w:pPr>
      <w:bookmarkStart w:id="4" w:name="_Toc140058523"/>
      <w:r>
        <w:rPr>
          <w:lang w:val="en-US"/>
        </w:rPr>
        <w:t>International finance management theories</w:t>
      </w:r>
      <w:bookmarkEnd w:id="4"/>
    </w:p>
    <w:p w14:paraId="0DD645E0" w14:textId="77777777" w:rsidR="00A13DA8" w:rsidRDefault="00A13DA8" w:rsidP="00A13DA8">
      <w:pPr>
        <w:rPr>
          <w:lang w:val="en-US"/>
        </w:rPr>
      </w:pPr>
      <w:r>
        <w:rPr>
          <w:b/>
          <w:i/>
          <w:lang w:val="en-US"/>
        </w:rPr>
        <w:t>Interest rate parity</w:t>
      </w:r>
      <w:r>
        <w:rPr>
          <w:lang w:val="en-US"/>
        </w:rPr>
        <w:t>: the theory states that interest rate differential among two countries must be equal to percentage difference between spot exchange rate and forward exchange rate. The theory states that there are no restrictions for shifting money from one currency/country/economy to another. When currency and money market are in equilibrium and interest rate differential must be equal to 5 differences in spot exchange and forward exchange (</w:t>
      </w:r>
      <w:r>
        <w:rPr>
          <w:rFonts w:cs="Times New Roman"/>
          <w:color w:val="222222"/>
          <w:szCs w:val="24"/>
          <w:shd w:val="clear" w:color="auto" w:fill="FFFFFF"/>
        </w:rPr>
        <w:t xml:space="preserve">Eng, </w:t>
      </w:r>
      <w:proofErr w:type="gramStart"/>
      <w:r>
        <w:rPr>
          <w:rFonts w:cs="Times New Roman"/>
          <w:color w:val="222222"/>
          <w:szCs w:val="24"/>
          <w:shd w:val="clear" w:color="auto" w:fill="FFFFFF"/>
        </w:rPr>
        <w:t>Lin</w:t>
      </w:r>
      <w:proofErr w:type="gramEnd"/>
      <w:r>
        <w:rPr>
          <w:rFonts w:cs="Times New Roman"/>
          <w:color w:val="222222"/>
          <w:szCs w:val="24"/>
          <w:shd w:val="clear" w:color="auto" w:fill="FFFFFF"/>
        </w:rPr>
        <w:t xml:space="preserve"> and Neiva, 2019)</w:t>
      </w:r>
      <w:r>
        <w:rPr>
          <w:lang w:val="en-US"/>
        </w:rPr>
        <w:t xml:space="preserve">. </w:t>
      </w:r>
    </w:p>
    <w:p w14:paraId="70434F7B" w14:textId="77777777" w:rsidR="00A13DA8" w:rsidRDefault="00A13DA8" w:rsidP="00A13DA8">
      <w:pPr>
        <w:rPr>
          <w:lang w:val="en-US"/>
        </w:rPr>
      </w:pPr>
      <w:r>
        <w:rPr>
          <w:b/>
          <w:i/>
          <w:lang w:val="en-US"/>
        </w:rPr>
        <w:t>Purchasing power parity</w:t>
      </w:r>
      <w:r>
        <w:rPr>
          <w:lang w:val="en-US"/>
        </w:rPr>
        <w:t xml:space="preserve">: this theory helps in determining spot rate. There are two </w:t>
      </w:r>
      <w:proofErr w:type="gramStart"/>
      <w:r>
        <w:rPr>
          <w:lang w:val="en-US"/>
        </w:rPr>
        <w:t>kind</w:t>
      </w:r>
      <w:proofErr w:type="gramEnd"/>
      <w:r>
        <w:rPr>
          <w:lang w:val="en-US"/>
        </w:rPr>
        <w:t xml:space="preserve"> of PPP: - relative form of PPP and absolute form of PPP. Absolute form states that commodity </w:t>
      </w:r>
      <w:r>
        <w:rPr>
          <w:lang w:val="en-US"/>
        </w:rPr>
        <w:lastRenderedPageBreak/>
        <w:t>costs same regardless of where currency is sold and what currency is purchased. It is very straight forward concept. Relative form is expansion of traditional PPP; it includes change in price rises over time.</w:t>
      </w:r>
    </w:p>
    <w:p w14:paraId="614D08DC" w14:textId="77777777" w:rsidR="00A13DA8" w:rsidRDefault="00A13DA8" w:rsidP="00A13DA8">
      <w:pPr>
        <w:rPr>
          <w:lang w:val="en-US"/>
        </w:rPr>
      </w:pPr>
      <w:r>
        <w:rPr>
          <w:b/>
          <w:i/>
          <w:lang w:val="en-US"/>
        </w:rPr>
        <w:t>Fisher effect</w:t>
      </w:r>
      <w:r>
        <w:rPr>
          <w:lang w:val="en-US"/>
        </w:rPr>
        <w:t xml:space="preserve">: change in expected inflation rate may cause same proportionate change in nominal interest rate. In this there is no effect on needed real interest rate. This theory states the relationship between inflation, real </w:t>
      </w:r>
      <w:proofErr w:type="gramStart"/>
      <w:r>
        <w:rPr>
          <w:lang w:val="en-US"/>
        </w:rPr>
        <w:t>rates</w:t>
      </w:r>
      <w:proofErr w:type="gramEnd"/>
      <w:r>
        <w:rPr>
          <w:lang w:val="en-US"/>
        </w:rPr>
        <w:t xml:space="preserve"> and nominal rates. This theory helps in careful review of relation among interests and inflation. It can be stated that investors are eventually concerned with what all they can purchase with their money, need compensation for price rise. Nominal rate refers to rate at which money is rising. It is called as it is not been adjusted for inflation. Real return is without inflation. </w:t>
      </w:r>
    </w:p>
    <w:p w14:paraId="6359BE68" w14:textId="77777777" w:rsidR="00A13DA8" w:rsidRDefault="00A13DA8" w:rsidP="00A13DA8">
      <w:pPr>
        <w:rPr>
          <w:lang w:val="en-US"/>
        </w:rPr>
      </w:pPr>
      <w:r>
        <w:rPr>
          <w:b/>
          <w:i/>
          <w:lang w:val="en-US"/>
        </w:rPr>
        <w:t>International fisher effect</w:t>
      </w:r>
      <w:r>
        <w:rPr>
          <w:lang w:val="en-US"/>
        </w:rPr>
        <w:t xml:space="preserve">: the theory states that country with higher interest rate will have higher rate of inflation and eventually it will cause depreciation in currency. The relationship is expressed in equality among expected % change in exchange rate. The difference between two countries rate of interest is divided by 1 + interest rate of second country. </w:t>
      </w:r>
    </w:p>
    <w:p w14:paraId="04EA777F" w14:textId="77777777" w:rsidR="00A13DA8" w:rsidRDefault="00A13DA8" w:rsidP="00A13DA8">
      <w:pPr>
        <w:rPr>
          <w:b/>
          <w:lang w:val="en-US"/>
        </w:rPr>
      </w:pPr>
      <w:r>
        <w:rPr>
          <w:b/>
          <w:lang w:val="en-US"/>
        </w:rPr>
        <w:t>Project appraisal</w:t>
      </w:r>
    </w:p>
    <w:p w14:paraId="31F70334" w14:textId="77777777" w:rsidR="00A13DA8" w:rsidRDefault="00A13DA8" w:rsidP="00A13DA8">
      <w:pPr>
        <w:rPr>
          <w:lang w:val="en-US"/>
        </w:rPr>
      </w:pPr>
      <w:r>
        <w:rPr>
          <w:lang w:val="en-US"/>
        </w:rPr>
        <w:t xml:space="preserve">It refers to process of assessing, within structured way, case for happening with proposal or project and project’s viability. Project appraisals for finance are done using five methods: economic analysis, market analysis, financial analysis, managerial </w:t>
      </w:r>
      <w:proofErr w:type="gramStart"/>
      <w:r>
        <w:rPr>
          <w:lang w:val="en-US"/>
        </w:rPr>
        <w:t>competence</w:t>
      </w:r>
      <w:proofErr w:type="gramEnd"/>
      <w:r>
        <w:rPr>
          <w:lang w:val="en-US"/>
        </w:rPr>
        <w:t xml:space="preserve"> and technical feasibility. In economic analysis Unilever </w:t>
      </w:r>
      <w:proofErr w:type="gramStart"/>
      <w:r>
        <w:rPr>
          <w:lang w:val="en-US"/>
        </w:rPr>
        <w:t>takes into account</w:t>
      </w:r>
      <w:proofErr w:type="gramEnd"/>
      <w:r>
        <w:rPr>
          <w:lang w:val="en-US"/>
        </w:rPr>
        <w:t xml:space="preserve"> capacity utilization, raw material requirement, expected cost, expected sales and plausible profits. Unilever will ascertain profit volumes and would determine by purchase, </w:t>
      </w:r>
      <w:proofErr w:type="gramStart"/>
      <w:r>
        <w:rPr>
          <w:lang w:val="en-US"/>
        </w:rPr>
        <w:t>sales</w:t>
      </w:r>
      <w:proofErr w:type="gramEnd"/>
      <w:r>
        <w:rPr>
          <w:lang w:val="en-US"/>
        </w:rPr>
        <w:t xml:space="preserve"> and expenses. Financial analysis will be done by Unilever by assessing working capital and fixed capital to determine the financial viability. Market analysis in Unilever is done by understanding demand. It can be forecasted using opinion poll method and life cycle segmentation (</w:t>
      </w:r>
      <w:proofErr w:type="spellStart"/>
      <w:r>
        <w:rPr>
          <w:rFonts w:cs="Times New Roman"/>
          <w:color w:val="222222"/>
          <w:szCs w:val="24"/>
          <w:shd w:val="clear" w:color="auto" w:fill="FFFFFF"/>
        </w:rPr>
        <w:t>Vernimmen</w:t>
      </w:r>
      <w:proofErr w:type="spellEnd"/>
      <w:r>
        <w:rPr>
          <w:rFonts w:cs="Times New Roman"/>
          <w:color w:val="222222"/>
          <w:szCs w:val="24"/>
          <w:shd w:val="clear" w:color="auto" w:fill="FFFFFF"/>
        </w:rPr>
        <w:t xml:space="preserve">, </w:t>
      </w:r>
      <w:proofErr w:type="spellStart"/>
      <w:r>
        <w:rPr>
          <w:rFonts w:cs="Times New Roman"/>
          <w:color w:val="222222"/>
          <w:szCs w:val="24"/>
          <w:shd w:val="clear" w:color="auto" w:fill="FFFFFF"/>
        </w:rPr>
        <w:t>Quiry</w:t>
      </w:r>
      <w:proofErr w:type="spellEnd"/>
      <w:r>
        <w:rPr>
          <w:rFonts w:cs="Times New Roman"/>
          <w:color w:val="222222"/>
          <w:szCs w:val="24"/>
          <w:shd w:val="clear" w:color="auto" w:fill="FFFFFF"/>
        </w:rPr>
        <w:t xml:space="preserve"> and Le Fur, 2022)</w:t>
      </w:r>
      <w:r>
        <w:rPr>
          <w:lang w:val="en-US"/>
        </w:rPr>
        <w:t>. Technical feasibility is done by Unilever to assess sufficient know-how. Unilever assess the competence of talent or management to promote the success of company. approaches that can be used by Unilever for project appraisal for international finance management is accounting rate of return, payback period, internal rate of return and net present value.</w:t>
      </w:r>
    </w:p>
    <w:p w14:paraId="6C42A0FA" w14:textId="77777777" w:rsidR="00A13DA8" w:rsidRDefault="00A13DA8" w:rsidP="00A13DA8">
      <w:pPr>
        <w:pStyle w:val="Heading1"/>
        <w:rPr>
          <w:lang w:val="en-US"/>
        </w:rPr>
      </w:pPr>
      <w:bookmarkStart w:id="5" w:name="_Toc140058524"/>
      <w:r>
        <w:rPr>
          <w:lang w:val="en-US"/>
        </w:rPr>
        <w:lastRenderedPageBreak/>
        <w:t>CONCLUSION</w:t>
      </w:r>
      <w:bookmarkEnd w:id="5"/>
    </w:p>
    <w:p w14:paraId="532694C6" w14:textId="77777777" w:rsidR="00A13DA8" w:rsidRDefault="00A13DA8" w:rsidP="00A13DA8">
      <w:pPr>
        <w:rPr>
          <w:lang w:val="en-US"/>
        </w:rPr>
      </w:pPr>
      <w:r>
        <w:rPr>
          <w:lang w:val="en-US"/>
        </w:rPr>
        <w:t xml:space="preserve">It can be concluded that international financial management plays an important role in an organization. It can be said that it helps company in acquiring and managing money. It provides insights to critical decision making </w:t>
      </w:r>
      <w:proofErr w:type="gramStart"/>
      <w:r>
        <w:rPr>
          <w:lang w:val="en-US"/>
        </w:rPr>
        <w:t>and also</w:t>
      </w:r>
      <w:proofErr w:type="gramEnd"/>
      <w:r>
        <w:rPr>
          <w:lang w:val="en-US"/>
        </w:rPr>
        <w:t xml:space="preserve"> helps in allocation of funds. It is a crucial tool to determine exchange rate, comparing inflation rate and get idea related to investing international debt securities, judge foreign market and economic status of other countries. </w:t>
      </w:r>
    </w:p>
    <w:p w14:paraId="0A2656CF" w14:textId="77777777" w:rsidR="00A13DA8" w:rsidRDefault="00A13DA8" w:rsidP="00A13DA8">
      <w:pPr>
        <w:spacing w:line="276" w:lineRule="auto"/>
        <w:jc w:val="left"/>
        <w:rPr>
          <w:lang w:val="en-US"/>
        </w:rPr>
      </w:pPr>
      <w:r>
        <w:rPr>
          <w:lang w:val="en-US"/>
        </w:rPr>
        <w:br w:type="page"/>
      </w:r>
    </w:p>
    <w:p w14:paraId="7BDD05BB" w14:textId="77777777" w:rsidR="00A13DA8" w:rsidRDefault="00A13DA8" w:rsidP="00A13DA8">
      <w:pPr>
        <w:pStyle w:val="Heading1"/>
        <w:rPr>
          <w:lang w:val="en-US"/>
        </w:rPr>
      </w:pPr>
      <w:bookmarkStart w:id="6" w:name="_Toc140058525"/>
      <w:r>
        <w:rPr>
          <w:lang w:val="en-US"/>
        </w:rPr>
        <w:lastRenderedPageBreak/>
        <w:t>REFERENCES</w:t>
      </w:r>
      <w:bookmarkEnd w:id="6"/>
    </w:p>
    <w:p w14:paraId="6931E286" w14:textId="77777777" w:rsidR="00A13DA8" w:rsidRDefault="00A13DA8" w:rsidP="00A13DA8">
      <w:pPr>
        <w:rPr>
          <w:u w:val="single"/>
          <w:lang w:val="en-US"/>
        </w:rPr>
      </w:pPr>
      <w:r>
        <w:rPr>
          <w:u w:val="single"/>
          <w:lang w:val="en-US"/>
        </w:rPr>
        <w:t>Books and journal</w:t>
      </w:r>
    </w:p>
    <w:p w14:paraId="39CC17CE" w14:textId="77777777" w:rsidR="00A13DA8" w:rsidRDefault="00A13DA8" w:rsidP="00A13DA8">
      <w:pPr>
        <w:spacing w:line="240" w:lineRule="auto"/>
        <w:ind w:left="851" w:hanging="851"/>
        <w:rPr>
          <w:u w:val="single"/>
          <w:lang w:val="en-US"/>
        </w:rPr>
      </w:pPr>
      <w:proofErr w:type="spellStart"/>
      <w:r>
        <w:rPr>
          <w:rFonts w:cs="Times New Roman"/>
          <w:color w:val="222222"/>
          <w:szCs w:val="24"/>
          <w:shd w:val="clear" w:color="auto" w:fill="FFFFFF"/>
        </w:rPr>
        <w:t>Ehiedu</w:t>
      </w:r>
      <w:proofErr w:type="spellEnd"/>
      <w:r>
        <w:rPr>
          <w:rFonts w:cs="Times New Roman"/>
          <w:color w:val="222222"/>
          <w:szCs w:val="24"/>
          <w:shd w:val="clear" w:color="auto" w:fill="FFFFFF"/>
        </w:rPr>
        <w:t xml:space="preserve">, V.C. and Obi, K.C., (2022). Efficient market hypothesis (EMH) and the Nigerian stock exchange </w:t>
      </w:r>
      <w:proofErr w:type="gramStart"/>
      <w:r>
        <w:rPr>
          <w:rFonts w:cs="Times New Roman"/>
          <w:color w:val="222222"/>
          <w:szCs w:val="24"/>
          <w:shd w:val="clear" w:color="auto" w:fill="FFFFFF"/>
        </w:rPr>
        <w:t>in the midst of</w:t>
      </w:r>
      <w:proofErr w:type="gramEnd"/>
      <w:r>
        <w:rPr>
          <w:rFonts w:cs="Times New Roman"/>
          <w:color w:val="222222"/>
          <w:szCs w:val="24"/>
          <w:shd w:val="clear" w:color="auto" w:fill="FFFFFF"/>
        </w:rPr>
        <w:t xml:space="preserve"> global financial crises. </w:t>
      </w:r>
      <w:r>
        <w:rPr>
          <w:rFonts w:cs="Times New Roman"/>
          <w:i/>
          <w:iCs/>
          <w:color w:val="222222"/>
          <w:szCs w:val="24"/>
          <w:shd w:val="clear" w:color="auto" w:fill="FFFFFF"/>
        </w:rPr>
        <w:t>International Journal of Academic Management Science Research (IJAMSR)</w:t>
      </w:r>
      <w:r>
        <w:rPr>
          <w:rFonts w:cs="Times New Roman"/>
          <w:color w:val="222222"/>
          <w:szCs w:val="24"/>
          <w:shd w:val="clear" w:color="auto" w:fill="FFFFFF"/>
        </w:rPr>
        <w:t>. </w:t>
      </w:r>
      <w:r>
        <w:rPr>
          <w:rFonts w:cs="Times New Roman"/>
          <w:iCs/>
          <w:color w:val="222222"/>
          <w:szCs w:val="24"/>
          <w:shd w:val="clear" w:color="auto" w:fill="FFFFFF"/>
        </w:rPr>
        <w:t>6</w:t>
      </w:r>
      <w:r>
        <w:rPr>
          <w:rFonts w:cs="Times New Roman"/>
          <w:color w:val="222222"/>
          <w:szCs w:val="24"/>
          <w:shd w:val="clear" w:color="auto" w:fill="FFFFFF"/>
        </w:rPr>
        <w:t>(8). pp.263-273.</w:t>
      </w:r>
    </w:p>
    <w:p w14:paraId="65BA0D9B" w14:textId="77777777" w:rsidR="00A13DA8" w:rsidRDefault="00A13DA8" w:rsidP="00A13DA8">
      <w:pPr>
        <w:spacing w:line="240" w:lineRule="auto"/>
        <w:ind w:left="851" w:hanging="851"/>
        <w:rPr>
          <w:rFonts w:cs="Times New Roman"/>
          <w:color w:val="222222"/>
          <w:szCs w:val="24"/>
          <w:shd w:val="clear" w:color="auto" w:fill="FFFFFF"/>
        </w:rPr>
      </w:pPr>
      <w:r>
        <w:rPr>
          <w:rFonts w:cs="Times New Roman"/>
          <w:color w:val="222222"/>
          <w:szCs w:val="24"/>
          <w:shd w:val="clear" w:color="auto" w:fill="FFFFFF"/>
        </w:rPr>
        <w:t xml:space="preserve">Eng, L.L., Lin, J. and Neiva de Figueiredo, </w:t>
      </w:r>
      <w:proofErr w:type="gramStart"/>
      <w:r>
        <w:rPr>
          <w:rFonts w:cs="Times New Roman"/>
          <w:color w:val="222222"/>
          <w:szCs w:val="24"/>
          <w:shd w:val="clear" w:color="auto" w:fill="FFFFFF"/>
        </w:rPr>
        <w:t>J.,(</w:t>
      </w:r>
      <w:proofErr w:type="gramEnd"/>
      <w:r>
        <w:rPr>
          <w:rFonts w:cs="Times New Roman"/>
          <w:color w:val="222222"/>
          <w:szCs w:val="24"/>
          <w:shd w:val="clear" w:color="auto" w:fill="FFFFFF"/>
        </w:rPr>
        <w:t>2019). International Financial Reporting Standards adoption and information quality: evidence from Brazil. </w:t>
      </w:r>
      <w:r>
        <w:rPr>
          <w:rFonts w:cs="Times New Roman"/>
          <w:i/>
          <w:iCs/>
          <w:color w:val="222222"/>
          <w:szCs w:val="24"/>
          <w:shd w:val="clear" w:color="auto" w:fill="FFFFFF"/>
        </w:rPr>
        <w:t>Journal of International Financial Management &amp; Accounting</w:t>
      </w:r>
      <w:r>
        <w:rPr>
          <w:rFonts w:cs="Times New Roman"/>
          <w:color w:val="222222"/>
          <w:szCs w:val="24"/>
          <w:shd w:val="clear" w:color="auto" w:fill="FFFFFF"/>
        </w:rPr>
        <w:t>. </w:t>
      </w:r>
      <w:r>
        <w:rPr>
          <w:rFonts w:cs="Times New Roman"/>
          <w:iCs/>
          <w:color w:val="222222"/>
          <w:szCs w:val="24"/>
          <w:shd w:val="clear" w:color="auto" w:fill="FFFFFF"/>
        </w:rPr>
        <w:t>30</w:t>
      </w:r>
      <w:r>
        <w:rPr>
          <w:rFonts w:cs="Times New Roman"/>
          <w:color w:val="222222"/>
          <w:szCs w:val="24"/>
          <w:shd w:val="clear" w:color="auto" w:fill="FFFFFF"/>
        </w:rPr>
        <w:t>(1). pp.5-29.</w:t>
      </w:r>
    </w:p>
    <w:p w14:paraId="2DA8CFFF" w14:textId="77777777" w:rsidR="00A13DA8" w:rsidRDefault="00A13DA8" w:rsidP="00A13DA8">
      <w:pPr>
        <w:spacing w:line="240" w:lineRule="auto"/>
        <w:ind w:left="851" w:hanging="851"/>
        <w:rPr>
          <w:rFonts w:cs="Times New Roman"/>
          <w:color w:val="222222"/>
          <w:szCs w:val="24"/>
          <w:shd w:val="clear" w:color="auto" w:fill="FFFFFF"/>
        </w:rPr>
      </w:pPr>
      <w:r>
        <w:rPr>
          <w:rFonts w:cs="Times New Roman"/>
          <w:color w:val="222222"/>
          <w:szCs w:val="24"/>
          <w:shd w:val="clear" w:color="auto" w:fill="FFFFFF"/>
        </w:rPr>
        <w:t>Madura, J., (2020). </w:t>
      </w:r>
      <w:r>
        <w:rPr>
          <w:rFonts w:cs="Times New Roman"/>
          <w:i/>
          <w:iCs/>
          <w:color w:val="222222"/>
          <w:szCs w:val="24"/>
          <w:shd w:val="clear" w:color="auto" w:fill="FFFFFF"/>
        </w:rPr>
        <w:t>International financial management</w:t>
      </w:r>
      <w:r>
        <w:rPr>
          <w:rFonts w:cs="Times New Roman"/>
          <w:color w:val="222222"/>
          <w:szCs w:val="24"/>
          <w:shd w:val="clear" w:color="auto" w:fill="FFFFFF"/>
        </w:rPr>
        <w:t>. Cengage Learning.</w:t>
      </w:r>
    </w:p>
    <w:p w14:paraId="40403790" w14:textId="77777777" w:rsidR="00A13DA8" w:rsidRDefault="00A13DA8" w:rsidP="00A13DA8">
      <w:pPr>
        <w:spacing w:line="240" w:lineRule="auto"/>
        <w:ind w:left="851" w:hanging="851"/>
        <w:rPr>
          <w:rFonts w:cs="Times New Roman"/>
          <w:color w:val="222222"/>
          <w:szCs w:val="24"/>
          <w:shd w:val="clear" w:color="auto" w:fill="FFFFFF"/>
        </w:rPr>
      </w:pPr>
      <w:proofErr w:type="spellStart"/>
      <w:r>
        <w:rPr>
          <w:rFonts w:cs="Times New Roman"/>
          <w:color w:val="222222"/>
          <w:szCs w:val="24"/>
          <w:shd w:val="clear" w:color="auto" w:fill="FFFFFF"/>
        </w:rPr>
        <w:t>Mosteanu</w:t>
      </w:r>
      <w:proofErr w:type="spellEnd"/>
      <w:r>
        <w:rPr>
          <w:rFonts w:cs="Times New Roman"/>
          <w:color w:val="222222"/>
          <w:szCs w:val="24"/>
          <w:shd w:val="clear" w:color="auto" w:fill="FFFFFF"/>
        </w:rPr>
        <w:t xml:space="preserve">, N.R. and </w:t>
      </w:r>
      <w:proofErr w:type="spellStart"/>
      <w:r>
        <w:rPr>
          <w:rFonts w:cs="Times New Roman"/>
          <w:color w:val="222222"/>
          <w:szCs w:val="24"/>
          <w:shd w:val="clear" w:color="auto" w:fill="FFFFFF"/>
        </w:rPr>
        <w:t>Faccia</w:t>
      </w:r>
      <w:proofErr w:type="spellEnd"/>
      <w:r>
        <w:rPr>
          <w:rFonts w:cs="Times New Roman"/>
          <w:color w:val="222222"/>
          <w:szCs w:val="24"/>
          <w:shd w:val="clear" w:color="auto" w:fill="FFFFFF"/>
        </w:rPr>
        <w:t>, A., (2020). Digital systems and new challenges of financial management–FinTech, XBRL, blockchain and cryptocurrencies. </w:t>
      </w:r>
      <w:r>
        <w:rPr>
          <w:rFonts w:cs="Times New Roman"/>
          <w:i/>
          <w:iCs/>
          <w:color w:val="222222"/>
          <w:szCs w:val="24"/>
          <w:shd w:val="clear" w:color="auto" w:fill="FFFFFF"/>
        </w:rPr>
        <w:t>Quality–Access to Success</w:t>
      </w:r>
      <w:r>
        <w:rPr>
          <w:rFonts w:cs="Times New Roman"/>
          <w:color w:val="222222"/>
          <w:szCs w:val="24"/>
          <w:shd w:val="clear" w:color="auto" w:fill="FFFFFF"/>
        </w:rPr>
        <w:t>. </w:t>
      </w:r>
      <w:r>
        <w:rPr>
          <w:rFonts w:cs="Times New Roman"/>
          <w:iCs/>
          <w:color w:val="222222"/>
          <w:szCs w:val="24"/>
          <w:shd w:val="clear" w:color="auto" w:fill="FFFFFF"/>
        </w:rPr>
        <w:t>21</w:t>
      </w:r>
      <w:r>
        <w:rPr>
          <w:rFonts w:cs="Times New Roman"/>
          <w:color w:val="222222"/>
          <w:szCs w:val="24"/>
          <w:shd w:val="clear" w:color="auto" w:fill="FFFFFF"/>
        </w:rPr>
        <w:t>(174). pp.159-166.</w:t>
      </w:r>
    </w:p>
    <w:p w14:paraId="7AA0658D" w14:textId="77777777" w:rsidR="00A13DA8" w:rsidRDefault="00A13DA8" w:rsidP="00A13DA8">
      <w:pPr>
        <w:spacing w:line="240" w:lineRule="auto"/>
        <w:ind w:left="851" w:hanging="851"/>
        <w:rPr>
          <w:rFonts w:cs="Times New Roman"/>
          <w:color w:val="222222"/>
          <w:szCs w:val="24"/>
          <w:shd w:val="clear" w:color="auto" w:fill="FFFFFF"/>
        </w:rPr>
      </w:pPr>
      <w:r>
        <w:rPr>
          <w:rFonts w:cs="Times New Roman"/>
          <w:color w:val="222222"/>
          <w:szCs w:val="24"/>
          <w:shd w:val="clear" w:color="auto" w:fill="FFFFFF"/>
        </w:rPr>
        <w:t>Pinto, and et. al (2020). Bibliometric study on dividend policy. </w:t>
      </w:r>
      <w:r>
        <w:rPr>
          <w:rFonts w:cs="Times New Roman"/>
          <w:i/>
          <w:iCs/>
          <w:color w:val="222222"/>
          <w:szCs w:val="24"/>
          <w:shd w:val="clear" w:color="auto" w:fill="FFFFFF"/>
        </w:rPr>
        <w:t>Qualitative research in financial markets</w:t>
      </w:r>
      <w:r>
        <w:rPr>
          <w:rFonts w:cs="Times New Roman"/>
          <w:color w:val="222222"/>
          <w:szCs w:val="24"/>
          <w:shd w:val="clear" w:color="auto" w:fill="FFFFFF"/>
        </w:rPr>
        <w:t>. </w:t>
      </w:r>
      <w:r>
        <w:rPr>
          <w:rFonts w:cs="Times New Roman"/>
          <w:iCs/>
          <w:color w:val="222222"/>
          <w:szCs w:val="24"/>
          <w:shd w:val="clear" w:color="auto" w:fill="FFFFFF"/>
        </w:rPr>
        <w:t>12</w:t>
      </w:r>
      <w:r>
        <w:rPr>
          <w:rFonts w:cs="Times New Roman"/>
          <w:color w:val="222222"/>
          <w:szCs w:val="24"/>
          <w:shd w:val="clear" w:color="auto" w:fill="FFFFFF"/>
        </w:rPr>
        <w:t>(1). pp.72-95.</w:t>
      </w:r>
    </w:p>
    <w:p w14:paraId="7664D50B" w14:textId="77777777" w:rsidR="00A13DA8" w:rsidRDefault="00A13DA8" w:rsidP="00A13DA8">
      <w:pPr>
        <w:spacing w:line="240" w:lineRule="auto"/>
        <w:ind w:left="851" w:hanging="851"/>
        <w:rPr>
          <w:rFonts w:cs="Times New Roman"/>
          <w:color w:val="222222"/>
          <w:szCs w:val="24"/>
          <w:shd w:val="clear" w:color="auto" w:fill="FFFFFF"/>
        </w:rPr>
      </w:pPr>
      <w:r>
        <w:rPr>
          <w:rFonts w:cs="Times New Roman"/>
          <w:color w:val="222222"/>
          <w:szCs w:val="24"/>
          <w:shd w:val="clear" w:color="auto" w:fill="FFFFFF"/>
        </w:rPr>
        <w:t xml:space="preserve">Shapiro, A.C. and </w:t>
      </w:r>
      <w:proofErr w:type="spellStart"/>
      <w:r>
        <w:rPr>
          <w:rFonts w:cs="Times New Roman"/>
          <w:color w:val="222222"/>
          <w:szCs w:val="24"/>
          <w:shd w:val="clear" w:color="auto" w:fill="FFFFFF"/>
        </w:rPr>
        <w:t>Hanouna</w:t>
      </w:r>
      <w:proofErr w:type="spellEnd"/>
      <w:r>
        <w:rPr>
          <w:rFonts w:cs="Times New Roman"/>
          <w:color w:val="222222"/>
          <w:szCs w:val="24"/>
          <w:shd w:val="clear" w:color="auto" w:fill="FFFFFF"/>
        </w:rPr>
        <w:t xml:space="preserve">, </w:t>
      </w:r>
      <w:proofErr w:type="gramStart"/>
      <w:r>
        <w:rPr>
          <w:rFonts w:cs="Times New Roman"/>
          <w:color w:val="222222"/>
          <w:szCs w:val="24"/>
          <w:shd w:val="clear" w:color="auto" w:fill="FFFFFF"/>
        </w:rPr>
        <w:t>P.,(</w:t>
      </w:r>
      <w:proofErr w:type="gramEnd"/>
      <w:r>
        <w:rPr>
          <w:rFonts w:cs="Times New Roman"/>
          <w:color w:val="222222"/>
          <w:szCs w:val="24"/>
          <w:shd w:val="clear" w:color="auto" w:fill="FFFFFF"/>
        </w:rPr>
        <w:t>2019). </w:t>
      </w:r>
      <w:r>
        <w:rPr>
          <w:rFonts w:cs="Times New Roman"/>
          <w:i/>
          <w:iCs/>
          <w:color w:val="222222"/>
          <w:szCs w:val="24"/>
          <w:shd w:val="clear" w:color="auto" w:fill="FFFFFF"/>
        </w:rPr>
        <w:t>Multinational financial management</w:t>
      </w:r>
      <w:r>
        <w:rPr>
          <w:rFonts w:cs="Times New Roman"/>
          <w:color w:val="222222"/>
          <w:szCs w:val="24"/>
          <w:shd w:val="clear" w:color="auto" w:fill="FFFFFF"/>
        </w:rPr>
        <w:t>. John Wiley &amp; Sons.</w:t>
      </w:r>
    </w:p>
    <w:p w14:paraId="154E0CE5" w14:textId="77777777" w:rsidR="00A13DA8" w:rsidRDefault="00A13DA8" w:rsidP="00A13DA8">
      <w:pPr>
        <w:spacing w:line="240" w:lineRule="auto"/>
        <w:ind w:left="851" w:hanging="851"/>
        <w:rPr>
          <w:rFonts w:cs="Times New Roman"/>
          <w:color w:val="222222"/>
          <w:szCs w:val="24"/>
          <w:shd w:val="clear" w:color="auto" w:fill="FFFFFF"/>
        </w:rPr>
      </w:pPr>
      <w:proofErr w:type="spellStart"/>
      <w:r>
        <w:rPr>
          <w:rFonts w:cs="Times New Roman"/>
          <w:color w:val="222222"/>
          <w:szCs w:val="24"/>
          <w:shd w:val="clear" w:color="auto" w:fill="FFFFFF"/>
        </w:rPr>
        <w:t>Vernimmen</w:t>
      </w:r>
      <w:proofErr w:type="spellEnd"/>
      <w:r>
        <w:rPr>
          <w:rFonts w:cs="Times New Roman"/>
          <w:color w:val="222222"/>
          <w:szCs w:val="24"/>
          <w:shd w:val="clear" w:color="auto" w:fill="FFFFFF"/>
        </w:rPr>
        <w:t xml:space="preserve">, P., </w:t>
      </w:r>
      <w:proofErr w:type="spellStart"/>
      <w:r>
        <w:rPr>
          <w:rFonts w:cs="Times New Roman"/>
          <w:color w:val="222222"/>
          <w:szCs w:val="24"/>
          <w:shd w:val="clear" w:color="auto" w:fill="FFFFFF"/>
        </w:rPr>
        <w:t>Quiry</w:t>
      </w:r>
      <w:proofErr w:type="spellEnd"/>
      <w:r>
        <w:rPr>
          <w:rFonts w:cs="Times New Roman"/>
          <w:color w:val="222222"/>
          <w:szCs w:val="24"/>
          <w:shd w:val="clear" w:color="auto" w:fill="FFFFFF"/>
        </w:rPr>
        <w:t>, P. and Le Fur, Y., (2022). </w:t>
      </w:r>
      <w:r>
        <w:rPr>
          <w:rFonts w:cs="Times New Roman"/>
          <w:i/>
          <w:iCs/>
          <w:color w:val="222222"/>
          <w:szCs w:val="24"/>
          <w:shd w:val="clear" w:color="auto" w:fill="FFFFFF"/>
        </w:rPr>
        <w:t>Corporate finance: theory and practice</w:t>
      </w:r>
      <w:r>
        <w:rPr>
          <w:rFonts w:cs="Times New Roman"/>
          <w:color w:val="222222"/>
          <w:szCs w:val="24"/>
          <w:shd w:val="clear" w:color="auto" w:fill="FFFFFF"/>
        </w:rPr>
        <w:t>. John Wiley &amp; Sons.</w:t>
      </w:r>
    </w:p>
    <w:p w14:paraId="6E517771" w14:textId="77777777" w:rsidR="00A13DA8" w:rsidRDefault="00A13DA8" w:rsidP="00A13DA8">
      <w:pPr>
        <w:spacing w:line="240" w:lineRule="auto"/>
        <w:ind w:left="851" w:hanging="851"/>
        <w:rPr>
          <w:rFonts w:cs="Times New Roman"/>
          <w:color w:val="222222"/>
          <w:szCs w:val="24"/>
          <w:shd w:val="clear" w:color="auto" w:fill="FFFFFF"/>
        </w:rPr>
      </w:pPr>
    </w:p>
    <w:p w14:paraId="392EF7AE" w14:textId="77777777" w:rsidR="002A7112" w:rsidRDefault="002A7112"/>
    <w:sectPr w:rsidR="002A7112">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F67AB" w14:textId="77777777" w:rsidR="00C321CE" w:rsidRDefault="00C321CE" w:rsidP="00613F08">
      <w:pPr>
        <w:spacing w:after="0" w:line="240" w:lineRule="auto"/>
      </w:pPr>
      <w:r>
        <w:separator/>
      </w:r>
    </w:p>
  </w:endnote>
  <w:endnote w:type="continuationSeparator" w:id="0">
    <w:p w14:paraId="78F9D6F4" w14:textId="77777777" w:rsidR="00C321CE" w:rsidRDefault="00C321CE" w:rsidP="00613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58A91" w14:textId="77777777" w:rsidR="00613F08" w:rsidRDefault="00613F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1214725"/>
      <w:docPartObj>
        <w:docPartGallery w:val="Page Numbers (Bottom of Page)"/>
        <w:docPartUnique/>
      </w:docPartObj>
    </w:sdtPr>
    <w:sdtContent>
      <w:p w14:paraId="5B85AF3F" w14:textId="63C83350" w:rsidR="00613F08" w:rsidRDefault="00613F08">
        <w:pPr>
          <w:pStyle w:val="Footer"/>
          <w:jc w:val="right"/>
        </w:pPr>
        <w:r>
          <w:fldChar w:fldCharType="begin"/>
        </w:r>
        <w:r>
          <w:instrText>PAGE   \* MERGEFORMAT</w:instrText>
        </w:r>
        <w:r>
          <w:fldChar w:fldCharType="separate"/>
        </w:r>
        <w:r>
          <w:t>2</w:t>
        </w:r>
        <w:r>
          <w:fldChar w:fldCharType="end"/>
        </w:r>
      </w:p>
    </w:sdtContent>
  </w:sdt>
  <w:p w14:paraId="493E69DC" w14:textId="77777777" w:rsidR="00613F08" w:rsidRDefault="00613F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2E346" w14:textId="77777777" w:rsidR="00613F08" w:rsidRDefault="00613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DF2E3" w14:textId="77777777" w:rsidR="00C321CE" w:rsidRDefault="00C321CE" w:rsidP="00613F08">
      <w:pPr>
        <w:spacing w:after="0" w:line="240" w:lineRule="auto"/>
      </w:pPr>
      <w:r>
        <w:separator/>
      </w:r>
    </w:p>
  </w:footnote>
  <w:footnote w:type="continuationSeparator" w:id="0">
    <w:p w14:paraId="62F61B69" w14:textId="77777777" w:rsidR="00C321CE" w:rsidRDefault="00C321CE" w:rsidP="00613F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40B88" w14:textId="77777777" w:rsidR="00613F08" w:rsidRDefault="00613F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62D121" w14:textId="77777777" w:rsidR="00613F08" w:rsidRDefault="00613F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0BF97" w14:textId="77777777" w:rsidR="00613F08" w:rsidRDefault="00613F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8E0"/>
    <w:rsid w:val="002A7112"/>
    <w:rsid w:val="0053296B"/>
    <w:rsid w:val="00613F08"/>
    <w:rsid w:val="00A13DA8"/>
    <w:rsid w:val="00C321CE"/>
    <w:rsid w:val="00D108F5"/>
    <w:rsid w:val="00DF18E0"/>
    <w:rsid w:val="00DF2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7DB04"/>
  <w15:chartTrackingRefBased/>
  <w15:docId w15:val="{B07E59C9-3560-408A-AF18-D4F83ED39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DA8"/>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13DA8"/>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A13DA8"/>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DA8"/>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A13DA8"/>
    <w:rPr>
      <w:rFonts w:ascii="Times New Roman" w:eastAsiaTheme="majorEastAsia" w:hAnsi="Times New Roman" w:cstheme="majorBidi"/>
      <w:bCs/>
      <w:sz w:val="24"/>
      <w:szCs w:val="26"/>
      <w:u w:val="single"/>
    </w:rPr>
  </w:style>
  <w:style w:type="character" w:styleId="Hyperlink">
    <w:name w:val="Hyperlink"/>
    <w:basedOn w:val="DefaultParagraphFont"/>
    <w:uiPriority w:val="99"/>
    <w:semiHidden/>
    <w:unhideWhenUsed/>
    <w:rsid w:val="00A13DA8"/>
    <w:rPr>
      <w:color w:val="0563C1" w:themeColor="hyperlink"/>
      <w:u w:val="single"/>
    </w:rPr>
  </w:style>
  <w:style w:type="paragraph" w:styleId="TOC1">
    <w:name w:val="toc 1"/>
    <w:basedOn w:val="Normal"/>
    <w:next w:val="Normal"/>
    <w:autoRedefine/>
    <w:uiPriority w:val="39"/>
    <w:semiHidden/>
    <w:unhideWhenUsed/>
    <w:rsid w:val="00A13DA8"/>
    <w:pPr>
      <w:spacing w:after="100"/>
    </w:pPr>
  </w:style>
  <w:style w:type="paragraph" w:styleId="TOC2">
    <w:name w:val="toc 2"/>
    <w:basedOn w:val="Normal"/>
    <w:next w:val="Normal"/>
    <w:autoRedefine/>
    <w:uiPriority w:val="39"/>
    <w:semiHidden/>
    <w:unhideWhenUsed/>
    <w:rsid w:val="00A13DA8"/>
    <w:pPr>
      <w:spacing w:after="100"/>
      <w:ind w:left="240"/>
    </w:pPr>
  </w:style>
  <w:style w:type="paragraph" w:styleId="TOCHeading">
    <w:name w:val="TOC Heading"/>
    <w:basedOn w:val="Heading1"/>
    <w:next w:val="Normal"/>
    <w:uiPriority w:val="39"/>
    <w:semiHidden/>
    <w:unhideWhenUsed/>
    <w:qFormat/>
    <w:rsid w:val="00A13DA8"/>
    <w:pPr>
      <w:spacing w:line="276" w:lineRule="auto"/>
      <w:jc w:val="left"/>
      <w:outlineLvl w:val="9"/>
    </w:pPr>
    <w:rPr>
      <w:rFonts w:asciiTheme="majorHAnsi" w:hAnsiTheme="majorHAnsi"/>
      <w:color w:val="2F5496" w:themeColor="accent1" w:themeShade="BF"/>
      <w:lang w:val="en-US"/>
    </w:rPr>
  </w:style>
  <w:style w:type="paragraph" w:styleId="Header">
    <w:name w:val="header"/>
    <w:basedOn w:val="Normal"/>
    <w:link w:val="HeaderChar"/>
    <w:uiPriority w:val="99"/>
    <w:unhideWhenUsed/>
    <w:rsid w:val="00613F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F08"/>
    <w:rPr>
      <w:rFonts w:ascii="Times New Roman" w:hAnsi="Times New Roman"/>
      <w:sz w:val="24"/>
    </w:rPr>
  </w:style>
  <w:style w:type="paragraph" w:styleId="Footer">
    <w:name w:val="footer"/>
    <w:basedOn w:val="Normal"/>
    <w:link w:val="FooterChar"/>
    <w:uiPriority w:val="99"/>
    <w:unhideWhenUsed/>
    <w:rsid w:val="00613F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F0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723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Brici\Downloads\PR25364.docx"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file:///C:\Users\Brici\Downloads\PR25364.docx" TargetMode="External"/><Relationship Id="rId12" Type="http://schemas.openxmlformats.org/officeDocument/2006/relationships/hyperlink" Target="file:///C:\Users\Brici\Downloads\PR25364.docx" TargetMode="External"/><Relationship Id="rId17"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Brici\Downloads\PR25364.docx" TargetMode="External"/><Relationship Id="rId11" Type="http://schemas.openxmlformats.org/officeDocument/2006/relationships/hyperlink" Target="file:///C:\Users\Brici\Downloads\PR25364.docx"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file:///C:\Users\Brici\Downloads\PR25364.docx"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file:///C:\Users\Brici\Downloads\PR25364.docx"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8</Pages>
  <Words>1879</Words>
  <Characters>10715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Vasile-Sorin Bricioc (2030895)</dc:creator>
  <cp:keywords/>
  <dc:description/>
  <cp:lastModifiedBy>Vasile-Sorin Bricioc (2030895)</cp:lastModifiedBy>
  <cp:revision>3</cp:revision>
  <dcterms:created xsi:type="dcterms:W3CDTF">2023-08-04T11:55:00Z</dcterms:created>
  <dcterms:modified xsi:type="dcterms:W3CDTF">2023-08-04T12:37:00Z</dcterms:modified>
</cp:coreProperties>
</file>