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4791F2A" w14:textId="7E9D7B62" w:rsidR="00966419" w:rsidRPr="00572506" w:rsidRDefault="00966419" w:rsidP="00966419">
      <w:pPr>
        <w:spacing w:line="480" w:lineRule="auto"/>
        <w:rPr>
          <w:rFonts w:ascii="Times New Roman" w:hAnsi="Times New Roman" w:cs="Times New Roman"/>
        </w:rPr>
      </w:pPr>
      <w:r w:rsidRPr="00572506">
        <w:rPr>
          <w:rFonts w:ascii="Times New Roman" w:hAnsi="Times New Roman" w:cs="Times New Roman"/>
        </w:rPr>
        <w:t>Shakira Peters</w:t>
      </w:r>
    </w:p>
    <w:p w14:paraId="02468F18" w14:textId="4CD00C6A" w:rsidR="001F01DA" w:rsidRPr="00572506" w:rsidRDefault="00323DE9" w:rsidP="00966419">
      <w:pPr>
        <w:spacing w:line="480" w:lineRule="auto"/>
        <w:rPr>
          <w:rFonts w:ascii="Times New Roman" w:hAnsi="Times New Roman" w:cs="Times New Roman"/>
        </w:rPr>
      </w:pPr>
      <w:r w:rsidRPr="00572506">
        <w:rPr>
          <w:rFonts w:ascii="Times New Roman" w:hAnsi="Times New Roman" w:cs="Times New Roman"/>
        </w:rPr>
        <w:t>Essay</w:t>
      </w:r>
    </w:p>
    <w:p w14:paraId="6243B4D6" w14:textId="248D0F1A" w:rsidR="00671ECD" w:rsidRPr="00572506" w:rsidRDefault="005D3FD5" w:rsidP="00323DE9">
      <w:pPr>
        <w:spacing w:line="480" w:lineRule="auto"/>
        <w:jc w:val="both"/>
        <w:rPr>
          <w:rFonts w:ascii="Times New Roman" w:hAnsi="Times New Roman" w:cs="Times New Roman"/>
        </w:rPr>
      </w:pPr>
      <w:r w:rsidRPr="00572506">
        <w:rPr>
          <w:rFonts w:ascii="Times New Roman" w:hAnsi="Times New Roman" w:cs="Times New Roman"/>
        </w:rPr>
        <w:t xml:space="preserve">Topic: </w:t>
      </w:r>
      <w:r w:rsidR="00671ECD" w:rsidRPr="00572506">
        <w:rPr>
          <w:rFonts w:ascii="Times New Roman" w:hAnsi="Times New Roman" w:cs="Times New Roman"/>
        </w:rPr>
        <w:t>Discuss the role of humanism in the transformation of medicine during the Italian Renaissance of the 15th century, focusing on its impact on medical knowledge, education, and patient care.</w:t>
      </w:r>
    </w:p>
    <w:p w14:paraId="58FFF3BA" w14:textId="77777777" w:rsidR="005D3FD5" w:rsidRPr="00572506" w:rsidRDefault="005D3FD5" w:rsidP="00323DE9">
      <w:pPr>
        <w:spacing w:line="480" w:lineRule="auto"/>
        <w:jc w:val="both"/>
        <w:rPr>
          <w:rFonts w:ascii="Times New Roman" w:hAnsi="Times New Roman" w:cs="Times New Roman"/>
        </w:rPr>
      </w:pPr>
    </w:p>
    <w:p w14:paraId="007FE2D8" w14:textId="2852E8D0" w:rsidR="00B86613" w:rsidRDefault="008E4EDE" w:rsidP="00B86613">
      <w:pPr>
        <w:spacing w:line="480" w:lineRule="auto"/>
        <w:ind w:firstLine="720"/>
        <w:jc w:val="both"/>
        <w:rPr>
          <w:rFonts w:ascii="Times New Roman" w:hAnsi="Times New Roman" w:cs="Times New Roman"/>
        </w:rPr>
      </w:pPr>
      <w:r w:rsidRPr="00572506">
        <w:rPr>
          <w:rFonts w:ascii="Times New Roman" w:hAnsi="Times New Roman" w:cs="Times New Roman"/>
        </w:rPr>
        <w:t xml:space="preserve">This Essay </w:t>
      </w:r>
      <w:r w:rsidR="00501726" w:rsidRPr="00572506">
        <w:rPr>
          <w:rFonts w:ascii="Times New Roman" w:hAnsi="Times New Roman" w:cs="Times New Roman"/>
        </w:rPr>
        <w:t>is based on the role of humanism in the transformation of medicine during the Italian Renaissance of the 15</w:t>
      </w:r>
      <w:r w:rsidR="00501726" w:rsidRPr="00572506">
        <w:rPr>
          <w:rFonts w:ascii="Times New Roman" w:hAnsi="Times New Roman" w:cs="Times New Roman"/>
          <w:vertAlign w:val="superscript"/>
        </w:rPr>
        <w:t>th</w:t>
      </w:r>
      <w:r w:rsidR="00501726" w:rsidRPr="00572506">
        <w:rPr>
          <w:rFonts w:ascii="Times New Roman" w:hAnsi="Times New Roman" w:cs="Times New Roman"/>
        </w:rPr>
        <w:t xml:space="preserve"> century, focusing on its impact on medical knowledge, education, and patient care. </w:t>
      </w:r>
      <w:r w:rsidR="00163137" w:rsidRPr="00572506">
        <w:rPr>
          <w:rFonts w:ascii="Times New Roman" w:hAnsi="Times New Roman" w:cs="Times New Roman"/>
        </w:rPr>
        <w:t xml:space="preserve">The Italian Renaissance was a time of cultural, artistic, and intellectual prosperity in Italy from the </w:t>
      </w:r>
      <w:r w:rsidR="00DC485E" w:rsidRPr="00572506">
        <w:rPr>
          <w:rFonts w:ascii="Times New Roman" w:hAnsi="Times New Roman" w:cs="Times New Roman"/>
        </w:rPr>
        <w:t>fourteent</w:t>
      </w:r>
      <w:r w:rsidR="00163137" w:rsidRPr="00572506">
        <w:rPr>
          <w:rFonts w:ascii="Times New Roman" w:hAnsi="Times New Roman" w:cs="Times New Roman"/>
        </w:rPr>
        <w:t xml:space="preserve">h to the </w:t>
      </w:r>
      <w:r w:rsidR="00DC485E" w:rsidRPr="00572506">
        <w:rPr>
          <w:rFonts w:ascii="Times New Roman" w:hAnsi="Times New Roman" w:cs="Times New Roman"/>
        </w:rPr>
        <w:t>seventeent</w:t>
      </w:r>
      <w:r w:rsidR="00163137" w:rsidRPr="00572506">
        <w:rPr>
          <w:rFonts w:ascii="Times New Roman" w:hAnsi="Times New Roman" w:cs="Times New Roman"/>
        </w:rPr>
        <w:t>h centuries. It was a considerable shift from the mediaeval period, with a renewed interest in Greece and Rome's classical civilizations, as well as a concentration on humanism, individualism, and secularism.</w:t>
      </w:r>
      <w:r w:rsidR="000873A9">
        <w:rPr>
          <w:rStyle w:val="FootnoteReference"/>
          <w:rFonts w:ascii="Times New Roman" w:hAnsi="Times New Roman" w:cs="Times New Roman"/>
        </w:rPr>
        <w:footnoteReference w:id="1"/>
      </w:r>
      <w:r w:rsidR="005108B0" w:rsidRPr="00572506">
        <w:rPr>
          <w:rFonts w:ascii="Times New Roman" w:hAnsi="Times New Roman" w:cs="Times New Roman"/>
        </w:rPr>
        <w:t xml:space="preserve"> </w:t>
      </w:r>
      <w:r w:rsidR="00572506" w:rsidRPr="00572506">
        <w:rPr>
          <w:rFonts w:ascii="Times New Roman" w:hAnsi="Times New Roman" w:cs="Times New Roman"/>
        </w:rPr>
        <w:t xml:space="preserve">Humanism was a key part of the Italian </w:t>
      </w:r>
      <w:r w:rsidR="00572506" w:rsidRPr="00572506">
        <w:rPr>
          <w:rFonts w:ascii="Times New Roman" w:hAnsi="Times New Roman" w:cs="Times New Roman"/>
        </w:rPr>
        <w:t>Renaissance</w:t>
      </w:r>
      <w:r w:rsidR="008459DF">
        <w:rPr>
          <w:rFonts w:ascii="Times New Roman" w:hAnsi="Times New Roman" w:cs="Times New Roman"/>
        </w:rPr>
        <w:t>,</w:t>
      </w:r>
      <w:r w:rsidR="005B19C7">
        <w:rPr>
          <w:rFonts w:ascii="Times New Roman" w:hAnsi="Times New Roman" w:cs="Times New Roman"/>
        </w:rPr>
        <w:t xml:space="preserve"> it</w:t>
      </w:r>
      <w:r w:rsidR="00F473EC" w:rsidRPr="00F473EC">
        <w:rPr>
          <w:rFonts w:ascii="Times New Roman" w:hAnsi="Times New Roman" w:cs="Times New Roman"/>
        </w:rPr>
        <w:t xml:space="preserve"> is defined as a cultural movement that abandoned mediaeval scholasticism and rekindled interest in ancient Greek and Roman philosophy.</w:t>
      </w:r>
      <w:r w:rsidR="004F5285">
        <w:rPr>
          <w:rStyle w:val="FootnoteReference"/>
          <w:rFonts w:ascii="Times New Roman" w:hAnsi="Times New Roman" w:cs="Times New Roman"/>
        </w:rPr>
        <w:footnoteReference w:id="2"/>
      </w:r>
      <w:r w:rsidR="00FE2971">
        <w:rPr>
          <w:rFonts w:ascii="Times New Roman" w:hAnsi="Times New Roman" w:cs="Times New Roman"/>
        </w:rPr>
        <w:t>Humanism was the Renaissances cultural and intellectual movement</w:t>
      </w:r>
      <w:r w:rsidR="00572506" w:rsidRPr="00572506">
        <w:rPr>
          <w:rFonts w:ascii="Times New Roman" w:hAnsi="Times New Roman" w:cs="Times New Roman"/>
        </w:rPr>
        <w:t>, emphasising the study of classical classics as well as human potential and achievement. Humanists aimed to recreate the knowledge of ancient Greece and Rome, particularly in literature, philosophy, and history.</w:t>
      </w:r>
      <w:r w:rsidR="00CF7AF6">
        <w:rPr>
          <w:rStyle w:val="FootnoteReference"/>
          <w:rFonts w:ascii="Times New Roman" w:hAnsi="Times New Roman" w:cs="Times New Roman"/>
        </w:rPr>
        <w:footnoteReference w:id="3"/>
      </w:r>
      <w:r w:rsidR="00A7536F" w:rsidRPr="00A7536F">
        <w:rPr>
          <w:rFonts w:ascii="Times New Roman" w:hAnsi="Times New Roman" w:cs="Times New Roman"/>
        </w:rPr>
        <w:t>Humanism was crucial in transforming medicine throughout the 15th century Italian Renaissance, influencing medical knowledge, education, and patient care.</w:t>
      </w:r>
    </w:p>
    <w:p w14:paraId="4C6991E7" w14:textId="0F2975FE" w:rsidR="007B3E9B" w:rsidRDefault="00FC520B" w:rsidP="003A4032">
      <w:pPr>
        <w:spacing w:line="480" w:lineRule="auto"/>
        <w:ind w:firstLine="720"/>
        <w:jc w:val="both"/>
        <w:rPr>
          <w:rFonts w:ascii="Times New Roman" w:hAnsi="Times New Roman" w:cs="Times New Roman"/>
        </w:rPr>
      </w:pPr>
      <w:r w:rsidRPr="00FC520B">
        <w:rPr>
          <w:rFonts w:ascii="Times New Roman" w:hAnsi="Times New Roman" w:cs="Times New Roman"/>
        </w:rPr>
        <w:t xml:space="preserve">Humanism had a substantial impact on the improvement of medical knowledge during the Renaissance, including the resurrection of Classical books and expertise by Renaissance </w:t>
      </w:r>
      <w:r w:rsidRPr="00FC520B">
        <w:rPr>
          <w:rFonts w:ascii="Times New Roman" w:hAnsi="Times New Roman" w:cs="Times New Roman"/>
        </w:rPr>
        <w:lastRenderedPageBreak/>
        <w:t xml:space="preserve">scholars, an emphasis on observation and experimentation, and advances in anatomy and understanding of the human body. </w:t>
      </w:r>
      <w:r w:rsidR="00EB69B2" w:rsidRPr="00EB69B2">
        <w:rPr>
          <w:rFonts w:ascii="Times New Roman" w:hAnsi="Times New Roman" w:cs="Times New Roman"/>
        </w:rPr>
        <w:t>Humanism established the groundwork for modern medicine and the subsequent scientific revolution by fostering the resuscitation of ancient writings, combining art and anatomy, revamping medical education, and pushing for patient-</w:t>
      </w:r>
      <w:r w:rsidR="00EB69B2" w:rsidRPr="00EB69B2">
        <w:rPr>
          <w:rFonts w:ascii="Times New Roman" w:hAnsi="Times New Roman" w:cs="Times New Roman"/>
        </w:rPr>
        <w:t>centred</w:t>
      </w:r>
      <w:r w:rsidR="00EB69B2" w:rsidRPr="00EB69B2">
        <w:rPr>
          <w:rFonts w:ascii="Times New Roman" w:hAnsi="Times New Roman" w:cs="Times New Roman"/>
        </w:rPr>
        <w:t xml:space="preserve"> treatment.</w:t>
      </w:r>
      <w:r w:rsidR="00B534E4" w:rsidRPr="00B534E4">
        <w:t xml:space="preserve"> </w:t>
      </w:r>
      <w:r w:rsidR="00B534E4" w:rsidRPr="00B534E4">
        <w:rPr>
          <w:rFonts w:ascii="Times New Roman" w:hAnsi="Times New Roman" w:cs="Times New Roman"/>
        </w:rPr>
        <w:t xml:space="preserve">Humanists in the Renaissance were committed to rediscovering and translating classical Greek and Roman works, notably those pertaining to medicine. This sparked a revived interest in the works of ancient medical academics including Hippocrates, Galen, and </w:t>
      </w:r>
      <w:r w:rsidR="00974C1F" w:rsidRPr="00A22C81">
        <w:rPr>
          <w:rFonts w:ascii="Times New Roman" w:hAnsi="Times New Roman" w:cs="Times New Roman"/>
        </w:rPr>
        <w:t>Dioscorides</w:t>
      </w:r>
      <w:r w:rsidR="00B534E4" w:rsidRPr="00B534E4">
        <w:rPr>
          <w:rFonts w:ascii="Times New Roman" w:hAnsi="Times New Roman" w:cs="Times New Roman"/>
        </w:rPr>
        <w:t>. Their writings were the foundation of medical education and practice at the time.</w:t>
      </w:r>
      <w:r w:rsidR="00A613EF" w:rsidRPr="00A613EF">
        <w:rPr>
          <w:rFonts w:ascii="Times New Roman" w:hAnsi="Times New Roman" w:cs="Times New Roman"/>
        </w:rPr>
        <w:t xml:space="preserve"> </w:t>
      </w:r>
      <w:r w:rsidR="00A613EF" w:rsidRPr="00111713">
        <w:rPr>
          <w:rFonts w:ascii="Times New Roman" w:hAnsi="Times New Roman" w:cs="Times New Roman"/>
        </w:rPr>
        <w:t>Physicians began to depend less on ancient beliefs and superstitions and more on thorough observation of patients and the surrounding environment. This transition paved the way for the advancement of current scientific procedures in medicine.</w:t>
      </w:r>
      <w:r w:rsidR="00681CC4">
        <w:rPr>
          <w:rStyle w:val="FootnoteReference"/>
          <w:rFonts w:ascii="Times New Roman" w:hAnsi="Times New Roman" w:cs="Times New Roman"/>
        </w:rPr>
        <w:footnoteReference w:id="4"/>
      </w:r>
      <w:r w:rsidR="00F103B8" w:rsidRPr="00B56873">
        <w:rPr>
          <w:rFonts w:ascii="Times New Roman" w:hAnsi="Times New Roman" w:cs="Times New Roman"/>
        </w:rPr>
        <w:t xml:space="preserve"> </w:t>
      </w:r>
    </w:p>
    <w:p w14:paraId="1399427E" w14:textId="732DDA29" w:rsidR="00174B0F" w:rsidRDefault="00174B0F" w:rsidP="00330612">
      <w:pPr>
        <w:spacing w:line="480" w:lineRule="auto"/>
        <w:ind w:firstLine="720"/>
        <w:jc w:val="both"/>
        <w:rPr>
          <w:rFonts w:ascii="Times New Roman" w:hAnsi="Times New Roman" w:cs="Times New Roman"/>
        </w:rPr>
      </w:pPr>
      <w:r w:rsidRPr="003D6C36">
        <w:rPr>
          <w:rFonts w:ascii="Times New Roman" w:hAnsi="Times New Roman" w:cs="Times New Roman"/>
        </w:rPr>
        <w:t xml:space="preserve">The Renaissance period saw a tremendous transition in medical education, laying the groundwork for modern medical school. </w:t>
      </w:r>
      <w:r>
        <w:rPr>
          <w:rFonts w:ascii="Times New Roman" w:hAnsi="Times New Roman" w:cs="Times New Roman"/>
        </w:rPr>
        <w:t>During this time, there was a t</w:t>
      </w:r>
      <w:r w:rsidRPr="003D6C36">
        <w:rPr>
          <w:rFonts w:ascii="Times New Roman" w:hAnsi="Times New Roman" w:cs="Times New Roman"/>
        </w:rPr>
        <w:t>ransition from Apprenticeship to Formal Education</w:t>
      </w:r>
      <w:r>
        <w:rPr>
          <w:rFonts w:ascii="Times New Roman" w:hAnsi="Times New Roman" w:cs="Times New Roman"/>
        </w:rPr>
        <w:t>,</w:t>
      </w:r>
      <w:r w:rsidRPr="003D6C36">
        <w:rPr>
          <w:rFonts w:ascii="Times New Roman" w:hAnsi="Times New Roman" w:cs="Times New Roman"/>
        </w:rPr>
        <w:t xml:space="preserve"> Prior to the Renaissance, medical education was predominantly in the form of apprenticeships, in which aspiring physicians learnt through direct observation and hands-on experience with practicing physicians. However, during the Renaissance, there was an increasing awareness of the need for more regulated and systematic medical education.</w:t>
      </w:r>
      <w:r>
        <w:rPr>
          <w:rFonts w:ascii="Times New Roman" w:hAnsi="Times New Roman" w:cs="Times New Roman"/>
        </w:rPr>
        <w:t xml:space="preserve"> </w:t>
      </w:r>
      <w:r w:rsidRPr="00C10944">
        <w:rPr>
          <w:rFonts w:ascii="Times New Roman" w:hAnsi="Times New Roman" w:cs="Times New Roman"/>
        </w:rPr>
        <w:t>The Renaissance witnessed the founding of colleges and medical institutions all over Europe, when official medical education programmes were formed. These institutes offered a more structured curriculum, which included lectures, dissections, and clinical training. The University of Padua in Italy, founded in 1222, rose to prominence as a centre of medical education during this period, attracting students and academics from across Europe.</w:t>
      </w:r>
      <w:r w:rsidR="007611D5">
        <w:t xml:space="preserve"> </w:t>
      </w:r>
      <w:r w:rsidR="007611D5" w:rsidRPr="00C76678">
        <w:rPr>
          <w:rFonts w:ascii="Times New Roman" w:hAnsi="Times New Roman" w:cs="Times New Roman"/>
        </w:rPr>
        <w:t xml:space="preserve">These institutes prioritised the study of classical classics, anatomy, and clinical </w:t>
      </w:r>
      <w:r w:rsidR="007611D5" w:rsidRPr="00C76678">
        <w:rPr>
          <w:rFonts w:ascii="Times New Roman" w:hAnsi="Times New Roman" w:cs="Times New Roman"/>
        </w:rPr>
        <w:lastRenderedPageBreak/>
        <w:t xml:space="preserve">observation. </w:t>
      </w:r>
      <w:r w:rsidR="004711E5" w:rsidRPr="004711E5">
        <w:rPr>
          <w:rFonts w:ascii="Times New Roman" w:hAnsi="Times New Roman" w:cs="Times New Roman"/>
        </w:rPr>
        <w:t xml:space="preserve">In the sixteenth century, </w:t>
      </w:r>
      <w:r w:rsidR="00BE12DC" w:rsidRPr="004711E5">
        <w:rPr>
          <w:rFonts w:ascii="Times New Roman" w:hAnsi="Times New Roman" w:cs="Times New Roman"/>
        </w:rPr>
        <w:t>after</w:t>
      </w:r>
      <w:r w:rsidR="004711E5" w:rsidRPr="004711E5">
        <w:rPr>
          <w:rFonts w:ascii="Times New Roman" w:hAnsi="Times New Roman" w:cs="Times New Roman"/>
        </w:rPr>
        <w:t xml:space="preserve"> earning a master's degree</w:t>
      </w:r>
      <w:r w:rsidR="00BE12DC">
        <w:rPr>
          <w:rFonts w:ascii="Times New Roman" w:hAnsi="Times New Roman" w:cs="Times New Roman"/>
        </w:rPr>
        <w:t xml:space="preserve">, </w:t>
      </w:r>
      <w:r w:rsidR="004711E5" w:rsidRPr="004711E5">
        <w:rPr>
          <w:rFonts w:ascii="Times New Roman" w:hAnsi="Times New Roman" w:cs="Times New Roman"/>
        </w:rPr>
        <w:t>many non-Italian students moved on to pursue a doctorate in medicine</w:t>
      </w:r>
      <w:r w:rsidR="00BE12DC">
        <w:rPr>
          <w:rFonts w:ascii="Times New Roman" w:hAnsi="Times New Roman" w:cs="Times New Roman"/>
        </w:rPr>
        <w:t>.</w:t>
      </w:r>
      <w:r w:rsidR="004711E5" w:rsidRPr="004711E5">
        <w:rPr>
          <w:rFonts w:ascii="Times New Roman" w:hAnsi="Times New Roman" w:cs="Times New Roman"/>
        </w:rPr>
        <w:t xml:space="preserve"> Despite</w:t>
      </w:r>
      <w:r w:rsidR="00BE12DC" w:rsidRPr="00BE12DC">
        <w:rPr>
          <w:rFonts w:ascii="Times New Roman" w:hAnsi="Times New Roman" w:cs="Times New Roman"/>
        </w:rPr>
        <w:t xml:space="preserve"> </w:t>
      </w:r>
      <w:r w:rsidR="00BE12DC" w:rsidRPr="00C10944">
        <w:rPr>
          <w:rFonts w:ascii="Times New Roman" w:hAnsi="Times New Roman" w:cs="Times New Roman"/>
        </w:rPr>
        <w:t>The University of Padua</w:t>
      </w:r>
      <w:r w:rsidR="004711E5" w:rsidRPr="004711E5">
        <w:rPr>
          <w:rFonts w:ascii="Times New Roman" w:hAnsi="Times New Roman" w:cs="Times New Roman"/>
        </w:rPr>
        <w:t xml:space="preserve"> being a Catholic university, it did not enforce religious restrictions, favouring Protestant students from England and Germany. The socioeconomic and political factors that caused the University of Padua to become</w:t>
      </w:r>
      <w:r w:rsidR="00BC0B96">
        <w:rPr>
          <w:rFonts w:ascii="Times New Roman" w:hAnsi="Times New Roman" w:cs="Times New Roman"/>
        </w:rPr>
        <w:t xml:space="preserve"> </w:t>
      </w:r>
      <w:r w:rsidR="007E46D2">
        <w:rPr>
          <w:rFonts w:ascii="Times New Roman" w:hAnsi="Times New Roman" w:cs="Times New Roman"/>
        </w:rPr>
        <w:t xml:space="preserve">Europe’s top teaching </w:t>
      </w:r>
      <w:r w:rsidR="00F516E7">
        <w:rPr>
          <w:rFonts w:ascii="Times New Roman" w:hAnsi="Times New Roman" w:cs="Times New Roman"/>
        </w:rPr>
        <w:t>centres</w:t>
      </w:r>
      <w:r w:rsidR="007E46D2">
        <w:rPr>
          <w:rFonts w:ascii="Times New Roman" w:hAnsi="Times New Roman" w:cs="Times New Roman"/>
        </w:rPr>
        <w:t xml:space="preserve"> </w:t>
      </w:r>
      <w:r w:rsidR="007E46D2">
        <w:rPr>
          <w:rFonts w:ascii="Times New Roman" w:hAnsi="Times New Roman" w:cs="Times New Roman"/>
        </w:rPr>
        <w:t>in the</w:t>
      </w:r>
      <w:r w:rsidR="007E46D2">
        <w:rPr>
          <w:rFonts w:ascii="Times New Roman" w:hAnsi="Times New Roman" w:cs="Times New Roman"/>
        </w:rPr>
        <w:t xml:space="preserve"> fifteenth and sixteenth </w:t>
      </w:r>
      <w:r w:rsidR="004711E5" w:rsidRPr="004711E5">
        <w:rPr>
          <w:rFonts w:ascii="Times New Roman" w:hAnsi="Times New Roman" w:cs="Times New Roman"/>
        </w:rPr>
        <w:t>centuries</w:t>
      </w:r>
      <w:r w:rsidR="00BE12DC">
        <w:rPr>
          <w:rFonts w:ascii="Times New Roman" w:hAnsi="Times New Roman" w:cs="Times New Roman"/>
        </w:rPr>
        <w:t>.</w:t>
      </w:r>
      <w:r w:rsidR="00925283">
        <w:rPr>
          <w:rStyle w:val="FootnoteReference"/>
          <w:rFonts w:ascii="Times New Roman" w:hAnsi="Times New Roman" w:cs="Times New Roman"/>
        </w:rPr>
        <w:footnoteReference w:id="5"/>
      </w:r>
      <w:r w:rsidRPr="00E00625">
        <w:rPr>
          <w:rFonts w:ascii="Times New Roman" w:hAnsi="Times New Roman" w:cs="Times New Roman"/>
        </w:rPr>
        <w:t xml:space="preserve"> Professionalisation in</w:t>
      </w:r>
      <w:r w:rsidR="004711E5">
        <w:rPr>
          <w:rFonts w:ascii="Times New Roman" w:hAnsi="Times New Roman" w:cs="Times New Roman"/>
        </w:rPr>
        <w:t xml:space="preserve"> </w:t>
      </w:r>
      <w:r w:rsidRPr="00E00625">
        <w:rPr>
          <w:rFonts w:ascii="Times New Roman" w:hAnsi="Times New Roman" w:cs="Times New Roman"/>
        </w:rPr>
        <w:t>Medical education underwent a shift throughout the Renaissance, which helped to professionalise medicine as a distinct subject. Medical schools created training and certification criteria, which contributed to the standardisation of medical practice and the establishment of physician credentials.</w:t>
      </w:r>
      <w:r>
        <w:rPr>
          <w:rStyle w:val="FootnoteReference"/>
          <w:rFonts w:ascii="Times New Roman" w:hAnsi="Times New Roman" w:cs="Times New Roman"/>
        </w:rPr>
        <w:footnoteReference w:id="6"/>
      </w:r>
    </w:p>
    <w:p w14:paraId="20BD6A44" w14:textId="24176FB6" w:rsidR="00974C1F" w:rsidRDefault="000B6721" w:rsidP="0092437D">
      <w:pPr>
        <w:spacing w:line="480" w:lineRule="auto"/>
        <w:ind w:firstLine="720"/>
        <w:jc w:val="both"/>
        <w:rPr>
          <w:rFonts w:ascii="Times New Roman" w:hAnsi="Times New Roman" w:cs="Times New Roman"/>
        </w:rPr>
      </w:pPr>
      <w:r w:rsidRPr="00F07E0A">
        <w:rPr>
          <w:rFonts w:ascii="Times New Roman" w:hAnsi="Times New Roman" w:cs="Times New Roman"/>
        </w:rPr>
        <w:t>Humanist</w:t>
      </w:r>
      <w:r w:rsidR="00F07E0A" w:rsidRPr="00F07E0A">
        <w:rPr>
          <w:rFonts w:ascii="Times New Roman" w:hAnsi="Times New Roman" w:cs="Times New Roman"/>
        </w:rPr>
        <w:t xml:space="preserve"> physicians, driven by classical principles of human dignity and individualism, emphasised the value of compassionate treatment and patient-</w:t>
      </w:r>
      <w:r w:rsidR="005D1CB2" w:rsidRPr="00F07E0A">
        <w:rPr>
          <w:rFonts w:ascii="Times New Roman" w:hAnsi="Times New Roman" w:cs="Times New Roman"/>
        </w:rPr>
        <w:t>centred</w:t>
      </w:r>
      <w:r w:rsidR="00F07E0A" w:rsidRPr="00F07E0A">
        <w:rPr>
          <w:rFonts w:ascii="Times New Roman" w:hAnsi="Times New Roman" w:cs="Times New Roman"/>
        </w:rPr>
        <w:t xml:space="preserve"> medicine. They emphasised a holistic approach to health that </w:t>
      </w:r>
      <w:r w:rsidR="005D1CB2" w:rsidRPr="00F07E0A">
        <w:rPr>
          <w:rFonts w:ascii="Times New Roman" w:hAnsi="Times New Roman" w:cs="Times New Roman"/>
        </w:rPr>
        <w:t>considered</w:t>
      </w:r>
      <w:r w:rsidR="00F07E0A" w:rsidRPr="00F07E0A">
        <w:rPr>
          <w:rFonts w:ascii="Times New Roman" w:hAnsi="Times New Roman" w:cs="Times New Roman"/>
        </w:rPr>
        <w:t xml:space="preserve"> their patients' physical, emotional, and spiritual well-being. </w:t>
      </w:r>
      <w:r w:rsidR="003221A8" w:rsidRPr="003221A8">
        <w:rPr>
          <w:rFonts w:ascii="Times New Roman" w:hAnsi="Times New Roman" w:cs="Times New Roman"/>
        </w:rPr>
        <w:t>Holistic medicine is an attitude towards health care, not a specific set of treatments. It considers the psychological, familial, societal, ethical, spiritual, and biological aspects of health and illness.</w:t>
      </w:r>
      <w:r w:rsidR="00102222" w:rsidRPr="00102222">
        <w:t xml:space="preserve"> </w:t>
      </w:r>
      <w:r w:rsidR="00102222" w:rsidRPr="00102222">
        <w:rPr>
          <w:rFonts w:ascii="Times New Roman" w:hAnsi="Times New Roman" w:cs="Times New Roman"/>
        </w:rPr>
        <w:t xml:space="preserve">The holistic approach to healthcare emphasizes individuality, mutual doctor-patient relationships, and individual responsibility for healthcare. However, holism has faced criticism for comparing it to specific therapeutic methods, neglecting public health for individual responsibility, and rejecting the scientific method. </w:t>
      </w:r>
      <w:r w:rsidR="00492DA2">
        <w:rPr>
          <w:rFonts w:ascii="Times New Roman" w:hAnsi="Times New Roman" w:cs="Times New Roman"/>
        </w:rPr>
        <w:t>It was highlighted that f</w:t>
      </w:r>
      <w:r w:rsidR="00102222" w:rsidRPr="00102222">
        <w:rPr>
          <w:rFonts w:ascii="Times New Roman" w:hAnsi="Times New Roman" w:cs="Times New Roman"/>
        </w:rPr>
        <w:t>uture orthodox and alternative approaches must be seen as complementary parts of a larger synthesis that truly deserves the name of holism. This synthesis should be a synthesis that respects individuality and societal responsibility.</w:t>
      </w:r>
      <w:r w:rsidR="0071748B">
        <w:rPr>
          <w:rStyle w:val="FootnoteReference"/>
          <w:rFonts w:ascii="Times New Roman" w:hAnsi="Times New Roman" w:cs="Times New Roman"/>
        </w:rPr>
        <w:footnoteReference w:id="7"/>
      </w:r>
      <w:r w:rsidR="0092437D">
        <w:rPr>
          <w:rFonts w:ascii="Times New Roman" w:hAnsi="Times New Roman" w:cs="Times New Roman"/>
        </w:rPr>
        <w:t xml:space="preserve"> </w:t>
      </w:r>
      <w:r w:rsidR="00F07E0A" w:rsidRPr="00F07E0A">
        <w:rPr>
          <w:rFonts w:ascii="Times New Roman" w:hAnsi="Times New Roman" w:cs="Times New Roman"/>
        </w:rPr>
        <w:t xml:space="preserve">Humanist physicians have </w:t>
      </w:r>
      <w:r w:rsidR="00F07E0A" w:rsidRPr="00F07E0A">
        <w:rPr>
          <w:rFonts w:ascii="Times New Roman" w:hAnsi="Times New Roman" w:cs="Times New Roman"/>
        </w:rPr>
        <w:lastRenderedPageBreak/>
        <w:t xml:space="preserve">played an important role in confronting medical </w:t>
      </w:r>
      <w:r w:rsidR="00644E74">
        <w:rPr>
          <w:rFonts w:ascii="Times New Roman" w:hAnsi="Times New Roman" w:cs="Times New Roman"/>
        </w:rPr>
        <w:t>principle</w:t>
      </w:r>
      <w:r w:rsidR="00F07E0A" w:rsidRPr="00F07E0A">
        <w:rPr>
          <w:rFonts w:ascii="Times New Roman" w:hAnsi="Times New Roman" w:cs="Times New Roman"/>
        </w:rPr>
        <w:t xml:space="preserve"> and superstition, pushing for evidence-based procedures and medical ethics.</w:t>
      </w:r>
      <w:r w:rsidR="00F103B8" w:rsidRPr="00F103B8">
        <w:rPr>
          <w:rStyle w:val="FootnoteReference"/>
          <w:rFonts w:ascii="Times New Roman" w:hAnsi="Times New Roman" w:cs="Times New Roman"/>
        </w:rPr>
        <w:t xml:space="preserve"> </w:t>
      </w:r>
      <w:r w:rsidR="00F103B8">
        <w:rPr>
          <w:rStyle w:val="FootnoteReference"/>
          <w:rFonts w:ascii="Times New Roman" w:hAnsi="Times New Roman" w:cs="Times New Roman"/>
        </w:rPr>
        <w:footnoteReference w:id="8"/>
      </w:r>
    </w:p>
    <w:p w14:paraId="285937E3" w14:textId="4D8CBDD1" w:rsidR="005D77C9" w:rsidRDefault="005D77C9" w:rsidP="005D77C9">
      <w:pPr>
        <w:spacing w:line="480" w:lineRule="auto"/>
        <w:ind w:firstLine="720"/>
        <w:jc w:val="both"/>
        <w:rPr>
          <w:rFonts w:ascii="Times New Roman" w:hAnsi="Times New Roman" w:cs="Times New Roman"/>
        </w:rPr>
      </w:pPr>
      <w:r w:rsidRPr="00B56873">
        <w:rPr>
          <w:rFonts w:ascii="Times New Roman" w:hAnsi="Times New Roman" w:cs="Times New Roman"/>
        </w:rPr>
        <w:t>Renaissance artists</w:t>
      </w:r>
      <w:r w:rsidR="0019655F">
        <w:rPr>
          <w:rFonts w:ascii="Times New Roman" w:hAnsi="Times New Roman" w:cs="Times New Roman"/>
        </w:rPr>
        <w:t xml:space="preserve"> were </w:t>
      </w:r>
      <w:r w:rsidRPr="00B56873">
        <w:rPr>
          <w:rFonts w:ascii="Times New Roman" w:hAnsi="Times New Roman" w:cs="Times New Roman"/>
        </w:rPr>
        <w:t>driven by humanist ideals of beauty and dignity, created realistic anatomical drawings and sculptures. These anatomical works, such as those of Leonardo da Vinci and Andreas Vesalius, revolutionised artistic skills while also contributing to medical knowledge by presenting precise portrayals of human anatomy.</w:t>
      </w:r>
      <w:r w:rsidRPr="00754902">
        <w:t xml:space="preserve"> </w:t>
      </w:r>
      <w:r w:rsidRPr="00754902">
        <w:rPr>
          <w:rFonts w:ascii="Times New Roman" w:hAnsi="Times New Roman" w:cs="Times New Roman"/>
        </w:rPr>
        <w:t xml:space="preserve">Vesalius was renowned for his direct observation and hands-on dissection procedures, which he used to remedy errors in prior anatomical publications. He performed countless dissections himself, frequently in public, to demonstrate his discoveries. Vesalius' </w:t>
      </w:r>
      <w:r w:rsidR="0019655F" w:rsidRPr="00754902">
        <w:rPr>
          <w:rFonts w:ascii="Times New Roman" w:hAnsi="Times New Roman" w:cs="Times New Roman"/>
        </w:rPr>
        <w:t>work</w:t>
      </w:r>
      <w:r w:rsidRPr="00754902">
        <w:rPr>
          <w:rFonts w:ascii="Times New Roman" w:hAnsi="Times New Roman" w:cs="Times New Roman"/>
        </w:rPr>
        <w:t>, "De Humani Corporis Fabrica," had precise pictures of human anatomy that far beyond the crude drawings found in prior anatomical textbooks. He also disputed Galen's anatomical beliefs, pointing out inconsistencies between his depictions and the actual anatomy of the human body. Vesalius' work greatly increased understanding of skeletal anatomy by offering thorough descriptions and pictures that became standard references for anatomists. His findings had practical consequences for surgical practice, assisting surgeons in improving their techniques and lowering the likelihood of problems during surgeries.</w:t>
      </w:r>
      <w:r>
        <w:rPr>
          <w:rStyle w:val="FootnoteReference"/>
          <w:rFonts w:ascii="Times New Roman" w:hAnsi="Times New Roman" w:cs="Times New Roman"/>
        </w:rPr>
        <w:footnoteReference w:id="9"/>
      </w:r>
      <w:r w:rsidRPr="00C76678">
        <w:rPr>
          <w:rFonts w:ascii="Times New Roman" w:hAnsi="Times New Roman" w:cs="Times New Roman"/>
        </w:rPr>
        <w:t xml:space="preserve"> </w:t>
      </w:r>
    </w:p>
    <w:p w14:paraId="041803DF" w14:textId="4DDDD674" w:rsidR="005D77C9" w:rsidRDefault="005D77C9" w:rsidP="005D77C9">
      <w:pPr>
        <w:spacing w:line="480" w:lineRule="auto"/>
        <w:ind w:firstLine="720"/>
        <w:jc w:val="both"/>
        <w:rPr>
          <w:rFonts w:ascii="Times New Roman" w:hAnsi="Times New Roman" w:cs="Times New Roman"/>
        </w:rPr>
      </w:pPr>
      <w:r w:rsidRPr="00C446A6">
        <w:rPr>
          <w:rFonts w:ascii="Times New Roman" w:hAnsi="Times New Roman" w:cs="Times New Roman"/>
        </w:rPr>
        <w:t xml:space="preserve">Leonardo da Vinci was a Renaissance artist and anatomist who pioneered the study of anatomy. His interest in human anatomy led him to conduct extensive dissections of cadavers, producing comprehensive anatomical drawings and notes that were ahead of their time. His approach to anatomy blended artistic ability with scientific inquiry, resulting in accurate renderings of the human body and a thorough understanding of anatomical structure and function. His most well-known sketches are the Vitruvian Man and the study of the human </w:t>
      </w:r>
      <w:r w:rsidRPr="00C446A6">
        <w:rPr>
          <w:rFonts w:ascii="Times New Roman" w:hAnsi="Times New Roman" w:cs="Times New Roman"/>
        </w:rPr>
        <w:lastRenderedPageBreak/>
        <w:t>skull. Despite a lack of formal medical training and access to contemporary technologies, da Vinci's anatomical observations were astonishingly accurate, revealing the anatomy and function of the heart, the human circulatory system, as well as different organs and muscles. His thorough documenting of his discoveries, including</w:t>
      </w:r>
      <w:r>
        <w:rPr>
          <w:rFonts w:ascii="Times New Roman" w:hAnsi="Times New Roman" w:cs="Times New Roman"/>
        </w:rPr>
        <w:t xml:space="preserve"> a</w:t>
      </w:r>
      <w:r w:rsidRPr="00B01FDE">
        <w:rPr>
          <w:rFonts w:ascii="Times New Roman" w:hAnsi="Times New Roman" w:cs="Times New Roman"/>
        </w:rPr>
        <w:t>natomists, medics, and artists now have access to essential materials on topics ranging from the skeletal system to the nervous system.</w:t>
      </w:r>
      <w:r>
        <w:rPr>
          <w:rStyle w:val="FootnoteReference"/>
          <w:rFonts w:ascii="Times New Roman" w:hAnsi="Times New Roman" w:cs="Times New Roman"/>
        </w:rPr>
        <w:footnoteReference w:id="10"/>
      </w:r>
    </w:p>
    <w:p w14:paraId="7594EC98" w14:textId="77777777" w:rsidR="00AA672E" w:rsidRDefault="00D10B02" w:rsidP="0029184C">
      <w:pPr>
        <w:spacing w:line="480" w:lineRule="auto"/>
        <w:ind w:firstLine="720"/>
        <w:jc w:val="both"/>
      </w:pPr>
      <w:r w:rsidRPr="00B95DA7">
        <w:rPr>
          <w:rFonts w:ascii="Times New Roman" w:hAnsi="Times New Roman" w:cs="Times New Roman"/>
        </w:rPr>
        <w:t>Physicians like Niccolò Leoniceno and Girolamo Fracastoro advocated for a hands-on approach, ensuring future physicians were well-prepared to apply their knowledge in clinical settings, transforming medical education.</w:t>
      </w:r>
      <w:r>
        <w:rPr>
          <w:rFonts w:ascii="Times New Roman" w:hAnsi="Times New Roman" w:cs="Times New Roman"/>
        </w:rPr>
        <w:t xml:space="preserve"> </w:t>
      </w:r>
      <w:r w:rsidR="003E7E76" w:rsidRPr="003E7E76">
        <w:rPr>
          <w:rFonts w:ascii="Times New Roman" w:hAnsi="Times New Roman" w:cs="Times New Roman"/>
        </w:rPr>
        <w:t>During the Renaissance, Niccolò Leoniceno</w:t>
      </w:r>
      <w:r w:rsidR="003E7E76">
        <w:rPr>
          <w:rFonts w:ascii="Times New Roman" w:hAnsi="Times New Roman" w:cs="Times New Roman"/>
        </w:rPr>
        <w:t xml:space="preserve"> </w:t>
      </w:r>
      <w:r w:rsidR="003E7E76" w:rsidRPr="003E7E76">
        <w:rPr>
          <w:rFonts w:ascii="Times New Roman" w:hAnsi="Times New Roman" w:cs="Times New Roman"/>
        </w:rPr>
        <w:t>made great contributions in medicine and philology. He criticised naive faith in ancient authorities and pushed for a hands-on approach to medical education and practice. Leoniceno's used his empirical method to epidemic research, emphasising the necessity of observation and data collection in understanding illness causes and propagation. During the Renaissance, there was an increase in empirical observation, anatomical dissection, and clinical experience. Leoniceno's efforts aided in closing the gap between theory and practice in medicine, resulting in advances in medical education and the creation of evidence-based medical procedures. His writings</w:t>
      </w:r>
      <w:r w:rsidR="00546896">
        <w:rPr>
          <w:rFonts w:ascii="Times New Roman" w:hAnsi="Times New Roman" w:cs="Times New Roman"/>
        </w:rPr>
        <w:t xml:space="preserve"> </w:t>
      </w:r>
      <w:r w:rsidR="003E7E76" w:rsidRPr="003E7E76">
        <w:rPr>
          <w:rFonts w:ascii="Times New Roman" w:hAnsi="Times New Roman" w:cs="Times New Roman"/>
        </w:rPr>
        <w:t>represented the growing interest in empirical observation and clinical practice in humanist medicine.</w:t>
      </w:r>
      <w:r w:rsidR="00F658BD">
        <w:rPr>
          <w:rStyle w:val="FootnoteReference"/>
          <w:rFonts w:ascii="Times New Roman" w:hAnsi="Times New Roman" w:cs="Times New Roman"/>
        </w:rPr>
        <w:footnoteReference w:id="11"/>
      </w:r>
      <w:r w:rsidR="00515CA1" w:rsidRPr="00515CA1">
        <w:t xml:space="preserve"> </w:t>
      </w:r>
    </w:p>
    <w:p w14:paraId="29DC12ED" w14:textId="366E2C3C" w:rsidR="00D10B02" w:rsidRDefault="00515CA1" w:rsidP="0029184C">
      <w:pPr>
        <w:spacing w:line="480" w:lineRule="auto"/>
        <w:ind w:firstLine="720"/>
        <w:jc w:val="both"/>
        <w:rPr>
          <w:rFonts w:ascii="Times New Roman" w:hAnsi="Times New Roman" w:cs="Times New Roman"/>
        </w:rPr>
      </w:pPr>
      <w:r w:rsidRPr="00515CA1">
        <w:rPr>
          <w:rFonts w:ascii="Times New Roman" w:hAnsi="Times New Roman" w:cs="Times New Roman"/>
        </w:rPr>
        <w:t xml:space="preserve">Fracastoro, proposed an infection theory in which infection was the cause and epidemics were the result. He believed that epidemic diseases are produced by small, transmissible, and self-propagating infective organisms, which are unique to each disease. These affect the body's humours and vital spirits, causing comparable ailments. Fracastoro's </w:t>
      </w:r>
      <w:r w:rsidRPr="00515CA1">
        <w:rPr>
          <w:rFonts w:ascii="Times New Roman" w:hAnsi="Times New Roman" w:cs="Times New Roman"/>
        </w:rPr>
        <w:lastRenderedPageBreak/>
        <w:t xml:space="preserve">approach is more in line with present thinking if illness seeds are considered as chemical compounds or ferments. </w:t>
      </w:r>
      <w:r w:rsidR="00C45D05">
        <w:rPr>
          <w:rFonts w:ascii="Times New Roman" w:hAnsi="Times New Roman" w:cs="Times New Roman"/>
        </w:rPr>
        <w:t>This explained t</w:t>
      </w:r>
      <w:r w:rsidRPr="00515CA1">
        <w:rPr>
          <w:rFonts w:ascii="Times New Roman" w:hAnsi="Times New Roman" w:cs="Times New Roman"/>
        </w:rPr>
        <w:t>he ability of disease seeds to infect the body or stay in the environment varies, which explains why some diseases behave cyclically. He identified three types of contagion: direct touch, intermediate agents like fomites, and distance, such as air. He proposed that under rare circumstances,</w:t>
      </w:r>
      <w:r w:rsidR="00CA5ED0" w:rsidRPr="00CA5ED0">
        <w:t xml:space="preserve"> </w:t>
      </w:r>
      <w:r w:rsidR="00CA5ED0">
        <w:rPr>
          <w:rFonts w:ascii="Times New Roman" w:hAnsi="Times New Roman" w:cs="Times New Roman"/>
        </w:rPr>
        <w:t>t</w:t>
      </w:r>
      <w:r w:rsidR="00CA5ED0" w:rsidRPr="00CA5ED0">
        <w:rPr>
          <w:rFonts w:ascii="Times New Roman" w:hAnsi="Times New Roman" w:cs="Times New Roman"/>
        </w:rPr>
        <w:t>he overall atmosphere becomes infected, resulting in pandemics, which may be linked to anomalous atmospheric and astrological conditions.</w:t>
      </w:r>
      <w:r w:rsidRPr="00515CA1">
        <w:rPr>
          <w:rStyle w:val="FootnoteReference"/>
          <w:rFonts w:ascii="Times New Roman" w:hAnsi="Times New Roman" w:cs="Times New Roman"/>
          <w:vertAlign w:val="baseline"/>
        </w:rPr>
        <w:t xml:space="preserve"> </w:t>
      </w:r>
      <w:r w:rsidR="006A7A3A" w:rsidRPr="006A7A3A">
        <w:rPr>
          <w:rStyle w:val="FootnoteReference"/>
          <w:rFonts w:ascii="Times New Roman" w:hAnsi="Times New Roman" w:cs="Times New Roman"/>
          <w:vertAlign w:val="baseline"/>
        </w:rPr>
        <w:t xml:space="preserve">Fracastoro's concepts of live contagion and distinct seeds of sickness were comparable to those of Varro, Columella, and Paracelsus. He did not discover or predict bacteria's existence. However, he logically deduced ideas from observed facts and utilised analogies to crystallise hazy concepts. Fracastoro determined that the infectious ingredient must be particulate and developed a detailed explanation of how disease seeds behave. This resulted in a contagionist theory of epidemic sickness, which contended with the atmospheric-miasmatic theory until the late </w:t>
      </w:r>
      <w:r w:rsidR="006A7A3A">
        <w:rPr>
          <w:rStyle w:val="FootnoteReference"/>
          <w:rFonts w:ascii="Times New Roman" w:hAnsi="Times New Roman" w:cs="Times New Roman"/>
          <w:vertAlign w:val="baseline"/>
        </w:rPr>
        <w:t>n</w:t>
      </w:r>
      <w:r w:rsidR="006A7A3A">
        <w:rPr>
          <w:rFonts w:ascii="Times New Roman" w:hAnsi="Times New Roman" w:cs="Times New Roman"/>
        </w:rPr>
        <w:t>ineteenth century</w:t>
      </w:r>
      <w:r w:rsidR="006A7A3A" w:rsidRPr="006A7A3A">
        <w:rPr>
          <w:rStyle w:val="FootnoteReference"/>
          <w:rFonts w:ascii="Times New Roman" w:hAnsi="Times New Roman" w:cs="Times New Roman"/>
          <w:vertAlign w:val="baseline"/>
        </w:rPr>
        <w:t>.</w:t>
      </w:r>
      <w:r w:rsidR="009171E5">
        <w:rPr>
          <w:rStyle w:val="FootnoteReference"/>
          <w:rFonts w:ascii="Times New Roman" w:hAnsi="Times New Roman" w:cs="Times New Roman"/>
        </w:rPr>
        <w:footnoteReference w:id="12"/>
      </w:r>
    </w:p>
    <w:p w14:paraId="22DED1CA" w14:textId="16ABEE1D" w:rsidR="00F2088F" w:rsidRDefault="00076339" w:rsidP="00572506">
      <w:pPr>
        <w:spacing w:line="480" w:lineRule="auto"/>
        <w:jc w:val="both"/>
        <w:rPr>
          <w:rFonts w:ascii="Times New Roman" w:hAnsi="Times New Roman" w:cs="Times New Roman"/>
        </w:rPr>
      </w:pPr>
      <w:r>
        <w:rPr>
          <w:rFonts w:ascii="Times New Roman" w:hAnsi="Times New Roman" w:cs="Times New Roman"/>
        </w:rPr>
        <w:tab/>
      </w:r>
      <w:r w:rsidR="006F03FA" w:rsidRPr="006F03FA">
        <w:rPr>
          <w:rFonts w:ascii="Times New Roman" w:hAnsi="Times New Roman" w:cs="Times New Roman"/>
        </w:rPr>
        <w:t xml:space="preserve">Humanistic patient care was seen to value empathy, compassion, decency, and respect for the individual patient. These principles were based on humanistic philosophy and ideals, which prioritized the patient's overall well-being and recognized their own experiences, preferences, and beliefs. Empathy and compassion, respect for autonomy and dignity, effective communication, cultural sensitivity and diversity, a holistic approach to care, continuity, and long-term relationships were all examples of humanistic concepts in patient care. Humanistic-oriented healthcare providers were expected to understand and empathize with their patients' experiences, feelings, and problems. They were supposed to show compassion by genuinely caring for the patient's well-being and offering assistance and comfort in times of suffering. Humanistic patient care acknowledged the patient as an autonomous individual with the right </w:t>
      </w:r>
      <w:r w:rsidR="006F03FA" w:rsidRPr="006F03FA">
        <w:rPr>
          <w:rFonts w:ascii="Times New Roman" w:hAnsi="Times New Roman" w:cs="Times New Roman"/>
        </w:rPr>
        <w:lastRenderedPageBreak/>
        <w:t>to make informed decisions about their health and well-being. Healthcare practitioners respected patients' autonomy by including them in decision-making processes, respecting their preferences and values, and ensuring that their dignity was always protected. Healthcare providers interacted with patients in a straightforward, honest, and respectful manner, ensuring that information was understandable and relevant to their needs and choices. They actively listened to patients, validated their concerns, and participated in collaborative decision-making processes.</w:t>
      </w:r>
      <w:r w:rsidR="00CC0272">
        <w:rPr>
          <w:rStyle w:val="FootnoteReference"/>
          <w:rFonts w:ascii="Times New Roman" w:hAnsi="Times New Roman" w:cs="Times New Roman"/>
        </w:rPr>
        <w:footnoteReference w:id="13"/>
      </w:r>
      <w:r w:rsidR="00DB19E5" w:rsidRPr="00DB19E5">
        <w:t xml:space="preserve"> </w:t>
      </w:r>
      <w:r w:rsidR="00DB19E5" w:rsidRPr="00DB19E5">
        <w:rPr>
          <w:rFonts w:ascii="Times New Roman" w:hAnsi="Times New Roman" w:cs="Times New Roman"/>
        </w:rPr>
        <w:t>Humanistic patient care recognized and valued the cultural, social, and religious variety of its patients. Healthcare providers attempted to understand their patients' cultural beliefs, customs, and values and tailored their care approaches accordingly. They guaranteed that care was provided in a culturally sensitive and inclusive manner, fostering trust and cooperation</w:t>
      </w:r>
      <w:r w:rsidR="00EE6F37" w:rsidRPr="00C0544C">
        <w:rPr>
          <w:rFonts w:ascii="Times New Roman" w:hAnsi="Times New Roman" w:cs="Times New Roman"/>
        </w:rPr>
        <w:t>.</w:t>
      </w:r>
      <w:r w:rsidR="000D601C">
        <w:rPr>
          <w:rStyle w:val="FootnoteReference"/>
          <w:rFonts w:ascii="Times New Roman" w:hAnsi="Times New Roman" w:cs="Times New Roman"/>
        </w:rPr>
        <w:footnoteReference w:id="14"/>
      </w:r>
      <w:r w:rsidR="00EE6F37" w:rsidRPr="00876375">
        <w:rPr>
          <w:rFonts w:ascii="Times New Roman" w:hAnsi="Times New Roman" w:cs="Times New Roman"/>
        </w:rPr>
        <w:t xml:space="preserve"> </w:t>
      </w:r>
    </w:p>
    <w:p w14:paraId="26B83BC4" w14:textId="57D04928" w:rsidR="00EE6F37" w:rsidRDefault="00C764B9" w:rsidP="00D6733E">
      <w:pPr>
        <w:spacing w:line="480" w:lineRule="auto"/>
        <w:ind w:firstLine="720"/>
        <w:jc w:val="both"/>
        <w:rPr>
          <w:rFonts w:ascii="Times New Roman" w:hAnsi="Times New Roman" w:cs="Times New Roman"/>
        </w:rPr>
      </w:pPr>
      <w:r w:rsidRPr="00C764B9">
        <w:rPr>
          <w:rFonts w:ascii="Times New Roman" w:hAnsi="Times New Roman" w:cs="Times New Roman"/>
        </w:rPr>
        <w:t>Humanistic patient care provided a comprehensive approach to meeting the patient's physical, emotional, social, and spiritual requirements. Healthcare providers viewed the patient as a whole person, acknowledging the interdependence of various aspects of their health and well-being. They worked with interdisciplinary teams and community resources to deliver complete, integrated care.</w:t>
      </w:r>
      <w:r w:rsidR="000966A5">
        <w:rPr>
          <w:rStyle w:val="FootnoteReference"/>
          <w:rFonts w:ascii="Times New Roman" w:hAnsi="Times New Roman" w:cs="Times New Roman"/>
        </w:rPr>
        <w:footnoteReference w:id="15"/>
      </w:r>
      <w:r w:rsidR="00D6733E" w:rsidRPr="00D6733E">
        <w:t xml:space="preserve"> </w:t>
      </w:r>
      <w:r w:rsidR="00D6733E" w:rsidRPr="00D6733E">
        <w:rPr>
          <w:rFonts w:ascii="Times New Roman" w:hAnsi="Times New Roman" w:cs="Times New Roman"/>
        </w:rPr>
        <w:t>Humanistic patient care emphasized continuity and long-term relationships between patients and their healthcare providers. Building trust and rapport over time enabled healthcare providers to better understand the patient's specific needs, preferences, and goals, resulting in more personalized and effective care.</w:t>
      </w:r>
      <w:r w:rsidR="00CC0272">
        <w:rPr>
          <w:rStyle w:val="FootnoteReference"/>
          <w:rFonts w:ascii="Times New Roman" w:hAnsi="Times New Roman" w:cs="Times New Roman"/>
        </w:rPr>
        <w:footnoteReference w:id="16"/>
      </w:r>
    </w:p>
    <w:p w14:paraId="536AFF6C" w14:textId="0DE21C8E" w:rsidR="008E15A3" w:rsidRPr="005D56A3" w:rsidRDefault="00AB3D42" w:rsidP="00D6733E">
      <w:pPr>
        <w:spacing w:line="480" w:lineRule="auto"/>
        <w:ind w:firstLine="720"/>
        <w:jc w:val="both"/>
        <w:rPr>
          <w:rFonts w:ascii="Times New Roman" w:hAnsi="Times New Roman" w:cs="Times New Roman"/>
        </w:rPr>
      </w:pPr>
      <w:r w:rsidRPr="00AB3D42">
        <w:rPr>
          <w:rFonts w:ascii="Times New Roman" w:hAnsi="Times New Roman" w:cs="Times New Roman"/>
        </w:rPr>
        <w:lastRenderedPageBreak/>
        <w:t>Humanistic concepts in healthcare influenced society and culture in a variety of ways, including improved public health outcomes and treatment effectiveness, humanization of healthcare and its societal implications, and the legacy of humanism in influencing modern medical practices and beliefs.</w:t>
      </w:r>
      <w:r w:rsidR="000F41C0" w:rsidRPr="000F41C0">
        <w:t xml:space="preserve"> </w:t>
      </w:r>
      <w:r w:rsidR="008E15A3" w:rsidRPr="003F5EC8">
        <w:rPr>
          <w:rFonts w:ascii="Times New Roman" w:hAnsi="Times New Roman" w:cs="Times New Roman"/>
        </w:rPr>
        <w:t>Medical practitioners such as Marsilio Ficino and Giovanni de' Vigo exemplified humanist values, focusing on bedside manner and doctor-patient relationships.</w:t>
      </w:r>
      <w:r w:rsidR="00BA3501" w:rsidRPr="00BA3501">
        <w:t xml:space="preserve"> </w:t>
      </w:r>
      <w:r w:rsidR="00BA3501" w:rsidRPr="00BA3501">
        <w:rPr>
          <w:rFonts w:ascii="Times New Roman" w:hAnsi="Times New Roman" w:cs="Times New Roman"/>
        </w:rPr>
        <w:t>Ficino's humanistic philosophy emphasises understanding human nature and encouraging the harmonious development of body, mind, and soul. His Neoplatonic worldview regards the human body as a representation of spiritual principles, emphasising the interdependence of physical and metaphysical dimensions. Ficino's principles of virtue, wisdom, and moral integrity are relevant in healthcare because they promote compassionate and ethical medical treatment. His concepts regarding intellectual curiosity and critical inquiry influence evidence-based medical decision-making. Although Ficino's philosophical beliefs do not directly address healthcare procedures, they can serve as a broader foundation for comprehending humanistic notions in healthcare, such as patient-centered care, empathy, and respect for human dignity.</w:t>
      </w:r>
      <w:r w:rsidR="005D56A3">
        <w:rPr>
          <w:rFonts w:ascii="Times New Roman" w:hAnsi="Times New Roman" w:cs="Times New Roman"/>
        </w:rPr>
        <w:t xml:space="preserve"> </w:t>
      </w:r>
      <w:r w:rsidR="005D56A3" w:rsidRPr="00055BA1">
        <w:rPr>
          <w:rFonts w:ascii="Times New Roman" w:hAnsi="Times New Roman" w:cs="Times New Roman"/>
        </w:rPr>
        <w:t>Giovanni de’ Vigo</w:t>
      </w:r>
      <w:r w:rsidR="00055BA1" w:rsidRPr="00055BA1">
        <w:rPr>
          <w:rFonts w:ascii="Times New Roman" w:hAnsi="Times New Roman" w:cs="Times New Roman"/>
        </w:rPr>
        <w:t xml:space="preserve"> was well-known for his inventive surgical techniques and medical treatises. </w:t>
      </w:r>
      <w:r w:rsidR="005D56A3" w:rsidRPr="00055BA1">
        <w:rPr>
          <w:rFonts w:ascii="Times New Roman" w:hAnsi="Times New Roman" w:cs="Times New Roman"/>
        </w:rPr>
        <w:t>His works</w:t>
      </w:r>
      <w:r w:rsidR="00055BA1" w:rsidRPr="00055BA1">
        <w:rPr>
          <w:rFonts w:ascii="Times New Roman" w:hAnsi="Times New Roman" w:cs="Times New Roman"/>
        </w:rPr>
        <w:t xml:space="preserve"> had a profound impact on surgical knowledge and practice during the Renaissance. His approach to patient care was likely guided by humanistic concepts such as compassion, empathy, and respect for the individual. </w:t>
      </w:r>
      <w:r w:rsidR="00713E41" w:rsidRPr="00055BA1">
        <w:rPr>
          <w:rFonts w:ascii="Times New Roman" w:hAnsi="Times New Roman" w:cs="Times New Roman"/>
        </w:rPr>
        <w:t>Renaissance physicians and surgeons</w:t>
      </w:r>
      <w:r w:rsidR="00055BA1" w:rsidRPr="00055BA1">
        <w:rPr>
          <w:rFonts w:ascii="Times New Roman" w:hAnsi="Times New Roman" w:cs="Times New Roman"/>
        </w:rPr>
        <w:t xml:space="preserve"> were influenced by humanistic ideas of moral purity and professionalism, which directed their relationships with patients and their dedication to ethical and compassionate care. His contributions to Renaissance medicine and surgery were shaped by humanism's emphasis on human dignity, autonomy, and well-being.</w:t>
      </w:r>
      <w:r w:rsidR="00DA531D">
        <w:rPr>
          <w:rStyle w:val="FootnoteReference"/>
          <w:rFonts w:ascii="Times New Roman" w:hAnsi="Times New Roman" w:cs="Times New Roman"/>
        </w:rPr>
        <w:footnoteReference w:id="17"/>
      </w:r>
    </w:p>
    <w:p w14:paraId="2EABBF76" w14:textId="7C756368" w:rsidR="006261F7" w:rsidRDefault="006261F7" w:rsidP="00433581">
      <w:pPr>
        <w:spacing w:line="480" w:lineRule="auto"/>
        <w:ind w:firstLine="720"/>
        <w:jc w:val="both"/>
        <w:rPr>
          <w:rFonts w:ascii="Times New Roman" w:hAnsi="Times New Roman" w:cs="Times New Roman"/>
        </w:rPr>
      </w:pPr>
      <w:r w:rsidRPr="006261F7">
        <w:rPr>
          <w:rFonts w:ascii="Times New Roman" w:hAnsi="Times New Roman" w:cs="Times New Roman"/>
        </w:rPr>
        <w:lastRenderedPageBreak/>
        <w:t>By focusing on patient-centered care and empathy, healthcare providers could enhance patient outcomes. This led to higher treatment adherence and overall health outcomes. Preventive treatment and health education helped to manage chronic diseases and minimize the burden on healthcare systems. Addressing socioeconomic determinants of health and healthcare access discrepancies helped to resolve underlying concerns in marginalized groups. Humanistic concepts in healthcare promoted a culture of compassion, respect, and dignity, which enhanced patient experience and satisfaction. These principles promoted trust, cooperation, and greater therapeutic partnerships between patients and providers. Humanistic healthcare encouraged empathy, social cohesiveness, and solidarity, resulting in a more compassionate and caring society. Humanism had a substantial impact on modern medical procedures, emphasizing patient-centered care, informed decision-making, and collaborative decision-making. It had an impact on medical education, ethics, and policies, encouraging healthcare providers to be professional, caring, and culturally competent. Humanism's legacy continued to motivate initiatives to humanize healthcare, reduce inequities, and promote social justice and equity in healthcare delivery.</w:t>
      </w:r>
      <w:r w:rsidR="00C34AEC">
        <w:rPr>
          <w:rStyle w:val="FootnoteReference"/>
          <w:rFonts w:ascii="Times New Roman" w:hAnsi="Times New Roman" w:cs="Times New Roman"/>
        </w:rPr>
        <w:footnoteReference w:id="18"/>
      </w:r>
    </w:p>
    <w:p w14:paraId="02BC901A" w14:textId="39453269" w:rsidR="003F5EC8" w:rsidRDefault="00F35110" w:rsidP="00083D82">
      <w:pPr>
        <w:spacing w:line="480" w:lineRule="auto"/>
        <w:jc w:val="both"/>
        <w:rPr>
          <w:rFonts w:ascii="Times New Roman" w:hAnsi="Times New Roman" w:cs="Times New Roman"/>
        </w:rPr>
      </w:pPr>
      <w:r>
        <w:rPr>
          <w:rFonts w:ascii="Times New Roman" w:hAnsi="Times New Roman" w:cs="Times New Roman"/>
        </w:rPr>
        <w:tab/>
      </w:r>
      <w:r w:rsidR="00A250A7">
        <w:rPr>
          <w:rFonts w:ascii="Times New Roman" w:hAnsi="Times New Roman" w:cs="Times New Roman"/>
        </w:rPr>
        <w:t>In conclusion</w:t>
      </w:r>
      <w:r w:rsidR="00A250A7" w:rsidRPr="00A250A7">
        <w:rPr>
          <w:rFonts w:ascii="Times New Roman" w:hAnsi="Times New Roman" w:cs="Times New Roman"/>
        </w:rPr>
        <w:t xml:space="preserve">, the impact of humanism on medicine during the Italian Renaissance of the 15th century cannot be emphasised. Humanism, with its emphasis on autonomy, empirical observation, and compassion, transformed many aspects of medical practice and education throughout this </w:t>
      </w:r>
      <w:r w:rsidR="00A250A7" w:rsidRPr="00A250A7">
        <w:rPr>
          <w:rFonts w:ascii="Times New Roman" w:hAnsi="Times New Roman" w:cs="Times New Roman"/>
        </w:rPr>
        <w:t>period</w:t>
      </w:r>
      <w:r w:rsidR="00A250A7" w:rsidRPr="00A250A7">
        <w:rPr>
          <w:rFonts w:ascii="Times New Roman" w:hAnsi="Times New Roman" w:cs="Times New Roman"/>
        </w:rPr>
        <w:t>.</w:t>
      </w:r>
      <w:r w:rsidR="00124C83" w:rsidRPr="00124C83">
        <w:t xml:space="preserve"> </w:t>
      </w:r>
      <w:r w:rsidR="00124C83" w:rsidRPr="00124C83">
        <w:rPr>
          <w:rFonts w:ascii="Times New Roman" w:hAnsi="Times New Roman" w:cs="Times New Roman"/>
        </w:rPr>
        <w:t xml:space="preserve">Humanism drove a dramatic shift in medical understanding. Renaissance scholars, spurred by the resurrection of classical writings, conducted rigorous anatomical research and empirical observations, resulting in extraordinary advances in comprehending the human body. The writings of figures such as Leonardo da Vinci and Andreas Vesalius set the groundwork for contemporary anatomy and surgical procedures, </w:t>
      </w:r>
      <w:r w:rsidR="00124C83" w:rsidRPr="00124C83">
        <w:rPr>
          <w:rFonts w:ascii="Times New Roman" w:hAnsi="Times New Roman" w:cs="Times New Roman"/>
        </w:rPr>
        <w:lastRenderedPageBreak/>
        <w:t>indicating a dramatic shift away from reliance on ancient medical authority.</w:t>
      </w:r>
      <w:r w:rsidR="004E4B24">
        <w:rPr>
          <w:rFonts w:ascii="Times New Roman" w:hAnsi="Times New Roman" w:cs="Times New Roman"/>
        </w:rPr>
        <w:t xml:space="preserve"> </w:t>
      </w:r>
      <w:r w:rsidR="004E4B24" w:rsidRPr="004E4B24">
        <w:rPr>
          <w:rFonts w:ascii="Times New Roman" w:hAnsi="Times New Roman" w:cs="Times New Roman"/>
        </w:rPr>
        <w:t>Humanism altered medical education by encouraging the formation of academies and institutions that combined classical studies with the medical curriculum. This comprehensive approach to education emphasised not only theoretical knowledge but also hands-on training and clinical practice. Humanist physicians, like as Niccolò Leoniceno and Girolamo Fracastoro, campaigned for hands-on medical education to educate future physicians for clinical practice.</w:t>
      </w:r>
      <w:r w:rsidR="00891AD5">
        <w:rPr>
          <w:rFonts w:ascii="Times New Roman" w:hAnsi="Times New Roman" w:cs="Times New Roman"/>
        </w:rPr>
        <w:t xml:space="preserve"> </w:t>
      </w:r>
      <w:r w:rsidR="00891AD5" w:rsidRPr="00891AD5">
        <w:rPr>
          <w:rFonts w:ascii="Times New Roman" w:hAnsi="Times New Roman" w:cs="Times New Roman"/>
        </w:rPr>
        <w:t xml:space="preserve">Humanism improved patient treatment by advocating for a more personalised and compassionate approach to medicine. Physicians began to see patients as distinct individuals deserving of empathy, dignity, and respect, rather than as cases to be diagnosed and treated. Humanist concepts of empathy and compassion were expressed in the writings of medical practitioners such as Marsilio Ficino and Giovanni de' Vigo, who emphasised the value of bedside manner and the doctor-patient </w:t>
      </w:r>
      <w:r w:rsidR="002826C6" w:rsidRPr="00891AD5">
        <w:rPr>
          <w:rFonts w:ascii="Times New Roman" w:hAnsi="Times New Roman" w:cs="Times New Roman"/>
        </w:rPr>
        <w:t>interaction.</w:t>
      </w:r>
      <w:r w:rsidR="002826C6">
        <w:rPr>
          <w:rFonts w:ascii="Times New Roman" w:hAnsi="Times New Roman" w:cs="Times New Roman"/>
        </w:rPr>
        <w:t xml:space="preserve"> </w:t>
      </w:r>
      <w:r w:rsidR="002826C6" w:rsidRPr="0035631B">
        <w:rPr>
          <w:rFonts w:ascii="Times New Roman" w:hAnsi="Times New Roman" w:cs="Times New Roman"/>
        </w:rPr>
        <w:t>Humanism</w:t>
      </w:r>
      <w:r w:rsidR="0035631B" w:rsidRPr="0035631B">
        <w:rPr>
          <w:rFonts w:ascii="Times New Roman" w:hAnsi="Times New Roman" w:cs="Times New Roman"/>
        </w:rPr>
        <w:t xml:space="preserve"> had a transformational effect on medicine during the 15th-century Italian Renaissance. It transformed medical knowledge, education, and patient care, establishing the foundation for current medical practices and principles. Humanism's legacy continues to affect contemporary healthcare systems, reminding us of the ongoing significance of compassion, empathy, and scientific investigation in the search of improved health for all.</w:t>
      </w:r>
    </w:p>
    <w:p w14:paraId="50012F7D" w14:textId="77777777" w:rsidR="005F7B56" w:rsidRDefault="005F7B56" w:rsidP="00083D82">
      <w:pPr>
        <w:spacing w:line="480" w:lineRule="auto"/>
        <w:jc w:val="both"/>
        <w:rPr>
          <w:rFonts w:ascii="Times New Roman" w:hAnsi="Times New Roman" w:cs="Times New Roman"/>
        </w:rPr>
      </w:pPr>
    </w:p>
    <w:p w14:paraId="0E0264C6" w14:textId="77777777" w:rsidR="00433581" w:rsidRDefault="00433581" w:rsidP="00083D82">
      <w:pPr>
        <w:spacing w:line="480" w:lineRule="auto"/>
        <w:jc w:val="both"/>
        <w:rPr>
          <w:rFonts w:ascii="Times New Roman" w:hAnsi="Times New Roman" w:cs="Times New Roman"/>
        </w:rPr>
      </w:pPr>
    </w:p>
    <w:p w14:paraId="22A01658" w14:textId="77777777" w:rsidR="00433581" w:rsidRDefault="00433581" w:rsidP="00083D82">
      <w:pPr>
        <w:spacing w:line="480" w:lineRule="auto"/>
        <w:jc w:val="both"/>
        <w:rPr>
          <w:rFonts w:ascii="Times New Roman" w:hAnsi="Times New Roman" w:cs="Times New Roman"/>
        </w:rPr>
      </w:pPr>
    </w:p>
    <w:p w14:paraId="1842E044" w14:textId="77777777" w:rsidR="00433581" w:rsidRDefault="00433581" w:rsidP="00083D82">
      <w:pPr>
        <w:spacing w:line="480" w:lineRule="auto"/>
        <w:jc w:val="both"/>
        <w:rPr>
          <w:rFonts w:ascii="Times New Roman" w:hAnsi="Times New Roman" w:cs="Times New Roman"/>
        </w:rPr>
      </w:pPr>
    </w:p>
    <w:p w14:paraId="65775ADD" w14:textId="77777777" w:rsidR="00433581" w:rsidRDefault="00433581" w:rsidP="00083D82">
      <w:pPr>
        <w:spacing w:line="480" w:lineRule="auto"/>
        <w:jc w:val="both"/>
        <w:rPr>
          <w:rFonts w:ascii="Times New Roman" w:hAnsi="Times New Roman" w:cs="Times New Roman"/>
        </w:rPr>
      </w:pPr>
    </w:p>
    <w:p w14:paraId="3C4C18D5" w14:textId="77777777" w:rsidR="00433581" w:rsidRDefault="00433581" w:rsidP="00083D82">
      <w:pPr>
        <w:spacing w:line="480" w:lineRule="auto"/>
        <w:jc w:val="both"/>
        <w:rPr>
          <w:rFonts w:ascii="Times New Roman" w:hAnsi="Times New Roman" w:cs="Times New Roman"/>
        </w:rPr>
      </w:pPr>
    </w:p>
    <w:p w14:paraId="50C9AF10" w14:textId="77777777" w:rsidR="00D21A6B" w:rsidRDefault="00D21A6B" w:rsidP="00083D82">
      <w:pPr>
        <w:spacing w:line="480" w:lineRule="auto"/>
        <w:jc w:val="both"/>
        <w:rPr>
          <w:rFonts w:ascii="Times New Roman" w:hAnsi="Times New Roman" w:cs="Times New Roman"/>
        </w:rPr>
      </w:pPr>
    </w:p>
    <w:p w14:paraId="489B3AAD" w14:textId="77777777" w:rsidR="00D21A6B" w:rsidRDefault="00D21A6B" w:rsidP="00083D82">
      <w:pPr>
        <w:spacing w:line="480" w:lineRule="auto"/>
        <w:jc w:val="both"/>
        <w:rPr>
          <w:rFonts w:ascii="Times New Roman" w:hAnsi="Times New Roman" w:cs="Times New Roman"/>
        </w:rPr>
      </w:pPr>
    </w:p>
    <w:p w14:paraId="0269D734" w14:textId="77777777" w:rsidR="00E6710B" w:rsidRPr="00E6710B" w:rsidRDefault="00E6710B" w:rsidP="00E6710B">
      <w:pPr>
        <w:spacing w:after="240" w:line="540" w:lineRule="atLeast"/>
        <w:outlineLvl w:val="0"/>
        <w:rPr>
          <w:rFonts w:ascii="Times New Roman" w:eastAsia="Times New Roman" w:hAnsi="Times New Roman" w:cs="Times New Roman"/>
          <w:b/>
          <w:bCs/>
          <w:color w:val="000000"/>
          <w:kern w:val="36"/>
          <w:sz w:val="36"/>
          <w:szCs w:val="36"/>
          <w:lang w:eastAsia="en-GB"/>
          <w14:ligatures w14:val="none"/>
        </w:rPr>
      </w:pPr>
      <w:r w:rsidRPr="00E6710B">
        <w:rPr>
          <w:rFonts w:ascii="Times New Roman" w:eastAsia="Times New Roman" w:hAnsi="Times New Roman" w:cs="Times New Roman"/>
          <w:b/>
          <w:bCs/>
          <w:color w:val="000000"/>
          <w:kern w:val="36"/>
          <w:sz w:val="36"/>
          <w:szCs w:val="36"/>
          <w:lang w:eastAsia="en-GB"/>
          <w14:ligatures w14:val="none"/>
        </w:rPr>
        <w:lastRenderedPageBreak/>
        <w:t>Bibliography</w:t>
      </w:r>
    </w:p>
    <w:p w14:paraId="3171A8CE" w14:textId="77777777" w:rsidR="00E6710B" w:rsidRPr="00E6710B" w:rsidRDefault="00E6710B" w:rsidP="00E6710B">
      <w:pPr>
        <w:spacing w:after="240" w:line="360" w:lineRule="atLeast"/>
        <w:ind w:hanging="720"/>
        <w:rPr>
          <w:rFonts w:ascii="Times New Roman" w:eastAsia="Times New Roman" w:hAnsi="Times New Roman" w:cs="Times New Roman"/>
          <w:color w:val="000000"/>
          <w:kern w:val="0"/>
          <w:lang w:eastAsia="en-GB"/>
          <w14:ligatures w14:val="none"/>
        </w:rPr>
      </w:pPr>
      <w:r w:rsidRPr="00E6710B">
        <w:rPr>
          <w:rFonts w:ascii="Times New Roman" w:eastAsia="Times New Roman" w:hAnsi="Times New Roman" w:cs="Times New Roman"/>
          <w:color w:val="000000"/>
          <w:kern w:val="0"/>
          <w:lang w:eastAsia="en-GB"/>
          <w14:ligatures w14:val="none"/>
        </w:rPr>
        <w:t>Ackerman, James S, ‘Leonardo Da Vinci: Art in Science’, </w:t>
      </w:r>
      <w:r w:rsidRPr="00E6710B">
        <w:rPr>
          <w:rFonts w:ascii="Times New Roman" w:eastAsia="Times New Roman" w:hAnsi="Times New Roman" w:cs="Times New Roman"/>
          <w:i/>
          <w:iCs/>
          <w:color w:val="000000"/>
          <w:kern w:val="0"/>
          <w:lang w:eastAsia="en-GB"/>
          <w14:ligatures w14:val="none"/>
        </w:rPr>
        <w:t>Daedalus</w:t>
      </w:r>
      <w:r w:rsidRPr="00E6710B">
        <w:rPr>
          <w:rFonts w:ascii="Times New Roman" w:eastAsia="Times New Roman" w:hAnsi="Times New Roman" w:cs="Times New Roman"/>
          <w:color w:val="000000"/>
          <w:kern w:val="0"/>
          <w:lang w:eastAsia="en-GB"/>
          <w14:ligatures w14:val="none"/>
        </w:rPr>
        <w:t>, 127.1 (1998), 207–24</w:t>
      </w:r>
    </w:p>
    <w:p w14:paraId="7065A22E" w14:textId="77777777" w:rsidR="00E6710B" w:rsidRPr="00E6710B" w:rsidRDefault="00E6710B" w:rsidP="00E6710B">
      <w:pPr>
        <w:spacing w:after="240" w:line="360" w:lineRule="atLeast"/>
        <w:ind w:hanging="720"/>
        <w:rPr>
          <w:rFonts w:ascii="Times New Roman" w:eastAsia="Times New Roman" w:hAnsi="Times New Roman" w:cs="Times New Roman"/>
          <w:color w:val="000000"/>
          <w:kern w:val="0"/>
          <w:lang w:eastAsia="en-GB"/>
          <w14:ligatures w14:val="none"/>
        </w:rPr>
      </w:pPr>
      <w:r w:rsidRPr="00E6710B">
        <w:rPr>
          <w:rFonts w:ascii="Times New Roman" w:eastAsia="Times New Roman" w:hAnsi="Times New Roman" w:cs="Times New Roman"/>
          <w:color w:val="000000"/>
          <w:kern w:val="0"/>
          <w:lang w:eastAsia="en-GB"/>
          <w14:ligatures w14:val="none"/>
        </w:rPr>
        <w:t>Bertman, Stephen, ‘Pursuing Humanistic Medicine in a Technological Age’, </w:t>
      </w:r>
      <w:r w:rsidRPr="00E6710B">
        <w:rPr>
          <w:rFonts w:ascii="Times New Roman" w:eastAsia="Times New Roman" w:hAnsi="Times New Roman" w:cs="Times New Roman"/>
          <w:i/>
          <w:iCs/>
          <w:color w:val="000000"/>
          <w:kern w:val="0"/>
          <w:lang w:eastAsia="en-GB"/>
          <w14:ligatures w14:val="none"/>
        </w:rPr>
        <w:t>Journal of Patient Experience</w:t>
      </w:r>
      <w:r w:rsidRPr="00E6710B">
        <w:rPr>
          <w:rFonts w:ascii="Times New Roman" w:eastAsia="Times New Roman" w:hAnsi="Times New Roman" w:cs="Times New Roman"/>
          <w:color w:val="000000"/>
          <w:kern w:val="0"/>
          <w:lang w:eastAsia="en-GB"/>
          <w14:ligatures w14:val="none"/>
        </w:rPr>
        <w:t>, 4.2 (2017), 57–60 &lt;https://doi.org/10.1177/2374373517699269&gt;</w:t>
      </w:r>
    </w:p>
    <w:p w14:paraId="060BAA29" w14:textId="2B9603D9" w:rsidR="00E6710B" w:rsidRPr="00E6710B" w:rsidRDefault="00E6710B" w:rsidP="00E6710B">
      <w:pPr>
        <w:spacing w:after="240" w:line="360" w:lineRule="atLeast"/>
        <w:ind w:hanging="720"/>
        <w:rPr>
          <w:rFonts w:ascii="Times New Roman" w:eastAsia="Times New Roman" w:hAnsi="Times New Roman" w:cs="Times New Roman"/>
          <w:color w:val="000000"/>
          <w:kern w:val="0"/>
          <w:lang w:eastAsia="en-GB"/>
          <w14:ligatures w14:val="none"/>
        </w:rPr>
      </w:pPr>
      <w:r w:rsidRPr="00E6710B">
        <w:rPr>
          <w:rFonts w:ascii="Times New Roman" w:eastAsia="Times New Roman" w:hAnsi="Times New Roman" w:cs="Times New Roman"/>
          <w:color w:val="000000"/>
          <w:kern w:val="0"/>
          <w:lang w:eastAsia="en-GB"/>
          <w14:ligatures w14:val="none"/>
        </w:rPr>
        <w:t>Celenza, Christopher S., </w:t>
      </w:r>
      <w:r w:rsidRPr="00E6710B">
        <w:rPr>
          <w:rFonts w:ascii="Times New Roman" w:eastAsia="Times New Roman" w:hAnsi="Times New Roman" w:cs="Times New Roman"/>
          <w:i/>
          <w:iCs/>
          <w:color w:val="000000"/>
          <w:kern w:val="0"/>
          <w:lang w:eastAsia="en-GB"/>
          <w14:ligatures w14:val="none"/>
        </w:rPr>
        <w:t xml:space="preserve">The Intellectual World of the Italian </w:t>
      </w:r>
      <w:r w:rsidRPr="00E6710B">
        <w:rPr>
          <w:rFonts w:ascii="Times New Roman" w:eastAsia="Times New Roman" w:hAnsi="Times New Roman" w:cs="Times New Roman"/>
          <w:i/>
          <w:iCs/>
          <w:color w:val="000000"/>
          <w:kern w:val="0"/>
          <w:lang w:eastAsia="en-GB"/>
          <w14:ligatures w14:val="none"/>
        </w:rPr>
        <w:t>Renaissance:</w:t>
      </w:r>
      <w:r w:rsidRPr="00E6710B">
        <w:rPr>
          <w:rFonts w:ascii="Times New Roman" w:eastAsia="Times New Roman" w:hAnsi="Times New Roman" w:cs="Times New Roman"/>
          <w:i/>
          <w:iCs/>
          <w:color w:val="000000"/>
          <w:kern w:val="0"/>
          <w:lang w:eastAsia="en-GB"/>
          <w14:ligatures w14:val="none"/>
        </w:rPr>
        <w:t xml:space="preserve"> Language, Philosophy, and the Search for </w:t>
      </w:r>
      <w:r w:rsidRPr="00E6710B">
        <w:rPr>
          <w:rFonts w:ascii="Times New Roman" w:eastAsia="Times New Roman" w:hAnsi="Times New Roman" w:cs="Times New Roman"/>
          <w:i/>
          <w:iCs/>
          <w:color w:val="000000"/>
          <w:kern w:val="0"/>
          <w:lang w:eastAsia="en-GB"/>
          <w14:ligatures w14:val="none"/>
        </w:rPr>
        <w:t>Meaning</w:t>
      </w:r>
      <w:r w:rsidRPr="00E6710B">
        <w:rPr>
          <w:rFonts w:ascii="Times New Roman" w:eastAsia="Times New Roman" w:hAnsi="Times New Roman" w:cs="Times New Roman"/>
          <w:color w:val="000000"/>
          <w:kern w:val="0"/>
          <w:lang w:eastAsia="en-GB"/>
          <w14:ligatures w14:val="none"/>
        </w:rPr>
        <w:t xml:space="preserve"> (</w:t>
      </w:r>
      <w:r w:rsidRPr="00E6710B">
        <w:rPr>
          <w:rFonts w:ascii="Times New Roman" w:eastAsia="Times New Roman" w:hAnsi="Times New Roman" w:cs="Times New Roman"/>
          <w:color w:val="000000"/>
          <w:kern w:val="0"/>
          <w:lang w:eastAsia="en-GB"/>
          <w14:ligatures w14:val="none"/>
        </w:rPr>
        <w:t>New York, NY: Cambridge University Press, 2018), pp. 1–</w:t>
      </w:r>
      <w:r w:rsidR="003E6BB1" w:rsidRPr="00E6710B">
        <w:rPr>
          <w:rFonts w:ascii="Times New Roman" w:eastAsia="Times New Roman" w:hAnsi="Times New Roman" w:cs="Times New Roman"/>
          <w:color w:val="000000"/>
          <w:kern w:val="0"/>
          <w:lang w:eastAsia="en-GB"/>
          <w14:ligatures w14:val="none"/>
        </w:rPr>
        <w:t>16.</w:t>
      </w:r>
    </w:p>
    <w:p w14:paraId="088BAC82" w14:textId="5FA596E5" w:rsidR="00E6710B" w:rsidRPr="00E6710B" w:rsidRDefault="00E6710B" w:rsidP="00E6710B">
      <w:pPr>
        <w:spacing w:after="240" w:line="360" w:lineRule="atLeast"/>
        <w:ind w:hanging="720"/>
        <w:rPr>
          <w:rFonts w:ascii="Times New Roman" w:eastAsia="Times New Roman" w:hAnsi="Times New Roman" w:cs="Times New Roman"/>
          <w:color w:val="000000"/>
          <w:kern w:val="0"/>
          <w:lang w:eastAsia="en-GB"/>
          <w14:ligatures w14:val="none"/>
        </w:rPr>
      </w:pPr>
      <w:r w:rsidRPr="00E6710B">
        <w:rPr>
          <w:rFonts w:ascii="Times New Roman" w:eastAsia="Times New Roman" w:hAnsi="Times New Roman" w:cs="Times New Roman"/>
          <w:color w:val="000000"/>
          <w:kern w:val="0"/>
          <w:lang w:eastAsia="en-GB"/>
          <w14:ligatures w14:val="none"/>
        </w:rPr>
        <w:t>Chiara Thumiger, </w:t>
      </w:r>
      <w:r w:rsidRPr="00E6710B">
        <w:rPr>
          <w:rFonts w:ascii="Times New Roman" w:eastAsia="Times New Roman" w:hAnsi="Times New Roman" w:cs="Times New Roman"/>
          <w:i/>
          <w:iCs/>
          <w:color w:val="000000"/>
          <w:kern w:val="0"/>
          <w:lang w:eastAsia="en-GB"/>
          <w14:ligatures w14:val="none"/>
        </w:rPr>
        <w:t>Holism in Ancient Medicine and Its Reception</w:t>
      </w:r>
      <w:r w:rsidRPr="00E6710B">
        <w:rPr>
          <w:rFonts w:ascii="Times New Roman" w:eastAsia="Times New Roman" w:hAnsi="Times New Roman" w:cs="Times New Roman"/>
          <w:color w:val="000000"/>
          <w:kern w:val="0"/>
          <w:lang w:eastAsia="en-GB"/>
          <w14:ligatures w14:val="none"/>
        </w:rPr>
        <w:t> (</w:t>
      </w:r>
      <w:r w:rsidRPr="00E6710B">
        <w:rPr>
          <w:rFonts w:ascii="Times New Roman" w:eastAsia="Times New Roman" w:hAnsi="Times New Roman" w:cs="Times New Roman"/>
          <w:color w:val="000000"/>
          <w:kern w:val="0"/>
          <w:lang w:eastAsia="en-GB"/>
          <w14:ligatures w14:val="none"/>
        </w:rPr>
        <w:t>Leiden;</w:t>
      </w:r>
      <w:r w:rsidRPr="00E6710B">
        <w:rPr>
          <w:rFonts w:ascii="Times New Roman" w:eastAsia="Times New Roman" w:hAnsi="Times New Roman" w:cs="Times New Roman"/>
          <w:color w:val="000000"/>
          <w:kern w:val="0"/>
          <w:lang w:eastAsia="en-GB"/>
          <w14:ligatures w14:val="none"/>
        </w:rPr>
        <w:t xml:space="preserve"> Boston: Brill, 2021), pp. 113–32</w:t>
      </w:r>
    </w:p>
    <w:p w14:paraId="7165A0E2" w14:textId="77777777" w:rsidR="00E6710B" w:rsidRPr="00E6710B" w:rsidRDefault="00E6710B" w:rsidP="00E6710B">
      <w:pPr>
        <w:spacing w:after="240" w:line="360" w:lineRule="atLeast"/>
        <w:ind w:hanging="720"/>
        <w:rPr>
          <w:rFonts w:ascii="Times New Roman" w:eastAsia="Times New Roman" w:hAnsi="Times New Roman" w:cs="Times New Roman"/>
          <w:color w:val="000000"/>
          <w:kern w:val="0"/>
          <w:lang w:eastAsia="en-GB"/>
          <w14:ligatures w14:val="none"/>
        </w:rPr>
      </w:pPr>
      <w:r w:rsidRPr="00E6710B">
        <w:rPr>
          <w:rFonts w:ascii="Times New Roman" w:eastAsia="Times New Roman" w:hAnsi="Times New Roman" w:cs="Times New Roman"/>
          <w:color w:val="000000"/>
          <w:kern w:val="0"/>
          <w:lang w:eastAsia="en-GB"/>
          <w14:ligatures w14:val="none"/>
        </w:rPr>
        <w:t>Conti, Andrea A, ‘The Anatomical and Historical Background of Surgery: Major Surgical Achievements during the Middle Ages and the Renaissance’, </w:t>
      </w:r>
      <w:r w:rsidRPr="00E6710B">
        <w:rPr>
          <w:rFonts w:ascii="Times New Roman" w:eastAsia="Times New Roman" w:hAnsi="Times New Roman" w:cs="Times New Roman"/>
          <w:i/>
          <w:iCs/>
          <w:color w:val="000000"/>
          <w:kern w:val="0"/>
          <w:lang w:eastAsia="en-GB"/>
          <w14:ligatures w14:val="none"/>
        </w:rPr>
        <w:t>Italian Journal of Anatomy and Embryology</w:t>
      </w:r>
      <w:r w:rsidRPr="00E6710B">
        <w:rPr>
          <w:rFonts w:ascii="Times New Roman" w:eastAsia="Times New Roman" w:hAnsi="Times New Roman" w:cs="Times New Roman"/>
          <w:color w:val="000000"/>
          <w:kern w:val="0"/>
          <w:lang w:eastAsia="en-GB"/>
          <w14:ligatures w14:val="none"/>
        </w:rPr>
        <w:t>, 124.2 (2019), 210–13 &lt;https://doi.org/10.13128/ijae&gt;</w:t>
      </w:r>
    </w:p>
    <w:p w14:paraId="62D9FE01" w14:textId="77777777" w:rsidR="00E6710B" w:rsidRPr="00E6710B" w:rsidRDefault="00E6710B" w:rsidP="00E6710B">
      <w:pPr>
        <w:spacing w:after="240" w:line="360" w:lineRule="atLeast"/>
        <w:ind w:hanging="720"/>
        <w:rPr>
          <w:rFonts w:ascii="Times New Roman" w:eastAsia="Times New Roman" w:hAnsi="Times New Roman" w:cs="Times New Roman"/>
          <w:color w:val="000000"/>
          <w:kern w:val="0"/>
          <w:lang w:eastAsia="en-GB"/>
          <w14:ligatures w14:val="none"/>
        </w:rPr>
      </w:pPr>
      <w:r w:rsidRPr="00E6710B">
        <w:rPr>
          <w:rFonts w:ascii="Times New Roman" w:eastAsia="Times New Roman" w:hAnsi="Times New Roman" w:cs="Times New Roman"/>
          <w:color w:val="000000"/>
          <w:kern w:val="0"/>
          <w:lang w:eastAsia="en-GB"/>
          <w14:ligatures w14:val="none"/>
        </w:rPr>
        <w:t>Edelstein, Ludwig, ‘Andreas Vesalius, the Humanist’, </w:t>
      </w:r>
      <w:r w:rsidRPr="00E6710B">
        <w:rPr>
          <w:rFonts w:ascii="Times New Roman" w:eastAsia="Times New Roman" w:hAnsi="Times New Roman" w:cs="Times New Roman"/>
          <w:i/>
          <w:iCs/>
          <w:color w:val="000000"/>
          <w:kern w:val="0"/>
          <w:lang w:eastAsia="en-GB"/>
          <w14:ligatures w14:val="none"/>
        </w:rPr>
        <w:t>Bulletin of the History of Medicine</w:t>
      </w:r>
      <w:r w:rsidRPr="00E6710B">
        <w:rPr>
          <w:rFonts w:ascii="Times New Roman" w:eastAsia="Times New Roman" w:hAnsi="Times New Roman" w:cs="Times New Roman"/>
          <w:color w:val="000000"/>
          <w:kern w:val="0"/>
          <w:lang w:eastAsia="en-GB"/>
          <w14:ligatures w14:val="none"/>
        </w:rPr>
        <w:t>, 14.5 (1943), 547–61</w:t>
      </w:r>
    </w:p>
    <w:p w14:paraId="5FF24899" w14:textId="77777777" w:rsidR="00E6710B" w:rsidRPr="00E6710B" w:rsidRDefault="00E6710B" w:rsidP="00E6710B">
      <w:pPr>
        <w:spacing w:after="240" w:line="360" w:lineRule="atLeast"/>
        <w:ind w:hanging="720"/>
        <w:rPr>
          <w:rFonts w:ascii="Times New Roman" w:eastAsia="Times New Roman" w:hAnsi="Times New Roman" w:cs="Times New Roman"/>
          <w:color w:val="000000"/>
          <w:kern w:val="0"/>
          <w:lang w:eastAsia="en-GB"/>
          <w14:ligatures w14:val="none"/>
        </w:rPr>
      </w:pPr>
      <w:r w:rsidRPr="00E6710B">
        <w:rPr>
          <w:rFonts w:ascii="Times New Roman" w:eastAsia="Times New Roman" w:hAnsi="Times New Roman" w:cs="Times New Roman"/>
          <w:color w:val="000000"/>
          <w:kern w:val="0"/>
          <w:lang w:eastAsia="en-GB"/>
          <w14:ligatures w14:val="none"/>
        </w:rPr>
        <w:t>Fadiman, Anne, ‘“The Spirit Catches You and You Fall Down”: Epilepsy and the Hmong’, </w:t>
      </w:r>
      <w:r w:rsidRPr="00E6710B">
        <w:rPr>
          <w:rFonts w:ascii="Times New Roman" w:eastAsia="Times New Roman" w:hAnsi="Times New Roman" w:cs="Times New Roman"/>
          <w:i/>
          <w:iCs/>
          <w:color w:val="000000"/>
          <w:kern w:val="0"/>
          <w:lang w:eastAsia="en-GB"/>
          <w14:ligatures w14:val="none"/>
        </w:rPr>
        <w:t>Epilepsy &amp; Behavior</w:t>
      </w:r>
      <w:r w:rsidRPr="00E6710B">
        <w:rPr>
          <w:rFonts w:ascii="Times New Roman" w:eastAsia="Times New Roman" w:hAnsi="Times New Roman" w:cs="Times New Roman"/>
          <w:color w:val="000000"/>
          <w:kern w:val="0"/>
          <w:lang w:eastAsia="en-GB"/>
          <w14:ligatures w14:val="none"/>
        </w:rPr>
        <w:t>, 1.1 (2000), S3–8 &lt;https://doi.org/10.1006/ebeh.2000.0037&gt;</w:t>
      </w:r>
    </w:p>
    <w:p w14:paraId="6CD8066C" w14:textId="77777777" w:rsidR="00E6710B" w:rsidRPr="00E6710B" w:rsidRDefault="00E6710B" w:rsidP="00E6710B">
      <w:pPr>
        <w:spacing w:after="240" w:line="360" w:lineRule="atLeast"/>
        <w:ind w:hanging="720"/>
        <w:rPr>
          <w:rFonts w:ascii="Times New Roman" w:eastAsia="Times New Roman" w:hAnsi="Times New Roman" w:cs="Times New Roman"/>
          <w:color w:val="000000"/>
          <w:kern w:val="0"/>
          <w:lang w:eastAsia="en-GB"/>
          <w14:ligatures w14:val="none"/>
        </w:rPr>
      </w:pPr>
      <w:r w:rsidRPr="00E6710B">
        <w:rPr>
          <w:rFonts w:ascii="Times New Roman" w:eastAsia="Times New Roman" w:hAnsi="Times New Roman" w:cs="Times New Roman"/>
          <w:color w:val="000000"/>
          <w:kern w:val="0"/>
          <w:lang w:eastAsia="en-GB"/>
          <w14:ligatures w14:val="none"/>
        </w:rPr>
        <w:t>Gordon, James S, ‘Holistic Medicine: Advances and Shortcomings’, </w:t>
      </w:r>
      <w:r w:rsidRPr="00E6710B">
        <w:rPr>
          <w:rFonts w:ascii="Times New Roman" w:eastAsia="Times New Roman" w:hAnsi="Times New Roman" w:cs="Times New Roman"/>
          <w:i/>
          <w:iCs/>
          <w:color w:val="000000"/>
          <w:kern w:val="0"/>
          <w:lang w:eastAsia="en-GB"/>
          <w14:ligatures w14:val="none"/>
        </w:rPr>
        <w:t>Wester Journal of Medicine</w:t>
      </w:r>
      <w:r w:rsidRPr="00E6710B">
        <w:rPr>
          <w:rFonts w:ascii="Times New Roman" w:eastAsia="Times New Roman" w:hAnsi="Times New Roman" w:cs="Times New Roman"/>
          <w:color w:val="000000"/>
          <w:kern w:val="0"/>
          <w:lang w:eastAsia="en-GB"/>
          <w14:ligatures w14:val="none"/>
        </w:rPr>
        <w:t>, 6.136 (1982), 546–51</w:t>
      </w:r>
    </w:p>
    <w:p w14:paraId="367B4C34" w14:textId="77777777" w:rsidR="00E6710B" w:rsidRPr="00E6710B" w:rsidRDefault="00E6710B" w:rsidP="00E6710B">
      <w:pPr>
        <w:spacing w:after="240" w:line="360" w:lineRule="atLeast"/>
        <w:ind w:hanging="720"/>
        <w:rPr>
          <w:rFonts w:ascii="Times New Roman" w:eastAsia="Times New Roman" w:hAnsi="Times New Roman" w:cs="Times New Roman"/>
          <w:color w:val="000000"/>
          <w:kern w:val="0"/>
          <w:lang w:eastAsia="en-GB"/>
          <w14:ligatures w14:val="none"/>
        </w:rPr>
      </w:pPr>
      <w:r w:rsidRPr="00E6710B">
        <w:rPr>
          <w:rFonts w:ascii="Times New Roman" w:eastAsia="Times New Roman" w:hAnsi="Times New Roman" w:cs="Times New Roman"/>
          <w:color w:val="000000"/>
          <w:kern w:val="0"/>
          <w:lang w:eastAsia="en-GB"/>
          <w14:ligatures w14:val="none"/>
        </w:rPr>
        <w:t>Grudin, Robert, ‘Humanism | Definition, Principles, History, &amp; Influence’, </w:t>
      </w:r>
      <w:r w:rsidRPr="00E6710B">
        <w:rPr>
          <w:rFonts w:ascii="Times New Roman" w:eastAsia="Times New Roman" w:hAnsi="Times New Roman" w:cs="Times New Roman"/>
          <w:i/>
          <w:iCs/>
          <w:color w:val="000000"/>
          <w:kern w:val="0"/>
          <w:lang w:eastAsia="en-GB"/>
          <w14:ligatures w14:val="none"/>
        </w:rPr>
        <w:t>Encyclopædia Britannica</w:t>
      </w:r>
      <w:r w:rsidRPr="00E6710B">
        <w:rPr>
          <w:rFonts w:ascii="Times New Roman" w:eastAsia="Times New Roman" w:hAnsi="Times New Roman" w:cs="Times New Roman"/>
          <w:color w:val="000000"/>
          <w:kern w:val="0"/>
          <w:lang w:eastAsia="en-GB"/>
          <w14:ligatures w14:val="none"/>
        </w:rPr>
        <w:t>, 2019 &lt;https://www.britannica.com/topic/humanism&gt; [accessed 8 February 2024]</w:t>
      </w:r>
    </w:p>
    <w:p w14:paraId="3327412E" w14:textId="77777777" w:rsidR="00E6710B" w:rsidRPr="00E6710B" w:rsidRDefault="00E6710B" w:rsidP="00E6710B">
      <w:pPr>
        <w:spacing w:after="240" w:line="360" w:lineRule="atLeast"/>
        <w:ind w:hanging="720"/>
        <w:rPr>
          <w:rFonts w:ascii="Times New Roman" w:eastAsia="Times New Roman" w:hAnsi="Times New Roman" w:cs="Times New Roman"/>
          <w:color w:val="000000"/>
          <w:kern w:val="0"/>
          <w:lang w:eastAsia="en-GB"/>
          <w14:ligatures w14:val="none"/>
        </w:rPr>
      </w:pPr>
      <w:r w:rsidRPr="00E6710B">
        <w:rPr>
          <w:rFonts w:ascii="Times New Roman" w:eastAsia="Times New Roman" w:hAnsi="Times New Roman" w:cs="Times New Roman"/>
          <w:color w:val="000000"/>
          <w:kern w:val="0"/>
          <w:lang w:eastAsia="en-GB"/>
          <w14:ligatures w14:val="none"/>
        </w:rPr>
        <w:t>Hulail, Mohey, ‘Humanism in Medicine Practice: What, Why and How?’, </w:t>
      </w:r>
      <w:r w:rsidRPr="00E6710B">
        <w:rPr>
          <w:rFonts w:ascii="Times New Roman" w:eastAsia="Times New Roman" w:hAnsi="Times New Roman" w:cs="Times New Roman"/>
          <w:i/>
          <w:iCs/>
          <w:color w:val="000000"/>
          <w:kern w:val="0"/>
          <w:lang w:eastAsia="en-GB"/>
          <w14:ligatures w14:val="none"/>
        </w:rPr>
        <w:t>World Journal of Medical Education and Research: An Official Publication of the Education and Research Division of Doctors Academy</w:t>
      </w:r>
      <w:r w:rsidRPr="00E6710B">
        <w:rPr>
          <w:rFonts w:ascii="Times New Roman" w:eastAsia="Times New Roman" w:hAnsi="Times New Roman" w:cs="Times New Roman"/>
          <w:color w:val="000000"/>
          <w:kern w:val="0"/>
          <w:lang w:eastAsia="en-GB"/>
          <w14:ligatures w14:val="none"/>
        </w:rPr>
        <w:t>, 20.1 (2019), 2–5 &lt;https://www.wjmer.co.uk/library/downloads/articles/1568024834.pdf&gt; [accessed 8 February 2024]</w:t>
      </w:r>
    </w:p>
    <w:p w14:paraId="03FC56D5" w14:textId="6CCE9691" w:rsidR="00E6710B" w:rsidRPr="00E6710B" w:rsidRDefault="00E6710B" w:rsidP="00E6710B">
      <w:pPr>
        <w:spacing w:after="240" w:line="360" w:lineRule="atLeast"/>
        <w:ind w:hanging="720"/>
        <w:rPr>
          <w:rFonts w:ascii="Times New Roman" w:eastAsia="Times New Roman" w:hAnsi="Times New Roman" w:cs="Times New Roman"/>
          <w:color w:val="000000"/>
          <w:kern w:val="0"/>
          <w:lang w:eastAsia="en-GB"/>
          <w14:ligatures w14:val="none"/>
        </w:rPr>
      </w:pPr>
      <w:r w:rsidRPr="00E6710B">
        <w:rPr>
          <w:rFonts w:ascii="Times New Roman" w:eastAsia="Times New Roman" w:hAnsi="Times New Roman" w:cs="Times New Roman"/>
          <w:color w:val="000000"/>
          <w:kern w:val="0"/>
          <w:lang w:eastAsia="en-GB"/>
          <w14:ligatures w14:val="none"/>
        </w:rPr>
        <w:t>King, Helen, </w:t>
      </w:r>
      <w:r w:rsidRPr="00E6710B">
        <w:rPr>
          <w:rFonts w:ascii="Times New Roman" w:eastAsia="Times New Roman" w:hAnsi="Times New Roman" w:cs="Times New Roman"/>
          <w:i/>
          <w:iCs/>
          <w:color w:val="000000"/>
          <w:kern w:val="0"/>
          <w:lang w:eastAsia="en-GB"/>
          <w14:ligatures w14:val="none"/>
        </w:rPr>
        <w:t xml:space="preserve">Hippocrates </w:t>
      </w:r>
      <w:r w:rsidRPr="00E6710B">
        <w:rPr>
          <w:rFonts w:ascii="Times New Roman" w:eastAsia="Times New Roman" w:hAnsi="Times New Roman" w:cs="Times New Roman"/>
          <w:i/>
          <w:iCs/>
          <w:color w:val="000000"/>
          <w:kern w:val="0"/>
          <w:lang w:eastAsia="en-GB"/>
          <w14:ligatures w14:val="none"/>
        </w:rPr>
        <w:t>Now:</w:t>
      </w:r>
      <w:r w:rsidRPr="00E6710B">
        <w:rPr>
          <w:rFonts w:ascii="Times New Roman" w:eastAsia="Times New Roman" w:hAnsi="Times New Roman" w:cs="Times New Roman"/>
          <w:i/>
          <w:iCs/>
          <w:color w:val="000000"/>
          <w:kern w:val="0"/>
          <w:lang w:eastAsia="en-GB"/>
          <w14:ligatures w14:val="none"/>
        </w:rPr>
        <w:t xml:space="preserve"> The ‘Father of Medicine’ in the Internet Age</w:t>
      </w:r>
      <w:r w:rsidRPr="00E6710B">
        <w:rPr>
          <w:rFonts w:ascii="Times New Roman" w:eastAsia="Times New Roman" w:hAnsi="Times New Roman" w:cs="Times New Roman"/>
          <w:color w:val="000000"/>
          <w:kern w:val="0"/>
          <w:lang w:eastAsia="en-GB"/>
          <w14:ligatures w14:val="none"/>
        </w:rPr>
        <w:t> (</w:t>
      </w:r>
      <w:r w:rsidR="003E6BB1" w:rsidRPr="00E6710B">
        <w:rPr>
          <w:rFonts w:ascii="Times New Roman" w:eastAsia="Times New Roman" w:hAnsi="Times New Roman" w:cs="Times New Roman"/>
          <w:color w:val="000000"/>
          <w:kern w:val="0"/>
          <w:lang w:eastAsia="en-GB"/>
          <w14:ligatures w14:val="none"/>
        </w:rPr>
        <w:t>London;</w:t>
      </w:r>
      <w:r w:rsidRPr="00E6710B">
        <w:rPr>
          <w:rFonts w:ascii="Times New Roman" w:eastAsia="Times New Roman" w:hAnsi="Times New Roman" w:cs="Times New Roman"/>
          <w:color w:val="000000"/>
          <w:kern w:val="0"/>
          <w:lang w:eastAsia="en-GB"/>
          <w14:ligatures w14:val="none"/>
        </w:rPr>
        <w:t xml:space="preserve"> New York, Ny: Bloomsbury Academic, 2019), pp. 133–54</w:t>
      </w:r>
    </w:p>
    <w:p w14:paraId="029BEA0C" w14:textId="77777777" w:rsidR="00E6710B" w:rsidRPr="00E6710B" w:rsidRDefault="00E6710B" w:rsidP="00E6710B">
      <w:pPr>
        <w:spacing w:after="240" w:line="360" w:lineRule="atLeast"/>
        <w:ind w:hanging="720"/>
        <w:rPr>
          <w:rFonts w:ascii="Times New Roman" w:eastAsia="Times New Roman" w:hAnsi="Times New Roman" w:cs="Times New Roman"/>
          <w:color w:val="000000"/>
          <w:kern w:val="0"/>
          <w:lang w:eastAsia="en-GB"/>
          <w14:ligatures w14:val="none"/>
        </w:rPr>
      </w:pPr>
      <w:r w:rsidRPr="00E6710B">
        <w:rPr>
          <w:rFonts w:ascii="Times New Roman" w:eastAsia="Times New Roman" w:hAnsi="Times New Roman" w:cs="Times New Roman"/>
          <w:color w:val="000000"/>
          <w:kern w:val="0"/>
          <w:lang w:eastAsia="en-GB"/>
          <w14:ligatures w14:val="none"/>
        </w:rPr>
        <w:t>King, Margaret L, </w:t>
      </w:r>
      <w:r w:rsidRPr="00E6710B">
        <w:rPr>
          <w:rFonts w:ascii="Times New Roman" w:eastAsia="Times New Roman" w:hAnsi="Times New Roman" w:cs="Times New Roman"/>
          <w:i/>
          <w:iCs/>
          <w:color w:val="000000"/>
          <w:kern w:val="0"/>
          <w:lang w:eastAsia="en-GB"/>
          <w14:ligatures w14:val="none"/>
        </w:rPr>
        <w:t>Renaissance Humanism</w:t>
      </w:r>
      <w:r w:rsidRPr="00E6710B">
        <w:rPr>
          <w:rFonts w:ascii="Times New Roman" w:eastAsia="Times New Roman" w:hAnsi="Times New Roman" w:cs="Times New Roman"/>
          <w:color w:val="000000"/>
          <w:kern w:val="0"/>
          <w:lang w:eastAsia="en-GB"/>
          <w14:ligatures w14:val="none"/>
        </w:rPr>
        <w:t> (Hackett Publishing, 2014), pp. 13–28</w:t>
      </w:r>
    </w:p>
    <w:p w14:paraId="326E7878" w14:textId="77777777" w:rsidR="00E6710B" w:rsidRPr="00E6710B" w:rsidRDefault="00E6710B" w:rsidP="00E6710B">
      <w:pPr>
        <w:spacing w:after="240" w:line="360" w:lineRule="atLeast"/>
        <w:ind w:hanging="720"/>
        <w:rPr>
          <w:rFonts w:ascii="Times New Roman" w:eastAsia="Times New Roman" w:hAnsi="Times New Roman" w:cs="Times New Roman"/>
          <w:color w:val="000000"/>
          <w:kern w:val="0"/>
          <w:lang w:eastAsia="en-GB"/>
          <w14:ligatures w14:val="none"/>
        </w:rPr>
      </w:pPr>
      <w:r w:rsidRPr="00E6710B">
        <w:rPr>
          <w:rFonts w:ascii="Times New Roman" w:eastAsia="Times New Roman" w:hAnsi="Times New Roman" w:cs="Times New Roman"/>
          <w:color w:val="000000"/>
          <w:kern w:val="0"/>
          <w:lang w:eastAsia="en-GB"/>
          <w14:ligatures w14:val="none"/>
        </w:rPr>
        <w:t>Nauret, Jr, Charles G, ‘Humanists, Scientists, and Pliny: Changing Approaches to a Classical Author’, </w:t>
      </w:r>
      <w:r w:rsidRPr="00E6710B">
        <w:rPr>
          <w:rFonts w:ascii="Times New Roman" w:eastAsia="Times New Roman" w:hAnsi="Times New Roman" w:cs="Times New Roman"/>
          <w:i/>
          <w:iCs/>
          <w:color w:val="000000"/>
          <w:kern w:val="0"/>
          <w:lang w:eastAsia="en-GB"/>
          <w14:ligatures w14:val="none"/>
        </w:rPr>
        <w:t>The American Historical Review</w:t>
      </w:r>
      <w:r w:rsidRPr="00E6710B">
        <w:rPr>
          <w:rFonts w:ascii="Times New Roman" w:eastAsia="Times New Roman" w:hAnsi="Times New Roman" w:cs="Times New Roman"/>
          <w:color w:val="000000"/>
          <w:kern w:val="0"/>
          <w:lang w:eastAsia="en-GB"/>
          <w14:ligatures w14:val="none"/>
        </w:rPr>
        <w:t>, 84.1 (1979), 81–85</w:t>
      </w:r>
    </w:p>
    <w:p w14:paraId="53107095" w14:textId="77777777" w:rsidR="00E6710B" w:rsidRPr="00E6710B" w:rsidRDefault="00E6710B" w:rsidP="00E6710B">
      <w:pPr>
        <w:spacing w:after="240" w:line="360" w:lineRule="atLeast"/>
        <w:ind w:hanging="720"/>
        <w:rPr>
          <w:rFonts w:ascii="Times New Roman" w:eastAsia="Times New Roman" w:hAnsi="Times New Roman" w:cs="Times New Roman"/>
          <w:color w:val="000000"/>
          <w:kern w:val="0"/>
          <w:lang w:eastAsia="en-GB"/>
          <w14:ligatures w14:val="none"/>
        </w:rPr>
      </w:pPr>
      <w:r w:rsidRPr="00E6710B">
        <w:rPr>
          <w:rFonts w:ascii="Times New Roman" w:eastAsia="Times New Roman" w:hAnsi="Times New Roman" w:cs="Times New Roman"/>
          <w:color w:val="000000"/>
          <w:kern w:val="0"/>
          <w:lang w:eastAsia="en-GB"/>
          <w14:ligatures w14:val="none"/>
        </w:rPr>
        <w:lastRenderedPageBreak/>
        <w:t>Rebollo, Regina Andres, </w:t>
      </w:r>
      <w:r w:rsidRPr="00E6710B">
        <w:rPr>
          <w:rFonts w:ascii="Times New Roman" w:eastAsia="Times New Roman" w:hAnsi="Times New Roman" w:cs="Times New Roman"/>
          <w:i/>
          <w:iCs/>
          <w:color w:val="000000"/>
          <w:kern w:val="0"/>
          <w:lang w:eastAsia="en-GB"/>
          <w14:ligatures w14:val="none"/>
        </w:rPr>
        <w:t>The Paduan School of Medicine: Medicine and Philosophy in the Modern Era</w:t>
      </w:r>
      <w:r w:rsidRPr="00E6710B">
        <w:rPr>
          <w:rFonts w:ascii="Times New Roman" w:eastAsia="Times New Roman" w:hAnsi="Times New Roman" w:cs="Times New Roman"/>
          <w:color w:val="000000"/>
          <w:kern w:val="0"/>
          <w:lang w:eastAsia="en-GB"/>
          <w14:ligatures w14:val="none"/>
        </w:rPr>
        <w:t>, </w:t>
      </w:r>
      <w:r w:rsidRPr="00E6710B">
        <w:rPr>
          <w:rFonts w:ascii="Times New Roman" w:eastAsia="Times New Roman" w:hAnsi="Times New Roman" w:cs="Times New Roman"/>
          <w:i/>
          <w:iCs/>
          <w:color w:val="000000"/>
          <w:kern w:val="0"/>
          <w:lang w:eastAsia="en-GB"/>
          <w14:ligatures w14:val="none"/>
        </w:rPr>
        <w:t>The Paduan School of Medicine</w:t>
      </w:r>
      <w:r w:rsidRPr="00E6710B">
        <w:rPr>
          <w:rFonts w:ascii="Times New Roman" w:eastAsia="Times New Roman" w:hAnsi="Times New Roman" w:cs="Times New Roman"/>
          <w:color w:val="000000"/>
          <w:kern w:val="0"/>
          <w:lang w:eastAsia="en-GB"/>
          <w14:ligatures w14:val="none"/>
        </w:rPr>
        <w:t>, 2010</w:t>
      </w:r>
    </w:p>
    <w:p w14:paraId="38BBDE91" w14:textId="77777777" w:rsidR="00E6710B" w:rsidRPr="00E6710B" w:rsidRDefault="00E6710B" w:rsidP="00E6710B">
      <w:pPr>
        <w:spacing w:after="240" w:line="360" w:lineRule="atLeast"/>
        <w:ind w:hanging="720"/>
        <w:rPr>
          <w:rFonts w:ascii="Times New Roman" w:eastAsia="Times New Roman" w:hAnsi="Times New Roman" w:cs="Times New Roman"/>
          <w:color w:val="000000"/>
          <w:kern w:val="0"/>
          <w:lang w:eastAsia="en-GB"/>
          <w14:ligatures w14:val="none"/>
        </w:rPr>
      </w:pPr>
      <w:r w:rsidRPr="00E6710B">
        <w:rPr>
          <w:rFonts w:ascii="Times New Roman" w:eastAsia="Times New Roman" w:hAnsi="Times New Roman" w:cs="Times New Roman"/>
          <w:color w:val="000000"/>
          <w:kern w:val="0"/>
          <w:lang w:eastAsia="en-GB"/>
          <w14:ligatures w14:val="none"/>
        </w:rPr>
        <w:t>Rosen, George, </w:t>
      </w:r>
      <w:r w:rsidRPr="00E6710B">
        <w:rPr>
          <w:rFonts w:ascii="Times New Roman" w:eastAsia="Times New Roman" w:hAnsi="Times New Roman" w:cs="Times New Roman"/>
          <w:i/>
          <w:iCs/>
          <w:color w:val="000000"/>
          <w:kern w:val="0"/>
          <w:lang w:eastAsia="en-GB"/>
          <w14:ligatures w14:val="none"/>
        </w:rPr>
        <w:t>A History of Public Health</w:t>
      </w:r>
      <w:r w:rsidRPr="00E6710B">
        <w:rPr>
          <w:rFonts w:ascii="Times New Roman" w:eastAsia="Times New Roman" w:hAnsi="Times New Roman" w:cs="Times New Roman"/>
          <w:color w:val="000000"/>
          <w:kern w:val="0"/>
          <w:lang w:eastAsia="en-GB"/>
          <w14:ligatures w14:val="none"/>
        </w:rPr>
        <w:t> (Baltimore: John Hopkins University Press, 1958), pp. 98–99</w:t>
      </w:r>
    </w:p>
    <w:p w14:paraId="1A5643BC" w14:textId="77777777" w:rsidR="00E6710B" w:rsidRPr="00E6710B" w:rsidRDefault="00E6710B" w:rsidP="00E6710B">
      <w:pPr>
        <w:spacing w:after="240" w:line="360" w:lineRule="atLeast"/>
        <w:ind w:hanging="720"/>
        <w:rPr>
          <w:rFonts w:ascii="Times New Roman" w:eastAsia="Times New Roman" w:hAnsi="Times New Roman" w:cs="Times New Roman"/>
          <w:color w:val="000000"/>
          <w:kern w:val="0"/>
          <w:lang w:eastAsia="en-GB"/>
          <w14:ligatures w14:val="none"/>
        </w:rPr>
      </w:pPr>
      <w:r w:rsidRPr="00E6710B">
        <w:rPr>
          <w:rFonts w:ascii="Times New Roman" w:eastAsia="Times New Roman" w:hAnsi="Times New Roman" w:cs="Times New Roman"/>
          <w:color w:val="000000"/>
          <w:kern w:val="0"/>
          <w:lang w:eastAsia="en-GB"/>
          <w14:ligatures w14:val="none"/>
        </w:rPr>
        <w:t>Showstack, Jonathan, Nicole Lurie, Eric B. Larson, Arlyss Anderson Rothman, and Susan Hassmiller, ‘Primary Care: The next Renaissance’, </w:t>
      </w:r>
      <w:r w:rsidRPr="00E6710B">
        <w:rPr>
          <w:rFonts w:ascii="Times New Roman" w:eastAsia="Times New Roman" w:hAnsi="Times New Roman" w:cs="Times New Roman"/>
          <w:i/>
          <w:iCs/>
          <w:color w:val="000000"/>
          <w:kern w:val="0"/>
          <w:lang w:eastAsia="en-GB"/>
          <w14:ligatures w14:val="none"/>
        </w:rPr>
        <w:t>Annals of Internal Medicine</w:t>
      </w:r>
      <w:r w:rsidRPr="00E6710B">
        <w:rPr>
          <w:rFonts w:ascii="Times New Roman" w:eastAsia="Times New Roman" w:hAnsi="Times New Roman" w:cs="Times New Roman"/>
          <w:color w:val="000000"/>
          <w:kern w:val="0"/>
          <w:lang w:eastAsia="en-GB"/>
          <w14:ligatures w14:val="none"/>
        </w:rPr>
        <w:t>, 138.3 (2003), 268–72 &lt;https://doi.org/10.7326/0003-4819-138-3-200302040-00036&gt;</w:t>
      </w:r>
    </w:p>
    <w:p w14:paraId="7A713BB7" w14:textId="77777777" w:rsidR="00E6710B" w:rsidRPr="00E6710B" w:rsidRDefault="00E6710B" w:rsidP="00E6710B">
      <w:pPr>
        <w:spacing w:after="240" w:line="360" w:lineRule="atLeast"/>
        <w:ind w:hanging="720"/>
        <w:rPr>
          <w:rFonts w:ascii="Times New Roman" w:eastAsia="Times New Roman" w:hAnsi="Times New Roman" w:cs="Times New Roman"/>
          <w:color w:val="000000"/>
          <w:kern w:val="0"/>
          <w:lang w:eastAsia="en-GB"/>
          <w14:ligatures w14:val="none"/>
        </w:rPr>
      </w:pPr>
      <w:r w:rsidRPr="00E6710B">
        <w:rPr>
          <w:rFonts w:ascii="Times New Roman" w:eastAsia="Times New Roman" w:hAnsi="Times New Roman" w:cs="Times New Roman"/>
          <w:color w:val="000000"/>
          <w:kern w:val="0"/>
          <w:lang w:eastAsia="en-GB"/>
          <w14:ligatures w14:val="none"/>
        </w:rPr>
        <w:t>Siraisi, Nancy G, </w:t>
      </w:r>
      <w:r w:rsidRPr="00E6710B">
        <w:rPr>
          <w:rFonts w:ascii="Times New Roman" w:eastAsia="Times New Roman" w:hAnsi="Times New Roman" w:cs="Times New Roman"/>
          <w:i/>
          <w:iCs/>
          <w:color w:val="000000"/>
          <w:kern w:val="0"/>
          <w:lang w:eastAsia="en-GB"/>
          <w14:ligatures w14:val="none"/>
        </w:rPr>
        <w:t>History, Medicine, and the Traditions of Renaissance Learning</w:t>
      </w:r>
      <w:r w:rsidRPr="00E6710B">
        <w:rPr>
          <w:rFonts w:ascii="Times New Roman" w:eastAsia="Times New Roman" w:hAnsi="Times New Roman" w:cs="Times New Roman"/>
          <w:color w:val="000000"/>
          <w:kern w:val="0"/>
          <w:lang w:eastAsia="en-GB"/>
          <w14:ligatures w14:val="none"/>
        </w:rPr>
        <w:t> (Ann Arbor: University of Michigan Press, 2019), pp. 23–24, 25–62, 194–224, 265–67</w:t>
      </w:r>
    </w:p>
    <w:p w14:paraId="650CD310" w14:textId="77777777" w:rsidR="00E6710B" w:rsidRPr="00E6710B" w:rsidRDefault="00E6710B" w:rsidP="00E6710B">
      <w:pPr>
        <w:spacing w:after="240" w:line="360" w:lineRule="atLeast"/>
        <w:ind w:hanging="720"/>
        <w:rPr>
          <w:rFonts w:ascii="Times New Roman" w:eastAsia="Times New Roman" w:hAnsi="Times New Roman" w:cs="Times New Roman"/>
          <w:color w:val="000000"/>
          <w:kern w:val="0"/>
          <w:lang w:eastAsia="en-GB"/>
          <w14:ligatures w14:val="none"/>
        </w:rPr>
      </w:pPr>
      <w:r w:rsidRPr="00E6710B">
        <w:rPr>
          <w:rFonts w:ascii="Times New Roman" w:eastAsia="Times New Roman" w:hAnsi="Times New Roman" w:cs="Times New Roman"/>
          <w:color w:val="000000"/>
          <w:kern w:val="0"/>
          <w:lang w:eastAsia="en-GB"/>
          <w14:ligatures w14:val="none"/>
        </w:rPr>
        <w:t>———, </w:t>
      </w:r>
      <w:r w:rsidRPr="00E6710B">
        <w:rPr>
          <w:rFonts w:ascii="Times New Roman" w:eastAsia="Times New Roman" w:hAnsi="Times New Roman" w:cs="Times New Roman"/>
          <w:i/>
          <w:iCs/>
          <w:color w:val="000000"/>
          <w:kern w:val="0"/>
          <w:lang w:eastAsia="en-GB"/>
          <w14:ligatures w14:val="none"/>
        </w:rPr>
        <w:t>Medieval and Early Renaissance Medicine</w:t>
      </w:r>
      <w:r w:rsidRPr="00E6710B">
        <w:rPr>
          <w:rFonts w:ascii="Times New Roman" w:eastAsia="Times New Roman" w:hAnsi="Times New Roman" w:cs="Times New Roman"/>
          <w:color w:val="000000"/>
          <w:kern w:val="0"/>
          <w:lang w:eastAsia="en-GB"/>
          <w14:ligatures w14:val="none"/>
        </w:rPr>
        <w:t> (University of Chicago Press, 2009), pp. 48–50</w:t>
      </w:r>
    </w:p>
    <w:p w14:paraId="0AF7E7BD" w14:textId="77777777" w:rsidR="00D21A6B" w:rsidRDefault="00D21A6B" w:rsidP="00083D82">
      <w:pPr>
        <w:spacing w:line="480" w:lineRule="auto"/>
        <w:jc w:val="both"/>
        <w:rPr>
          <w:rFonts w:ascii="Times New Roman" w:hAnsi="Times New Roman" w:cs="Times New Roman"/>
        </w:rPr>
      </w:pPr>
    </w:p>
    <w:p w14:paraId="0ADA385E" w14:textId="77777777" w:rsidR="00433581" w:rsidRDefault="00433581" w:rsidP="00083D82">
      <w:pPr>
        <w:spacing w:line="480" w:lineRule="auto"/>
        <w:jc w:val="both"/>
        <w:rPr>
          <w:rFonts w:ascii="Times New Roman" w:hAnsi="Times New Roman" w:cs="Times New Roman"/>
        </w:rPr>
      </w:pPr>
    </w:p>
    <w:p w14:paraId="56A305F3" w14:textId="77777777" w:rsidR="00433581" w:rsidRDefault="00433581" w:rsidP="00083D82">
      <w:pPr>
        <w:spacing w:line="480" w:lineRule="auto"/>
        <w:jc w:val="both"/>
        <w:rPr>
          <w:rFonts w:ascii="Times New Roman" w:hAnsi="Times New Roman" w:cs="Times New Roman"/>
        </w:rPr>
      </w:pPr>
    </w:p>
    <w:p w14:paraId="6B56C82F" w14:textId="77777777" w:rsidR="00433581" w:rsidRDefault="00433581" w:rsidP="00083D82">
      <w:pPr>
        <w:spacing w:line="480" w:lineRule="auto"/>
        <w:jc w:val="both"/>
        <w:rPr>
          <w:rFonts w:ascii="Times New Roman" w:hAnsi="Times New Roman" w:cs="Times New Roman"/>
        </w:rPr>
      </w:pPr>
    </w:p>
    <w:p w14:paraId="79935625" w14:textId="77777777" w:rsidR="00433581" w:rsidRDefault="00433581" w:rsidP="00083D82">
      <w:pPr>
        <w:spacing w:line="480" w:lineRule="auto"/>
        <w:jc w:val="both"/>
        <w:rPr>
          <w:rFonts w:ascii="Times New Roman" w:hAnsi="Times New Roman" w:cs="Times New Roman"/>
        </w:rPr>
      </w:pPr>
    </w:p>
    <w:p w14:paraId="137A75AE" w14:textId="77777777" w:rsidR="00433581" w:rsidRPr="00083D82" w:rsidRDefault="00433581" w:rsidP="00083D82">
      <w:pPr>
        <w:spacing w:line="480" w:lineRule="auto"/>
        <w:jc w:val="both"/>
        <w:rPr>
          <w:rFonts w:ascii="Times New Roman" w:hAnsi="Times New Roman" w:cs="Times New Roman"/>
        </w:rPr>
      </w:pPr>
    </w:p>
    <w:sectPr w:rsidR="00433581" w:rsidRPr="00083D8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3F93C3F" w14:textId="77777777" w:rsidR="00AE619C" w:rsidRDefault="00AE619C" w:rsidP="000873A9">
      <w:r>
        <w:separator/>
      </w:r>
    </w:p>
  </w:endnote>
  <w:endnote w:type="continuationSeparator" w:id="0">
    <w:p w14:paraId="67EE7013" w14:textId="77777777" w:rsidR="00AE619C" w:rsidRDefault="00AE619C" w:rsidP="000873A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4368659" w14:textId="77777777" w:rsidR="00AE619C" w:rsidRDefault="00AE619C" w:rsidP="000873A9">
      <w:r>
        <w:separator/>
      </w:r>
    </w:p>
  </w:footnote>
  <w:footnote w:type="continuationSeparator" w:id="0">
    <w:p w14:paraId="43A74ACC" w14:textId="77777777" w:rsidR="00AE619C" w:rsidRDefault="00AE619C" w:rsidP="000873A9">
      <w:r>
        <w:continuationSeparator/>
      </w:r>
    </w:p>
  </w:footnote>
  <w:footnote w:id="1">
    <w:p w14:paraId="63C61AF6" w14:textId="3EB68818" w:rsidR="000873A9" w:rsidRDefault="000873A9">
      <w:pPr>
        <w:pStyle w:val="FootnoteText"/>
        <w:rPr>
          <w:color w:val="000000"/>
        </w:rPr>
      </w:pPr>
      <w:r>
        <w:rPr>
          <w:rStyle w:val="FootnoteReference"/>
        </w:rPr>
        <w:footnoteRef/>
      </w:r>
      <w:r>
        <w:t xml:space="preserve"> </w:t>
      </w:r>
      <w:r w:rsidR="009B6017">
        <w:rPr>
          <w:color w:val="000000"/>
        </w:rPr>
        <w:t>Christopher S. Celenza,</w:t>
      </w:r>
      <w:r w:rsidR="009B6017">
        <w:rPr>
          <w:rStyle w:val="apple-converted-space"/>
          <w:color w:val="000000"/>
        </w:rPr>
        <w:t> </w:t>
      </w:r>
      <w:r w:rsidR="009B6017">
        <w:rPr>
          <w:i/>
          <w:iCs/>
          <w:color w:val="000000"/>
        </w:rPr>
        <w:t xml:space="preserve">The Intellectual World of the Italian </w:t>
      </w:r>
      <w:r w:rsidR="009B6017">
        <w:rPr>
          <w:i/>
          <w:iCs/>
          <w:color w:val="000000"/>
        </w:rPr>
        <w:t>Renaissance:</w:t>
      </w:r>
      <w:r w:rsidR="009B6017">
        <w:rPr>
          <w:i/>
          <w:iCs/>
          <w:color w:val="000000"/>
        </w:rPr>
        <w:t xml:space="preserve"> Language, Philosophy, and the Search for Meaning</w:t>
      </w:r>
      <w:r w:rsidR="009B6017">
        <w:rPr>
          <w:rStyle w:val="apple-converted-space"/>
          <w:color w:val="000000"/>
        </w:rPr>
        <w:t> </w:t>
      </w:r>
      <w:r w:rsidR="009B6017">
        <w:rPr>
          <w:color w:val="000000"/>
        </w:rPr>
        <w:t>(New York, NY: Cambridge University Press, 2018), pp. 1–16 (pp. 1–16).</w:t>
      </w:r>
    </w:p>
    <w:p w14:paraId="3890B471" w14:textId="77777777" w:rsidR="009A7827" w:rsidRDefault="009A7827">
      <w:pPr>
        <w:pStyle w:val="FootnoteText"/>
      </w:pPr>
    </w:p>
  </w:footnote>
  <w:footnote w:id="2">
    <w:p w14:paraId="45F1A987" w14:textId="4D83FC3F" w:rsidR="004F5285" w:rsidRDefault="004F5285">
      <w:pPr>
        <w:pStyle w:val="FootnoteText"/>
        <w:rPr>
          <w:color w:val="000000"/>
        </w:rPr>
      </w:pPr>
      <w:r>
        <w:rPr>
          <w:rStyle w:val="FootnoteReference"/>
        </w:rPr>
        <w:footnoteRef/>
      </w:r>
      <w:r>
        <w:t xml:space="preserve"> </w:t>
      </w:r>
      <w:r w:rsidR="009A7827">
        <w:rPr>
          <w:color w:val="000000"/>
        </w:rPr>
        <w:t>Robert Grudin, ‘Humanism | Definition, Principles, History, &amp; Influence’,</w:t>
      </w:r>
      <w:r w:rsidR="009A7827">
        <w:rPr>
          <w:rStyle w:val="apple-converted-space"/>
          <w:color w:val="000000"/>
        </w:rPr>
        <w:t> </w:t>
      </w:r>
      <w:r w:rsidR="009A7827">
        <w:rPr>
          <w:i/>
          <w:iCs/>
          <w:color w:val="000000"/>
        </w:rPr>
        <w:t>Encyclopædia Britannica</w:t>
      </w:r>
      <w:r w:rsidR="009A7827">
        <w:rPr>
          <w:color w:val="000000"/>
        </w:rPr>
        <w:t>, 2019 &lt;</w:t>
      </w:r>
      <w:hyperlink r:id="rId1" w:history="1">
        <w:r w:rsidR="009A7827">
          <w:rPr>
            <w:rStyle w:val="Hyperlink"/>
          </w:rPr>
          <w:t>https://www.britannica.com/topic/humanism</w:t>
        </w:r>
      </w:hyperlink>
      <w:r w:rsidR="009A7827">
        <w:rPr>
          <w:color w:val="000000"/>
        </w:rPr>
        <w:t>&gt; [accessed 8 February 2024].</w:t>
      </w:r>
    </w:p>
    <w:p w14:paraId="68075CF8" w14:textId="77777777" w:rsidR="009A7827" w:rsidRDefault="009A7827">
      <w:pPr>
        <w:pStyle w:val="FootnoteText"/>
      </w:pPr>
    </w:p>
  </w:footnote>
  <w:footnote w:id="3">
    <w:p w14:paraId="6BE69ABE" w14:textId="46AE94D9" w:rsidR="00CF7AF6" w:rsidRDefault="00CF7AF6">
      <w:pPr>
        <w:pStyle w:val="FootnoteText"/>
      </w:pPr>
      <w:r>
        <w:rPr>
          <w:rStyle w:val="FootnoteReference"/>
        </w:rPr>
        <w:footnoteRef/>
      </w:r>
      <w:r>
        <w:t xml:space="preserve"> </w:t>
      </w:r>
      <w:r>
        <w:rPr>
          <w:color w:val="000000"/>
        </w:rPr>
        <w:t>Margaret L King,</w:t>
      </w:r>
      <w:r>
        <w:rPr>
          <w:rStyle w:val="apple-converted-space"/>
          <w:color w:val="000000"/>
        </w:rPr>
        <w:t> </w:t>
      </w:r>
      <w:r>
        <w:rPr>
          <w:i/>
          <w:iCs/>
          <w:color w:val="000000"/>
        </w:rPr>
        <w:t>Renaissance Humanism</w:t>
      </w:r>
      <w:r>
        <w:rPr>
          <w:rStyle w:val="apple-converted-space"/>
          <w:color w:val="000000"/>
        </w:rPr>
        <w:t> </w:t>
      </w:r>
      <w:r>
        <w:rPr>
          <w:color w:val="000000"/>
        </w:rPr>
        <w:t>(Hackett Publishing, 2014), pp. 13–28 (pp. 13–28).</w:t>
      </w:r>
    </w:p>
  </w:footnote>
  <w:footnote w:id="4">
    <w:p w14:paraId="400F78AF" w14:textId="53FD8593" w:rsidR="00681CC4" w:rsidRDefault="00681CC4">
      <w:pPr>
        <w:pStyle w:val="FootnoteText"/>
      </w:pPr>
      <w:r>
        <w:rPr>
          <w:rStyle w:val="FootnoteReference"/>
        </w:rPr>
        <w:footnoteRef/>
      </w:r>
      <w:r>
        <w:t xml:space="preserve"> </w:t>
      </w:r>
      <w:r>
        <w:rPr>
          <w:color w:val="000000"/>
        </w:rPr>
        <w:t>Chiara Thumiger,</w:t>
      </w:r>
      <w:r>
        <w:rPr>
          <w:rStyle w:val="apple-converted-space"/>
          <w:color w:val="000000"/>
        </w:rPr>
        <w:t> </w:t>
      </w:r>
      <w:r>
        <w:rPr>
          <w:i/>
          <w:iCs/>
          <w:color w:val="000000"/>
        </w:rPr>
        <w:t>Holism in Ancient Medicine and Its Reception</w:t>
      </w:r>
      <w:r>
        <w:rPr>
          <w:rStyle w:val="apple-converted-space"/>
          <w:color w:val="000000"/>
        </w:rPr>
        <w:t> </w:t>
      </w:r>
      <w:r>
        <w:rPr>
          <w:color w:val="000000"/>
        </w:rPr>
        <w:t>(</w:t>
      </w:r>
      <w:r w:rsidR="00C14FCF">
        <w:rPr>
          <w:color w:val="000000"/>
        </w:rPr>
        <w:t>Leiden;</w:t>
      </w:r>
      <w:r>
        <w:rPr>
          <w:color w:val="000000"/>
        </w:rPr>
        <w:t xml:space="preserve"> Boston: Brill, 2021), pp. 113–32 (pp. 113–32).</w:t>
      </w:r>
    </w:p>
  </w:footnote>
  <w:footnote w:id="5">
    <w:p w14:paraId="49146333" w14:textId="420BED1D" w:rsidR="00925283" w:rsidRDefault="00925283">
      <w:pPr>
        <w:pStyle w:val="FootnoteText"/>
        <w:rPr>
          <w:color w:val="000000"/>
        </w:rPr>
      </w:pPr>
      <w:r>
        <w:rPr>
          <w:rStyle w:val="FootnoteReference"/>
        </w:rPr>
        <w:footnoteRef/>
      </w:r>
      <w:r>
        <w:t xml:space="preserve"> </w:t>
      </w:r>
      <w:r>
        <w:rPr>
          <w:color w:val="000000"/>
        </w:rPr>
        <w:t>Regina Andres Rebollo,</w:t>
      </w:r>
      <w:r>
        <w:rPr>
          <w:rStyle w:val="apple-converted-space"/>
          <w:color w:val="000000"/>
        </w:rPr>
        <w:t> </w:t>
      </w:r>
      <w:r>
        <w:rPr>
          <w:i/>
          <w:iCs/>
          <w:color w:val="000000"/>
        </w:rPr>
        <w:t>The Paduan School of Medicine: Medicine and Philosophy in the Modern Era</w:t>
      </w:r>
      <w:r>
        <w:rPr>
          <w:color w:val="000000"/>
        </w:rPr>
        <w:t>,</w:t>
      </w:r>
      <w:r>
        <w:rPr>
          <w:rStyle w:val="apple-converted-space"/>
          <w:color w:val="000000"/>
        </w:rPr>
        <w:t> </w:t>
      </w:r>
      <w:r>
        <w:rPr>
          <w:i/>
          <w:iCs/>
          <w:color w:val="000000"/>
        </w:rPr>
        <w:t>The Paduan School of Medicine</w:t>
      </w:r>
      <w:r>
        <w:rPr>
          <w:color w:val="000000"/>
        </w:rPr>
        <w:t>, 2010.</w:t>
      </w:r>
    </w:p>
    <w:p w14:paraId="7CB4C234" w14:textId="77777777" w:rsidR="00925283" w:rsidRDefault="00925283">
      <w:pPr>
        <w:pStyle w:val="FootnoteText"/>
      </w:pPr>
    </w:p>
  </w:footnote>
  <w:footnote w:id="6">
    <w:p w14:paraId="6C7D1EC4" w14:textId="77777777" w:rsidR="00174B0F" w:rsidRDefault="00174B0F" w:rsidP="00174B0F">
      <w:pPr>
        <w:pStyle w:val="FootnoteText"/>
      </w:pPr>
      <w:r>
        <w:rPr>
          <w:rStyle w:val="FootnoteReference"/>
        </w:rPr>
        <w:footnoteRef/>
      </w:r>
      <w:r>
        <w:t xml:space="preserve"> </w:t>
      </w:r>
      <w:r>
        <w:rPr>
          <w:color w:val="000000"/>
        </w:rPr>
        <w:t>Nancy G Siraisi,</w:t>
      </w:r>
      <w:r>
        <w:rPr>
          <w:rStyle w:val="apple-converted-space"/>
          <w:color w:val="000000"/>
        </w:rPr>
        <w:t> </w:t>
      </w:r>
      <w:r>
        <w:rPr>
          <w:i/>
          <w:iCs/>
          <w:color w:val="000000"/>
        </w:rPr>
        <w:t>Medieval and Early Renaissance Medicine</w:t>
      </w:r>
      <w:r>
        <w:rPr>
          <w:rStyle w:val="apple-converted-space"/>
          <w:color w:val="000000"/>
        </w:rPr>
        <w:t> </w:t>
      </w:r>
      <w:r>
        <w:rPr>
          <w:color w:val="000000"/>
        </w:rPr>
        <w:t>(University of Chicago Press, 2009), pp. 48–50 (pp. 48–50).</w:t>
      </w:r>
    </w:p>
  </w:footnote>
  <w:footnote w:id="7">
    <w:p w14:paraId="24855167" w14:textId="2F4E7E35" w:rsidR="0071748B" w:rsidRDefault="0071748B">
      <w:pPr>
        <w:pStyle w:val="FootnoteText"/>
        <w:rPr>
          <w:color w:val="000000"/>
        </w:rPr>
      </w:pPr>
      <w:r>
        <w:rPr>
          <w:rStyle w:val="FootnoteReference"/>
        </w:rPr>
        <w:footnoteRef/>
      </w:r>
      <w:r>
        <w:t xml:space="preserve"> </w:t>
      </w:r>
      <w:r>
        <w:rPr>
          <w:color w:val="000000"/>
        </w:rPr>
        <w:t>James S Gordon, ‘Holistic Medicine: Advances and Shortcomings’,</w:t>
      </w:r>
      <w:r>
        <w:rPr>
          <w:rStyle w:val="apple-converted-space"/>
          <w:color w:val="000000"/>
        </w:rPr>
        <w:t> </w:t>
      </w:r>
      <w:r>
        <w:rPr>
          <w:i/>
          <w:iCs/>
          <w:color w:val="000000"/>
        </w:rPr>
        <w:t>Wester Journal of Medicine</w:t>
      </w:r>
      <w:r>
        <w:rPr>
          <w:color w:val="000000"/>
        </w:rPr>
        <w:t>, 6.136 (1982), 546–51.</w:t>
      </w:r>
    </w:p>
    <w:p w14:paraId="0F76A07C" w14:textId="77777777" w:rsidR="0071748B" w:rsidRDefault="0071748B">
      <w:pPr>
        <w:pStyle w:val="FootnoteText"/>
      </w:pPr>
    </w:p>
  </w:footnote>
  <w:footnote w:id="8">
    <w:p w14:paraId="20C1F0FB" w14:textId="77777777" w:rsidR="00F103B8" w:rsidRDefault="00F103B8" w:rsidP="00F103B8">
      <w:pPr>
        <w:pStyle w:val="FootnoteText"/>
      </w:pPr>
      <w:r>
        <w:rPr>
          <w:rStyle w:val="FootnoteReference"/>
        </w:rPr>
        <w:footnoteRef/>
      </w:r>
      <w:r>
        <w:t xml:space="preserve"> </w:t>
      </w:r>
      <w:r>
        <w:rPr>
          <w:color w:val="000000"/>
        </w:rPr>
        <w:t>Nancy G Siraisi,</w:t>
      </w:r>
      <w:r>
        <w:rPr>
          <w:rStyle w:val="apple-converted-space"/>
          <w:color w:val="000000"/>
        </w:rPr>
        <w:t> </w:t>
      </w:r>
      <w:r>
        <w:rPr>
          <w:i/>
          <w:iCs/>
          <w:color w:val="000000"/>
        </w:rPr>
        <w:t>History, Medicine, and the Traditions of Renaissance Learning</w:t>
      </w:r>
      <w:r>
        <w:rPr>
          <w:rStyle w:val="apple-converted-space"/>
          <w:color w:val="000000"/>
        </w:rPr>
        <w:t> </w:t>
      </w:r>
      <w:r>
        <w:rPr>
          <w:color w:val="000000"/>
        </w:rPr>
        <w:t>(Ann Arbor: University of Michigan Press, 2019), pp. 23–24, 25–62, 194–224, 265–67 (pp. 23–24, 25–62, 194–224, 265–67).</w:t>
      </w:r>
    </w:p>
  </w:footnote>
  <w:footnote w:id="9">
    <w:p w14:paraId="026D1186" w14:textId="77777777" w:rsidR="005D77C9" w:rsidRDefault="005D77C9" w:rsidP="005D77C9">
      <w:pPr>
        <w:pStyle w:val="FootnoteText"/>
        <w:rPr>
          <w:color w:val="000000"/>
        </w:rPr>
      </w:pPr>
      <w:r>
        <w:rPr>
          <w:rStyle w:val="FootnoteReference"/>
        </w:rPr>
        <w:footnoteRef/>
      </w:r>
      <w:r>
        <w:t xml:space="preserve"> </w:t>
      </w:r>
      <w:r>
        <w:rPr>
          <w:color w:val="000000"/>
        </w:rPr>
        <w:t>Ludwig Edelstein, ‘Andreas Vesalius, the Humanist’,</w:t>
      </w:r>
      <w:r>
        <w:rPr>
          <w:rStyle w:val="apple-converted-space"/>
          <w:color w:val="000000"/>
        </w:rPr>
        <w:t> </w:t>
      </w:r>
      <w:r>
        <w:rPr>
          <w:i/>
          <w:iCs/>
          <w:color w:val="000000"/>
        </w:rPr>
        <w:t>Bulletin of the History of Medicine</w:t>
      </w:r>
      <w:r>
        <w:rPr>
          <w:color w:val="000000"/>
        </w:rPr>
        <w:t>, 14.5 (1943), 547–61.</w:t>
      </w:r>
    </w:p>
    <w:p w14:paraId="2D45F589" w14:textId="77777777" w:rsidR="005D77C9" w:rsidRDefault="005D77C9" w:rsidP="005D77C9">
      <w:pPr>
        <w:pStyle w:val="FootnoteText"/>
      </w:pPr>
    </w:p>
  </w:footnote>
  <w:footnote w:id="10">
    <w:p w14:paraId="6FE9478D" w14:textId="77777777" w:rsidR="005D77C9" w:rsidRDefault="005D77C9" w:rsidP="005D77C9">
      <w:pPr>
        <w:pStyle w:val="FootnoteText"/>
      </w:pPr>
      <w:r>
        <w:rPr>
          <w:rStyle w:val="FootnoteReference"/>
        </w:rPr>
        <w:footnoteRef/>
      </w:r>
      <w:r>
        <w:t xml:space="preserve"> </w:t>
      </w:r>
      <w:r>
        <w:rPr>
          <w:color w:val="000000"/>
        </w:rPr>
        <w:t>James S Ackerman, ‘Leonardo Da Vinci: Art in Science’,</w:t>
      </w:r>
      <w:r>
        <w:rPr>
          <w:rStyle w:val="apple-converted-space"/>
          <w:color w:val="000000"/>
        </w:rPr>
        <w:t> </w:t>
      </w:r>
      <w:r>
        <w:rPr>
          <w:i/>
          <w:iCs/>
          <w:color w:val="000000"/>
        </w:rPr>
        <w:t>Daedalus</w:t>
      </w:r>
      <w:r>
        <w:rPr>
          <w:color w:val="000000"/>
        </w:rPr>
        <w:t>, 127.1 (1998), 207–24.</w:t>
      </w:r>
    </w:p>
  </w:footnote>
  <w:footnote w:id="11">
    <w:p w14:paraId="638B0144" w14:textId="0A6241F4" w:rsidR="00F658BD" w:rsidRDefault="00F658BD">
      <w:pPr>
        <w:pStyle w:val="FootnoteText"/>
        <w:rPr>
          <w:color w:val="000000"/>
        </w:rPr>
      </w:pPr>
      <w:r>
        <w:rPr>
          <w:rStyle w:val="FootnoteReference"/>
        </w:rPr>
        <w:footnoteRef/>
      </w:r>
      <w:r>
        <w:t xml:space="preserve"> </w:t>
      </w:r>
      <w:r w:rsidR="00B8079C">
        <w:rPr>
          <w:color w:val="000000"/>
        </w:rPr>
        <w:t>Charles G Nauret, Jr, ‘Humanists, Scientists, and Pliny: Changing Approaches to a Classical Author’,</w:t>
      </w:r>
      <w:r w:rsidR="00B8079C">
        <w:rPr>
          <w:rStyle w:val="apple-converted-space"/>
          <w:color w:val="000000"/>
        </w:rPr>
        <w:t> </w:t>
      </w:r>
      <w:r w:rsidR="00B8079C">
        <w:rPr>
          <w:i/>
          <w:iCs/>
          <w:color w:val="000000"/>
        </w:rPr>
        <w:t>The American Historical Review</w:t>
      </w:r>
      <w:r w:rsidR="00B8079C">
        <w:rPr>
          <w:color w:val="000000"/>
        </w:rPr>
        <w:t>, 84.1 (1979), 81–85.</w:t>
      </w:r>
    </w:p>
    <w:p w14:paraId="7ABAB9F1" w14:textId="77777777" w:rsidR="008F3AE4" w:rsidRDefault="008F3AE4">
      <w:pPr>
        <w:pStyle w:val="FootnoteText"/>
      </w:pPr>
    </w:p>
  </w:footnote>
  <w:footnote w:id="12">
    <w:p w14:paraId="7B3C642A" w14:textId="6DAC0B40" w:rsidR="009171E5" w:rsidRDefault="009171E5">
      <w:pPr>
        <w:pStyle w:val="FootnoteText"/>
        <w:rPr>
          <w:color w:val="000000"/>
        </w:rPr>
      </w:pPr>
      <w:r>
        <w:rPr>
          <w:rStyle w:val="FootnoteReference"/>
        </w:rPr>
        <w:footnoteRef/>
      </w:r>
      <w:r>
        <w:t xml:space="preserve"> </w:t>
      </w:r>
      <w:r>
        <w:rPr>
          <w:color w:val="000000"/>
        </w:rPr>
        <w:t>George Rosen,</w:t>
      </w:r>
      <w:r>
        <w:rPr>
          <w:rStyle w:val="apple-converted-space"/>
          <w:color w:val="000000"/>
        </w:rPr>
        <w:t> </w:t>
      </w:r>
      <w:r>
        <w:rPr>
          <w:i/>
          <w:iCs/>
          <w:color w:val="000000"/>
        </w:rPr>
        <w:t>A History of Public Health</w:t>
      </w:r>
      <w:r>
        <w:rPr>
          <w:rStyle w:val="apple-converted-space"/>
          <w:color w:val="000000"/>
        </w:rPr>
        <w:t> </w:t>
      </w:r>
      <w:r>
        <w:rPr>
          <w:color w:val="000000"/>
        </w:rPr>
        <w:t>(Baltimore: John Hopkins University Press, 1958), pp. 98–99.</w:t>
      </w:r>
    </w:p>
    <w:p w14:paraId="0EE8C15B" w14:textId="77777777" w:rsidR="009171E5" w:rsidRDefault="009171E5">
      <w:pPr>
        <w:pStyle w:val="FootnoteText"/>
      </w:pPr>
    </w:p>
  </w:footnote>
  <w:footnote w:id="13">
    <w:p w14:paraId="3815B7A2" w14:textId="33F3D5D5" w:rsidR="00CC0272" w:rsidRDefault="00CC0272">
      <w:pPr>
        <w:pStyle w:val="FootnoteText"/>
        <w:rPr>
          <w:color w:val="000000"/>
        </w:rPr>
      </w:pPr>
      <w:r>
        <w:rPr>
          <w:rStyle w:val="FootnoteReference"/>
        </w:rPr>
        <w:footnoteRef/>
      </w:r>
      <w:r>
        <w:t xml:space="preserve"> </w:t>
      </w:r>
      <w:r w:rsidR="00463B52">
        <w:rPr>
          <w:color w:val="000000"/>
        </w:rPr>
        <w:t>Stephen Bertman, ‘Pursuing Humanistic Medicine in a Technological Age’,</w:t>
      </w:r>
      <w:r w:rsidR="00463B52">
        <w:rPr>
          <w:rStyle w:val="apple-converted-space"/>
          <w:color w:val="000000"/>
        </w:rPr>
        <w:t> </w:t>
      </w:r>
      <w:r w:rsidR="00463B52">
        <w:rPr>
          <w:i/>
          <w:iCs/>
          <w:color w:val="000000"/>
        </w:rPr>
        <w:t>Journal of Patient Experience</w:t>
      </w:r>
      <w:r w:rsidR="00463B52">
        <w:rPr>
          <w:color w:val="000000"/>
        </w:rPr>
        <w:t>, 4.2 (2017), 57–60 &lt;</w:t>
      </w:r>
      <w:hyperlink r:id="rId2" w:history="1">
        <w:r w:rsidR="00463B52">
          <w:rPr>
            <w:rStyle w:val="Hyperlink"/>
          </w:rPr>
          <w:t>https://doi.org/10.1177/2374373517699269</w:t>
        </w:r>
      </w:hyperlink>
      <w:r w:rsidR="00463B52">
        <w:rPr>
          <w:color w:val="000000"/>
        </w:rPr>
        <w:t>&gt;.</w:t>
      </w:r>
    </w:p>
    <w:p w14:paraId="56A3E674" w14:textId="77777777" w:rsidR="00CC0272" w:rsidRDefault="00CC0272">
      <w:pPr>
        <w:pStyle w:val="FootnoteText"/>
      </w:pPr>
    </w:p>
  </w:footnote>
  <w:footnote w:id="14">
    <w:p w14:paraId="5ACF3169" w14:textId="061DAA78" w:rsidR="000D601C" w:rsidRDefault="000D601C">
      <w:pPr>
        <w:pStyle w:val="FootnoteText"/>
        <w:rPr>
          <w:color w:val="000000"/>
        </w:rPr>
      </w:pPr>
      <w:r>
        <w:rPr>
          <w:rStyle w:val="FootnoteReference"/>
        </w:rPr>
        <w:footnoteRef/>
      </w:r>
      <w:r>
        <w:t xml:space="preserve"> </w:t>
      </w:r>
      <w:r>
        <w:rPr>
          <w:color w:val="000000"/>
        </w:rPr>
        <w:t>Anne Fadiman, ‘“The Spirit Catches You and You Fall Down”: Epilepsy and the Hmong’,</w:t>
      </w:r>
      <w:r>
        <w:rPr>
          <w:rStyle w:val="apple-converted-space"/>
          <w:color w:val="000000"/>
        </w:rPr>
        <w:t> </w:t>
      </w:r>
      <w:r>
        <w:rPr>
          <w:i/>
          <w:iCs/>
          <w:color w:val="000000"/>
        </w:rPr>
        <w:t xml:space="preserve">Epilepsy &amp; </w:t>
      </w:r>
      <w:r>
        <w:rPr>
          <w:i/>
          <w:iCs/>
          <w:color w:val="000000"/>
        </w:rPr>
        <w:t>Behaviour</w:t>
      </w:r>
      <w:r>
        <w:rPr>
          <w:color w:val="000000"/>
        </w:rPr>
        <w:t>, 1.1 (2000), S3–8 &lt;</w:t>
      </w:r>
      <w:hyperlink r:id="rId3" w:history="1">
        <w:r>
          <w:rPr>
            <w:rStyle w:val="Hyperlink"/>
          </w:rPr>
          <w:t>https://doi.org/10.1006/ebeh.2000.0037</w:t>
        </w:r>
      </w:hyperlink>
      <w:r>
        <w:rPr>
          <w:color w:val="000000"/>
        </w:rPr>
        <w:t>&gt;.</w:t>
      </w:r>
    </w:p>
    <w:p w14:paraId="16A0AF00" w14:textId="77777777" w:rsidR="00CC0272" w:rsidRDefault="00CC0272">
      <w:pPr>
        <w:pStyle w:val="FootnoteText"/>
      </w:pPr>
    </w:p>
  </w:footnote>
  <w:footnote w:id="15">
    <w:p w14:paraId="0E7B3450" w14:textId="536279F8" w:rsidR="000966A5" w:rsidRDefault="000966A5">
      <w:pPr>
        <w:pStyle w:val="FootnoteText"/>
        <w:rPr>
          <w:color w:val="000000"/>
        </w:rPr>
      </w:pPr>
      <w:r>
        <w:rPr>
          <w:rStyle w:val="FootnoteReference"/>
        </w:rPr>
        <w:footnoteRef/>
      </w:r>
      <w:r>
        <w:t xml:space="preserve"> </w:t>
      </w:r>
      <w:r w:rsidR="00282965">
        <w:rPr>
          <w:color w:val="000000"/>
        </w:rPr>
        <w:t>Helen King,</w:t>
      </w:r>
      <w:r w:rsidR="00282965">
        <w:rPr>
          <w:rStyle w:val="apple-converted-space"/>
          <w:color w:val="000000"/>
        </w:rPr>
        <w:t> </w:t>
      </w:r>
      <w:r w:rsidR="00282965">
        <w:rPr>
          <w:i/>
          <w:iCs/>
          <w:color w:val="000000"/>
        </w:rPr>
        <w:t xml:space="preserve">Hippocrates </w:t>
      </w:r>
      <w:r w:rsidR="00282965">
        <w:rPr>
          <w:i/>
          <w:iCs/>
          <w:color w:val="000000"/>
        </w:rPr>
        <w:t>Now:</w:t>
      </w:r>
      <w:r w:rsidR="00282965">
        <w:rPr>
          <w:i/>
          <w:iCs/>
          <w:color w:val="000000"/>
        </w:rPr>
        <w:t xml:space="preserve"> The ‘Father of Medicine’ in the Internet Age</w:t>
      </w:r>
      <w:r w:rsidR="00282965">
        <w:rPr>
          <w:rStyle w:val="apple-converted-space"/>
          <w:color w:val="000000"/>
        </w:rPr>
        <w:t> </w:t>
      </w:r>
      <w:r w:rsidR="00282965">
        <w:rPr>
          <w:color w:val="000000"/>
        </w:rPr>
        <w:t>(</w:t>
      </w:r>
      <w:r w:rsidR="008A01D0">
        <w:rPr>
          <w:color w:val="000000"/>
        </w:rPr>
        <w:t>London;</w:t>
      </w:r>
      <w:r w:rsidR="00282965">
        <w:rPr>
          <w:color w:val="000000"/>
        </w:rPr>
        <w:t xml:space="preserve"> New York, Ny: Bloomsbury Academic, 2019), pp. 133–54 (pp. 133–54).</w:t>
      </w:r>
    </w:p>
    <w:p w14:paraId="47BF10F5" w14:textId="77777777" w:rsidR="0079621F" w:rsidRDefault="0079621F">
      <w:pPr>
        <w:pStyle w:val="FootnoteText"/>
      </w:pPr>
    </w:p>
  </w:footnote>
  <w:footnote w:id="16">
    <w:p w14:paraId="2C525AA9" w14:textId="460F83C7" w:rsidR="00CC0272" w:rsidRDefault="00CC0272">
      <w:pPr>
        <w:pStyle w:val="FootnoteText"/>
      </w:pPr>
      <w:r>
        <w:rPr>
          <w:rStyle w:val="FootnoteReference"/>
        </w:rPr>
        <w:footnoteRef/>
      </w:r>
      <w:r>
        <w:t xml:space="preserve"> </w:t>
      </w:r>
      <w:r>
        <w:rPr>
          <w:color w:val="000000"/>
        </w:rPr>
        <w:t>Mohey Hulail, ‘Humanism in Medicine Practice: What, Why and How?’,</w:t>
      </w:r>
      <w:r>
        <w:rPr>
          <w:rStyle w:val="apple-converted-space"/>
          <w:color w:val="000000"/>
        </w:rPr>
        <w:t> </w:t>
      </w:r>
      <w:r>
        <w:rPr>
          <w:i/>
          <w:iCs/>
          <w:color w:val="000000"/>
        </w:rPr>
        <w:t>World Journal of Medical Education and Research: An Official Publication of the Education and Research Division of Doctors Academy</w:t>
      </w:r>
      <w:r>
        <w:rPr>
          <w:color w:val="000000"/>
        </w:rPr>
        <w:t>, 20.1 (2019), 2–5 &lt;</w:t>
      </w:r>
      <w:hyperlink r:id="rId4" w:history="1">
        <w:r>
          <w:rPr>
            <w:rStyle w:val="Hyperlink"/>
          </w:rPr>
          <w:t>https://www.wjmer.co.uk/library/downloads/articles/1568024834.pdf</w:t>
        </w:r>
      </w:hyperlink>
      <w:r>
        <w:rPr>
          <w:color w:val="000000"/>
        </w:rPr>
        <w:t>&gt; [accessed 8 February 2024].</w:t>
      </w:r>
    </w:p>
  </w:footnote>
  <w:footnote w:id="17">
    <w:p w14:paraId="72CC2F87" w14:textId="1C8622A0" w:rsidR="00DA531D" w:rsidRDefault="00DA531D">
      <w:pPr>
        <w:pStyle w:val="FootnoteText"/>
      </w:pPr>
      <w:r>
        <w:rPr>
          <w:rStyle w:val="FootnoteReference"/>
        </w:rPr>
        <w:footnoteRef/>
      </w:r>
      <w:r>
        <w:t xml:space="preserve"> </w:t>
      </w:r>
      <w:r>
        <w:rPr>
          <w:color w:val="000000"/>
        </w:rPr>
        <w:t>Andrea A Conti, ‘The Anatomical and Historical Background of Surgery: Major Surgical Achievements during the Middle Ages and the Renaissance’,</w:t>
      </w:r>
      <w:r>
        <w:rPr>
          <w:rStyle w:val="apple-converted-space"/>
          <w:color w:val="000000"/>
        </w:rPr>
        <w:t> </w:t>
      </w:r>
      <w:r>
        <w:rPr>
          <w:i/>
          <w:iCs/>
          <w:color w:val="000000"/>
        </w:rPr>
        <w:t>Italian Journal of Anatomy and Embryology</w:t>
      </w:r>
      <w:r>
        <w:rPr>
          <w:color w:val="000000"/>
        </w:rPr>
        <w:t>, 124.2 (2019), 210–13 &lt;</w:t>
      </w:r>
      <w:hyperlink r:id="rId5" w:history="1">
        <w:r>
          <w:rPr>
            <w:rStyle w:val="Hyperlink"/>
          </w:rPr>
          <w:t>https://doi.org/10.13128/ijae</w:t>
        </w:r>
      </w:hyperlink>
      <w:r>
        <w:rPr>
          <w:color w:val="000000"/>
        </w:rPr>
        <w:t>&gt;.</w:t>
      </w:r>
    </w:p>
  </w:footnote>
  <w:footnote w:id="18">
    <w:p w14:paraId="3E737CF3" w14:textId="4EB3C3C8" w:rsidR="00C34AEC" w:rsidRDefault="00C34AEC">
      <w:pPr>
        <w:pStyle w:val="FootnoteText"/>
      </w:pPr>
      <w:r>
        <w:rPr>
          <w:rStyle w:val="FootnoteReference"/>
        </w:rPr>
        <w:footnoteRef/>
      </w:r>
      <w:r>
        <w:t xml:space="preserve"> </w:t>
      </w:r>
      <w:r>
        <w:rPr>
          <w:color w:val="000000"/>
        </w:rPr>
        <w:t xml:space="preserve">Jonathan </w:t>
      </w:r>
      <w:r>
        <w:rPr>
          <w:color w:val="000000"/>
        </w:rPr>
        <w:t>Showstack and others, ‘Primary Care: The next Renaissance’,</w:t>
      </w:r>
      <w:r>
        <w:rPr>
          <w:rStyle w:val="apple-converted-space"/>
          <w:color w:val="000000"/>
        </w:rPr>
        <w:t> </w:t>
      </w:r>
      <w:r>
        <w:rPr>
          <w:i/>
          <w:iCs/>
          <w:color w:val="000000"/>
        </w:rPr>
        <w:t>Annals of Internal Medicine</w:t>
      </w:r>
      <w:r>
        <w:rPr>
          <w:color w:val="000000"/>
        </w:rPr>
        <w:t>, 138.3 (2003), 268–72 &lt;</w:t>
      </w:r>
      <w:hyperlink r:id="rId6" w:history="1">
        <w:r>
          <w:rPr>
            <w:rStyle w:val="Hyperlink"/>
          </w:rPr>
          <w:t>https://doi.org/10.7326/0003-4819-138-3-200302040-00036</w:t>
        </w:r>
      </w:hyperlink>
      <w:r>
        <w:rPr>
          <w:color w:val="000000"/>
        </w:rPr>
        <w:t>&gt;.</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23DE9"/>
    <w:rsid w:val="00055BA1"/>
    <w:rsid w:val="00062A51"/>
    <w:rsid w:val="00076339"/>
    <w:rsid w:val="00083D82"/>
    <w:rsid w:val="000873A9"/>
    <w:rsid w:val="000920CF"/>
    <w:rsid w:val="000966A5"/>
    <w:rsid w:val="000A0884"/>
    <w:rsid w:val="000B6721"/>
    <w:rsid w:val="000D601C"/>
    <w:rsid w:val="000F41C0"/>
    <w:rsid w:val="00102222"/>
    <w:rsid w:val="00111713"/>
    <w:rsid w:val="00124C83"/>
    <w:rsid w:val="00163137"/>
    <w:rsid w:val="0017030B"/>
    <w:rsid w:val="00174B0F"/>
    <w:rsid w:val="0019655F"/>
    <w:rsid w:val="001F01DA"/>
    <w:rsid w:val="001F53F7"/>
    <w:rsid w:val="00224948"/>
    <w:rsid w:val="00277FB7"/>
    <w:rsid w:val="002826C6"/>
    <w:rsid w:val="00282965"/>
    <w:rsid w:val="0029184C"/>
    <w:rsid w:val="002C2B75"/>
    <w:rsid w:val="002E6356"/>
    <w:rsid w:val="00302C1F"/>
    <w:rsid w:val="003221A8"/>
    <w:rsid w:val="00323DE9"/>
    <w:rsid w:val="00330612"/>
    <w:rsid w:val="003331DB"/>
    <w:rsid w:val="0035631B"/>
    <w:rsid w:val="00364A45"/>
    <w:rsid w:val="003A4032"/>
    <w:rsid w:val="003D48E2"/>
    <w:rsid w:val="003D6C36"/>
    <w:rsid w:val="003D7807"/>
    <w:rsid w:val="003E6BB1"/>
    <w:rsid w:val="003E7E76"/>
    <w:rsid w:val="003F5EC8"/>
    <w:rsid w:val="00413B3A"/>
    <w:rsid w:val="00433581"/>
    <w:rsid w:val="00460E7C"/>
    <w:rsid w:val="00463B52"/>
    <w:rsid w:val="004711E5"/>
    <w:rsid w:val="00471EF3"/>
    <w:rsid w:val="00492DA2"/>
    <w:rsid w:val="004C4FFB"/>
    <w:rsid w:val="004E4B24"/>
    <w:rsid w:val="004F31F2"/>
    <w:rsid w:val="004F5285"/>
    <w:rsid w:val="00501726"/>
    <w:rsid w:val="005108B0"/>
    <w:rsid w:val="00515CA1"/>
    <w:rsid w:val="00546896"/>
    <w:rsid w:val="00560F5C"/>
    <w:rsid w:val="005612A2"/>
    <w:rsid w:val="00572506"/>
    <w:rsid w:val="00580B41"/>
    <w:rsid w:val="005A71CB"/>
    <w:rsid w:val="005B19C7"/>
    <w:rsid w:val="005B570C"/>
    <w:rsid w:val="005D1CB2"/>
    <w:rsid w:val="005D3FD5"/>
    <w:rsid w:val="005D56A3"/>
    <w:rsid w:val="005D77C9"/>
    <w:rsid w:val="005F7B56"/>
    <w:rsid w:val="006261F7"/>
    <w:rsid w:val="00644E74"/>
    <w:rsid w:val="00671ECD"/>
    <w:rsid w:val="00681CC4"/>
    <w:rsid w:val="00682A8F"/>
    <w:rsid w:val="006A7A3A"/>
    <w:rsid w:val="006F03FA"/>
    <w:rsid w:val="00713E41"/>
    <w:rsid w:val="0071748B"/>
    <w:rsid w:val="007440AB"/>
    <w:rsid w:val="00754902"/>
    <w:rsid w:val="007611D5"/>
    <w:rsid w:val="00763DD7"/>
    <w:rsid w:val="0077470F"/>
    <w:rsid w:val="0079621F"/>
    <w:rsid w:val="007B2FEC"/>
    <w:rsid w:val="007B3E9B"/>
    <w:rsid w:val="007C0765"/>
    <w:rsid w:val="007D1D61"/>
    <w:rsid w:val="007E46D2"/>
    <w:rsid w:val="008459DF"/>
    <w:rsid w:val="00876375"/>
    <w:rsid w:val="00891AD5"/>
    <w:rsid w:val="00897A29"/>
    <w:rsid w:val="008A01D0"/>
    <w:rsid w:val="008A223D"/>
    <w:rsid w:val="008B0E16"/>
    <w:rsid w:val="008C454F"/>
    <w:rsid w:val="008E15A3"/>
    <w:rsid w:val="008E3ABB"/>
    <w:rsid w:val="008E4EDE"/>
    <w:rsid w:val="008F3AE4"/>
    <w:rsid w:val="00903531"/>
    <w:rsid w:val="009171E5"/>
    <w:rsid w:val="0092437D"/>
    <w:rsid w:val="00925283"/>
    <w:rsid w:val="00934504"/>
    <w:rsid w:val="00962A42"/>
    <w:rsid w:val="00963B44"/>
    <w:rsid w:val="00966419"/>
    <w:rsid w:val="00974C1F"/>
    <w:rsid w:val="009A7827"/>
    <w:rsid w:val="009B6017"/>
    <w:rsid w:val="00A22C81"/>
    <w:rsid w:val="00A250A7"/>
    <w:rsid w:val="00A45A57"/>
    <w:rsid w:val="00A5722B"/>
    <w:rsid w:val="00A613EF"/>
    <w:rsid w:val="00A65713"/>
    <w:rsid w:val="00A7536F"/>
    <w:rsid w:val="00A83E4B"/>
    <w:rsid w:val="00A84434"/>
    <w:rsid w:val="00AA672E"/>
    <w:rsid w:val="00AB3D42"/>
    <w:rsid w:val="00AE619C"/>
    <w:rsid w:val="00B01FDE"/>
    <w:rsid w:val="00B152EC"/>
    <w:rsid w:val="00B24734"/>
    <w:rsid w:val="00B534E4"/>
    <w:rsid w:val="00B56873"/>
    <w:rsid w:val="00B8079C"/>
    <w:rsid w:val="00B86613"/>
    <w:rsid w:val="00B95DA7"/>
    <w:rsid w:val="00BA3501"/>
    <w:rsid w:val="00BB5C2A"/>
    <w:rsid w:val="00BC0635"/>
    <w:rsid w:val="00BC0B96"/>
    <w:rsid w:val="00BC1972"/>
    <w:rsid w:val="00BE12DC"/>
    <w:rsid w:val="00BF665D"/>
    <w:rsid w:val="00C0544C"/>
    <w:rsid w:val="00C10944"/>
    <w:rsid w:val="00C14FCF"/>
    <w:rsid w:val="00C17ADC"/>
    <w:rsid w:val="00C34AEC"/>
    <w:rsid w:val="00C446A6"/>
    <w:rsid w:val="00C45D05"/>
    <w:rsid w:val="00C764B9"/>
    <w:rsid w:val="00C76678"/>
    <w:rsid w:val="00C95C58"/>
    <w:rsid w:val="00CA5ED0"/>
    <w:rsid w:val="00CC0272"/>
    <w:rsid w:val="00CF059F"/>
    <w:rsid w:val="00CF4033"/>
    <w:rsid w:val="00CF508A"/>
    <w:rsid w:val="00CF5691"/>
    <w:rsid w:val="00CF7AF6"/>
    <w:rsid w:val="00D10B02"/>
    <w:rsid w:val="00D21A6B"/>
    <w:rsid w:val="00D639D7"/>
    <w:rsid w:val="00D6733E"/>
    <w:rsid w:val="00DA531D"/>
    <w:rsid w:val="00DB19E5"/>
    <w:rsid w:val="00DC485E"/>
    <w:rsid w:val="00E00625"/>
    <w:rsid w:val="00E6710B"/>
    <w:rsid w:val="00E7386C"/>
    <w:rsid w:val="00EA287F"/>
    <w:rsid w:val="00EB69B2"/>
    <w:rsid w:val="00ED45AD"/>
    <w:rsid w:val="00EE511A"/>
    <w:rsid w:val="00EE6F37"/>
    <w:rsid w:val="00EF7BF5"/>
    <w:rsid w:val="00F02741"/>
    <w:rsid w:val="00F07E0A"/>
    <w:rsid w:val="00F103B8"/>
    <w:rsid w:val="00F2088F"/>
    <w:rsid w:val="00F35110"/>
    <w:rsid w:val="00F473EC"/>
    <w:rsid w:val="00F516E7"/>
    <w:rsid w:val="00F658BD"/>
    <w:rsid w:val="00FC520B"/>
    <w:rsid w:val="00FE297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ecimalSymbol w:val="."/>
  <w:listSeparator w:val=","/>
  <w14:docId w14:val="18711BCD"/>
  <w15:chartTrackingRefBased/>
  <w15:docId w15:val="{715AA2B7-E192-F646-B4BC-8CBA0ECA77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E6710B"/>
    <w:pPr>
      <w:spacing w:before="100" w:beforeAutospacing="1" w:after="100" w:afterAutospacing="1"/>
      <w:outlineLvl w:val="0"/>
    </w:pPr>
    <w:rPr>
      <w:rFonts w:ascii="Times New Roman" w:eastAsia="Times New Roman" w:hAnsi="Times New Roman" w:cs="Times New Roman"/>
      <w:b/>
      <w:bCs/>
      <w:kern w:val="36"/>
      <w:sz w:val="48"/>
      <w:szCs w:val="48"/>
      <w:lang w:eastAsia="en-GB"/>
      <w14:ligatures w14:val="none"/>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0873A9"/>
    <w:rPr>
      <w:sz w:val="20"/>
      <w:szCs w:val="20"/>
    </w:rPr>
  </w:style>
  <w:style w:type="character" w:customStyle="1" w:styleId="FootnoteTextChar">
    <w:name w:val="Footnote Text Char"/>
    <w:basedOn w:val="DefaultParagraphFont"/>
    <w:link w:val="FootnoteText"/>
    <w:uiPriority w:val="99"/>
    <w:semiHidden/>
    <w:rsid w:val="000873A9"/>
    <w:rPr>
      <w:sz w:val="20"/>
      <w:szCs w:val="20"/>
    </w:rPr>
  </w:style>
  <w:style w:type="character" w:styleId="FootnoteReference">
    <w:name w:val="footnote reference"/>
    <w:basedOn w:val="DefaultParagraphFont"/>
    <w:uiPriority w:val="99"/>
    <w:semiHidden/>
    <w:unhideWhenUsed/>
    <w:rsid w:val="000873A9"/>
    <w:rPr>
      <w:vertAlign w:val="superscript"/>
    </w:rPr>
  </w:style>
  <w:style w:type="character" w:customStyle="1" w:styleId="apple-converted-space">
    <w:name w:val="apple-converted-space"/>
    <w:basedOn w:val="DefaultParagraphFont"/>
    <w:rsid w:val="009B6017"/>
  </w:style>
  <w:style w:type="character" w:styleId="Hyperlink">
    <w:name w:val="Hyperlink"/>
    <w:basedOn w:val="DefaultParagraphFont"/>
    <w:uiPriority w:val="99"/>
    <w:semiHidden/>
    <w:unhideWhenUsed/>
    <w:rsid w:val="000D601C"/>
    <w:rPr>
      <w:color w:val="0000FF"/>
      <w:u w:val="single"/>
    </w:rPr>
  </w:style>
  <w:style w:type="character" w:customStyle="1" w:styleId="Heading1Char">
    <w:name w:val="Heading 1 Char"/>
    <w:basedOn w:val="DefaultParagraphFont"/>
    <w:link w:val="Heading1"/>
    <w:uiPriority w:val="9"/>
    <w:rsid w:val="00E6710B"/>
    <w:rPr>
      <w:rFonts w:ascii="Times New Roman" w:eastAsia="Times New Roman" w:hAnsi="Times New Roman" w:cs="Times New Roman"/>
      <w:b/>
      <w:bCs/>
      <w:kern w:val="36"/>
      <w:sz w:val="48"/>
      <w:szCs w:val="48"/>
      <w:lang w:eastAsia="en-GB"/>
      <w14:ligatures w14:val="none"/>
    </w:rPr>
  </w:style>
  <w:style w:type="paragraph" w:styleId="NormalWeb">
    <w:name w:val="Normal (Web)"/>
    <w:basedOn w:val="Normal"/>
    <w:uiPriority w:val="99"/>
    <w:semiHidden/>
    <w:unhideWhenUsed/>
    <w:rsid w:val="00E6710B"/>
    <w:pPr>
      <w:spacing w:before="100" w:beforeAutospacing="1" w:after="100" w:afterAutospacing="1"/>
    </w:pPr>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49420570">
      <w:bodyDiv w:val="1"/>
      <w:marLeft w:val="0"/>
      <w:marRight w:val="0"/>
      <w:marTop w:val="0"/>
      <w:marBottom w:val="0"/>
      <w:divBdr>
        <w:top w:val="none" w:sz="0" w:space="0" w:color="auto"/>
        <w:left w:val="none" w:sz="0" w:space="0" w:color="auto"/>
        <w:bottom w:val="none" w:sz="0" w:space="0" w:color="auto"/>
        <w:right w:val="none" w:sz="0" w:space="0" w:color="auto"/>
      </w:divBdr>
      <w:divsChild>
        <w:div w:id="868294931">
          <w:marLeft w:val="-72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_rels/footnotes.xml.rels><?xml version="1.0" encoding="UTF-8" standalone="yes"?>
<Relationships xmlns="http://schemas.openxmlformats.org/package/2006/relationships"><Relationship Id="rId3" Type="http://schemas.openxmlformats.org/officeDocument/2006/relationships/hyperlink" Target="https://doi.org/10.1006/ebeh.2000.0037" TargetMode="External"/><Relationship Id="rId2" Type="http://schemas.openxmlformats.org/officeDocument/2006/relationships/hyperlink" Target="https://doi.org/10.1177/2374373517699269" TargetMode="External"/><Relationship Id="rId1" Type="http://schemas.openxmlformats.org/officeDocument/2006/relationships/hyperlink" Target="https://www.britannica.com/topic/humanism" TargetMode="External"/><Relationship Id="rId6" Type="http://schemas.openxmlformats.org/officeDocument/2006/relationships/hyperlink" Target="https://doi.org/10.7326/0003-4819-138-3-200302040-00036" TargetMode="External"/><Relationship Id="rId5" Type="http://schemas.openxmlformats.org/officeDocument/2006/relationships/hyperlink" Target="https://doi.org/10.13128/ijae" TargetMode="External"/><Relationship Id="rId4" Type="http://schemas.openxmlformats.org/officeDocument/2006/relationships/hyperlink" Target="https://www.wjmer.co.uk/library/downloads/articles/1568024834.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8D67CDD-B8BB-724F-8BAA-53DAD7A4249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174</TotalTime>
  <Pages>12</Pages>
  <Words>2808</Words>
  <Characters>18281</Characters>
  <Application>Microsoft Office Word</Application>
  <DocSecurity>0</DocSecurity>
  <Lines>250</Lines>
  <Paragraphs>28</Paragraphs>
  <ScaleCrop>false</ScaleCrop>
  <Company/>
  <LinksUpToDate>false</LinksUpToDate>
  <CharactersWithSpaces>21061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Shakira Peters (2118593)</dc:creator>
  <cp:keywords/>
  <dc:description/>
  <cp:lastModifiedBy>Shakira Peters (2118593)</cp:lastModifiedBy>
  <cp:revision>180</cp:revision>
  <dcterms:created xsi:type="dcterms:W3CDTF">2024-01-25T21:05:00Z</dcterms:created>
  <dcterms:modified xsi:type="dcterms:W3CDTF">2024-02-10T23:52:00Z</dcterms:modified>
</cp:coreProperties>
</file>