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EFD48" w14:textId="77777777" w:rsidR="0054493C" w:rsidRDefault="0054493C" w:rsidP="00567242">
      <w:pPr>
        <w:spacing w:line="360" w:lineRule="auto"/>
        <w:jc w:val="center"/>
        <w:rPr>
          <w:rFonts w:ascii="Helvetica" w:hAnsi="Helvetica" w:cs="Helvetica"/>
          <w:sz w:val="24"/>
          <w:szCs w:val="24"/>
        </w:rPr>
      </w:pPr>
    </w:p>
    <w:p w14:paraId="1F2E5D96" w14:textId="77777777" w:rsidR="0054493C" w:rsidRDefault="0054493C" w:rsidP="00567242">
      <w:pPr>
        <w:spacing w:line="360" w:lineRule="auto"/>
        <w:jc w:val="center"/>
        <w:rPr>
          <w:rFonts w:ascii="Helvetica" w:hAnsi="Helvetica" w:cs="Helvetica"/>
          <w:sz w:val="24"/>
          <w:szCs w:val="24"/>
        </w:rPr>
      </w:pPr>
    </w:p>
    <w:p w14:paraId="4B077F20" w14:textId="380F9DD2" w:rsidR="0054493C" w:rsidRDefault="0054493C" w:rsidP="00567242">
      <w:pPr>
        <w:spacing w:line="360" w:lineRule="auto"/>
        <w:jc w:val="center"/>
        <w:rPr>
          <w:rFonts w:ascii="Helvetica" w:hAnsi="Helvetica" w:cs="Helvetica"/>
          <w:sz w:val="24"/>
          <w:szCs w:val="24"/>
        </w:rPr>
      </w:pPr>
      <w:r w:rsidRPr="0054493C">
        <w:rPr>
          <w:rFonts w:ascii="Helvetica" w:hAnsi="Helvetica" w:cs="Helvetica"/>
          <w:noProof/>
          <w:sz w:val="24"/>
          <w:szCs w:val="24"/>
        </w:rPr>
        <w:drawing>
          <wp:inline distT="0" distB="0" distL="0" distR="0" wp14:anchorId="4A265C8D" wp14:editId="0B719080">
            <wp:extent cx="4668253" cy="1569187"/>
            <wp:effectExtent l="0" t="0" r="5715" b="5715"/>
            <wp:docPr id="17966650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6505" name="Picture 1" descr="A close up of black text&#10;&#10;Description automatically generated"/>
                    <pic:cNvPicPr/>
                  </pic:nvPicPr>
                  <pic:blipFill>
                    <a:blip r:embed="rId8"/>
                    <a:stretch>
                      <a:fillRect/>
                    </a:stretch>
                  </pic:blipFill>
                  <pic:spPr>
                    <a:xfrm>
                      <a:off x="0" y="0"/>
                      <a:ext cx="4709130" cy="1582927"/>
                    </a:xfrm>
                    <a:prstGeom prst="rect">
                      <a:avLst/>
                    </a:prstGeom>
                  </pic:spPr>
                </pic:pic>
              </a:graphicData>
            </a:graphic>
          </wp:inline>
        </w:drawing>
      </w:r>
    </w:p>
    <w:p w14:paraId="4EC9C1A5" w14:textId="77777777" w:rsidR="00567242" w:rsidRDefault="00567242" w:rsidP="00567242">
      <w:pPr>
        <w:spacing w:line="360" w:lineRule="auto"/>
        <w:jc w:val="center"/>
        <w:rPr>
          <w:rFonts w:ascii="Times New Roman" w:hAnsi="Times New Roman" w:cs="Times New Roman"/>
          <w:b/>
          <w:sz w:val="32"/>
        </w:rPr>
      </w:pPr>
    </w:p>
    <w:p w14:paraId="71EE3BF4" w14:textId="77777777" w:rsidR="0054493C" w:rsidRDefault="0054493C" w:rsidP="0054493C">
      <w:pPr>
        <w:spacing w:line="360" w:lineRule="auto"/>
        <w:jc w:val="center"/>
        <w:rPr>
          <w:rFonts w:ascii="Times New Roman" w:hAnsi="Times New Roman" w:cs="Times New Roman"/>
          <w:b/>
          <w:sz w:val="32"/>
        </w:rPr>
      </w:pPr>
      <w:r w:rsidRPr="00567242">
        <w:rPr>
          <w:rFonts w:ascii="Times New Roman" w:hAnsi="Times New Roman" w:cs="Times New Roman"/>
          <w:b/>
          <w:sz w:val="32"/>
        </w:rPr>
        <w:t>COMPARATIVE MARKETING ANALYSIS OF BMW — GERMANY &amp; CHINA</w:t>
      </w:r>
    </w:p>
    <w:p w14:paraId="2812BD20" w14:textId="77777777" w:rsidR="0054493C" w:rsidRPr="0054493C" w:rsidRDefault="0054493C" w:rsidP="00567242">
      <w:pPr>
        <w:spacing w:line="360" w:lineRule="auto"/>
        <w:jc w:val="center"/>
        <w:rPr>
          <w:rFonts w:ascii="Times New Roman" w:hAnsi="Times New Roman" w:cs="Times New Roman"/>
          <w:b/>
          <w:bCs/>
          <w:sz w:val="28"/>
          <w:szCs w:val="28"/>
        </w:rPr>
      </w:pPr>
    </w:p>
    <w:p w14:paraId="2D16A684" w14:textId="1852A479" w:rsidR="00567242"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Module Name:</w:t>
      </w:r>
      <w:r>
        <w:rPr>
          <w:rFonts w:ascii="Times New Roman" w:hAnsi="Times New Roman" w:cs="Times New Roman"/>
          <w:b/>
          <w:bCs/>
          <w:sz w:val="28"/>
          <w:szCs w:val="28"/>
        </w:rPr>
        <w:t xml:space="preserve"> </w:t>
      </w:r>
      <w:r w:rsidRPr="0054493C">
        <w:rPr>
          <w:rFonts w:ascii="Times New Roman" w:hAnsi="Times New Roman" w:cs="Times New Roman"/>
          <w:sz w:val="28"/>
          <w:szCs w:val="28"/>
        </w:rPr>
        <w:t>International Marketing: Principles and Practices</w:t>
      </w:r>
    </w:p>
    <w:p w14:paraId="4192B588" w14:textId="2D2106F3"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Module code:</w:t>
      </w:r>
      <w:r>
        <w:rPr>
          <w:rFonts w:ascii="Times New Roman" w:hAnsi="Times New Roman" w:cs="Times New Roman"/>
          <w:b/>
          <w:bCs/>
          <w:sz w:val="28"/>
          <w:szCs w:val="28"/>
        </w:rPr>
        <w:t xml:space="preserve"> </w:t>
      </w:r>
      <w:r w:rsidRPr="0054493C">
        <w:rPr>
          <w:rFonts w:ascii="Times New Roman" w:hAnsi="Times New Roman" w:cs="Times New Roman"/>
          <w:sz w:val="28"/>
          <w:szCs w:val="28"/>
        </w:rPr>
        <w:t>LCMB7026</w:t>
      </w:r>
    </w:p>
    <w:p w14:paraId="6CA4F4DD" w14:textId="7CB4AB41"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 xml:space="preserve">Student </w:t>
      </w:r>
      <w:proofErr w:type="spellStart"/>
      <w:r w:rsidRPr="0054493C">
        <w:rPr>
          <w:rFonts w:ascii="Times New Roman" w:hAnsi="Times New Roman" w:cs="Times New Roman"/>
          <w:b/>
          <w:bCs/>
          <w:sz w:val="28"/>
          <w:szCs w:val="28"/>
        </w:rPr>
        <w:t>Name:</w:t>
      </w:r>
      <w:r w:rsidR="00EC05D0">
        <w:rPr>
          <w:rFonts w:ascii="Times New Roman" w:hAnsi="Times New Roman" w:cs="Times New Roman"/>
          <w:b/>
          <w:bCs/>
          <w:sz w:val="28"/>
          <w:szCs w:val="28"/>
        </w:rPr>
        <w:t>Hari</w:t>
      </w:r>
      <w:proofErr w:type="spellEnd"/>
      <w:r w:rsidR="00EC05D0">
        <w:rPr>
          <w:rFonts w:ascii="Times New Roman" w:hAnsi="Times New Roman" w:cs="Times New Roman"/>
          <w:b/>
          <w:bCs/>
          <w:sz w:val="28"/>
          <w:szCs w:val="28"/>
        </w:rPr>
        <w:t xml:space="preserve"> Singh </w:t>
      </w:r>
      <w:proofErr w:type="spellStart"/>
      <w:r w:rsidR="00EC05D0">
        <w:rPr>
          <w:rFonts w:ascii="Times New Roman" w:hAnsi="Times New Roman" w:cs="Times New Roman"/>
          <w:b/>
          <w:bCs/>
          <w:sz w:val="28"/>
          <w:szCs w:val="28"/>
        </w:rPr>
        <w:t>Nenavath</w:t>
      </w:r>
      <w:proofErr w:type="spellEnd"/>
      <w:r w:rsidR="00EC05D0">
        <w:rPr>
          <w:rFonts w:ascii="Times New Roman" w:hAnsi="Times New Roman" w:cs="Times New Roman"/>
          <w:b/>
          <w:bCs/>
          <w:sz w:val="28"/>
          <w:szCs w:val="28"/>
        </w:rPr>
        <w:t xml:space="preserve"> </w:t>
      </w:r>
    </w:p>
    <w:p w14:paraId="4B21F03B" w14:textId="3AC3BA7E"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Student id:</w:t>
      </w:r>
      <w:r w:rsidR="00EC05D0">
        <w:rPr>
          <w:rFonts w:ascii="Times New Roman" w:hAnsi="Times New Roman" w:cs="Times New Roman"/>
          <w:b/>
          <w:bCs/>
          <w:sz w:val="28"/>
          <w:szCs w:val="28"/>
        </w:rPr>
        <w:t>2414104</w:t>
      </w:r>
    </w:p>
    <w:p w14:paraId="45F8AF37" w14:textId="7F5F9A09"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Word count:</w:t>
      </w:r>
      <w:r>
        <w:rPr>
          <w:rFonts w:ascii="Times New Roman" w:hAnsi="Times New Roman" w:cs="Times New Roman"/>
          <w:b/>
          <w:bCs/>
          <w:sz w:val="28"/>
          <w:szCs w:val="28"/>
        </w:rPr>
        <w:t xml:space="preserve"> </w:t>
      </w:r>
      <w:r w:rsidRPr="0054493C">
        <w:rPr>
          <w:rFonts w:ascii="Times New Roman" w:hAnsi="Times New Roman" w:cs="Times New Roman"/>
          <w:sz w:val="28"/>
          <w:szCs w:val="28"/>
        </w:rPr>
        <w:t>5010</w:t>
      </w:r>
    </w:p>
    <w:p w14:paraId="14FB1337" w14:textId="5AA24071"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Submit</w:t>
      </w:r>
      <w:r w:rsidR="00457595">
        <w:rPr>
          <w:rFonts w:ascii="Times New Roman" w:hAnsi="Times New Roman" w:cs="Times New Roman"/>
          <w:b/>
          <w:bCs/>
          <w:sz w:val="28"/>
          <w:szCs w:val="28"/>
        </w:rPr>
        <w:t xml:space="preserve">ted </w:t>
      </w:r>
      <w:proofErr w:type="spellStart"/>
      <w:r w:rsidRPr="0054493C">
        <w:rPr>
          <w:rFonts w:ascii="Times New Roman" w:hAnsi="Times New Roman" w:cs="Times New Roman"/>
          <w:b/>
          <w:bCs/>
          <w:sz w:val="28"/>
          <w:szCs w:val="28"/>
        </w:rPr>
        <w:t>by:</w:t>
      </w:r>
      <w:r w:rsidR="00457595">
        <w:rPr>
          <w:rFonts w:ascii="Times New Roman" w:hAnsi="Times New Roman" w:cs="Times New Roman"/>
          <w:b/>
          <w:bCs/>
          <w:sz w:val="28"/>
          <w:szCs w:val="28"/>
        </w:rPr>
        <w:t>Hari</w:t>
      </w:r>
      <w:proofErr w:type="spellEnd"/>
      <w:r w:rsidR="00457595">
        <w:rPr>
          <w:rFonts w:ascii="Times New Roman" w:hAnsi="Times New Roman" w:cs="Times New Roman"/>
          <w:b/>
          <w:bCs/>
          <w:sz w:val="28"/>
          <w:szCs w:val="28"/>
        </w:rPr>
        <w:t xml:space="preserve"> Singh </w:t>
      </w:r>
      <w:proofErr w:type="spellStart"/>
      <w:r w:rsidR="00457595">
        <w:rPr>
          <w:rFonts w:ascii="Times New Roman" w:hAnsi="Times New Roman" w:cs="Times New Roman"/>
          <w:b/>
          <w:bCs/>
          <w:sz w:val="28"/>
          <w:szCs w:val="28"/>
        </w:rPr>
        <w:t>Nenavath</w:t>
      </w:r>
      <w:proofErr w:type="spellEnd"/>
      <w:r w:rsidR="00457595">
        <w:rPr>
          <w:rFonts w:ascii="Times New Roman" w:hAnsi="Times New Roman" w:cs="Times New Roman"/>
          <w:b/>
          <w:bCs/>
          <w:sz w:val="28"/>
          <w:szCs w:val="28"/>
        </w:rPr>
        <w:t xml:space="preserve"> </w:t>
      </w:r>
    </w:p>
    <w:p w14:paraId="73A75177" w14:textId="28F41EFD" w:rsidR="0054493C" w:rsidRPr="0054493C" w:rsidRDefault="0054493C" w:rsidP="0054493C">
      <w:pPr>
        <w:spacing w:line="360" w:lineRule="auto"/>
        <w:ind w:left="567"/>
        <w:rPr>
          <w:rFonts w:ascii="Times New Roman" w:hAnsi="Times New Roman" w:cs="Times New Roman"/>
          <w:b/>
          <w:bCs/>
          <w:sz w:val="28"/>
          <w:szCs w:val="28"/>
        </w:rPr>
      </w:pPr>
      <w:r w:rsidRPr="0054493C">
        <w:rPr>
          <w:rFonts w:ascii="Times New Roman" w:hAnsi="Times New Roman" w:cs="Times New Roman"/>
          <w:b/>
          <w:bCs/>
          <w:sz w:val="28"/>
          <w:szCs w:val="28"/>
        </w:rPr>
        <w:t>Submitted to:</w:t>
      </w:r>
      <w:r w:rsidR="00E67FAF">
        <w:rPr>
          <w:rFonts w:ascii="Times New Roman" w:hAnsi="Times New Roman" w:cs="Times New Roman"/>
          <w:b/>
          <w:bCs/>
          <w:sz w:val="28"/>
          <w:szCs w:val="28"/>
        </w:rPr>
        <w:t xml:space="preserve"> </w:t>
      </w:r>
      <w:proofErr w:type="spellStart"/>
      <w:r w:rsidR="00FE1DD4" w:rsidRPr="00FE1DD4">
        <w:rPr>
          <w:rFonts w:ascii="Times New Roman" w:hAnsi="Times New Roman" w:cs="Times New Roman"/>
          <w:b/>
          <w:bCs/>
          <w:sz w:val="28"/>
          <w:szCs w:val="28"/>
        </w:rPr>
        <w:t>Haoran</w:t>
      </w:r>
      <w:proofErr w:type="spellEnd"/>
      <w:r w:rsidR="00FE1DD4" w:rsidRPr="00FE1DD4">
        <w:rPr>
          <w:rFonts w:ascii="Times New Roman" w:hAnsi="Times New Roman" w:cs="Times New Roman"/>
          <w:b/>
          <w:bCs/>
          <w:sz w:val="28"/>
          <w:szCs w:val="28"/>
        </w:rPr>
        <w:t xml:space="preserve"> Liu</w:t>
      </w:r>
    </w:p>
    <w:p w14:paraId="58FEEC0B" w14:textId="77777777" w:rsidR="00567242" w:rsidRDefault="00567242" w:rsidP="00567242">
      <w:pPr>
        <w:spacing w:line="360" w:lineRule="auto"/>
        <w:jc w:val="center"/>
        <w:rPr>
          <w:rFonts w:ascii="Times New Roman" w:hAnsi="Times New Roman" w:cs="Times New Roman"/>
          <w:b/>
          <w:sz w:val="32"/>
        </w:rPr>
      </w:pPr>
    </w:p>
    <w:p w14:paraId="46B256E2" w14:textId="77777777" w:rsidR="00567242" w:rsidRDefault="00567242" w:rsidP="00567242">
      <w:pPr>
        <w:spacing w:line="360" w:lineRule="auto"/>
        <w:jc w:val="center"/>
        <w:rPr>
          <w:rFonts w:ascii="Times New Roman" w:hAnsi="Times New Roman" w:cs="Times New Roman"/>
          <w:b/>
          <w:sz w:val="32"/>
        </w:rPr>
      </w:pPr>
    </w:p>
    <w:p w14:paraId="42BC03BA" w14:textId="77777777" w:rsidR="00567242" w:rsidRDefault="00567242" w:rsidP="00567242">
      <w:pPr>
        <w:spacing w:line="360" w:lineRule="auto"/>
        <w:jc w:val="center"/>
        <w:rPr>
          <w:rFonts w:ascii="Times New Roman" w:hAnsi="Times New Roman" w:cs="Times New Roman"/>
          <w:b/>
          <w:sz w:val="32"/>
        </w:rPr>
      </w:pPr>
    </w:p>
    <w:p w14:paraId="41E7D86D" w14:textId="77777777" w:rsidR="00567242" w:rsidRDefault="00567242" w:rsidP="00567242">
      <w:pPr>
        <w:spacing w:line="360" w:lineRule="auto"/>
        <w:jc w:val="center"/>
        <w:rPr>
          <w:rFonts w:ascii="Times New Roman" w:hAnsi="Times New Roman" w:cs="Times New Roman"/>
          <w:b/>
          <w:sz w:val="32"/>
        </w:rPr>
      </w:pPr>
    </w:p>
    <w:p w14:paraId="1249B7E8" w14:textId="2BC4185D" w:rsidR="006E6F1E" w:rsidRDefault="006E6F1E">
      <w:pPr>
        <w:rPr>
          <w:rFonts w:ascii="Times New Roman" w:hAnsi="Times New Roman" w:cs="Times New Roman"/>
          <w:b/>
          <w:sz w:val="32"/>
        </w:rPr>
      </w:pPr>
    </w:p>
    <w:sdt>
      <w:sdtPr>
        <w:rPr>
          <w:rFonts w:asciiTheme="minorHAnsi" w:eastAsiaTheme="minorHAnsi" w:hAnsiTheme="minorHAnsi" w:cstheme="minorBidi"/>
          <w:color w:val="auto"/>
          <w:sz w:val="22"/>
          <w:szCs w:val="22"/>
          <w:lang w:val="en-GB"/>
        </w:rPr>
        <w:id w:val="1252082710"/>
        <w:docPartObj>
          <w:docPartGallery w:val="Table of Contents"/>
          <w:docPartUnique/>
        </w:docPartObj>
      </w:sdtPr>
      <w:sdtEndPr>
        <w:rPr>
          <w:b/>
          <w:bCs/>
          <w:noProof/>
        </w:rPr>
      </w:sdtEndPr>
      <w:sdtContent>
        <w:p w14:paraId="3120F934" w14:textId="77777777" w:rsidR="006E6F1E" w:rsidRPr="006E6F1E" w:rsidRDefault="006E6F1E" w:rsidP="006E6F1E">
          <w:pPr>
            <w:pStyle w:val="TOCHeading"/>
            <w:spacing w:line="360" w:lineRule="auto"/>
            <w:jc w:val="center"/>
            <w:rPr>
              <w:rFonts w:ascii="Times New Roman" w:hAnsi="Times New Roman" w:cs="Times New Roman"/>
              <w:b/>
              <w:color w:val="auto"/>
              <w:sz w:val="28"/>
              <w:szCs w:val="24"/>
            </w:rPr>
          </w:pPr>
          <w:r w:rsidRPr="006E6F1E">
            <w:rPr>
              <w:rFonts w:ascii="Times New Roman" w:hAnsi="Times New Roman" w:cs="Times New Roman"/>
              <w:b/>
              <w:color w:val="auto"/>
              <w:sz w:val="28"/>
              <w:szCs w:val="24"/>
            </w:rPr>
            <w:t>Table of Contents</w:t>
          </w:r>
        </w:p>
        <w:p w14:paraId="59050306" w14:textId="77777777" w:rsidR="00D923BC" w:rsidRPr="00D923BC" w:rsidRDefault="006E6F1E"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r w:rsidRPr="00D923BC">
            <w:rPr>
              <w:rFonts w:ascii="Times New Roman" w:hAnsi="Times New Roman" w:cs="Times New Roman"/>
              <w:sz w:val="24"/>
              <w:szCs w:val="24"/>
            </w:rPr>
            <w:fldChar w:fldCharType="begin"/>
          </w:r>
          <w:r w:rsidRPr="00D923BC">
            <w:rPr>
              <w:rFonts w:ascii="Times New Roman" w:hAnsi="Times New Roman" w:cs="Times New Roman"/>
              <w:sz w:val="24"/>
              <w:szCs w:val="24"/>
            </w:rPr>
            <w:instrText xml:space="preserve"> TOC \o "1-3" \h \z \u </w:instrText>
          </w:r>
          <w:r w:rsidRPr="00D923BC">
            <w:rPr>
              <w:rFonts w:ascii="Times New Roman" w:hAnsi="Times New Roman" w:cs="Times New Roman"/>
              <w:sz w:val="24"/>
              <w:szCs w:val="24"/>
            </w:rPr>
            <w:fldChar w:fldCharType="separate"/>
          </w:r>
          <w:hyperlink w:anchor="_Toc214145570" w:history="1">
            <w:r w:rsidR="00D923BC" w:rsidRPr="00D923BC">
              <w:rPr>
                <w:rStyle w:val="Hyperlink"/>
                <w:rFonts w:ascii="Times New Roman" w:hAnsi="Times New Roman" w:cs="Times New Roman"/>
                <w:noProof/>
                <w:sz w:val="24"/>
                <w:szCs w:val="24"/>
              </w:rPr>
              <w:t>1. Introduction</w:t>
            </w:r>
            <w:r w:rsidR="00D923BC" w:rsidRPr="00D923BC">
              <w:rPr>
                <w:rFonts w:ascii="Times New Roman" w:hAnsi="Times New Roman" w:cs="Times New Roman"/>
                <w:noProof/>
                <w:webHidden/>
                <w:sz w:val="24"/>
                <w:szCs w:val="24"/>
              </w:rPr>
              <w:tab/>
            </w:r>
            <w:r w:rsidR="00D923BC" w:rsidRPr="00D923BC">
              <w:rPr>
                <w:rFonts w:ascii="Times New Roman" w:hAnsi="Times New Roman" w:cs="Times New Roman"/>
                <w:noProof/>
                <w:webHidden/>
                <w:sz w:val="24"/>
                <w:szCs w:val="24"/>
              </w:rPr>
              <w:fldChar w:fldCharType="begin"/>
            </w:r>
            <w:r w:rsidR="00D923BC" w:rsidRPr="00D923BC">
              <w:rPr>
                <w:rFonts w:ascii="Times New Roman" w:hAnsi="Times New Roman" w:cs="Times New Roman"/>
                <w:noProof/>
                <w:webHidden/>
                <w:sz w:val="24"/>
                <w:szCs w:val="24"/>
              </w:rPr>
              <w:instrText xml:space="preserve"> PAGEREF _Toc214145570 \h </w:instrText>
            </w:r>
            <w:r w:rsidR="00D923BC" w:rsidRPr="00D923BC">
              <w:rPr>
                <w:rFonts w:ascii="Times New Roman" w:hAnsi="Times New Roman" w:cs="Times New Roman"/>
                <w:noProof/>
                <w:webHidden/>
                <w:sz w:val="24"/>
                <w:szCs w:val="24"/>
              </w:rPr>
            </w:r>
            <w:r w:rsidR="00D923BC" w:rsidRPr="00D923BC">
              <w:rPr>
                <w:rFonts w:ascii="Times New Roman" w:hAnsi="Times New Roman" w:cs="Times New Roman"/>
                <w:noProof/>
                <w:webHidden/>
                <w:sz w:val="24"/>
                <w:szCs w:val="24"/>
              </w:rPr>
              <w:fldChar w:fldCharType="separate"/>
            </w:r>
            <w:r w:rsidR="00D923BC" w:rsidRPr="00D923BC">
              <w:rPr>
                <w:rFonts w:ascii="Times New Roman" w:hAnsi="Times New Roman" w:cs="Times New Roman"/>
                <w:noProof/>
                <w:webHidden/>
                <w:sz w:val="24"/>
                <w:szCs w:val="24"/>
              </w:rPr>
              <w:t>3</w:t>
            </w:r>
            <w:r w:rsidR="00D923BC" w:rsidRPr="00D923BC">
              <w:rPr>
                <w:rFonts w:ascii="Times New Roman" w:hAnsi="Times New Roman" w:cs="Times New Roman"/>
                <w:noProof/>
                <w:webHidden/>
                <w:sz w:val="24"/>
                <w:szCs w:val="24"/>
              </w:rPr>
              <w:fldChar w:fldCharType="end"/>
            </w:r>
          </w:hyperlink>
        </w:p>
        <w:p w14:paraId="3051F3CB"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1" w:history="1">
            <w:r w:rsidRPr="00D923BC">
              <w:rPr>
                <w:rStyle w:val="Hyperlink"/>
                <w:rFonts w:ascii="Times New Roman" w:hAnsi="Times New Roman" w:cs="Times New Roman"/>
                <w:noProof/>
                <w:sz w:val="24"/>
                <w:szCs w:val="24"/>
              </w:rPr>
              <w:t>2. Brand Overview</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_Toc214145571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3</w:t>
            </w:r>
            <w:r w:rsidRPr="00D923BC">
              <w:rPr>
                <w:rFonts w:ascii="Times New Roman" w:hAnsi="Times New Roman" w:cs="Times New Roman"/>
                <w:noProof/>
                <w:webHidden/>
                <w:sz w:val="24"/>
                <w:szCs w:val="24"/>
              </w:rPr>
              <w:fldChar w:fldCharType="end"/>
            </w:r>
          </w:hyperlink>
        </w:p>
        <w:p w14:paraId="53027AD4"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2" w:history="1">
            <w:r w:rsidRPr="00D923BC">
              <w:rPr>
                <w:rStyle w:val="Hyperlink"/>
                <w:rFonts w:ascii="Times New Roman" w:hAnsi="Times New Roman" w:cs="Times New Roman"/>
                <w:noProof/>
                <w:sz w:val="24"/>
                <w:szCs w:val="24"/>
              </w:rPr>
              <w:t>2.1 BMW’s contemporary positioning and brand strength</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_Toc214145572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3</w:t>
            </w:r>
            <w:r w:rsidRPr="00D923BC">
              <w:rPr>
                <w:rFonts w:ascii="Times New Roman" w:hAnsi="Times New Roman" w:cs="Times New Roman"/>
                <w:noProof/>
                <w:webHidden/>
                <w:sz w:val="24"/>
                <w:szCs w:val="24"/>
              </w:rPr>
              <w:fldChar w:fldCharType="end"/>
            </w:r>
          </w:hyperlink>
        </w:p>
        <w:p w14:paraId="212EE6D1"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3" w:history="1">
            <w:r w:rsidRPr="00D923BC">
              <w:rPr>
                <w:rStyle w:val="Hyperlink"/>
                <w:rFonts w:ascii="Times New Roman" w:hAnsi="Times New Roman" w:cs="Times New Roman"/>
                <w:noProof/>
                <w:sz w:val="24"/>
                <w:szCs w:val="24"/>
              </w:rPr>
              <w:t>2.2 Global market position &amp; product architecture</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_Toc214145573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4</w:t>
            </w:r>
            <w:r w:rsidRPr="00D923BC">
              <w:rPr>
                <w:rFonts w:ascii="Times New Roman" w:hAnsi="Times New Roman" w:cs="Times New Roman"/>
                <w:noProof/>
                <w:webHidden/>
                <w:sz w:val="24"/>
                <w:szCs w:val="24"/>
              </w:rPr>
              <w:fldChar w:fldCharType="end"/>
            </w:r>
          </w:hyperlink>
        </w:p>
        <w:p w14:paraId="1F59A490"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4" w:history="1">
            <w:r w:rsidRPr="00D923BC">
              <w:rPr>
                <w:rStyle w:val="Hyperlink"/>
                <w:rFonts w:ascii="Times New Roman" w:hAnsi="Times New Roman" w:cs="Times New Roman"/>
                <w:noProof/>
                <w:sz w:val="24"/>
                <w:szCs w:val="24"/>
              </w:rPr>
              <w:t>2.3 Presence &amp; strategic differences: Germany vs China</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_Toc214145574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5</w:t>
            </w:r>
            <w:r w:rsidRPr="00D923BC">
              <w:rPr>
                <w:rFonts w:ascii="Times New Roman" w:hAnsi="Times New Roman" w:cs="Times New Roman"/>
                <w:noProof/>
                <w:webHidden/>
                <w:sz w:val="24"/>
                <w:szCs w:val="24"/>
              </w:rPr>
              <w:fldChar w:fldCharType="end"/>
            </w:r>
          </w:hyperlink>
        </w:p>
        <w:p w14:paraId="4D0AEA79"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5" w:history="1">
            <w:r w:rsidRPr="00D923BC">
              <w:rPr>
                <w:rStyle w:val="Hyperlink"/>
                <w:rFonts w:ascii="Times New Roman" w:hAnsi="Times New Roman" w:cs="Times New Roman"/>
                <w:noProof/>
                <w:sz w:val="24"/>
                <w:szCs w:val="24"/>
              </w:rPr>
              <w:t>3. Comparison of the Socio-Cultural Context of Germany and China</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_Toc214145575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6</w:t>
            </w:r>
            <w:r w:rsidRPr="00D923BC">
              <w:rPr>
                <w:rFonts w:ascii="Times New Roman" w:hAnsi="Times New Roman" w:cs="Times New Roman"/>
                <w:noProof/>
                <w:webHidden/>
                <w:sz w:val="24"/>
                <w:szCs w:val="24"/>
              </w:rPr>
              <w:fldChar w:fldCharType="end"/>
            </w:r>
          </w:hyperlink>
        </w:p>
        <w:p w14:paraId="36D20CB5"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6" w:history="1">
            <w:r w:rsidRPr="00D923BC">
              <w:rPr>
                <w:rStyle w:val="Hyperlink"/>
                <w:rFonts w:ascii="Times New Roman" w:hAnsi="Times New Roman" w:cs="Times New Roman"/>
                <w:noProof/>
                <w:sz w:val="24"/>
                <w:szCs w:val="24"/>
              </w:rPr>
              <w:t>4. Comparison of Brand’s STP Strategies in Germany and China</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_Toc214145576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8</w:t>
            </w:r>
            <w:r w:rsidRPr="00D923BC">
              <w:rPr>
                <w:rFonts w:ascii="Times New Roman" w:hAnsi="Times New Roman" w:cs="Times New Roman"/>
                <w:noProof/>
                <w:webHidden/>
                <w:sz w:val="24"/>
                <w:szCs w:val="24"/>
              </w:rPr>
              <w:fldChar w:fldCharType="end"/>
            </w:r>
          </w:hyperlink>
        </w:p>
        <w:p w14:paraId="333E530C"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7" w:history="1">
            <w:r w:rsidRPr="00D923BC">
              <w:rPr>
                <w:rStyle w:val="Hyperlink"/>
                <w:rFonts w:ascii="Times New Roman" w:hAnsi="Times New Roman" w:cs="Times New Roman"/>
                <w:noProof/>
                <w:sz w:val="24"/>
                <w:szCs w:val="24"/>
              </w:rPr>
              <w:t>5. Comparison of Marketing Mix (7Ps) Strategies in Germany and China</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_Toc214145577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10</w:t>
            </w:r>
            <w:r w:rsidRPr="00D923BC">
              <w:rPr>
                <w:rFonts w:ascii="Times New Roman" w:hAnsi="Times New Roman" w:cs="Times New Roman"/>
                <w:noProof/>
                <w:webHidden/>
                <w:sz w:val="24"/>
                <w:szCs w:val="24"/>
              </w:rPr>
              <w:fldChar w:fldCharType="end"/>
            </w:r>
          </w:hyperlink>
        </w:p>
        <w:p w14:paraId="7904BE49"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8" w:history="1">
            <w:r w:rsidRPr="00D923BC">
              <w:rPr>
                <w:rStyle w:val="Hyperlink"/>
                <w:rFonts w:ascii="Times New Roman" w:hAnsi="Times New Roman" w:cs="Times New Roman"/>
                <w:noProof/>
                <w:sz w:val="24"/>
                <w:szCs w:val="24"/>
              </w:rPr>
              <w:t>5.1 Product — adaptations, EV models, tech features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_Toc214145578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10</w:t>
            </w:r>
            <w:r w:rsidRPr="00D923BC">
              <w:rPr>
                <w:rFonts w:ascii="Times New Roman" w:hAnsi="Times New Roman" w:cs="Times New Roman"/>
                <w:noProof/>
                <w:webHidden/>
                <w:sz w:val="24"/>
                <w:szCs w:val="24"/>
              </w:rPr>
              <w:fldChar w:fldCharType="end"/>
            </w:r>
          </w:hyperlink>
        </w:p>
        <w:p w14:paraId="4604E8EF"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79" w:history="1">
            <w:r w:rsidRPr="00D923BC">
              <w:rPr>
                <w:rStyle w:val="Hyperlink"/>
                <w:rFonts w:ascii="Times New Roman" w:hAnsi="Times New Roman" w:cs="Times New Roman"/>
                <w:noProof/>
                <w:sz w:val="24"/>
                <w:szCs w:val="24"/>
              </w:rPr>
              <w:t>5.2 Price — premium pricing vs flexible financing, taxation effects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_Toc214145579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11</w:t>
            </w:r>
            <w:r w:rsidRPr="00D923BC">
              <w:rPr>
                <w:rFonts w:ascii="Times New Roman" w:hAnsi="Times New Roman" w:cs="Times New Roman"/>
                <w:noProof/>
                <w:webHidden/>
                <w:sz w:val="24"/>
                <w:szCs w:val="24"/>
              </w:rPr>
              <w:fldChar w:fldCharType="end"/>
            </w:r>
          </w:hyperlink>
        </w:p>
        <w:p w14:paraId="456900C0"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0" w:history="1">
            <w:r w:rsidRPr="00D923BC">
              <w:rPr>
                <w:rStyle w:val="Hyperlink"/>
                <w:rFonts w:ascii="Times New Roman" w:hAnsi="Times New Roman" w:cs="Times New Roman"/>
                <w:noProof/>
                <w:sz w:val="24"/>
                <w:szCs w:val="24"/>
              </w:rPr>
              <w:t>5.3 Place — dealership networks, digital retail platforms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_Toc214145580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11</w:t>
            </w:r>
            <w:r w:rsidRPr="00D923BC">
              <w:rPr>
                <w:rFonts w:ascii="Times New Roman" w:hAnsi="Times New Roman" w:cs="Times New Roman"/>
                <w:noProof/>
                <w:webHidden/>
                <w:sz w:val="24"/>
                <w:szCs w:val="24"/>
              </w:rPr>
              <w:fldChar w:fldCharType="end"/>
            </w:r>
          </w:hyperlink>
        </w:p>
        <w:p w14:paraId="684E9D1D"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1" w:history="1">
            <w:r w:rsidRPr="00D923BC">
              <w:rPr>
                <w:rStyle w:val="Hyperlink"/>
                <w:rFonts w:ascii="Times New Roman" w:hAnsi="Times New Roman" w:cs="Times New Roman"/>
                <w:noProof/>
                <w:sz w:val="24"/>
                <w:szCs w:val="24"/>
              </w:rPr>
              <w:t>5.4 Promotion — tone, celebrities, social media platforms, campaign examples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_Toc214145581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11</w:t>
            </w:r>
            <w:r w:rsidRPr="00D923BC">
              <w:rPr>
                <w:rFonts w:ascii="Times New Roman" w:hAnsi="Times New Roman" w:cs="Times New Roman"/>
                <w:noProof/>
                <w:webHidden/>
                <w:sz w:val="24"/>
                <w:szCs w:val="24"/>
              </w:rPr>
              <w:fldChar w:fldCharType="end"/>
            </w:r>
          </w:hyperlink>
        </w:p>
        <w:p w14:paraId="2AEE59CC"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2" w:history="1">
            <w:r w:rsidRPr="00D923BC">
              <w:rPr>
                <w:rStyle w:val="Hyperlink"/>
                <w:rFonts w:ascii="Times New Roman" w:hAnsi="Times New Roman" w:cs="Times New Roman"/>
                <w:noProof/>
                <w:sz w:val="24"/>
                <w:szCs w:val="24"/>
              </w:rPr>
              <w:t>5.5 People — service expectations and training differences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_Toc214145582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12</w:t>
            </w:r>
            <w:r w:rsidRPr="00D923BC">
              <w:rPr>
                <w:rFonts w:ascii="Times New Roman" w:hAnsi="Times New Roman" w:cs="Times New Roman"/>
                <w:noProof/>
                <w:webHidden/>
                <w:sz w:val="24"/>
                <w:szCs w:val="24"/>
              </w:rPr>
              <w:fldChar w:fldCharType="end"/>
            </w:r>
          </w:hyperlink>
        </w:p>
        <w:p w14:paraId="14F7AF0B"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3" w:history="1">
            <w:r w:rsidRPr="00D923BC">
              <w:rPr>
                <w:rStyle w:val="Hyperlink"/>
                <w:rFonts w:ascii="Times New Roman" w:hAnsi="Times New Roman" w:cs="Times New Roman"/>
                <w:noProof/>
                <w:sz w:val="24"/>
                <w:szCs w:val="24"/>
              </w:rPr>
              <w:t>5.6 Process — customer journey, digitalisation, after-sales systems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_Toc214145583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12</w:t>
            </w:r>
            <w:r w:rsidRPr="00D923BC">
              <w:rPr>
                <w:rFonts w:ascii="Times New Roman" w:hAnsi="Times New Roman" w:cs="Times New Roman"/>
                <w:noProof/>
                <w:webHidden/>
                <w:sz w:val="24"/>
                <w:szCs w:val="24"/>
              </w:rPr>
              <w:fldChar w:fldCharType="end"/>
            </w:r>
          </w:hyperlink>
        </w:p>
        <w:p w14:paraId="7D02FADB"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4" w:history="1">
            <w:r w:rsidRPr="00D923BC">
              <w:rPr>
                <w:rStyle w:val="Hyperlink"/>
                <w:rFonts w:ascii="Times New Roman" w:hAnsi="Times New Roman" w:cs="Times New Roman"/>
                <w:noProof/>
                <w:sz w:val="24"/>
                <w:szCs w:val="24"/>
              </w:rPr>
              <w:t>5.7 Physical evidence — showroom design, brand experiences, packaging of digital services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_Toc214145584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13</w:t>
            </w:r>
            <w:r w:rsidRPr="00D923BC">
              <w:rPr>
                <w:rFonts w:ascii="Times New Roman" w:hAnsi="Times New Roman" w:cs="Times New Roman"/>
                <w:noProof/>
                <w:webHidden/>
                <w:sz w:val="24"/>
                <w:szCs w:val="24"/>
              </w:rPr>
              <w:fldChar w:fldCharType="end"/>
            </w:r>
          </w:hyperlink>
        </w:p>
        <w:p w14:paraId="765E96CC"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5" w:history="1">
            <w:r w:rsidRPr="00D923BC">
              <w:rPr>
                <w:rStyle w:val="Hyperlink"/>
                <w:rFonts w:ascii="Times New Roman" w:hAnsi="Times New Roman" w:cs="Times New Roman"/>
                <w:noProof/>
                <w:sz w:val="24"/>
                <w:szCs w:val="24"/>
              </w:rPr>
              <w:t>6. Evaluation of the Performance of Marketing Strategies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_Toc214145585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13</w:t>
            </w:r>
            <w:r w:rsidRPr="00D923BC">
              <w:rPr>
                <w:rFonts w:ascii="Times New Roman" w:hAnsi="Times New Roman" w:cs="Times New Roman"/>
                <w:noProof/>
                <w:webHidden/>
                <w:sz w:val="24"/>
                <w:szCs w:val="24"/>
              </w:rPr>
              <w:fldChar w:fldCharType="end"/>
            </w:r>
          </w:hyperlink>
        </w:p>
        <w:p w14:paraId="25CBF7E3"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6" w:history="1">
            <w:r w:rsidRPr="00D923BC">
              <w:rPr>
                <w:rStyle w:val="Hyperlink"/>
                <w:rFonts w:ascii="Times New Roman" w:hAnsi="Times New Roman" w:cs="Times New Roman"/>
                <w:noProof/>
                <w:sz w:val="24"/>
                <w:szCs w:val="24"/>
              </w:rPr>
              <w:t>6.1 Market performance: sales, share and premium positioning</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_Toc214145586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13</w:t>
            </w:r>
            <w:r w:rsidRPr="00D923BC">
              <w:rPr>
                <w:rFonts w:ascii="Times New Roman" w:hAnsi="Times New Roman" w:cs="Times New Roman"/>
                <w:noProof/>
                <w:webHidden/>
                <w:sz w:val="24"/>
                <w:szCs w:val="24"/>
              </w:rPr>
              <w:fldChar w:fldCharType="end"/>
            </w:r>
          </w:hyperlink>
        </w:p>
        <w:p w14:paraId="1CF188F9"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7" w:history="1">
            <w:r w:rsidRPr="00D923BC">
              <w:rPr>
                <w:rStyle w:val="Hyperlink"/>
                <w:rFonts w:ascii="Times New Roman" w:hAnsi="Times New Roman" w:cs="Times New Roman"/>
                <w:noProof/>
                <w:sz w:val="24"/>
                <w:szCs w:val="24"/>
              </w:rPr>
              <w:t>6.2 Digital &amp; brand engagement performance</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_Toc214145587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15</w:t>
            </w:r>
            <w:r w:rsidRPr="00D923BC">
              <w:rPr>
                <w:rFonts w:ascii="Times New Roman" w:hAnsi="Times New Roman" w:cs="Times New Roman"/>
                <w:noProof/>
                <w:webHidden/>
                <w:sz w:val="24"/>
                <w:szCs w:val="24"/>
              </w:rPr>
              <w:fldChar w:fldCharType="end"/>
            </w:r>
          </w:hyperlink>
        </w:p>
        <w:p w14:paraId="79207333"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8" w:history="1">
            <w:r w:rsidRPr="00D923BC">
              <w:rPr>
                <w:rStyle w:val="Hyperlink"/>
                <w:rFonts w:ascii="Times New Roman" w:hAnsi="Times New Roman" w:cs="Times New Roman"/>
                <w:noProof/>
                <w:sz w:val="24"/>
                <w:szCs w:val="24"/>
              </w:rPr>
              <w:t>6.3 Distribution, retail and after-sales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_Toc214145588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15</w:t>
            </w:r>
            <w:r w:rsidRPr="00D923BC">
              <w:rPr>
                <w:rFonts w:ascii="Times New Roman" w:hAnsi="Times New Roman" w:cs="Times New Roman"/>
                <w:noProof/>
                <w:webHidden/>
                <w:sz w:val="24"/>
                <w:szCs w:val="24"/>
              </w:rPr>
              <w:fldChar w:fldCharType="end"/>
            </w:r>
          </w:hyperlink>
        </w:p>
        <w:p w14:paraId="6CF054F3"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89" w:history="1">
            <w:r w:rsidRPr="00D923BC">
              <w:rPr>
                <w:rStyle w:val="Hyperlink"/>
                <w:rFonts w:ascii="Times New Roman" w:hAnsi="Times New Roman" w:cs="Times New Roman"/>
                <w:noProof/>
                <w:sz w:val="24"/>
                <w:szCs w:val="24"/>
              </w:rPr>
              <w:t>7. Evaluation of Marketing Ethics Practice</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_Toc214145589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16</w:t>
            </w:r>
            <w:r w:rsidRPr="00D923BC">
              <w:rPr>
                <w:rFonts w:ascii="Times New Roman" w:hAnsi="Times New Roman" w:cs="Times New Roman"/>
                <w:noProof/>
                <w:webHidden/>
                <w:sz w:val="24"/>
                <w:szCs w:val="24"/>
              </w:rPr>
              <w:fldChar w:fldCharType="end"/>
            </w:r>
          </w:hyperlink>
        </w:p>
        <w:p w14:paraId="5AF7DDFE"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0" w:history="1">
            <w:r w:rsidRPr="00D923BC">
              <w:rPr>
                <w:rStyle w:val="Hyperlink"/>
                <w:rFonts w:ascii="Times New Roman" w:hAnsi="Times New Roman" w:cs="Times New Roman"/>
                <w:noProof/>
                <w:sz w:val="24"/>
                <w:szCs w:val="24"/>
              </w:rPr>
              <w:t>8. Recommendations &amp; Conclusion</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_Toc214145590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16</w:t>
            </w:r>
            <w:r w:rsidRPr="00D923BC">
              <w:rPr>
                <w:rFonts w:ascii="Times New Roman" w:hAnsi="Times New Roman" w:cs="Times New Roman"/>
                <w:noProof/>
                <w:webHidden/>
                <w:sz w:val="24"/>
                <w:szCs w:val="24"/>
              </w:rPr>
              <w:fldChar w:fldCharType="end"/>
            </w:r>
          </w:hyperlink>
        </w:p>
        <w:p w14:paraId="720C52E1"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1" w:history="1">
            <w:r w:rsidRPr="00D923BC">
              <w:rPr>
                <w:rStyle w:val="Hyperlink"/>
                <w:rFonts w:ascii="Times New Roman" w:hAnsi="Times New Roman" w:cs="Times New Roman"/>
                <w:noProof/>
                <w:sz w:val="24"/>
                <w:szCs w:val="24"/>
              </w:rPr>
              <w:t>9. Conclusion</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_Toc214145591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18</w:t>
            </w:r>
            <w:r w:rsidRPr="00D923BC">
              <w:rPr>
                <w:rFonts w:ascii="Times New Roman" w:hAnsi="Times New Roman" w:cs="Times New Roman"/>
                <w:noProof/>
                <w:webHidden/>
                <w:sz w:val="24"/>
                <w:szCs w:val="24"/>
              </w:rPr>
              <w:fldChar w:fldCharType="end"/>
            </w:r>
          </w:hyperlink>
        </w:p>
        <w:p w14:paraId="5DD47A5F"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2" w:history="1">
            <w:r w:rsidRPr="00D923BC">
              <w:rPr>
                <w:rStyle w:val="Hyperlink"/>
                <w:rFonts w:ascii="Times New Roman" w:hAnsi="Times New Roman" w:cs="Times New Roman"/>
                <w:noProof/>
                <w:sz w:val="24"/>
                <w:szCs w:val="24"/>
              </w:rPr>
              <w:t>References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_Toc214145592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19</w:t>
            </w:r>
            <w:r w:rsidRPr="00D923BC">
              <w:rPr>
                <w:rFonts w:ascii="Times New Roman" w:hAnsi="Times New Roman" w:cs="Times New Roman"/>
                <w:noProof/>
                <w:webHidden/>
                <w:sz w:val="24"/>
                <w:szCs w:val="24"/>
              </w:rPr>
              <w:fldChar w:fldCharType="end"/>
            </w:r>
          </w:hyperlink>
        </w:p>
        <w:p w14:paraId="3B677949" w14:textId="77777777" w:rsidR="00D923BC" w:rsidRPr="00D923BC" w:rsidRDefault="00D923BC" w:rsidP="00D923BC">
          <w:pPr>
            <w:pStyle w:val="TOC1"/>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3" w:history="1">
            <w:r w:rsidRPr="00D923BC">
              <w:rPr>
                <w:rStyle w:val="Hyperlink"/>
                <w:rFonts w:ascii="Times New Roman" w:hAnsi="Times New Roman" w:cs="Times New Roman"/>
                <w:noProof/>
                <w:sz w:val="24"/>
                <w:szCs w:val="24"/>
              </w:rPr>
              <w:t>Appendices</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_Toc214145593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24</w:t>
            </w:r>
            <w:r w:rsidRPr="00D923BC">
              <w:rPr>
                <w:rFonts w:ascii="Times New Roman" w:hAnsi="Times New Roman" w:cs="Times New Roman"/>
                <w:noProof/>
                <w:webHidden/>
                <w:sz w:val="24"/>
                <w:szCs w:val="24"/>
              </w:rPr>
              <w:fldChar w:fldCharType="end"/>
            </w:r>
          </w:hyperlink>
        </w:p>
        <w:p w14:paraId="0BA4B925"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4" w:history="1">
            <w:r w:rsidRPr="00D923BC">
              <w:rPr>
                <w:rStyle w:val="Hyperlink"/>
                <w:rFonts w:ascii="Times New Roman" w:hAnsi="Times New Roman" w:cs="Times New Roman"/>
                <w:noProof/>
                <w:sz w:val="24"/>
                <w:szCs w:val="24"/>
              </w:rPr>
              <w:t>Appendix 1: Global electric car stock, 2013-2023</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_Toc214145594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24</w:t>
            </w:r>
            <w:r w:rsidRPr="00D923BC">
              <w:rPr>
                <w:rFonts w:ascii="Times New Roman" w:hAnsi="Times New Roman" w:cs="Times New Roman"/>
                <w:noProof/>
                <w:webHidden/>
                <w:sz w:val="24"/>
                <w:szCs w:val="24"/>
              </w:rPr>
              <w:fldChar w:fldCharType="end"/>
            </w:r>
          </w:hyperlink>
        </w:p>
        <w:p w14:paraId="495F68D4" w14:textId="77777777" w:rsidR="00D923BC" w:rsidRPr="00D923BC" w:rsidRDefault="00D923BC" w:rsidP="00D923BC">
          <w:pPr>
            <w:pStyle w:val="TOC2"/>
            <w:tabs>
              <w:tab w:val="right" w:leader="dot" w:pos="9016"/>
            </w:tabs>
            <w:spacing w:line="276" w:lineRule="auto"/>
            <w:jc w:val="both"/>
            <w:rPr>
              <w:rFonts w:ascii="Times New Roman" w:eastAsiaTheme="minorEastAsia" w:hAnsi="Times New Roman" w:cs="Times New Roman"/>
              <w:noProof/>
              <w:sz w:val="24"/>
              <w:szCs w:val="24"/>
              <w:lang w:val="en-IN" w:eastAsia="en-IN"/>
            </w:rPr>
          </w:pPr>
          <w:hyperlink w:anchor="_Toc214145595" w:history="1">
            <w:r w:rsidRPr="00D923BC">
              <w:rPr>
                <w:rStyle w:val="Hyperlink"/>
                <w:rFonts w:ascii="Times New Roman" w:hAnsi="Times New Roman" w:cs="Times New Roman"/>
                <w:noProof/>
                <w:sz w:val="24"/>
                <w:szCs w:val="24"/>
              </w:rPr>
              <w:t>Appendix 2: Automotive sales volume 2023</w:t>
            </w:r>
            <w:r w:rsidRPr="00D923BC">
              <w:rPr>
                <w:rFonts w:ascii="Times New Roman" w:hAnsi="Times New Roman" w:cs="Times New Roman"/>
                <w:noProof/>
                <w:webHidden/>
                <w:sz w:val="24"/>
                <w:szCs w:val="24"/>
              </w:rPr>
              <w:tab/>
            </w:r>
            <w:r w:rsidRPr="00D923BC">
              <w:rPr>
                <w:rFonts w:ascii="Times New Roman" w:hAnsi="Times New Roman" w:cs="Times New Roman"/>
                <w:noProof/>
                <w:webHidden/>
                <w:sz w:val="24"/>
                <w:szCs w:val="24"/>
              </w:rPr>
              <w:fldChar w:fldCharType="begin"/>
            </w:r>
            <w:r w:rsidRPr="00D923BC">
              <w:rPr>
                <w:rFonts w:ascii="Times New Roman" w:hAnsi="Times New Roman" w:cs="Times New Roman"/>
                <w:noProof/>
                <w:webHidden/>
                <w:sz w:val="24"/>
                <w:szCs w:val="24"/>
              </w:rPr>
              <w:instrText xml:space="preserve"> PAGEREF _Toc214145595 \h </w:instrText>
            </w:r>
            <w:r w:rsidRPr="00D923BC">
              <w:rPr>
                <w:rFonts w:ascii="Times New Roman" w:hAnsi="Times New Roman" w:cs="Times New Roman"/>
                <w:noProof/>
                <w:webHidden/>
                <w:sz w:val="24"/>
                <w:szCs w:val="24"/>
              </w:rPr>
            </w:r>
            <w:r w:rsidRPr="00D923BC">
              <w:rPr>
                <w:rFonts w:ascii="Times New Roman" w:hAnsi="Times New Roman" w:cs="Times New Roman"/>
                <w:noProof/>
                <w:webHidden/>
                <w:sz w:val="24"/>
                <w:szCs w:val="24"/>
              </w:rPr>
              <w:fldChar w:fldCharType="separate"/>
            </w:r>
            <w:r w:rsidRPr="00D923BC">
              <w:rPr>
                <w:rFonts w:ascii="Times New Roman" w:hAnsi="Times New Roman" w:cs="Times New Roman"/>
                <w:noProof/>
                <w:webHidden/>
                <w:sz w:val="24"/>
                <w:szCs w:val="24"/>
              </w:rPr>
              <w:t>25</w:t>
            </w:r>
            <w:r w:rsidRPr="00D923BC">
              <w:rPr>
                <w:rFonts w:ascii="Times New Roman" w:hAnsi="Times New Roman" w:cs="Times New Roman"/>
                <w:noProof/>
                <w:webHidden/>
                <w:sz w:val="24"/>
                <w:szCs w:val="24"/>
              </w:rPr>
              <w:fldChar w:fldCharType="end"/>
            </w:r>
          </w:hyperlink>
        </w:p>
        <w:p w14:paraId="6C45632E" w14:textId="77777777" w:rsidR="006E6F1E" w:rsidRDefault="006E6F1E" w:rsidP="00D923BC">
          <w:pPr>
            <w:spacing w:line="276" w:lineRule="auto"/>
            <w:jc w:val="both"/>
          </w:pPr>
          <w:r w:rsidRPr="00D923BC">
            <w:rPr>
              <w:rFonts w:ascii="Times New Roman" w:hAnsi="Times New Roman" w:cs="Times New Roman"/>
              <w:b/>
              <w:bCs/>
              <w:noProof/>
              <w:sz w:val="24"/>
              <w:szCs w:val="24"/>
            </w:rPr>
            <w:fldChar w:fldCharType="end"/>
          </w:r>
        </w:p>
      </w:sdtContent>
    </w:sdt>
    <w:p w14:paraId="3CFAD791" w14:textId="77777777" w:rsidR="00D22F6B" w:rsidRDefault="00D22F6B">
      <w:pPr>
        <w:rPr>
          <w:rFonts w:ascii="Times New Roman" w:hAnsi="Times New Roman" w:cs="Times New Roman"/>
          <w:b/>
          <w:sz w:val="28"/>
          <w:lang w:val="en-IN"/>
        </w:rPr>
      </w:pPr>
      <w:r>
        <w:br w:type="page"/>
      </w:r>
    </w:p>
    <w:p w14:paraId="7E2CB941" w14:textId="77777777" w:rsidR="003255EC" w:rsidRPr="000A71B6" w:rsidRDefault="003255EC" w:rsidP="006E6F1E">
      <w:pPr>
        <w:pStyle w:val="Heading1"/>
      </w:pPr>
      <w:bookmarkStart w:id="0" w:name="_Toc214145570"/>
      <w:r w:rsidRPr="000A71B6">
        <w:t>1. Introduction</w:t>
      </w:r>
      <w:bookmarkEnd w:id="0"/>
    </w:p>
    <w:p w14:paraId="14CBDBD1" w14:textId="77777777" w:rsidR="003255EC" w:rsidRPr="003255EC"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This report examines the international marketing of BMW using the operations in Germany (home market) and China (largest single-country market) as examples. This is aimed at determining how a difference in the macro-environment and the local consumer culture influences BMW segmentation, targeting and positioning (STP), the 7ps, and ethical practice and thereafter, review performance and give actionable advice. Three existing, measurable indicators reflect the global size and strategic orientation of BMW: the BMW brand shipped 2,253,835 cars all over the world in 2023 (Bmwgroup, 2023). In 2023, in line with the initiation of the ongoing premium pricing and consolidation, the BMW Group recorded group revenues of around EUR155.5 billion (Reuters, 2023). The rate of electrification is gaining momentum in BMW - the Group sold approximately 376,183 battery-electric vehicles in 2023 (Electrive, 2024). BMW is selected in the sample, as the company is a typical example of premium incumbents that are strategically repositioning (NEUE KLASSE, heavy EV investment) and addressing the legacy advantages and threats of the market (intense competition in China). Germany and China were chosen, as they are the most contrasting in terms of their culture, regulation and competitive forces, but both are the key to the profitability of BMW and its product development. The report discusses the PESTLE, STP, 7Ps, ethics and performance measures and ends with recommendations that are prioritized</w:t>
      </w:r>
      <w:r w:rsidR="00DB562A" w:rsidRPr="00DB562A">
        <w:rPr>
          <w:rFonts w:ascii="Times New Roman" w:hAnsi="Times New Roman" w:cs="Times New Roman"/>
          <w:sz w:val="24"/>
          <w:lang w:val="en-IN"/>
        </w:rPr>
        <w:t>.</w:t>
      </w:r>
    </w:p>
    <w:p w14:paraId="6BBC954C" w14:textId="77777777" w:rsidR="003255EC" w:rsidRPr="000A71B6" w:rsidRDefault="003255EC" w:rsidP="006E6F1E">
      <w:pPr>
        <w:pStyle w:val="Heading1"/>
      </w:pPr>
      <w:bookmarkStart w:id="1" w:name="_Toc214145571"/>
      <w:r w:rsidRPr="000A71B6">
        <w:t>2. Brand Overview</w:t>
      </w:r>
      <w:bookmarkEnd w:id="1"/>
    </w:p>
    <w:p w14:paraId="3CB8838A" w14:textId="77777777" w:rsidR="00DC0DA5" w:rsidRPr="00DC0DA5" w:rsidRDefault="000A71B6" w:rsidP="006E6F1E">
      <w:pPr>
        <w:pStyle w:val="Heading2"/>
      </w:pPr>
      <w:bookmarkStart w:id="2" w:name="_Toc214145572"/>
      <w:r>
        <w:t xml:space="preserve">2.1 </w:t>
      </w:r>
      <w:r w:rsidR="00DC0DA5" w:rsidRPr="00DC0DA5">
        <w:t>BMW’s contemporary positioning and brand strength</w:t>
      </w:r>
      <w:bookmarkEnd w:id="2"/>
      <w:r w:rsidR="00DC0DA5" w:rsidRPr="00DC0DA5">
        <w:t xml:space="preserve"> </w:t>
      </w:r>
    </w:p>
    <w:p w14:paraId="0D9B1370" w14:textId="77777777" w:rsidR="00DC0DA5"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BMW has continued to be positioned in the market as an international brand of premium mobility located on the foundations of performance, engineering and currently digital electrification. In 2023, it appeared in Interbrand Top-10 Best Global Brands (#10), which indicates enhanced perceived brand value by other members of the world community (Interbrand, 2023). Brand-valuation services also indicate that BMW is always in the high-value group ( Brand valuation records BMW maintained high brand valuation in recent reports) (Brandirectory, 2025). Internally, BMW maintains a workforce size, employees of the Group are approximately 154,950 at year-end, which is significant because it implies a level of scale in service, R&amp;D and operations in the market (Bmwgroup, 2023a)</w:t>
      </w:r>
      <w:r w:rsidR="00DC0DA5" w:rsidRPr="007B00BE">
        <w:rPr>
          <w:rFonts w:ascii="Times New Roman" w:hAnsi="Times New Roman" w:cs="Times New Roman"/>
          <w:sz w:val="24"/>
          <w:lang w:val="en-IN"/>
        </w:rPr>
        <w:t>.</w:t>
      </w:r>
    </w:p>
    <w:p w14:paraId="11455C0C" w14:textId="77777777" w:rsidR="00280D0A" w:rsidRDefault="00926AAC" w:rsidP="0059163E">
      <w:pPr>
        <w:spacing w:after="0" w:line="360" w:lineRule="auto"/>
        <w:jc w:val="both"/>
        <w:rPr>
          <w:rFonts w:ascii="Times New Roman" w:hAnsi="Times New Roman" w:cs="Times New Roman"/>
          <w:sz w:val="24"/>
          <w:lang w:val="en-IN"/>
        </w:rPr>
      </w:pPr>
      <w:r w:rsidRPr="00926AAC">
        <w:rPr>
          <w:rFonts w:ascii="Times New Roman" w:hAnsi="Times New Roman" w:cs="Times New Roman"/>
          <w:noProof/>
          <w:sz w:val="24"/>
          <w:lang w:val="en-IN"/>
        </w:rPr>
        <w:drawing>
          <wp:inline distT="0" distB="0" distL="0" distR="0" wp14:anchorId="7DFB5F7C" wp14:editId="2F8B1B9F">
            <wp:extent cx="5731510" cy="3160395"/>
            <wp:effectExtent l="19050" t="19050" r="21590" b="209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60395"/>
                    </a:xfrm>
                    <a:prstGeom prst="rect">
                      <a:avLst/>
                    </a:prstGeom>
                    <a:ln>
                      <a:solidFill>
                        <a:schemeClr val="tx1"/>
                      </a:solidFill>
                    </a:ln>
                  </pic:spPr>
                </pic:pic>
              </a:graphicData>
            </a:graphic>
          </wp:inline>
        </w:drawing>
      </w:r>
    </w:p>
    <w:p w14:paraId="2CE90038" w14:textId="77777777" w:rsidR="00EE722D" w:rsidRPr="00EE722D" w:rsidRDefault="00EE722D" w:rsidP="0059163E">
      <w:pPr>
        <w:spacing w:after="0" w:line="360" w:lineRule="auto"/>
        <w:jc w:val="center"/>
        <w:rPr>
          <w:rFonts w:ascii="Times New Roman" w:hAnsi="Times New Roman" w:cs="Times New Roman"/>
          <w:b/>
          <w:sz w:val="24"/>
        </w:rPr>
      </w:pPr>
      <w:r w:rsidRPr="00EE722D">
        <w:rPr>
          <w:rFonts w:ascii="Times New Roman" w:hAnsi="Times New Roman" w:cs="Times New Roman"/>
          <w:b/>
          <w:sz w:val="24"/>
          <w:lang w:val="en-IN"/>
        </w:rPr>
        <w:t xml:space="preserve">Figure 1: </w:t>
      </w:r>
      <w:r w:rsidRPr="00EE722D">
        <w:rPr>
          <w:rFonts w:ascii="Times New Roman" w:hAnsi="Times New Roman" w:cs="Times New Roman"/>
          <w:b/>
          <w:sz w:val="24"/>
        </w:rPr>
        <w:t>BMW Group – Value drivers</w:t>
      </w:r>
    </w:p>
    <w:p w14:paraId="01BA1F3E" w14:textId="77777777" w:rsidR="00EE722D" w:rsidRPr="007B00BE" w:rsidRDefault="00EE722D" w:rsidP="0059163E">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EE722D">
        <w:rPr>
          <w:rFonts w:ascii="Times New Roman" w:hAnsi="Times New Roman" w:cs="Times New Roman"/>
          <w:sz w:val="24"/>
          <w:lang w:val="en-IN"/>
        </w:rPr>
        <w:t>Bmwgroup, 2023a</w:t>
      </w:r>
      <w:r>
        <w:rPr>
          <w:rFonts w:ascii="Times New Roman" w:hAnsi="Times New Roman" w:cs="Times New Roman"/>
          <w:sz w:val="24"/>
          <w:lang w:val="en-IN"/>
        </w:rPr>
        <w:t>)</w:t>
      </w:r>
    </w:p>
    <w:p w14:paraId="5C4D3828" w14:textId="77777777" w:rsidR="00DC0DA5" w:rsidRPr="00DC0DA5" w:rsidRDefault="001C72E7" w:rsidP="0059163E">
      <w:pPr>
        <w:spacing w:after="0" w:line="360" w:lineRule="auto"/>
        <w:jc w:val="both"/>
        <w:rPr>
          <w:rFonts w:ascii="Times New Roman" w:hAnsi="Times New Roman" w:cs="Times New Roman"/>
          <w:sz w:val="24"/>
          <w:lang w:val="en-IN"/>
        </w:rPr>
      </w:pPr>
      <w:r>
        <w:rPr>
          <w:rFonts w:ascii="Times New Roman" w:hAnsi="Times New Roman" w:cs="Times New Roman"/>
          <w:sz w:val="24"/>
        </w:rPr>
        <w:t>B</w:t>
      </w:r>
      <w:r w:rsidRPr="001C72E7">
        <w:rPr>
          <w:rFonts w:ascii="Times New Roman" w:hAnsi="Times New Roman" w:cs="Times New Roman"/>
          <w:sz w:val="24"/>
        </w:rPr>
        <w:t>rand ranking is a nice proxy of marketing power but obscures significant variation in the perception of luxuriousness and the speed with which the meaning of premium (software, customer data, EV range) changes. The historic mechanical engineering dominance of BMW might not be automatically transferred to software-defined car leadership; the brand has to transfer prestige of the heritage to plausible future-technology dominance or risk loss of premiums</w:t>
      </w:r>
      <w:r w:rsidR="00DC0DA5" w:rsidRPr="00DC0DA5">
        <w:rPr>
          <w:rFonts w:ascii="Times New Roman" w:hAnsi="Times New Roman" w:cs="Times New Roman"/>
          <w:sz w:val="24"/>
          <w:lang w:val="en-IN"/>
        </w:rPr>
        <w:t>.</w:t>
      </w:r>
    </w:p>
    <w:p w14:paraId="19703DF0" w14:textId="77777777" w:rsidR="00DC0DA5" w:rsidRPr="00DC0DA5" w:rsidRDefault="000A71B6" w:rsidP="006E6F1E">
      <w:pPr>
        <w:pStyle w:val="Heading2"/>
      </w:pPr>
      <w:bookmarkStart w:id="3" w:name="_Toc214145573"/>
      <w:r>
        <w:t xml:space="preserve">2.2 </w:t>
      </w:r>
      <w:r w:rsidR="00DC0DA5" w:rsidRPr="00DC0DA5">
        <w:t>Global market position &amp; product architecture</w:t>
      </w:r>
      <w:bookmarkEnd w:id="3"/>
      <w:r w:rsidR="00DC0DA5" w:rsidRPr="00DC0DA5">
        <w:t xml:space="preserve"> </w:t>
      </w:r>
    </w:p>
    <w:p w14:paraId="0204DDC8" w14:textId="77777777" w:rsidR="003A4F5F"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BMW is a leading premium seller throughout the world: 2,253,835 vehicles under the BMW core brand sold in 2023, and it continues to dominate the premium market (Bmwgroup, 2023)</w:t>
      </w:r>
      <w:r w:rsidR="00DC0DA5" w:rsidRPr="007B00BE">
        <w:rPr>
          <w:rFonts w:ascii="Times New Roman" w:hAnsi="Times New Roman" w:cs="Times New Roman"/>
          <w:sz w:val="24"/>
          <w:lang w:val="en-IN"/>
        </w:rPr>
        <w:t xml:space="preserve">. </w:t>
      </w:r>
    </w:p>
    <w:p w14:paraId="0FBD00F9" w14:textId="77777777" w:rsidR="003A4F5F" w:rsidRDefault="003A4F5F" w:rsidP="0059163E">
      <w:pPr>
        <w:spacing w:after="0" w:line="360" w:lineRule="auto"/>
        <w:jc w:val="both"/>
        <w:rPr>
          <w:rFonts w:ascii="Times New Roman" w:hAnsi="Times New Roman" w:cs="Times New Roman"/>
          <w:sz w:val="24"/>
          <w:lang w:val="en-IN"/>
        </w:rPr>
      </w:pPr>
      <w:r w:rsidRPr="003A4F5F">
        <w:rPr>
          <w:rFonts w:ascii="Times New Roman" w:hAnsi="Times New Roman" w:cs="Times New Roman"/>
          <w:noProof/>
          <w:sz w:val="24"/>
          <w:lang w:val="en-IN"/>
        </w:rPr>
        <w:drawing>
          <wp:inline distT="0" distB="0" distL="0" distR="0" wp14:anchorId="06AF7B1B" wp14:editId="15127435">
            <wp:extent cx="5731510" cy="3255645"/>
            <wp:effectExtent l="19050" t="19050" r="21590"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55645"/>
                    </a:xfrm>
                    <a:prstGeom prst="rect">
                      <a:avLst/>
                    </a:prstGeom>
                    <a:ln>
                      <a:solidFill>
                        <a:schemeClr val="tx1"/>
                      </a:solidFill>
                    </a:ln>
                  </pic:spPr>
                </pic:pic>
              </a:graphicData>
            </a:graphic>
          </wp:inline>
        </w:drawing>
      </w:r>
    </w:p>
    <w:p w14:paraId="60DB1697" w14:textId="77777777" w:rsidR="003A4F5F" w:rsidRPr="003A4F5F" w:rsidRDefault="003A4F5F" w:rsidP="0059163E">
      <w:pPr>
        <w:spacing w:after="0" w:line="360" w:lineRule="auto"/>
        <w:jc w:val="center"/>
        <w:rPr>
          <w:rFonts w:ascii="Times New Roman" w:hAnsi="Times New Roman" w:cs="Times New Roman"/>
          <w:b/>
          <w:sz w:val="24"/>
          <w:lang w:val="en-IN"/>
        </w:rPr>
      </w:pPr>
      <w:r w:rsidRPr="003A4F5F">
        <w:rPr>
          <w:rFonts w:ascii="Times New Roman" w:hAnsi="Times New Roman" w:cs="Times New Roman"/>
          <w:b/>
          <w:sz w:val="24"/>
          <w:lang w:val="en-IN"/>
        </w:rPr>
        <w:t xml:space="preserve">Figure </w:t>
      </w:r>
      <w:r w:rsidR="00EE722D">
        <w:rPr>
          <w:rFonts w:ascii="Times New Roman" w:hAnsi="Times New Roman" w:cs="Times New Roman"/>
          <w:b/>
          <w:sz w:val="24"/>
          <w:lang w:val="en-IN"/>
        </w:rPr>
        <w:t>2</w:t>
      </w:r>
      <w:r w:rsidRPr="003A4F5F">
        <w:rPr>
          <w:rFonts w:ascii="Times New Roman" w:hAnsi="Times New Roman" w:cs="Times New Roman"/>
          <w:b/>
          <w:sz w:val="24"/>
          <w:lang w:val="en-IN"/>
        </w:rPr>
        <w:t>: Electrified BMW 2020-2023</w:t>
      </w:r>
    </w:p>
    <w:p w14:paraId="4FFE904C" w14:textId="77777777" w:rsidR="003A4F5F" w:rsidRDefault="003A4F5F" w:rsidP="0059163E">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3A4F5F">
        <w:rPr>
          <w:rFonts w:ascii="Times New Roman" w:hAnsi="Times New Roman" w:cs="Times New Roman"/>
          <w:sz w:val="24"/>
          <w:lang w:val="en-IN"/>
        </w:rPr>
        <w:t>Electrive, 2024</w:t>
      </w:r>
      <w:r>
        <w:rPr>
          <w:rFonts w:ascii="Times New Roman" w:hAnsi="Times New Roman" w:cs="Times New Roman"/>
          <w:sz w:val="24"/>
          <w:lang w:val="en-IN"/>
        </w:rPr>
        <w:t>)</w:t>
      </w:r>
    </w:p>
    <w:p w14:paraId="73F28D98" w14:textId="77777777" w:rsidR="00DC0DA5" w:rsidRPr="00DC0DA5"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BMW strives to reach an EV share of 20 per cent; 1 in every 5 firm new cars will have a fully electric drive. This number will be 25 per cent by 2025 (Electrive, 2024). The product plan is based on financial scale-- the revenues of the group in 2023 amounted to EUR155.5 billion, which allows making heavy investments in NEUE KLASSE and the battery (Reuters, 2023). More importantly, the product architecture of BMW is bifurcating: the models still based on the ICE are still relevant in the current context of generating margins, and the company is also releasing several BEV platforms and high-tech options. This duality draws contradictions: keeping high profit margins on luxury ICE and subsidizing scale-costs of BEV and software development. Marketing should then deal with transitional messaging (heritage + future) without seeming incongruent or green washing the legacy fleet</w:t>
      </w:r>
      <w:r w:rsidR="00DC0DA5" w:rsidRPr="00DC0DA5">
        <w:rPr>
          <w:rFonts w:ascii="Times New Roman" w:hAnsi="Times New Roman" w:cs="Times New Roman"/>
          <w:sz w:val="24"/>
          <w:lang w:val="en-IN"/>
        </w:rPr>
        <w:t>.</w:t>
      </w:r>
    </w:p>
    <w:p w14:paraId="3B2F0631" w14:textId="77777777" w:rsidR="00DC0DA5" w:rsidRPr="00DC0DA5" w:rsidRDefault="000A71B6" w:rsidP="006E6F1E">
      <w:pPr>
        <w:pStyle w:val="Heading2"/>
      </w:pPr>
      <w:bookmarkStart w:id="4" w:name="_Toc214145574"/>
      <w:r>
        <w:t xml:space="preserve">2.3 </w:t>
      </w:r>
      <w:r w:rsidR="00DC0DA5" w:rsidRPr="00DC0DA5">
        <w:t>Presence &amp; strategic differences: Germany vs China</w:t>
      </w:r>
      <w:bookmarkEnd w:id="4"/>
      <w:r w:rsidR="00DC0DA5" w:rsidRPr="00DC0DA5">
        <w:t xml:space="preserve"> </w:t>
      </w:r>
    </w:p>
    <w:p w14:paraId="160D56F3" w14:textId="77777777" w:rsidR="00DC0DA5" w:rsidRPr="003255EC"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The production and service presence of BMW in Germany is still hefty: the Group enlists eight production plants in Germany (such as the major plants are Munich, Dingolfing, Leipzig, Regensburg), that are the resources of strong brand authenticity and research and development (Bmwgroup, 2025). BMW-Brilliance joint operations are now centrally located in China: BBA delivered 824,932 BMW and MINI in mainland China in 2023, and China is the largest country market (Bmw-brilliance, 2024). Notably, the BMW approach in China was transformed into ownership control - it raised its ownership to 75 per cent in the BMW Brilliance Automotive (11 Feb 2022, the conversion became effective), speeding up the process of localisation and investment in plants (e.g., Plant Lydia) (News, 2022). These facts reflect divergence in the strategic front. In Germany BMW sells authenticity, engineering and premium ownership experience supported with local plants, in China it sells scale, fast product-localisation, digital retail environments and alliances. This Chinese play is practical - large volumes, localised EV-manufacturing and joint venture supply chains - but the German strategy is still brand-heritage plus R&amp;D leadership. This division demands different marketing playbooks: in Germany, provenance and experience-based premium cues have to be relied on; in China, hyper-local digital activation, limited-edition goods and partnership signalling have to be utilized. The dual approach of BMW to protect the premium identity in Germany and go for volume and localisation in China is consistent in its purpose but can create a strategic conflict unless the messages, pricing and product development plans are closely co-ordinated between markets</w:t>
      </w:r>
      <w:r w:rsidR="00DC0DA5" w:rsidRPr="00DC0DA5">
        <w:rPr>
          <w:rFonts w:ascii="Times New Roman" w:hAnsi="Times New Roman" w:cs="Times New Roman"/>
          <w:sz w:val="24"/>
        </w:rPr>
        <w:t>.</w:t>
      </w:r>
    </w:p>
    <w:p w14:paraId="18CD7741" w14:textId="77777777" w:rsidR="003255EC" w:rsidRPr="003255EC" w:rsidRDefault="003255EC" w:rsidP="006E6F1E">
      <w:pPr>
        <w:pStyle w:val="Heading1"/>
      </w:pPr>
      <w:bookmarkStart w:id="5" w:name="_Toc214145575"/>
      <w:r>
        <w:t xml:space="preserve">3. </w:t>
      </w:r>
      <w:r w:rsidRPr="003255EC">
        <w:t>Comparison of the Socio-Cultural Context of Germany and China</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4"/>
        <w:gridCol w:w="3803"/>
        <w:gridCol w:w="3529"/>
      </w:tblGrid>
      <w:tr w:rsidR="00371C7C" w:rsidRPr="00371C7C" w14:paraId="711B9EAF" w14:textId="77777777" w:rsidTr="00371C7C">
        <w:trPr>
          <w:tblHeader/>
          <w:tblCellSpacing w:w="15" w:type="dxa"/>
        </w:trPr>
        <w:tc>
          <w:tcPr>
            <w:tcW w:w="0" w:type="auto"/>
            <w:vAlign w:val="center"/>
            <w:hideMark/>
          </w:tcPr>
          <w:p w14:paraId="1D64BD53" w14:textId="77777777" w:rsidR="00371C7C" w:rsidRPr="00371C7C" w:rsidRDefault="00371C7C" w:rsidP="0059163E">
            <w:pPr>
              <w:spacing w:after="0" w:line="360" w:lineRule="auto"/>
              <w:jc w:val="both"/>
              <w:rPr>
                <w:rFonts w:ascii="Times New Roman" w:hAnsi="Times New Roman" w:cs="Times New Roman"/>
                <w:b/>
                <w:bCs/>
                <w:sz w:val="24"/>
                <w:lang w:val="en-IN"/>
              </w:rPr>
            </w:pPr>
            <w:r w:rsidRPr="00371C7C">
              <w:rPr>
                <w:rFonts w:ascii="Times New Roman" w:hAnsi="Times New Roman" w:cs="Times New Roman"/>
                <w:b/>
                <w:bCs/>
                <w:sz w:val="24"/>
                <w:lang w:val="en-IN"/>
              </w:rPr>
              <w:t>PESTLE element</w:t>
            </w:r>
          </w:p>
        </w:tc>
        <w:tc>
          <w:tcPr>
            <w:tcW w:w="0" w:type="auto"/>
            <w:vAlign w:val="center"/>
            <w:hideMark/>
          </w:tcPr>
          <w:p w14:paraId="3CBFE248" w14:textId="77777777" w:rsidR="00371C7C" w:rsidRPr="00371C7C" w:rsidRDefault="00371C7C" w:rsidP="0059163E">
            <w:pPr>
              <w:spacing w:after="0" w:line="360" w:lineRule="auto"/>
              <w:jc w:val="both"/>
              <w:rPr>
                <w:rFonts w:ascii="Times New Roman" w:hAnsi="Times New Roman" w:cs="Times New Roman"/>
                <w:b/>
                <w:bCs/>
                <w:sz w:val="24"/>
                <w:lang w:val="en-IN"/>
              </w:rPr>
            </w:pPr>
            <w:r w:rsidRPr="00371C7C">
              <w:rPr>
                <w:rFonts w:ascii="Times New Roman" w:hAnsi="Times New Roman" w:cs="Times New Roman"/>
                <w:b/>
                <w:bCs/>
                <w:sz w:val="24"/>
                <w:lang w:val="en-IN"/>
              </w:rPr>
              <w:t>Germany</w:t>
            </w:r>
          </w:p>
        </w:tc>
        <w:tc>
          <w:tcPr>
            <w:tcW w:w="0" w:type="auto"/>
            <w:vAlign w:val="center"/>
            <w:hideMark/>
          </w:tcPr>
          <w:p w14:paraId="2858C8C9" w14:textId="77777777" w:rsidR="00371C7C" w:rsidRPr="00371C7C" w:rsidRDefault="00371C7C" w:rsidP="0059163E">
            <w:pPr>
              <w:spacing w:after="0" w:line="360" w:lineRule="auto"/>
              <w:jc w:val="both"/>
              <w:rPr>
                <w:rFonts w:ascii="Times New Roman" w:hAnsi="Times New Roman" w:cs="Times New Roman"/>
                <w:b/>
                <w:bCs/>
                <w:sz w:val="24"/>
                <w:lang w:val="en-IN"/>
              </w:rPr>
            </w:pPr>
            <w:r w:rsidRPr="00371C7C">
              <w:rPr>
                <w:rFonts w:ascii="Times New Roman" w:hAnsi="Times New Roman" w:cs="Times New Roman"/>
                <w:b/>
                <w:bCs/>
                <w:sz w:val="24"/>
                <w:lang w:val="en-IN"/>
              </w:rPr>
              <w:t>China</w:t>
            </w:r>
          </w:p>
        </w:tc>
      </w:tr>
      <w:tr w:rsidR="00371C7C" w:rsidRPr="00371C7C" w14:paraId="6D292A7F" w14:textId="77777777" w:rsidTr="00371C7C">
        <w:trPr>
          <w:tblCellSpacing w:w="15" w:type="dxa"/>
        </w:trPr>
        <w:tc>
          <w:tcPr>
            <w:tcW w:w="0" w:type="auto"/>
            <w:vAlign w:val="center"/>
            <w:hideMark/>
          </w:tcPr>
          <w:p w14:paraId="4BA38D58"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Political</w:t>
            </w:r>
          </w:p>
        </w:tc>
        <w:tc>
          <w:tcPr>
            <w:tcW w:w="0" w:type="auto"/>
            <w:vAlign w:val="center"/>
            <w:hideMark/>
          </w:tcPr>
          <w:p w14:paraId="5C7246DA"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EU-wide rule ending sale of new CO₂-emitting cars from </w:t>
            </w:r>
            <w:r w:rsidRPr="00371C7C">
              <w:rPr>
                <w:rFonts w:ascii="Times New Roman" w:hAnsi="Times New Roman" w:cs="Times New Roman"/>
                <w:b/>
                <w:bCs/>
                <w:sz w:val="24"/>
                <w:lang w:val="en-IN"/>
              </w:rPr>
              <w:t>2035</w:t>
            </w:r>
            <w:r w:rsidRPr="00371C7C">
              <w:rPr>
                <w:rFonts w:ascii="Times New Roman" w:hAnsi="Times New Roman" w:cs="Times New Roman"/>
                <w:sz w:val="24"/>
                <w:lang w:val="en-IN"/>
              </w:rPr>
              <w:t>. (</w:t>
            </w:r>
            <w:r w:rsidR="005D36B4" w:rsidRPr="005D36B4">
              <w:rPr>
                <w:rFonts w:ascii="Times New Roman" w:hAnsi="Times New Roman" w:cs="Times New Roman"/>
                <w:sz w:val="24"/>
                <w:lang w:val="en-IN"/>
              </w:rPr>
              <w:t>Europa, 2022</w:t>
            </w:r>
            <w:r w:rsidRPr="00371C7C">
              <w:rPr>
                <w:rFonts w:ascii="Times New Roman" w:hAnsi="Times New Roman" w:cs="Times New Roman"/>
                <w:sz w:val="24"/>
                <w:lang w:val="en-IN"/>
              </w:rPr>
              <w:t>)</w:t>
            </w:r>
          </w:p>
        </w:tc>
        <w:tc>
          <w:tcPr>
            <w:tcW w:w="0" w:type="auto"/>
            <w:vAlign w:val="center"/>
            <w:hideMark/>
          </w:tcPr>
          <w:p w14:paraId="271509E4"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China’s long-term strategy commits to “carbon neutrality before </w:t>
            </w:r>
            <w:r w:rsidRPr="00371C7C">
              <w:rPr>
                <w:rFonts w:ascii="Times New Roman" w:hAnsi="Times New Roman" w:cs="Times New Roman"/>
                <w:b/>
                <w:bCs/>
                <w:sz w:val="24"/>
                <w:lang w:val="en-IN"/>
              </w:rPr>
              <w:t>2060</w:t>
            </w:r>
            <w:r w:rsidRPr="00371C7C">
              <w:rPr>
                <w:rFonts w:ascii="Times New Roman" w:hAnsi="Times New Roman" w:cs="Times New Roman"/>
                <w:sz w:val="24"/>
                <w:lang w:val="en-IN"/>
              </w:rPr>
              <w:t>” (LTS submitted Oct 2021). (</w:t>
            </w:r>
            <w:r w:rsidR="004A5846" w:rsidRPr="004A5846">
              <w:rPr>
                <w:rFonts w:ascii="Times New Roman" w:hAnsi="Times New Roman" w:cs="Times New Roman"/>
                <w:sz w:val="24"/>
                <w:lang w:val="en-IN"/>
              </w:rPr>
              <w:t>Unfccc, 2022</w:t>
            </w:r>
            <w:r w:rsidRPr="00371C7C">
              <w:rPr>
                <w:rFonts w:ascii="Times New Roman" w:hAnsi="Times New Roman" w:cs="Times New Roman"/>
                <w:sz w:val="24"/>
                <w:lang w:val="en-IN"/>
              </w:rPr>
              <w:t>)</w:t>
            </w:r>
          </w:p>
        </w:tc>
      </w:tr>
      <w:tr w:rsidR="00371C7C" w:rsidRPr="00371C7C" w14:paraId="292F46CE" w14:textId="77777777" w:rsidTr="00371C7C">
        <w:trPr>
          <w:tblCellSpacing w:w="15" w:type="dxa"/>
        </w:trPr>
        <w:tc>
          <w:tcPr>
            <w:tcW w:w="0" w:type="auto"/>
            <w:vAlign w:val="center"/>
            <w:hideMark/>
          </w:tcPr>
          <w:p w14:paraId="5F502C97"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Economic</w:t>
            </w:r>
          </w:p>
        </w:tc>
        <w:tc>
          <w:tcPr>
            <w:tcW w:w="0" w:type="auto"/>
            <w:vAlign w:val="center"/>
            <w:hideMark/>
          </w:tcPr>
          <w:p w14:paraId="21CB909F"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Germany real GDP: </w:t>
            </w:r>
            <w:r w:rsidRPr="00371C7C">
              <w:rPr>
                <w:rFonts w:ascii="Times New Roman" w:hAnsi="Times New Roman" w:cs="Times New Roman"/>
                <w:b/>
                <w:bCs/>
                <w:sz w:val="24"/>
                <w:lang w:val="en-IN"/>
              </w:rPr>
              <w:t>-0.3% (2023)</w:t>
            </w:r>
            <w:r w:rsidRPr="00371C7C">
              <w:rPr>
                <w:rFonts w:ascii="Times New Roman" w:hAnsi="Times New Roman" w:cs="Times New Roman"/>
                <w:sz w:val="24"/>
                <w:lang w:val="en-IN"/>
              </w:rPr>
              <w:t xml:space="preserve"> (official national/Eurostat reporting showing weak 2023 growth). (</w:t>
            </w:r>
            <w:r w:rsidR="005D36B4" w:rsidRPr="005D36B4">
              <w:rPr>
                <w:rFonts w:ascii="Times New Roman" w:hAnsi="Times New Roman" w:cs="Times New Roman"/>
                <w:sz w:val="24"/>
                <w:lang w:val="en-IN"/>
              </w:rPr>
              <w:t>Destatis, 2022</w:t>
            </w:r>
            <w:r w:rsidRPr="00371C7C">
              <w:rPr>
                <w:rFonts w:ascii="Times New Roman" w:hAnsi="Times New Roman" w:cs="Times New Roman"/>
                <w:sz w:val="24"/>
                <w:lang w:val="en-IN"/>
              </w:rPr>
              <w:t>)</w:t>
            </w:r>
          </w:p>
        </w:tc>
        <w:tc>
          <w:tcPr>
            <w:tcW w:w="0" w:type="auto"/>
            <w:vAlign w:val="center"/>
            <w:hideMark/>
          </w:tcPr>
          <w:p w14:paraId="1977EF98"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 real GDP growth: </w:t>
            </w:r>
            <w:r w:rsidRPr="00371C7C">
              <w:rPr>
                <w:rFonts w:ascii="Times New Roman" w:hAnsi="Times New Roman" w:cs="Times New Roman"/>
                <w:b/>
                <w:bCs/>
                <w:sz w:val="24"/>
                <w:lang w:val="en-IN"/>
              </w:rPr>
              <w:t>5.2% (2023)</w:t>
            </w:r>
            <w:r w:rsidRPr="00371C7C">
              <w:rPr>
                <w:rFonts w:ascii="Times New Roman" w:hAnsi="Times New Roman" w:cs="Times New Roman"/>
                <w:sz w:val="24"/>
                <w:lang w:val="en-IN"/>
              </w:rPr>
              <w:t xml:space="preserve"> (IMF/official reporting). (</w:t>
            </w:r>
            <w:r w:rsidR="004A5846" w:rsidRPr="004A5846">
              <w:rPr>
                <w:rFonts w:ascii="Times New Roman" w:hAnsi="Times New Roman" w:cs="Times New Roman"/>
                <w:sz w:val="24"/>
                <w:lang w:val="en-IN"/>
              </w:rPr>
              <w:t>Imf, 2024</w:t>
            </w:r>
            <w:r w:rsidRPr="00371C7C">
              <w:rPr>
                <w:rFonts w:ascii="Times New Roman" w:hAnsi="Times New Roman" w:cs="Times New Roman"/>
                <w:sz w:val="24"/>
                <w:lang w:val="en-IN"/>
              </w:rPr>
              <w:t>)</w:t>
            </w:r>
          </w:p>
        </w:tc>
      </w:tr>
      <w:tr w:rsidR="00371C7C" w:rsidRPr="00371C7C" w14:paraId="25A7F513" w14:textId="77777777" w:rsidTr="00371C7C">
        <w:trPr>
          <w:tblCellSpacing w:w="15" w:type="dxa"/>
        </w:trPr>
        <w:tc>
          <w:tcPr>
            <w:tcW w:w="0" w:type="auto"/>
            <w:vAlign w:val="center"/>
            <w:hideMark/>
          </w:tcPr>
          <w:p w14:paraId="15BC033D"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Social</w:t>
            </w:r>
          </w:p>
        </w:tc>
        <w:tc>
          <w:tcPr>
            <w:tcW w:w="0" w:type="auto"/>
            <w:vAlign w:val="center"/>
            <w:hideMark/>
          </w:tcPr>
          <w:p w14:paraId="68D4E9B0"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Passenger-car density in Germany: </w:t>
            </w:r>
            <w:r w:rsidRPr="00371C7C">
              <w:rPr>
                <w:rFonts w:ascii="Times New Roman" w:hAnsi="Times New Roman" w:cs="Times New Roman"/>
                <w:b/>
                <w:bCs/>
                <w:sz w:val="24"/>
                <w:lang w:val="en-IN"/>
              </w:rPr>
              <w:t>≈588 passenger cars / 1,000 inhabitants (2023)</w:t>
            </w:r>
            <w:r w:rsidRPr="00371C7C">
              <w:rPr>
                <w:rFonts w:ascii="Times New Roman" w:hAnsi="Times New Roman" w:cs="Times New Roman"/>
                <w:sz w:val="24"/>
                <w:lang w:val="en-IN"/>
              </w:rPr>
              <w:t>. (</w:t>
            </w:r>
            <w:r w:rsidR="005D36B4" w:rsidRPr="005D36B4">
              <w:rPr>
                <w:rFonts w:ascii="Times New Roman" w:hAnsi="Times New Roman" w:cs="Times New Roman"/>
                <w:sz w:val="24"/>
                <w:lang w:val="en-IN"/>
              </w:rPr>
              <w:t>Destatis, 2023</w:t>
            </w:r>
            <w:r w:rsidRPr="00371C7C">
              <w:rPr>
                <w:rFonts w:ascii="Times New Roman" w:hAnsi="Times New Roman" w:cs="Times New Roman"/>
                <w:sz w:val="24"/>
                <w:lang w:val="en-IN"/>
              </w:rPr>
              <w:t>)</w:t>
            </w:r>
          </w:p>
        </w:tc>
        <w:tc>
          <w:tcPr>
            <w:tcW w:w="0" w:type="auto"/>
            <w:vAlign w:val="center"/>
            <w:hideMark/>
          </w:tcPr>
          <w:p w14:paraId="4B15FD6C"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 vehicle ownership: </w:t>
            </w:r>
            <w:r w:rsidRPr="00371C7C">
              <w:rPr>
                <w:rFonts w:ascii="Times New Roman" w:hAnsi="Times New Roman" w:cs="Times New Roman"/>
                <w:b/>
                <w:bCs/>
                <w:sz w:val="24"/>
                <w:lang w:val="en-IN"/>
              </w:rPr>
              <w:t>~310 vehicles / 1,000 people (2023)</w:t>
            </w:r>
            <w:r w:rsidRPr="00371C7C">
              <w:rPr>
                <w:rFonts w:ascii="Times New Roman" w:hAnsi="Times New Roman" w:cs="Times New Roman"/>
                <w:sz w:val="24"/>
                <w:lang w:val="en-IN"/>
              </w:rPr>
              <w:t xml:space="preserve"> (indicative national/analyst estimates). (</w:t>
            </w:r>
            <w:r w:rsidR="004A5846" w:rsidRPr="004A5846">
              <w:rPr>
                <w:rFonts w:ascii="Times New Roman" w:hAnsi="Times New Roman" w:cs="Times New Roman"/>
                <w:sz w:val="24"/>
                <w:lang w:val="en-IN"/>
              </w:rPr>
              <w:t>Ceew, 2025</w:t>
            </w:r>
            <w:r w:rsidRPr="00371C7C">
              <w:rPr>
                <w:rFonts w:ascii="Times New Roman" w:hAnsi="Times New Roman" w:cs="Times New Roman"/>
                <w:sz w:val="24"/>
                <w:lang w:val="en-IN"/>
              </w:rPr>
              <w:t>)</w:t>
            </w:r>
          </w:p>
        </w:tc>
      </w:tr>
      <w:tr w:rsidR="00371C7C" w:rsidRPr="00371C7C" w14:paraId="0DD83BF9" w14:textId="77777777" w:rsidTr="00371C7C">
        <w:trPr>
          <w:tblCellSpacing w:w="15" w:type="dxa"/>
        </w:trPr>
        <w:tc>
          <w:tcPr>
            <w:tcW w:w="0" w:type="auto"/>
            <w:vAlign w:val="center"/>
            <w:hideMark/>
          </w:tcPr>
          <w:p w14:paraId="37718F67"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Technological</w:t>
            </w:r>
          </w:p>
        </w:tc>
        <w:tc>
          <w:tcPr>
            <w:tcW w:w="0" w:type="auto"/>
            <w:vAlign w:val="center"/>
            <w:hideMark/>
          </w:tcPr>
          <w:p w14:paraId="1A97306C"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Public EV charging points in Germany: </w:t>
            </w:r>
            <w:r w:rsidRPr="00371C7C">
              <w:rPr>
                <w:rFonts w:ascii="Times New Roman" w:hAnsi="Times New Roman" w:cs="Times New Roman"/>
                <w:b/>
                <w:bCs/>
                <w:sz w:val="24"/>
                <w:lang w:val="en-IN"/>
              </w:rPr>
              <w:t>~142,793 publicly accessible chargers (July 2024)</w:t>
            </w:r>
            <w:r w:rsidRPr="00371C7C">
              <w:rPr>
                <w:rFonts w:ascii="Times New Roman" w:hAnsi="Times New Roman" w:cs="Times New Roman"/>
                <w:sz w:val="24"/>
                <w:lang w:val="en-IN"/>
              </w:rPr>
              <w:t>. (</w:t>
            </w:r>
            <w:r w:rsidR="005D36B4" w:rsidRPr="005D36B4">
              <w:rPr>
                <w:rFonts w:ascii="Times New Roman" w:hAnsi="Times New Roman" w:cs="Times New Roman"/>
                <w:sz w:val="24"/>
                <w:lang w:val="en-IN"/>
              </w:rPr>
              <w:t>Vda, 2024</w:t>
            </w:r>
            <w:r w:rsidRPr="00371C7C">
              <w:rPr>
                <w:rFonts w:ascii="Times New Roman" w:hAnsi="Times New Roman" w:cs="Times New Roman"/>
                <w:sz w:val="24"/>
                <w:lang w:val="en-IN"/>
              </w:rPr>
              <w:t>)</w:t>
            </w:r>
          </w:p>
        </w:tc>
        <w:tc>
          <w:tcPr>
            <w:tcW w:w="0" w:type="auto"/>
            <w:vAlign w:val="center"/>
            <w:hideMark/>
          </w:tcPr>
          <w:p w14:paraId="35295615"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 accounts for roughly </w:t>
            </w:r>
            <w:r w:rsidRPr="00371C7C">
              <w:rPr>
                <w:rFonts w:ascii="Times New Roman" w:hAnsi="Times New Roman" w:cs="Times New Roman"/>
                <w:b/>
                <w:bCs/>
                <w:sz w:val="24"/>
                <w:lang w:val="en-IN"/>
              </w:rPr>
              <w:t>~70% of global public chargers (end-2023)</w:t>
            </w:r>
            <w:r w:rsidRPr="00371C7C">
              <w:rPr>
                <w:rFonts w:ascii="Times New Roman" w:hAnsi="Times New Roman" w:cs="Times New Roman"/>
                <w:sz w:val="24"/>
                <w:lang w:val="en-IN"/>
              </w:rPr>
              <w:t xml:space="preserve">; global public chargers ≈ </w:t>
            </w:r>
            <w:r w:rsidRPr="00371C7C">
              <w:rPr>
                <w:rFonts w:ascii="Times New Roman" w:hAnsi="Times New Roman" w:cs="Times New Roman"/>
                <w:b/>
                <w:bCs/>
                <w:sz w:val="24"/>
                <w:lang w:val="en-IN"/>
              </w:rPr>
              <w:t>3.9 million</w:t>
            </w:r>
            <w:r w:rsidRPr="00371C7C">
              <w:rPr>
                <w:rFonts w:ascii="Times New Roman" w:hAnsi="Times New Roman" w:cs="Times New Roman"/>
                <w:sz w:val="24"/>
                <w:lang w:val="en-IN"/>
              </w:rPr>
              <w:t xml:space="preserve"> → implies China ≈ </w:t>
            </w:r>
            <w:r w:rsidRPr="00371C7C">
              <w:rPr>
                <w:rFonts w:ascii="Times New Roman" w:hAnsi="Times New Roman" w:cs="Times New Roman"/>
                <w:b/>
                <w:bCs/>
                <w:sz w:val="24"/>
                <w:lang w:val="en-IN"/>
              </w:rPr>
              <w:t>~2.7 million public chargers (end-2023)</w:t>
            </w:r>
            <w:r w:rsidRPr="00371C7C">
              <w:rPr>
                <w:rFonts w:ascii="Times New Roman" w:hAnsi="Times New Roman" w:cs="Times New Roman"/>
                <w:sz w:val="24"/>
                <w:lang w:val="en-IN"/>
              </w:rPr>
              <w:t>. (</w:t>
            </w:r>
            <w:r w:rsidR="006969F1" w:rsidRPr="006969F1">
              <w:rPr>
                <w:rFonts w:ascii="Times New Roman" w:hAnsi="Times New Roman" w:cs="Times New Roman"/>
                <w:sz w:val="24"/>
                <w:lang w:val="en-IN"/>
              </w:rPr>
              <w:t>Iea, 2025</w:t>
            </w:r>
            <w:r w:rsidRPr="00371C7C">
              <w:rPr>
                <w:rFonts w:ascii="Times New Roman" w:hAnsi="Times New Roman" w:cs="Times New Roman"/>
                <w:sz w:val="24"/>
                <w:lang w:val="en-IN"/>
              </w:rPr>
              <w:t>)</w:t>
            </w:r>
          </w:p>
        </w:tc>
      </w:tr>
      <w:tr w:rsidR="00371C7C" w:rsidRPr="00371C7C" w14:paraId="1508F24A" w14:textId="77777777" w:rsidTr="00371C7C">
        <w:trPr>
          <w:tblCellSpacing w:w="15" w:type="dxa"/>
        </w:trPr>
        <w:tc>
          <w:tcPr>
            <w:tcW w:w="0" w:type="auto"/>
            <w:vAlign w:val="center"/>
            <w:hideMark/>
          </w:tcPr>
          <w:p w14:paraId="3B8178DA"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Legal / Regulatory</w:t>
            </w:r>
          </w:p>
        </w:tc>
        <w:tc>
          <w:tcPr>
            <w:tcW w:w="0" w:type="auto"/>
            <w:vAlign w:val="center"/>
            <w:hideMark/>
          </w:tcPr>
          <w:p w14:paraId="71062247"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Germany (EU) CO₂ standards &amp; regulation timeline: legally binding phase-out by </w:t>
            </w:r>
            <w:r w:rsidRPr="00371C7C">
              <w:rPr>
                <w:rFonts w:ascii="Times New Roman" w:hAnsi="Times New Roman" w:cs="Times New Roman"/>
                <w:b/>
                <w:bCs/>
                <w:sz w:val="24"/>
                <w:lang w:val="en-IN"/>
              </w:rPr>
              <w:t>2035</w:t>
            </w:r>
            <w:r w:rsidRPr="00371C7C">
              <w:rPr>
                <w:rFonts w:ascii="Times New Roman" w:hAnsi="Times New Roman" w:cs="Times New Roman"/>
                <w:sz w:val="24"/>
                <w:lang w:val="en-IN"/>
              </w:rPr>
              <w:t xml:space="preserve"> plus stricter EU CO₂ targets since 2021. (</w:t>
            </w:r>
            <w:r w:rsidR="005D36B4" w:rsidRPr="005D36B4">
              <w:rPr>
                <w:rFonts w:ascii="Times New Roman" w:hAnsi="Times New Roman" w:cs="Times New Roman"/>
                <w:sz w:val="24"/>
                <w:lang w:val="en-IN"/>
              </w:rPr>
              <w:t>Europa, 2022</w:t>
            </w:r>
            <w:r w:rsidRPr="00371C7C">
              <w:rPr>
                <w:rFonts w:ascii="Times New Roman" w:hAnsi="Times New Roman" w:cs="Times New Roman"/>
                <w:sz w:val="24"/>
                <w:lang w:val="en-IN"/>
              </w:rPr>
              <w:t>)</w:t>
            </w:r>
          </w:p>
        </w:tc>
        <w:tc>
          <w:tcPr>
            <w:tcW w:w="0" w:type="auto"/>
            <w:vAlign w:val="center"/>
            <w:hideMark/>
          </w:tcPr>
          <w:p w14:paraId="135DEAE4"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 NEV (dual-credit) mandate credit ratios: </w:t>
            </w:r>
            <w:r w:rsidRPr="00371C7C">
              <w:rPr>
                <w:rFonts w:ascii="Times New Roman" w:hAnsi="Times New Roman" w:cs="Times New Roman"/>
                <w:b/>
                <w:bCs/>
                <w:sz w:val="24"/>
                <w:lang w:val="en-IN"/>
              </w:rPr>
              <w:t>14% (2021), 16% (2022), 18% (2023)</w:t>
            </w:r>
            <w:r w:rsidRPr="00371C7C">
              <w:rPr>
                <w:rFonts w:ascii="Times New Roman" w:hAnsi="Times New Roman" w:cs="Times New Roman"/>
                <w:sz w:val="24"/>
                <w:lang w:val="en-IN"/>
              </w:rPr>
              <w:t xml:space="preserve"> (phase-2 NEV credit targets). (</w:t>
            </w:r>
            <w:r w:rsidR="006969F1" w:rsidRPr="006969F1">
              <w:rPr>
                <w:rFonts w:ascii="Times New Roman" w:hAnsi="Times New Roman" w:cs="Times New Roman"/>
                <w:sz w:val="24"/>
                <w:lang w:val="en-IN"/>
              </w:rPr>
              <w:t>Dieselnet, 2025</w:t>
            </w:r>
            <w:r w:rsidRPr="00371C7C">
              <w:rPr>
                <w:rFonts w:ascii="Times New Roman" w:hAnsi="Times New Roman" w:cs="Times New Roman"/>
                <w:sz w:val="24"/>
                <w:lang w:val="en-IN"/>
              </w:rPr>
              <w:t>)</w:t>
            </w:r>
          </w:p>
        </w:tc>
      </w:tr>
      <w:tr w:rsidR="00371C7C" w:rsidRPr="00371C7C" w14:paraId="165CB8F0" w14:textId="77777777" w:rsidTr="00371C7C">
        <w:trPr>
          <w:tblCellSpacing w:w="15" w:type="dxa"/>
        </w:trPr>
        <w:tc>
          <w:tcPr>
            <w:tcW w:w="0" w:type="auto"/>
            <w:vAlign w:val="center"/>
            <w:hideMark/>
          </w:tcPr>
          <w:p w14:paraId="1343C2F9"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b/>
                <w:bCs/>
                <w:sz w:val="24"/>
                <w:lang w:val="en-IN"/>
              </w:rPr>
              <w:t>Environmental</w:t>
            </w:r>
          </w:p>
        </w:tc>
        <w:tc>
          <w:tcPr>
            <w:tcW w:w="0" w:type="auto"/>
            <w:vAlign w:val="center"/>
            <w:hideMark/>
          </w:tcPr>
          <w:p w14:paraId="299B85E0"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National climate targets: cut GHG by </w:t>
            </w:r>
            <w:r w:rsidRPr="00371C7C">
              <w:rPr>
                <w:rFonts w:ascii="Times New Roman" w:hAnsi="Times New Roman" w:cs="Times New Roman"/>
                <w:b/>
                <w:bCs/>
                <w:sz w:val="24"/>
                <w:lang w:val="en-IN"/>
              </w:rPr>
              <w:t>≥65% by 2030 (vs 1990)</w:t>
            </w:r>
            <w:r w:rsidRPr="00371C7C">
              <w:rPr>
                <w:rFonts w:ascii="Times New Roman" w:hAnsi="Times New Roman" w:cs="Times New Roman"/>
                <w:sz w:val="24"/>
                <w:lang w:val="en-IN"/>
              </w:rPr>
              <w:t xml:space="preserve"> and achieve carbon neutrality by </w:t>
            </w:r>
            <w:r w:rsidRPr="00371C7C">
              <w:rPr>
                <w:rFonts w:ascii="Times New Roman" w:hAnsi="Times New Roman" w:cs="Times New Roman"/>
                <w:b/>
                <w:bCs/>
                <w:sz w:val="24"/>
                <w:lang w:val="en-IN"/>
              </w:rPr>
              <w:t>2045</w:t>
            </w:r>
            <w:r w:rsidRPr="00371C7C">
              <w:rPr>
                <w:rFonts w:ascii="Times New Roman" w:hAnsi="Times New Roman" w:cs="Times New Roman"/>
                <w:sz w:val="24"/>
                <w:lang w:val="en-IN"/>
              </w:rPr>
              <w:t xml:space="preserve"> (national law updated 2021). (</w:t>
            </w:r>
            <w:r w:rsidR="005D36B4" w:rsidRPr="005D36B4">
              <w:rPr>
                <w:rFonts w:ascii="Times New Roman" w:hAnsi="Times New Roman" w:cs="Times New Roman"/>
                <w:sz w:val="24"/>
                <w:lang w:val="en-IN"/>
              </w:rPr>
              <w:t>Climateactiontracker, 2025</w:t>
            </w:r>
            <w:r w:rsidRPr="00371C7C">
              <w:rPr>
                <w:rFonts w:ascii="Times New Roman" w:hAnsi="Times New Roman" w:cs="Times New Roman"/>
                <w:sz w:val="24"/>
                <w:lang w:val="en-IN"/>
              </w:rPr>
              <w:t>)</w:t>
            </w:r>
          </w:p>
        </w:tc>
        <w:tc>
          <w:tcPr>
            <w:tcW w:w="0" w:type="auto"/>
            <w:vAlign w:val="center"/>
            <w:hideMark/>
          </w:tcPr>
          <w:p w14:paraId="4E6BBDC9" w14:textId="77777777" w:rsidR="00371C7C" w:rsidRPr="00371C7C" w:rsidRDefault="00371C7C" w:rsidP="0059163E">
            <w:pPr>
              <w:spacing w:after="0" w:line="360" w:lineRule="auto"/>
              <w:jc w:val="both"/>
              <w:rPr>
                <w:rFonts w:ascii="Times New Roman" w:hAnsi="Times New Roman" w:cs="Times New Roman"/>
                <w:sz w:val="24"/>
                <w:lang w:val="en-IN"/>
              </w:rPr>
            </w:pPr>
            <w:r w:rsidRPr="00371C7C">
              <w:rPr>
                <w:rFonts w:ascii="Times New Roman" w:hAnsi="Times New Roman" w:cs="Times New Roman"/>
                <w:sz w:val="24"/>
                <w:lang w:val="en-IN"/>
              </w:rPr>
              <w:t xml:space="preserve">China aims to peak CO₂ before </w:t>
            </w:r>
            <w:r w:rsidRPr="00371C7C">
              <w:rPr>
                <w:rFonts w:ascii="Times New Roman" w:hAnsi="Times New Roman" w:cs="Times New Roman"/>
                <w:b/>
                <w:bCs/>
                <w:sz w:val="24"/>
                <w:lang w:val="en-IN"/>
              </w:rPr>
              <w:t>2030</w:t>
            </w:r>
            <w:r w:rsidRPr="00371C7C">
              <w:rPr>
                <w:rFonts w:ascii="Times New Roman" w:hAnsi="Times New Roman" w:cs="Times New Roman"/>
                <w:sz w:val="24"/>
                <w:lang w:val="en-IN"/>
              </w:rPr>
              <w:t xml:space="preserve"> and achieve carbon neutrality by </w:t>
            </w:r>
            <w:r w:rsidRPr="00371C7C">
              <w:rPr>
                <w:rFonts w:ascii="Times New Roman" w:hAnsi="Times New Roman" w:cs="Times New Roman"/>
                <w:b/>
                <w:bCs/>
                <w:sz w:val="24"/>
                <w:lang w:val="en-IN"/>
              </w:rPr>
              <w:t>2060</w:t>
            </w:r>
            <w:r w:rsidRPr="00371C7C">
              <w:rPr>
                <w:rFonts w:ascii="Times New Roman" w:hAnsi="Times New Roman" w:cs="Times New Roman"/>
                <w:sz w:val="24"/>
                <w:lang w:val="en-IN"/>
              </w:rPr>
              <w:t xml:space="preserve"> (official NDC/LTS). (</w:t>
            </w:r>
            <w:r w:rsidR="006969F1" w:rsidRPr="006969F1">
              <w:rPr>
                <w:rFonts w:ascii="Times New Roman" w:hAnsi="Times New Roman" w:cs="Times New Roman"/>
                <w:sz w:val="24"/>
                <w:lang w:val="en-IN"/>
              </w:rPr>
              <w:t>Unfccc, 2022a</w:t>
            </w:r>
            <w:r w:rsidRPr="00371C7C">
              <w:rPr>
                <w:rFonts w:ascii="Times New Roman" w:hAnsi="Times New Roman" w:cs="Times New Roman"/>
                <w:sz w:val="24"/>
                <w:lang w:val="en-IN"/>
              </w:rPr>
              <w:t>)</w:t>
            </w:r>
          </w:p>
        </w:tc>
      </w:tr>
    </w:tbl>
    <w:p w14:paraId="7E2F9EC2" w14:textId="77777777" w:rsidR="009D2790" w:rsidRPr="009D2790" w:rsidRDefault="009D2790" w:rsidP="009D2790">
      <w:pPr>
        <w:spacing w:after="0" w:line="360" w:lineRule="auto"/>
        <w:jc w:val="center"/>
        <w:rPr>
          <w:rFonts w:ascii="Times New Roman" w:hAnsi="Times New Roman" w:cs="Times New Roman"/>
          <w:b/>
          <w:sz w:val="24"/>
          <w:lang w:val="en-IN"/>
        </w:rPr>
      </w:pPr>
      <w:r w:rsidRPr="009D2790">
        <w:rPr>
          <w:rFonts w:ascii="Times New Roman" w:hAnsi="Times New Roman" w:cs="Times New Roman"/>
          <w:b/>
          <w:sz w:val="24"/>
          <w:lang w:val="en-IN"/>
        </w:rPr>
        <w:t>Table 1: PESTLE Analysis Comparison</w:t>
      </w:r>
    </w:p>
    <w:p w14:paraId="03EA74F0" w14:textId="77777777" w:rsidR="00371C7C" w:rsidRPr="00371C7C" w:rsidRDefault="00371C7C" w:rsidP="0059163E">
      <w:pPr>
        <w:spacing w:after="0" w:line="360" w:lineRule="auto"/>
        <w:jc w:val="both"/>
        <w:rPr>
          <w:rFonts w:ascii="Times New Roman" w:hAnsi="Times New Roman" w:cs="Times New Roman"/>
          <w:b/>
          <w:bCs/>
          <w:sz w:val="24"/>
          <w:lang w:val="en-IN"/>
        </w:rPr>
      </w:pPr>
      <w:r w:rsidRPr="00371C7C">
        <w:rPr>
          <w:rFonts w:ascii="Times New Roman" w:hAnsi="Times New Roman" w:cs="Times New Roman"/>
          <w:b/>
          <w:bCs/>
          <w:sz w:val="24"/>
          <w:lang w:val="en-IN"/>
        </w:rPr>
        <w:t>PESTLE / Socio-cultural comparative commentary</w:t>
      </w:r>
    </w:p>
    <w:p w14:paraId="5494C36C" w14:textId="77777777" w:rsidR="001C72E7" w:rsidRPr="001C72E7" w:rsidRDefault="001C72E7" w:rsidP="001C72E7">
      <w:pPr>
        <w:spacing w:after="0" w:line="360" w:lineRule="auto"/>
        <w:jc w:val="both"/>
        <w:rPr>
          <w:rFonts w:ascii="Times New Roman" w:hAnsi="Times New Roman" w:cs="Times New Roman"/>
          <w:sz w:val="24"/>
          <w:lang w:val="en-IN"/>
        </w:rPr>
      </w:pPr>
      <w:r w:rsidRPr="001C72E7">
        <w:rPr>
          <w:rFonts w:ascii="Times New Roman" w:hAnsi="Times New Roman" w:cs="Times New Roman"/>
          <w:sz w:val="24"/>
          <w:lang w:val="en-IN"/>
        </w:rPr>
        <w:t>The PESTLE comparison reveals a number of core structural variations that exist between Germany and China and that directly influence the marketing, production and consumer engagement strategies of BMW. Germany provides a stable, mature regulatory environment, politically, with established standards concerning automotive standards, which gives BMW a reputation of high precision in engineering and high-quality manufacturing. Conversely, the more aggressive state intervention and industrial policy focus in China provide some opportunities as well as limitations: the incentive to build an electric vehicle, joint-venture conditions, and dynamically changing safety and technology set new conditions that require BMW to change product development and partner arrangements to be competitive.</w:t>
      </w:r>
    </w:p>
    <w:p w14:paraId="6A19F4D4" w14:textId="77777777" w:rsidR="0067461C" w:rsidRPr="0067461C" w:rsidRDefault="001C72E7" w:rsidP="001C72E7">
      <w:pPr>
        <w:spacing w:after="0" w:line="360" w:lineRule="auto"/>
        <w:jc w:val="both"/>
        <w:rPr>
          <w:rFonts w:ascii="Times New Roman" w:hAnsi="Times New Roman" w:cs="Times New Roman"/>
          <w:sz w:val="24"/>
          <w:lang w:val="en-IN"/>
        </w:rPr>
      </w:pPr>
      <w:r w:rsidRPr="001C72E7">
        <w:rPr>
          <w:rFonts w:ascii="Times New Roman" w:hAnsi="Times New Roman" w:cs="Times New Roman"/>
          <w:sz w:val="24"/>
          <w:lang w:val="en-IN"/>
        </w:rPr>
        <w:t>The size of the Chinese market, its swift income growth, and premium car purchasing middle-class make BMW pursue a volume-driven business approach, whereas the slower yet steady economic growth of Germany underpins a more developed and replacement-purchase market. These economic variations can justify the localisation undertaken by BMW in China such as the specific EV models and price segmentation options. The division is even greater socially. German customers are more focused on performance, driving dynamics and engineering authenticity which is embedded in long-established automotive culture. The Chinese consumers show a greater tendency towards comfort in the rear seat, luxury signalling and the integration of technology, especially among the younger consumers. Such conflicting cultural priorities demand a distinction of vehicle design, interior design, and advertising scripts</w:t>
      </w:r>
      <w:r w:rsidR="0067461C" w:rsidRPr="0067461C">
        <w:rPr>
          <w:rFonts w:ascii="Times New Roman" w:hAnsi="Times New Roman" w:cs="Times New Roman"/>
          <w:sz w:val="24"/>
          <w:lang w:val="en-IN"/>
        </w:rPr>
        <w:t>.</w:t>
      </w:r>
    </w:p>
    <w:p w14:paraId="00D246C1" w14:textId="77777777" w:rsidR="0067461C" w:rsidRPr="0067461C"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Germany has a technologically mature and incremental automotive ecosystem, and is highly focused on sustainability, safety, and refinement of engineering. China has however, jumped into the digitalisation, smart-car ecosystems and AI-based mobility services. BMW, therefore, needs to come up with China-specific digital features, in-car applications, and connectivity additions which are much more than those required in Germany. Germany has stringent regulation on emissions and environmental sustainability as per the law and BMW has to invest in green manufacturing continuously. China is also more restrictive and its legal environment is more dynamic with faster policy changes and compulsory conditions of joint-ventures. The strategy that BMW will use in China should thus be flexible, being able to balance compliance with long-term localisation</w:t>
      </w:r>
      <w:r w:rsidR="0067461C" w:rsidRPr="0067461C">
        <w:rPr>
          <w:rFonts w:ascii="Times New Roman" w:hAnsi="Times New Roman" w:cs="Times New Roman"/>
          <w:sz w:val="24"/>
          <w:lang w:val="en-IN"/>
        </w:rPr>
        <w:t>.</w:t>
      </w:r>
    </w:p>
    <w:p w14:paraId="1DF11682" w14:textId="77777777" w:rsidR="00A37AF0"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Germany has a very highly sustained culture hence high expectations on manufacturing eco-friendly and uptake of EV. Although China is experiencing fast EV growth, there are regional inequalities in its charging infrastructure and the implementation of environmental policy, and BMW needs to be more strategic in his EV introduction. In general, the PEST analysis indicates that Germany is a stable and regulation-focused market which supports the key brand attributes of BMW, but China is a high-growth and fast-changing market that requires constant localisation, digitalisation, and product differentiation. It is based on these contextual differences that the divergent STP and marketing-mix strategies of BMW can be developed in both countries</w:t>
      </w:r>
      <w:r w:rsidR="0067461C" w:rsidRPr="0067461C">
        <w:rPr>
          <w:rFonts w:ascii="Times New Roman" w:hAnsi="Times New Roman" w:cs="Times New Roman"/>
          <w:sz w:val="24"/>
          <w:lang w:val="en-IN"/>
        </w:rPr>
        <w:t>.</w:t>
      </w:r>
    </w:p>
    <w:p w14:paraId="44F93C24" w14:textId="77777777" w:rsidR="003255EC" w:rsidRPr="003255EC" w:rsidRDefault="003255EC" w:rsidP="006E6F1E">
      <w:pPr>
        <w:pStyle w:val="Heading1"/>
      </w:pPr>
      <w:bookmarkStart w:id="6" w:name="_Toc214145576"/>
      <w:r>
        <w:t xml:space="preserve">4. </w:t>
      </w:r>
      <w:r w:rsidRPr="003255EC">
        <w:t>Comparison of Brand’s STP Strategies in Germany and China</w:t>
      </w:r>
      <w:bookmarkEnd w:id="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5"/>
        <w:gridCol w:w="3816"/>
        <w:gridCol w:w="3705"/>
      </w:tblGrid>
      <w:tr w:rsidR="00A37AF0" w:rsidRPr="00A37AF0" w14:paraId="4810D3BC" w14:textId="77777777" w:rsidTr="00A37AF0">
        <w:trPr>
          <w:tblHeader/>
          <w:tblCellSpacing w:w="15" w:type="dxa"/>
        </w:trPr>
        <w:tc>
          <w:tcPr>
            <w:tcW w:w="0" w:type="auto"/>
            <w:vAlign w:val="center"/>
            <w:hideMark/>
          </w:tcPr>
          <w:p w14:paraId="2884F7ED" w14:textId="77777777" w:rsidR="00A37AF0" w:rsidRPr="00A37AF0" w:rsidRDefault="00A37AF0" w:rsidP="0059163E">
            <w:pPr>
              <w:spacing w:after="0" w:line="360" w:lineRule="auto"/>
              <w:jc w:val="both"/>
              <w:rPr>
                <w:rFonts w:ascii="Times New Roman" w:hAnsi="Times New Roman" w:cs="Times New Roman"/>
                <w:b/>
                <w:bCs/>
                <w:sz w:val="24"/>
                <w:lang w:val="en-IN"/>
              </w:rPr>
            </w:pPr>
            <w:r w:rsidRPr="00A37AF0">
              <w:rPr>
                <w:rFonts w:ascii="Times New Roman" w:hAnsi="Times New Roman" w:cs="Times New Roman"/>
                <w:b/>
                <w:bCs/>
                <w:sz w:val="24"/>
                <w:lang w:val="en-IN"/>
              </w:rPr>
              <w:t>STP element</w:t>
            </w:r>
          </w:p>
        </w:tc>
        <w:tc>
          <w:tcPr>
            <w:tcW w:w="0" w:type="auto"/>
            <w:vAlign w:val="center"/>
            <w:hideMark/>
          </w:tcPr>
          <w:p w14:paraId="1027FBDE" w14:textId="77777777" w:rsidR="00A37AF0" w:rsidRPr="00A37AF0" w:rsidRDefault="00A37AF0" w:rsidP="0059163E">
            <w:pPr>
              <w:spacing w:after="0" w:line="360" w:lineRule="auto"/>
              <w:jc w:val="both"/>
              <w:rPr>
                <w:rFonts w:ascii="Times New Roman" w:hAnsi="Times New Roman" w:cs="Times New Roman"/>
                <w:b/>
                <w:bCs/>
                <w:sz w:val="24"/>
                <w:lang w:val="en-IN"/>
              </w:rPr>
            </w:pPr>
            <w:r w:rsidRPr="00A37AF0">
              <w:rPr>
                <w:rFonts w:ascii="Times New Roman" w:hAnsi="Times New Roman" w:cs="Times New Roman"/>
                <w:b/>
                <w:bCs/>
                <w:sz w:val="24"/>
                <w:lang w:val="en-IN"/>
              </w:rPr>
              <w:t xml:space="preserve">Germany </w:t>
            </w:r>
          </w:p>
        </w:tc>
        <w:tc>
          <w:tcPr>
            <w:tcW w:w="0" w:type="auto"/>
            <w:vAlign w:val="center"/>
            <w:hideMark/>
          </w:tcPr>
          <w:p w14:paraId="68F63309" w14:textId="77777777" w:rsidR="00A37AF0" w:rsidRPr="00A37AF0" w:rsidRDefault="00A37AF0" w:rsidP="0059163E">
            <w:pPr>
              <w:spacing w:after="0" w:line="360" w:lineRule="auto"/>
              <w:jc w:val="both"/>
              <w:rPr>
                <w:rFonts w:ascii="Times New Roman" w:hAnsi="Times New Roman" w:cs="Times New Roman"/>
                <w:b/>
                <w:bCs/>
                <w:sz w:val="24"/>
                <w:lang w:val="en-IN"/>
              </w:rPr>
            </w:pPr>
            <w:r w:rsidRPr="00A37AF0">
              <w:rPr>
                <w:rFonts w:ascii="Times New Roman" w:hAnsi="Times New Roman" w:cs="Times New Roman"/>
                <w:b/>
                <w:bCs/>
                <w:sz w:val="24"/>
                <w:lang w:val="en-IN"/>
              </w:rPr>
              <w:t xml:space="preserve">China </w:t>
            </w:r>
          </w:p>
        </w:tc>
      </w:tr>
      <w:tr w:rsidR="00A37AF0" w:rsidRPr="00A37AF0" w14:paraId="7D3D3BC0" w14:textId="77777777" w:rsidTr="00A37AF0">
        <w:trPr>
          <w:tblCellSpacing w:w="15" w:type="dxa"/>
        </w:trPr>
        <w:tc>
          <w:tcPr>
            <w:tcW w:w="0" w:type="auto"/>
            <w:vAlign w:val="center"/>
            <w:hideMark/>
          </w:tcPr>
          <w:p w14:paraId="4897A99D"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b/>
                <w:bCs/>
                <w:sz w:val="24"/>
                <w:lang w:val="en-IN"/>
              </w:rPr>
              <w:t>Segmentation</w:t>
            </w:r>
          </w:p>
        </w:tc>
        <w:tc>
          <w:tcPr>
            <w:tcW w:w="0" w:type="auto"/>
            <w:vAlign w:val="center"/>
            <w:hideMark/>
          </w:tcPr>
          <w:p w14:paraId="7D52CF76"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BEV/new-energy share in German new-car market: </w:t>
            </w:r>
            <w:r w:rsidRPr="00A37AF0">
              <w:rPr>
                <w:rFonts w:ascii="Times New Roman" w:hAnsi="Times New Roman" w:cs="Times New Roman"/>
                <w:b/>
                <w:bCs/>
                <w:sz w:val="24"/>
                <w:lang w:val="en-IN"/>
              </w:rPr>
              <w:t>~18.4% BEV share (2023)</w:t>
            </w:r>
            <w:r w:rsidRPr="00A37AF0">
              <w:rPr>
                <w:rFonts w:ascii="Times New Roman" w:hAnsi="Times New Roman" w:cs="Times New Roman"/>
                <w:sz w:val="24"/>
                <w:lang w:val="en-IN"/>
              </w:rPr>
              <w:t xml:space="preserve"> — shows the eco/BEV segment size among buyers. (</w:t>
            </w:r>
            <w:r w:rsidR="00C0762A" w:rsidRPr="00C0762A">
              <w:rPr>
                <w:rFonts w:ascii="Times New Roman" w:hAnsi="Times New Roman" w:cs="Times New Roman"/>
                <w:sz w:val="24"/>
                <w:lang w:val="en-IN"/>
              </w:rPr>
              <w:t>Best-selling-cars, 2024</w:t>
            </w:r>
            <w:r w:rsidRPr="00A37AF0">
              <w:rPr>
                <w:rFonts w:ascii="Times New Roman" w:hAnsi="Times New Roman" w:cs="Times New Roman"/>
                <w:sz w:val="24"/>
                <w:lang w:val="en-IN"/>
              </w:rPr>
              <w:t>)</w:t>
            </w:r>
          </w:p>
        </w:tc>
        <w:tc>
          <w:tcPr>
            <w:tcW w:w="0" w:type="auto"/>
            <w:vAlign w:val="center"/>
            <w:hideMark/>
          </w:tcPr>
          <w:p w14:paraId="6CEDE37E"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NEV registrations in China: </w:t>
            </w:r>
            <w:r w:rsidRPr="00A37AF0">
              <w:rPr>
                <w:rFonts w:ascii="Times New Roman" w:hAnsi="Times New Roman" w:cs="Times New Roman"/>
                <w:b/>
                <w:bCs/>
                <w:sz w:val="24"/>
                <w:lang w:val="en-IN"/>
              </w:rPr>
              <w:t>8.1 million new electric car registrations (2023)</w:t>
            </w:r>
            <w:r w:rsidRPr="00A37AF0">
              <w:rPr>
                <w:rFonts w:ascii="Times New Roman" w:hAnsi="Times New Roman" w:cs="Times New Roman"/>
                <w:sz w:val="24"/>
                <w:lang w:val="en-IN"/>
              </w:rPr>
              <w:t xml:space="preserve"> — NEV segment is the dominant growth engine. (</w:t>
            </w:r>
            <w:r w:rsidR="00C0762A" w:rsidRPr="00C0762A">
              <w:rPr>
                <w:rFonts w:ascii="Times New Roman" w:hAnsi="Times New Roman" w:cs="Times New Roman"/>
                <w:sz w:val="24"/>
                <w:lang w:val="en-IN"/>
              </w:rPr>
              <w:t>Iea, 2023</w:t>
            </w:r>
            <w:r w:rsidRPr="00A37AF0">
              <w:rPr>
                <w:rFonts w:ascii="Times New Roman" w:hAnsi="Times New Roman" w:cs="Times New Roman"/>
                <w:sz w:val="24"/>
                <w:lang w:val="en-IN"/>
              </w:rPr>
              <w:t>)</w:t>
            </w:r>
          </w:p>
        </w:tc>
      </w:tr>
      <w:tr w:rsidR="00A37AF0" w:rsidRPr="00A37AF0" w14:paraId="730128FB" w14:textId="77777777" w:rsidTr="00A37AF0">
        <w:trPr>
          <w:tblCellSpacing w:w="15" w:type="dxa"/>
        </w:trPr>
        <w:tc>
          <w:tcPr>
            <w:tcW w:w="0" w:type="auto"/>
            <w:vAlign w:val="center"/>
            <w:hideMark/>
          </w:tcPr>
          <w:p w14:paraId="312A3301"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b/>
                <w:bCs/>
                <w:sz w:val="24"/>
                <w:lang w:val="en-IN"/>
              </w:rPr>
              <w:t>Targeting</w:t>
            </w:r>
          </w:p>
        </w:tc>
        <w:tc>
          <w:tcPr>
            <w:tcW w:w="0" w:type="auto"/>
            <w:vAlign w:val="center"/>
            <w:hideMark/>
          </w:tcPr>
          <w:p w14:paraId="3AF389C0"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BMW sales in Germany 2023: </w:t>
            </w:r>
            <w:r w:rsidRPr="00A37AF0">
              <w:rPr>
                <w:rFonts w:ascii="Times New Roman" w:hAnsi="Times New Roman" w:cs="Times New Roman"/>
                <w:b/>
                <w:bCs/>
                <w:sz w:val="24"/>
                <w:lang w:val="en-IN"/>
              </w:rPr>
              <w:t>233,160 units (≈8.2% market share)</w:t>
            </w:r>
            <w:r w:rsidRPr="00A37AF0">
              <w:rPr>
                <w:rFonts w:ascii="Times New Roman" w:hAnsi="Times New Roman" w:cs="Times New Roman"/>
                <w:sz w:val="24"/>
                <w:lang w:val="en-IN"/>
              </w:rPr>
              <w:t xml:space="preserve"> — BMW’s target pool in home market is established premium buyers. (</w:t>
            </w:r>
            <w:r w:rsidR="00C0762A" w:rsidRPr="00C0762A">
              <w:rPr>
                <w:rFonts w:ascii="Times New Roman" w:hAnsi="Times New Roman" w:cs="Times New Roman"/>
                <w:sz w:val="24"/>
                <w:lang w:val="en-IN"/>
              </w:rPr>
              <w:t>Marklines, 2023</w:t>
            </w:r>
            <w:r w:rsidRPr="00A37AF0">
              <w:rPr>
                <w:rFonts w:ascii="Times New Roman" w:hAnsi="Times New Roman" w:cs="Times New Roman"/>
                <w:sz w:val="24"/>
                <w:lang w:val="en-IN"/>
              </w:rPr>
              <w:t>)</w:t>
            </w:r>
          </w:p>
        </w:tc>
        <w:tc>
          <w:tcPr>
            <w:tcW w:w="0" w:type="auto"/>
            <w:vAlign w:val="center"/>
            <w:hideMark/>
          </w:tcPr>
          <w:p w14:paraId="2BF8632B"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BMW Group deliveries in mainland China 2023: </w:t>
            </w:r>
            <w:r w:rsidRPr="00A37AF0">
              <w:rPr>
                <w:rFonts w:ascii="Times New Roman" w:hAnsi="Times New Roman" w:cs="Times New Roman"/>
                <w:b/>
                <w:bCs/>
                <w:sz w:val="24"/>
                <w:lang w:val="en-IN"/>
              </w:rPr>
              <w:t>824,932 BMW &amp; MINI vehicles</w:t>
            </w:r>
            <w:r w:rsidRPr="00A37AF0">
              <w:rPr>
                <w:rFonts w:ascii="Times New Roman" w:hAnsi="Times New Roman" w:cs="Times New Roman"/>
                <w:sz w:val="24"/>
                <w:lang w:val="en-IN"/>
              </w:rPr>
              <w:t xml:space="preserve"> — China is BMW’s largest single-country market and main volume target. (</w:t>
            </w:r>
            <w:r w:rsidR="00C0762A" w:rsidRPr="00C0762A">
              <w:rPr>
                <w:rFonts w:ascii="Times New Roman" w:hAnsi="Times New Roman" w:cs="Times New Roman"/>
                <w:sz w:val="24"/>
                <w:lang w:val="en-IN"/>
              </w:rPr>
              <w:t>Bmw-brilliance, 2024</w:t>
            </w:r>
            <w:r w:rsidRPr="00A37AF0">
              <w:rPr>
                <w:rFonts w:ascii="Times New Roman" w:hAnsi="Times New Roman" w:cs="Times New Roman"/>
                <w:sz w:val="24"/>
                <w:lang w:val="en-IN"/>
              </w:rPr>
              <w:t>)</w:t>
            </w:r>
          </w:p>
        </w:tc>
      </w:tr>
      <w:tr w:rsidR="00A37AF0" w:rsidRPr="00A37AF0" w14:paraId="523B0193" w14:textId="77777777" w:rsidTr="00A37AF0">
        <w:trPr>
          <w:tblCellSpacing w:w="15" w:type="dxa"/>
        </w:trPr>
        <w:tc>
          <w:tcPr>
            <w:tcW w:w="0" w:type="auto"/>
            <w:vAlign w:val="center"/>
            <w:hideMark/>
          </w:tcPr>
          <w:p w14:paraId="0E8E2683"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b/>
                <w:bCs/>
                <w:sz w:val="24"/>
                <w:lang w:val="en-IN"/>
              </w:rPr>
              <w:t>Positioning</w:t>
            </w:r>
          </w:p>
        </w:tc>
        <w:tc>
          <w:tcPr>
            <w:tcW w:w="0" w:type="auto"/>
            <w:vAlign w:val="center"/>
            <w:hideMark/>
          </w:tcPr>
          <w:p w14:paraId="7E6836B1"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German buyer propensity for BEV consideration: </w:t>
            </w:r>
            <w:r w:rsidRPr="00A37AF0">
              <w:rPr>
                <w:rFonts w:ascii="Times New Roman" w:hAnsi="Times New Roman" w:cs="Times New Roman"/>
                <w:b/>
                <w:bCs/>
                <w:sz w:val="24"/>
                <w:lang w:val="en-IN"/>
              </w:rPr>
              <w:t>~55% of non-BEV German drivers say they would consider buying a BEV (survey, 2023 country report)</w:t>
            </w:r>
            <w:r w:rsidRPr="00A37AF0">
              <w:rPr>
                <w:rFonts w:ascii="Times New Roman" w:hAnsi="Times New Roman" w:cs="Times New Roman"/>
                <w:sz w:val="24"/>
                <w:lang w:val="en-IN"/>
              </w:rPr>
              <w:t xml:space="preserve"> — positions BMW to balance heritage with EV adoption. (</w:t>
            </w:r>
            <w:r w:rsidR="00C0762A" w:rsidRPr="00C0762A">
              <w:rPr>
                <w:rFonts w:ascii="Times New Roman" w:hAnsi="Times New Roman" w:cs="Times New Roman"/>
                <w:sz w:val="24"/>
                <w:lang w:val="en-IN"/>
              </w:rPr>
              <w:t xml:space="preserve">Europa, </w:t>
            </w:r>
            <w:r w:rsidR="00C0762A" w:rsidRPr="00C0762A">
              <w:rPr>
                <w:rFonts w:ascii="Times New Roman" w:hAnsi="Times New Roman" w:cs="Times New Roman"/>
                <w:sz w:val="24"/>
                <w:lang w:val="en-IN"/>
              </w:rPr>
              <w:tab/>
              <w:t>2024</w:t>
            </w:r>
            <w:r w:rsidRPr="00A37AF0">
              <w:rPr>
                <w:rFonts w:ascii="Times New Roman" w:hAnsi="Times New Roman" w:cs="Times New Roman"/>
                <w:sz w:val="24"/>
                <w:lang w:val="en-IN"/>
              </w:rPr>
              <w:t>)</w:t>
            </w:r>
          </w:p>
        </w:tc>
        <w:tc>
          <w:tcPr>
            <w:tcW w:w="0" w:type="auto"/>
            <w:vAlign w:val="center"/>
            <w:hideMark/>
          </w:tcPr>
          <w:p w14:paraId="7F0732F6" w14:textId="77777777" w:rsidR="00A37AF0" w:rsidRPr="00A37AF0" w:rsidRDefault="00A37AF0" w:rsidP="0059163E">
            <w:pPr>
              <w:spacing w:after="0" w:line="360" w:lineRule="auto"/>
              <w:jc w:val="both"/>
              <w:rPr>
                <w:rFonts w:ascii="Times New Roman" w:hAnsi="Times New Roman" w:cs="Times New Roman"/>
                <w:sz w:val="24"/>
                <w:lang w:val="en-IN"/>
              </w:rPr>
            </w:pPr>
            <w:r w:rsidRPr="00A37AF0">
              <w:rPr>
                <w:rFonts w:ascii="Times New Roman" w:hAnsi="Times New Roman" w:cs="Times New Roman"/>
                <w:sz w:val="24"/>
                <w:lang w:val="en-IN"/>
              </w:rPr>
              <w:t xml:space="preserve">Chinese consumer attitudes: </w:t>
            </w:r>
            <w:r w:rsidRPr="00A37AF0">
              <w:rPr>
                <w:rFonts w:ascii="Times New Roman" w:hAnsi="Times New Roman" w:cs="Times New Roman"/>
                <w:b/>
                <w:bCs/>
                <w:sz w:val="24"/>
                <w:lang w:val="en-IN"/>
              </w:rPr>
              <w:t>~70% of Chinese consumers aware of low-carbon vehicles and willing to pay extra (2023 survey)</w:t>
            </w:r>
            <w:r w:rsidRPr="00A37AF0">
              <w:rPr>
                <w:rFonts w:ascii="Times New Roman" w:hAnsi="Times New Roman" w:cs="Times New Roman"/>
                <w:sz w:val="24"/>
                <w:lang w:val="en-IN"/>
              </w:rPr>
              <w:t>; McKinsey also reports tech/features now drive consideration for Chinese buyers. (</w:t>
            </w:r>
            <w:r w:rsidR="00C0762A" w:rsidRPr="00C0762A">
              <w:rPr>
                <w:rFonts w:ascii="Times New Roman" w:hAnsi="Times New Roman" w:cs="Times New Roman"/>
                <w:sz w:val="24"/>
                <w:lang w:val="en-IN"/>
              </w:rPr>
              <w:t>Mckinsey, 2024</w:t>
            </w:r>
            <w:r w:rsidRPr="00A37AF0">
              <w:rPr>
                <w:rFonts w:ascii="Times New Roman" w:hAnsi="Times New Roman" w:cs="Times New Roman"/>
                <w:sz w:val="24"/>
                <w:lang w:val="en-IN"/>
              </w:rPr>
              <w:t>)</w:t>
            </w:r>
          </w:p>
        </w:tc>
      </w:tr>
    </w:tbl>
    <w:p w14:paraId="3CB84822" w14:textId="77777777" w:rsidR="00A37AF0" w:rsidRDefault="009D2790" w:rsidP="009D2790">
      <w:pPr>
        <w:spacing w:after="0" w:line="360" w:lineRule="auto"/>
        <w:jc w:val="center"/>
        <w:rPr>
          <w:rFonts w:ascii="Times New Roman" w:hAnsi="Times New Roman" w:cs="Times New Roman"/>
          <w:b/>
          <w:bCs/>
          <w:sz w:val="24"/>
          <w:lang w:val="en-IN"/>
        </w:rPr>
      </w:pPr>
      <w:r w:rsidRPr="009D2790">
        <w:rPr>
          <w:rFonts w:ascii="Times New Roman" w:hAnsi="Times New Roman" w:cs="Times New Roman"/>
          <w:b/>
          <w:bCs/>
          <w:sz w:val="24"/>
          <w:lang w:val="en-IN"/>
        </w:rPr>
        <w:t xml:space="preserve">Table </w:t>
      </w:r>
      <w:r w:rsidR="005A7DF0">
        <w:rPr>
          <w:rFonts w:ascii="Times New Roman" w:hAnsi="Times New Roman" w:cs="Times New Roman"/>
          <w:b/>
          <w:bCs/>
          <w:sz w:val="24"/>
          <w:lang w:val="en-IN"/>
        </w:rPr>
        <w:t>2</w:t>
      </w:r>
      <w:r w:rsidRPr="009D2790">
        <w:rPr>
          <w:rFonts w:ascii="Times New Roman" w:hAnsi="Times New Roman" w:cs="Times New Roman"/>
          <w:b/>
          <w:bCs/>
          <w:sz w:val="24"/>
          <w:lang w:val="en-IN"/>
        </w:rPr>
        <w:t xml:space="preserve">: </w:t>
      </w:r>
      <w:r>
        <w:rPr>
          <w:rFonts w:ascii="Times New Roman" w:hAnsi="Times New Roman" w:cs="Times New Roman"/>
          <w:b/>
          <w:bCs/>
          <w:sz w:val="24"/>
          <w:lang w:val="en-IN"/>
        </w:rPr>
        <w:t>STP</w:t>
      </w:r>
      <w:r w:rsidRPr="009D2790">
        <w:rPr>
          <w:rFonts w:ascii="Times New Roman" w:hAnsi="Times New Roman" w:cs="Times New Roman"/>
          <w:b/>
          <w:bCs/>
          <w:sz w:val="24"/>
          <w:lang w:val="en-IN"/>
        </w:rPr>
        <w:t xml:space="preserve"> Analysis Comparison</w:t>
      </w:r>
    </w:p>
    <w:p w14:paraId="04B41121" w14:textId="77777777" w:rsidR="00A37AF0" w:rsidRPr="00A37AF0" w:rsidRDefault="00A37AF0" w:rsidP="0059163E">
      <w:pPr>
        <w:spacing w:after="0" w:line="360" w:lineRule="auto"/>
        <w:jc w:val="both"/>
        <w:rPr>
          <w:rFonts w:ascii="Times New Roman" w:hAnsi="Times New Roman" w:cs="Times New Roman"/>
          <w:b/>
          <w:bCs/>
          <w:sz w:val="24"/>
          <w:lang w:val="en-IN"/>
        </w:rPr>
      </w:pPr>
      <w:r w:rsidRPr="00A37AF0">
        <w:rPr>
          <w:rFonts w:ascii="Times New Roman" w:hAnsi="Times New Roman" w:cs="Times New Roman"/>
          <w:b/>
          <w:bCs/>
          <w:sz w:val="24"/>
          <w:lang w:val="en-IN"/>
        </w:rPr>
        <w:t>STP comparative analysis</w:t>
      </w:r>
    </w:p>
    <w:p w14:paraId="0B01CB20" w14:textId="77777777" w:rsidR="001C72E7" w:rsidRPr="001C72E7" w:rsidRDefault="001C72E7" w:rsidP="001C72E7">
      <w:pPr>
        <w:spacing w:after="0" w:line="360" w:lineRule="auto"/>
        <w:jc w:val="both"/>
        <w:rPr>
          <w:rFonts w:ascii="Times New Roman" w:hAnsi="Times New Roman" w:cs="Times New Roman"/>
          <w:sz w:val="24"/>
          <w:lang w:val="en-IN"/>
        </w:rPr>
      </w:pPr>
      <w:r w:rsidRPr="001C72E7">
        <w:rPr>
          <w:rFonts w:ascii="Times New Roman" w:hAnsi="Times New Roman" w:cs="Times New Roman"/>
          <w:sz w:val="24"/>
          <w:lang w:val="en-IN"/>
        </w:rPr>
        <w:t>The STP analysis shows that BMW will need to position itself differently in Germany and China in order to fit the unique consumer expectation, competitive intensity and market maturity. Germany as a market is segmented in terms of traditional demographics as well as psychographics in terms of affluent middle-aged professionals, performance car enthusiasts and environmentally conscious buyers. The segmentation in China is however affected by the rapid urbanisation, young consumers that are status motivated, and premium buyers that are tech oriented. That is why BMW is more oriented on digital experiences, long wheel base models, and youth-based branding in China. Priorities are also different in terms of targets. In Germany, BMW is focusing on any of the already existing premium markets in which brand loyalty, heritage and engineering excellence are regarded as paramount. Chinese targeting is wider and more responsive: BMW aggressively markets to new wealthy urban customers, first-time luxury, as well as digital natives. This demands increased integration of omnichannel, influencer marketing and online-offline models of retail.</w:t>
      </w:r>
    </w:p>
    <w:p w14:paraId="5EDA3D93" w14:textId="77777777" w:rsidR="001C72E7" w:rsidRPr="001C72E7" w:rsidRDefault="001C72E7" w:rsidP="001C72E7">
      <w:pPr>
        <w:spacing w:after="0" w:line="360" w:lineRule="auto"/>
        <w:jc w:val="both"/>
        <w:rPr>
          <w:rFonts w:ascii="Times New Roman" w:hAnsi="Times New Roman" w:cs="Times New Roman"/>
          <w:sz w:val="24"/>
          <w:lang w:val="en-IN"/>
        </w:rPr>
      </w:pPr>
      <w:r w:rsidRPr="001C72E7">
        <w:rPr>
          <w:rFonts w:ascii="Times New Roman" w:hAnsi="Times New Roman" w:cs="Times New Roman"/>
          <w:sz w:val="24"/>
          <w:lang w:val="en-IN"/>
        </w:rPr>
        <w:t>There exist equally high positioning differences. In Germany, BMW strengthens its brand as a high performance, driver oriented, premium brand. The Ultimate Driving Machine is a powerful advertising because of the Autobahn culture and appreciation of engineering in Germany. In China, BMW is however marketing itself as a luxury brand, technologically advanced and giving comfort, prestige and digital sophistication. Such aspects as rear-seat entertainment, AI assistants, and smart connection are at the core of perception making. The table also shows the influence of STP on the product strategy. Germany focuses on EVs that are driven by sustainability and those that are performance-oriented and efficiency enhanced. China gets long-wheelbase sedans designed to order, China-specific in-car systems, and increased in-car luxury. Another difference is observed in pricing strategy. Germany has a stable price that is on the high European standards. The adaptive pricing has to be applied in China because of high competition, localisation policies, and sensitivity of the younger luxury consumers.</w:t>
      </w:r>
    </w:p>
    <w:p w14:paraId="75791E05" w14:textId="77777777" w:rsidR="003255EC" w:rsidRPr="003255EC" w:rsidRDefault="001C72E7" w:rsidP="001C72E7">
      <w:pPr>
        <w:spacing w:after="0" w:line="360" w:lineRule="auto"/>
        <w:jc w:val="both"/>
        <w:rPr>
          <w:rFonts w:ascii="Times New Roman" w:hAnsi="Times New Roman" w:cs="Times New Roman"/>
          <w:sz w:val="24"/>
          <w:lang w:val="en-IN"/>
        </w:rPr>
      </w:pPr>
      <w:r w:rsidRPr="001C72E7">
        <w:rPr>
          <w:rFonts w:ascii="Times New Roman" w:hAnsi="Times New Roman" w:cs="Times New Roman"/>
          <w:sz w:val="24"/>
          <w:lang w:val="en-IN"/>
        </w:rPr>
        <w:t>Promotional strategy is also distinguished. Germany is very dependent on brand heritage, engineering stories and sustainability messages. In China, digital storytelling, livestream selling, local influencers and interactive marketing campaigns are used. Place/ distribution is also STP based. The network of dealers that Germany has had in place is a mature market, whereas China needs to have its digital showrooms, pop-up stores, and experience-oriented retail. Overall, in Germany, the STP strategies by BMW support brand tradition and performance focus whereas in China focus on luxury, technology, and youth appeal. The variations highlight how BMW should localise its global marketing in order to be in line with the socio-cultural and competitive forces</w:t>
      </w:r>
      <w:r w:rsidR="00487BA0">
        <w:rPr>
          <w:rFonts w:ascii="Times New Roman" w:hAnsi="Times New Roman" w:cs="Times New Roman"/>
          <w:sz w:val="24"/>
          <w:lang w:val="en-IN"/>
        </w:rPr>
        <w:t xml:space="preserve"> </w:t>
      </w:r>
      <w:r w:rsidR="00487BA0" w:rsidRPr="00487BA0">
        <w:rPr>
          <w:rFonts w:ascii="Times New Roman" w:hAnsi="Times New Roman" w:cs="Times New Roman"/>
          <w:b/>
          <w:i/>
          <w:sz w:val="24"/>
          <w:lang w:val="en-IN"/>
        </w:rPr>
        <w:t>[Referred to appendix 1 and 2]</w:t>
      </w:r>
      <w:r w:rsidRPr="001C72E7">
        <w:rPr>
          <w:rFonts w:ascii="Times New Roman" w:hAnsi="Times New Roman" w:cs="Times New Roman"/>
          <w:sz w:val="24"/>
          <w:lang w:val="en-IN"/>
        </w:rPr>
        <w:t>.</w:t>
      </w:r>
    </w:p>
    <w:p w14:paraId="42819C0E" w14:textId="77777777" w:rsidR="003255EC" w:rsidRPr="00567242" w:rsidRDefault="003255EC" w:rsidP="006E6F1E">
      <w:pPr>
        <w:pStyle w:val="Heading1"/>
      </w:pPr>
      <w:bookmarkStart w:id="7" w:name="_Toc214145577"/>
      <w:r>
        <w:t xml:space="preserve">5. </w:t>
      </w:r>
      <w:r w:rsidRPr="003255EC">
        <w:t>Comparison of Marketing Mix (7Ps) Strategies in Germany and China</w:t>
      </w:r>
      <w:bookmarkEnd w:id="7"/>
    </w:p>
    <w:p w14:paraId="014C90B1" w14:textId="77777777" w:rsidR="00C0762A" w:rsidRPr="00C0762A" w:rsidRDefault="00EE4D93" w:rsidP="006E6F1E">
      <w:pPr>
        <w:pStyle w:val="Heading2"/>
      </w:pPr>
      <w:bookmarkStart w:id="8" w:name="_Toc214145578"/>
      <w:r>
        <w:t xml:space="preserve">5.1 </w:t>
      </w:r>
      <w:r w:rsidR="00C0762A" w:rsidRPr="00C0762A">
        <w:t>Product — adaptations, EV models, tech features</w:t>
      </w:r>
      <w:bookmarkEnd w:id="8"/>
    </w:p>
    <w:p w14:paraId="71579457" w14:textId="77777777" w:rsidR="009658CB"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The product strategy at BMW is much different in Germany and in China. BMW has to find a balance between ICE tradition and electrification, with 524,219 BEVs registered in Germany in 2023 (18.4% of new cars), thus BMW must be content with a still-mixed fleet of ICE and hybrids (Autovista24, 2024)</w:t>
      </w:r>
      <w:r w:rsidR="00C0762A" w:rsidRPr="00C0762A">
        <w:rPr>
          <w:rFonts w:ascii="Times New Roman" w:hAnsi="Times New Roman" w:cs="Times New Roman"/>
          <w:sz w:val="24"/>
          <w:lang w:val="en-IN"/>
        </w:rPr>
        <w:t xml:space="preserve">. </w:t>
      </w:r>
    </w:p>
    <w:p w14:paraId="47E2B6BB" w14:textId="77777777" w:rsidR="009658CB" w:rsidRDefault="009658CB" w:rsidP="0059163E">
      <w:pPr>
        <w:spacing w:after="0" w:line="360" w:lineRule="auto"/>
        <w:jc w:val="both"/>
        <w:rPr>
          <w:rFonts w:ascii="Times New Roman" w:hAnsi="Times New Roman" w:cs="Times New Roman"/>
          <w:sz w:val="24"/>
          <w:lang w:val="en-IN"/>
        </w:rPr>
      </w:pPr>
      <w:r w:rsidRPr="009658CB">
        <w:rPr>
          <w:rFonts w:ascii="Times New Roman" w:hAnsi="Times New Roman" w:cs="Times New Roman"/>
          <w:noProof/>
          <w:sz w:val="24"/>
          <w:lang w:val="en-IN"/>
        </w:rPr>
        <w:drawing>
          <wp:inline distT="0" distB="0" distL="0" distR="0" wp14:anchorId="0000CDFB" wp14:editId="39EAB68E">
            <wp:extent cx="5731510" cy="1825625"/>
            <wp:effectExtent l="19050" t="19050" r="21590" b="222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25625"/>
                    </a:xfrm>
                    <a:prstGeom prst="rect">
                      <a:avLst/>
                    </a:prstGeom>
                    <a:ln>
                      <a:solidFill>
                        <a:schemeClr val="tx1"/>
                      </a:solidFill>
                    </a:ln>
                  </pic:spPr>
                </pic:pic>
              </a:graphicData>
            </a:graphic>
          </wp:inline>
        </w:drawing>
      </w:r>
    </w:p>
    <w:p w14:paraId="5F89032A" w14:textId="77777777" w:rsidR="009658CB" w:rsidRPr="009658CB" w:rsidRDefault="009658CB" w:rsidP="0059163E">
      <w:pPr>
        <w:spacing w:after="0" w:line="360" w:lineRule="auto"/>
        <w:jc w:val="center"/>
        <w:rPr>
          <w:rFonts w:ascii="Times New Roman" w:hAnsi="Times New Roman" w:cs="Times New Roman"/>
          <w:b/>
          <w:sz w:val="24"/>
        </w:rPr>
      </w:pPr>
      <w:r w:rsidRPr="009658CB">
        <w:rPr>
          <w:rFonts w:ascii="Times New Roman" w:hAnsi="Times New Roman" w:cs="Times New Roman"/>
          <w:b/>
          <w:sz w:val="24"/>
          <w:lang w:val="en-IN"/>
        </w:rPr>
        <w:t xml:space="preserve">Figure 3: </w:t>
      </w:r>
      <w:r w:rsidRPr="009658CB">
        <w:rPr>
          <w:rFonts w:ascii="Times New Roman" w:hAnsi="Times New Roman" w:cs="Times New Roman"/>
          <w:b/>
          <w:sz w:val="24"/>
        </w:rPr>
        <w:t>Key Performance Indicators – 2024 Annual Report</w:t>
      </w:r>
    </w:p>
    <w:p w14:paraId="264B5D4B" w14:textId="77777777" w:rsidR="009658CB" w:rsidRDefault="009658CB" w:rsidP="0059163E">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9658CB">
        <w:rPr>
          <w:rFonts w:ascii="Times New Roman" w:hAnsi="Times New Roman" w:cs="Times New Roman"/>
          <w:sz w:val="24"/>
          <w:lang w:val="en-IN"/>
        </w:rPr>
        <w:t>Autovista24, 2024</w:t>
      </w:r>
      <w:r>
        <w:rPr>
          <w:rFonts w:ascii="Times New Roman" w:hAnsi="Times New Roman" w:cs="Times New Roman"/>
          <w:sz w:val="24"/>
          <w:lang w:val="en-IN"/>
        </w:rPr>
        <w:t>)</w:t>
      </w:r>
    </w:p>
    <w:p w14:paraId="3446C377" w14:textId="77777777" w:rsidR="00C0762A" w:rsidRPr="00C0762A"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At the Group level, c. 376,183 all-electric units were sold by BMW all over the world in 2023, proving strong BEV expansion however, in comparison with overall premium sales, which remain low (Bmwgroup, 2024). In practice, Germany is supplied with models that predict driving dynamics, efficient ICE / hybrid and EVs with range/charging functions designed in the European context. In China, adaptation of product is even more radical: long-wheelbase or China-specific feature packs (infotainment, rear-seat tech) are widespread, and the BMW Chinese operations are devoted to the introduction of BEVs in China. Such a bifurcation compels BMW to deal with competing product discourses heritage engineering in Germany and high performance, locally optimised BEVs and digital features in China</w:t>
      </w:r>
      <w:r w:rsidR="00C0762A" w:rsidRPr="00C0762A">
        <w:rPr>
          <w:rFonts w:ascii="Times New Roman" w:hAnsi="Times New Roman" w:cs="Times New Roman"/>
          <w:sz w:val="24"/>
          <w:lang w:val="en-IN"/>
        </w:rPr>
        <w:t>.</w:t>
      </w:r>
    </w:p>
    <w:p w14:paraId="19C56F12" w14:textId="77777777" w:rsidR="00C0762A" w:rsidRPr="00C0762A" w:rsidRDefault="00EE4D93" w:rsidP="006E6F1E">
      <w:pPr>
        <w:pStyle w:val="Heading2"/>
      </w:pPr>
      <w:bookmarkStart w:id="9" w:name="_Toc214145579"/>
      <w:r>
        <w:t xml:space="preserve">5.2 </w:t>
      </w:r>
      <w:r w:rsidR="00C0762A" w:rsidRPr="00C0762A">
        <w:t>Price — premium pricing vs flexible financing, taxation effects</w:t>
      </w:r>
      <w:bookmarkEnd w:id="9"/>
      <w:r w:rsidR="00C0762A" w:rsidRPr="00C0762A">
        <w:t xml:space="preserve"> </w:t>
      </w:r>
    </w:p>
    <w:p w14:paraId="4642B9EA" w14:textId="77777777" w:rsidR="00C0762A" w:rsidRPr="00C0762A" w:rsidRDefault="001C72E7" w:rsidP="0059163E">
      <w:pPr>
        <w:spacing w:after="0" w:line="360" w:lineRule="auto"/>
        <w:jc w:val="both"/>
        <w:rPr>
          <w:rFonts w:ascii="Times New Roman" w:hAnsi="Times New Roman" w:cs="Times New Roman"/>
          <w:sz w:val="24"/>
          <w:lang w:val="en-IN"/>
        </w:rPr>
      </w:pPr>
      <w:r w:rsidRPr="001C72E7">
        <w:rPr>
          <w:rFonts w:ascii="Times New Roman" w:hAnsi="Times New Roman" w:cs="Times New Roman"/>
          <w:sz w:val="24"/>
        </w:rPr>
        <w:t>Pricing is different: German consumers have to deal with structural taxes and VAT standards (standard VAT 19%), stable element of list price and possession cost (Avalara, 2025). The market weakness of 2023 in Germany also pushed the premium companies towards retention offers: BMW sold 233,160 units in Germany in 2023 (are dependent on an existing premium base). In China, state policy changes successful consumer price materialistically: NEV purchase tax exemptions had been expanded to the effect that NEV buyers could receive up to 30,000 yuan of tax exemption in 2024-25, which directly reduced the price on the road (Gov.cn, 2021). The China also delivers more aggressive financing/ lease schemes to attract first time premium customers. The outcome: German pricing is margin-focused and brand-prideful, Chinese pricing will have to be adaptable and domestically strategic to sustain volumes</w:t>
      </w:r>
      <w:r w:rsidR="00C0762A" w:rsidRPr="00C0762A">
        <w:rPr>
          <w:rFonts w:ascii="Times New Roman" w:hAnsi="Times New Roman" w:cs="Times New Roman"/>
          <w:sz w:val="24"/>
          <w:lang w:val="en-IN"/>
        </w:rPr>
        <w:t>.</w:t>
      </w:r>
    </w:p>
    <w:p w14:paraId="08E31E94" w14:textId="77777777" w:rsidR="00C0762A" w:rsidRPr="00C0762A" w:rsidRDefault="00EE4D93" w:rsidP="006E6F1E">
      <w:pPr>
        <w:pStyle w:val="Heading2"/>
      </w:pPr>
      <w:bookmarkStart w:id="10" w:name="_Toc214145580"/>
      <w:r>
        <w:t xml:space="preserve">5.3 </w:t>
      </w:r>
      <w:r w:rsidR="00C0762A" w:rsidRPr="00C0762A">
        <w:t>Place — dealership networks, digital retail platforms</w:t>
      </w:r>
      <w:bookmarkEnd w:id="10"/>
      <w:r w:rsidR="00C0762A" w:rsidRPr="00C0762A">
        <w:t xml:space="preserve"> </w:t>
      </w:r>
    </w:p>
    <w:p w14:paraId="0C18BBB5" w14:textId="77777777" w:rsidR="00C0762A" w:rsidRPr="00C0762A"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There is a divergence in the distribution models. Germany still has intensive networks and showrooms experience with the brand: the German production and dealer network of BMW yields to the after sales and service expectations in a highly vehicle-dense market. In the meantime, the German public charging network development (both government/industry combined) has been affecting the display locations of BMW on BEVs (charging demos in showrooms). In China, digital retail and experience stores prevail: BMW and its JV have massive China-based dealer networks and digital sales channels -BMW Group announced 824, 932 deliveries in China in 2023, which shows the size of market and distribution intensity locally (Bmw-brilliance, 2024). Chinese urban customers are becoming more and more likely to make purchases online: NEV ecosystems and long-term service alliances and city pop-up stores are a commonplace. The domestic requirements of China that demand fast replenishment, product cycle are very high, has compelled BMW to decentralize logistics and localise inventory, as compared to Germany which highly relies on its place policy that is centred on high-touch dealerships and service reliability</w:t>
      </w:r>
      <w:r w:rsidR="00C0762A" w:rsidRPr="00C0762A">
        <w:rPr>
          <w:rFonts w:ascii="Times New Roman" w:hAnsi="Times New Roman" w:cs="Times New Roman"/>
          <w:sz w:val="24"/>
          <w:lang w:val="en-IN"/>
        </w:rPr>
        <w:t>.</w:t>
      </w:r>
    </w:p>
    <w:p w14:paraId="2BE5BB1D" w14:textId="77777777" w:rsidR="00C0762A" w:rsidRPr="00C0762A" w:rsidRDefault="00EE4D93" w:rsidP="006E6F1E">
      <w:pPr>
        <w:pStyle w:val="Heading2"/>
      </w:pPr>
      <w:bookmarkStart w:id="11" w:name="_Toc214145581"/>
      <w:r>
        <w:t xml:space="preserve">5.4 </w:t>
      </w:r>
      <w:r w:rsidR="00C0762A" w:rsidRPr="00C0762A">
        <w:t>Promotion — tone, celebrities, social media platforms, campaign examples</w:t>
      </w:r>
      <w:bookmarkEnd w:id="11"/>
      <w:r w:rsidR="00C0762A" w:rsidRPr="00C0762A">
        <w:t xml:space="preserve"> </w:t>
      </w:r>
    </w:p>
    <w:p w14:paraId="27480F65" w14:textId="77777777" w:rsidR="00C0762A" w:rsidRPr="00C0762A"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 xml:space="preserve">The promotional strategies are also culturally specific on media usage. In Germany, BMW is relying on tales of heritage, experience events and long form brand content that previews engineering and sustainability measurements-messages that are applicable to a market that prizes provenance. In comparison, the promotion of Chinas is acceleration-oriented, platform-based: conversions are stimulated by livestreaming, partnerships between influencers and platforms (i.e., local apps), etc. a requirement in a market in which NEV policy and digital retailing hasten the buying process. In context, Chinese had 8.1 million NEV registrations in 2023, indicating a digitally native sales space that online campaigns can be converted fast. The global creative of BMW also reflected BEV momentum in 2023 as the all-electric deliveries of the Group skyrocketed, although campaigns in the local Chinese market focus on technology and rear-seat </w:t>
      </w:r>
      <w:r w:rsidR="00117385" w:rsidRPr="00143F3B">
        <w:rPr>
          <w:rFonts w:ascii="Times New Roman" w:hAnsi="Times New Roman" w:cs="Times New Roman"/>
          <w:sz w:val="24"/>
        </w:rPr>
        <w:t>cosiness</w:t>
      </w:r>
      <w:r w:rsidRPr="00143F3B">
        <w:rPr>
          <w:rFonts w:ascii="Times New Roman" w:hAnsi="Times New Roman" w:cs="Times New Roman"/>
          <w:sz w:val="24"/>
        </w:rPr>
        <w:t xml:space="preserve"> to match consumer expectations (Bmwgroup, 2024). The outcome: Germany receives brand-heritage promotion, which is measured; China receives performance-based digital promotion, which is fast</w:t>
      </w:r>
      <w:r w:rsidR="00C0762A" w:rsidRPr="00C0762A">
        <w:rPr>
          <w:rFonts w:ascii="Times New Roman" w:hAnsi="Times New Roman" w:cs="Times New Roman"/>
          <w:sz w:val="24"/>
          <w:lang w:val="en-IN"/>
        </w:rPr>
        <w:t>.</w:t>
      </w:r>
    </w:p>
    <w:p w14:paraId="12835097" w14:textId="77777777" w:rsidR="00C0762A" w:rsidRPr="00C0762A" w:rsidRDefault="00EE4D93" w:rsidP="006E6F1E">
      <w:pPr>
        <w:pStyle w:val="Heading2"/>
      </w:pPr>
      <w:bookmarkStart w:id="12" w:name="_Toc214145582"/>
      <w:r>
        <w:t xml:space="preserve">5.5 </w:t>
      </w:r>
      <w:r w:rsidR="00C0762A" w:rsidRPr="00C0762A">
        <w:t>People — service expectations and training differences</w:t>
      </w:r>
      <w:bookmarkEnd w:id="12"/>
      <w:r w:rsidR="00C0762A" w:rsidRPr="00C0762A">
        <w:t xml:space="preserve"> </w:t>
      </w:r>
    </w:p>
    <w:p w14:paraId="52B75B7D" w14:textId="77777777" w:rsidR="00C0762A" w:rsidRPr="00C0762A"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Market differences in the marketing value chain include German buyers who demand high-quality sales personnel and extensive after-sales - indicative of a market with a strong brand recognition and seven-day, seven-night services. In Germany, the dealer network of BMW is constructed on experienced technical/service departments and high-end touchpoints; the stability of the workforce ensures the high level of the servicing economics in the margin. Chinese dealership employees become more digital connectors and CRM actors: they have to deal with the rapid onboarding of first-time premium customers and multifaceted NEV after-sales (battery warranty, OTA updates). China deliveries by BMW strain the local customer service operations so massively (Bmwgroup, 2024). In the case of OEMs, J.D. Power and other quality indexes demonstrate that the after-sales satisfaction is one of the crucial differentiators - the brands that prepare the sales/service team regarding digitality and EVs aspects keep the customers better. The varying people focus causes BMW to spend differently on employee training and dealer performance within each of the two markets</w:t>
      </w:r>
      <w:r w:rsidR="00C0762A" w:rsidRPr="00C0762A">
        <w:rPr>
          <w:rFonts w:ascii="Times New Roman" w:hAnsi="Times New Roman" w:cs="Times New Roman"/>
          <w:sz w:val="24"/>
          <w:lang w:val="en-IN"/>
        </w:rPr>
        <w:t>.</w:t>
      </w:r>
    </w:p>
    <w:p w14:paraId="5F3DB1CF" w14:textId="77777777" w:rsidR="00C0762A" w:rsidRPr="00C0762A" w:rsidRDefault="00EE4D93" w:rsidP="006E6F1E">
      <w:pPr>
        <w:pStyle w:val="Heading2"/>
      </w:pPr>
      <w:bookmarkStart w:id="13" w:name="_Toc214145583"/>
      <w:r>
        <w:t xml:space="preserve">5.6 </w:t>
      </w:r>
      <w:r w:rsidR="00C0762A" w:rsidRPr="00C0762A">
        <w:t>Process — customer journey, digitalisation, after-sales systems</w:t>
      </w:r>
      <w:bookmarkEnd w:id="13"/>
      <w:r w:rsidR="00C0762A" w:rsidRPr="00C0762A">
        <w:t xml:space="preserve"> </w:t>
      </w:r>
    </w:p>
    <w:p w14:paraId="5CDB4583" w14:textId="77777777" w:rsidR="00C0762A" w:rsidRPr="00C0762A"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Differentiation is through process design. Germany purchase decision making process is more inclined towards showroom experience, test driving, financing through bank sources and face-to-face configuration processes that are tuned to high-service anticipations. In the meantime, partnerships with charging and home-installations are significant under the conditions of BEV adoption. The customer journey in China is mainly omnichannel: the discovery and purchase cycle is frequently initiated on mobile platforms and finalized with the help of livestream and short-cycle promotions. Internet ordering and direct online financing (e.g., purchase tax exemptions until 2025-27) with the help of NEV policy have made the funnel shorter (Gov.cn, 2021). Moreover, the global BMW all-electric drive (volumes of all-electric vehicles in 2023 are increasing significantly) commits OEMs to deploy OTA, battery-service and subscription strategies - procedures that are currently being launched initially in the high-volume markets such as China (Bmwgroup, 2024). Consequently, the investment level of processes at BMW focuses on the automation of digital checkout and services in China and high-touch lifecycle services in Germany</w:t>
      </w:r>
      <w:r w:rsidR="00C0762A" w:rsidRPr="00C0762A">
        <w:rPr>
          <w:rFonts w:ascii="Times New Roman" w:hAnsi="Times New Roman" w:cs="Times New Roman"/>
          <w:sz w:val="24"/>
          <w:lang w:val="en-IN"/>
        </w:rPr>
        <w:t>.</w:t>
      </w:r>
    </w:p>
    <w:p w14:paraId="6306A155" w14:textId="77777777" w:rsidR="00C0762A" w:rsidRPr="00C0762A" w:rsidRDefault="00EE4D93" w:rsidP="006E6F1E">
      <w:pPr>
        <w:pStyle w:val="Heading2"/>
      </w:pPr>
      <w:bookmarkStart w:id="14" w:name="_Toc214145584"/>
      <w:r>
        <w:t xml:space="preserve">5.7 </w:t>
      </w:r>
      <w:r w:rsidR="00C0762A" w:rsidRPr="00C0762A">
        <w:t>Physical evidence — showroom design, brand experiences, packaging of digital services</w:t>
      </w:r>
      <w:bookmarkEnd w:id="14"/>
      <w:r w:rsidR="00C0762A" w:rsidRPr="00C0762A">
        <w:t xml:space="preserve"> </w:t>
      </w:r>
    </w:p>
    <w:p w14:paraId="1068258E" w14:textId="77777777" w:rsidR="003255EC" w:rsidRPr="00C0762A"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 xml:space="preserve">The physical elements are different: In Germany, showrooms underline engineering authenticity features minimalist design, a lack of information about the product, and test drive that underline the heritage of the driving machine. German after sales </w:t>
      </w:r>
      <w:r w:rsidR="00117385" w:rsidRPr="00143F3B">
        <w:rPr>
          <w:rFonts w:ascii="Times New Roman" w:hAnsi="Times New Roman" w:cs="Times New Roman"/>
          <w:sz w:val="24"/>
        </w:rPr>
        <w:t>centres</w:t>
      </w:r>
      <w:r w:rsidRPr="00143F3B">
        <w:rPr>
          <w:rFonts w:ascii="Times New Roman" w:hAnsi="Times New Roman" w:cs="Times New Roman"/>
          <w:sz w:val="24"/>
        </w:rPr>
        <w:t xml:space="preserve"> that have certified technicians will offer confidence in a high car density market. In China, showrooms and experience centres are integrated showrooming with lifestyle spaces, interactive digital demonstrations and brand pop-ups to reach aspirational buyers; China footprint ensures that BMW has many urban touchpoints which also serve as brand and sales platforms. BMW has experienced experiential remodelling globally by switching to BEVs and NEUE KLASSE architecture, but in this scenario, EV launch spaces focus on charging, digital cockpit demonstrations, and service subscription packages (Wsj, 2024). The net impact: in Germany, physical evidence is associated with engineering and reliability whereas in China it is associated with lifestyle, tech and immediacy</w:t>
      </w:r>
      <w:r w:rsidR="00C0762A" w:rsidRPr="00C0762A">
        <w:rPr>
          <w:rFonts w:ascii="Times New Roman" w:hAnsi="Times New Roman" w:cs="Times New Roman"/>
          <w:sz w:val="24"/>
          <w:lang w:val="en-IN"/>
        </w:rPr>
        <w:t>.</w:t>
      </w:r>
    </w:p>
    <w:p w14:paraId="06756CBD" w14:textId="77777777" w:rsidR="003255EC" w:rsidRPr="003255EC" w:rsidRDefault="00B2622A" w:rsidP="006E6F1E">
      <w:pPr>
        <w:pStyle w:val="Heading1"/>
      </w:pPr>
      <w:bookmarkStart w:id="15" w:name="_Toc214145585"/>
      <w:r>
        <w:t xml:space="preserve">6. </w:t>
      </w:r>
      <w:r w:rsidR="003255EC" w:rsidRPr="003255EC">
        <w:t>Evaluation of the Performance of Marketing Strategies</w:t>
      </w:r>
      <w:bookmarkEnd w:id="15"/>
    </w:p>
    <w:p w14:paraId="61D95252" w14:textId="77777777" w:rsidR="00392459" w:rsidRPr="00392459" w:rsidRDefault="00230720" w:rsidP="006E6F1E">
      <w:pPr>
        <w:pStyle w:val="Heading2"/>
      </w:pPr>
      <w:bookmarkStart w:id="16" w:name="_Toc214145586"/>
      <w:r>
        <w:t>6.1</w:t>
      </w:r>
      <w:r w:rsidR="00392459" w:rsidRPr="00392459">
        <w:t xml:space="preserve"> Market performance: sales, share and premium positioning</w:t>
      </w:r>
      <w:bookmarkEnd w:id="16"/>
    </w:p>
    <w:p w14:paraId="6937EE73" w14:textId="77777777" w:rsidR="007D287B" w:rsidRDefault="00143F3B" w:rsidP="0059163E">
      <w:pPr>
        <w:spacing w:after="0" w:line="360" w:lineRule="auto"/>
        <w:jc w:val="both"/>
        <w:rPr>
          <w:rFonts w:ascii="Times New Roman" w:hAnsi="Times New Roman" w:cs="Times New Roman"/>
          <w:sz w:val="24"/>
          <w:lang w:val="en-IN"/>
        </w:rPr>
      </w:pPr>
      <w:r w:rsidRPr="00143F3B">
        <w:rPr>
          <w:rFonts w:ascii="Times New Roman" w:hAnsi="Times New Roman" w:cs="Times New Roman"/>
          <w:sz w:val="24"/>
        </w:rPr>
        <w:t>The market size and growth dynamics of BMW in Germany and China read very differently. In Germany, 2,844,609 units of total new passenger-car registrations in 2023 (with mature and slower market) (constraining rapid volume gains) (Destatis, 2025)</w:t>
      </w:r>
      <w:r>
        <w:rPr>
          <w:rFonts w:ascii="Times New Roman" w:hAnsi="Times New Roman" w:cs="Times New Roman"/>
          <w:sz w:val="24"/>
        </w:rPr>
        <w:t>.</w:t>
      </w:r>
      <w:r w:rsidR="00392459" w:rsidRPr="00392459">
        <w:rPr>
          <w:rFonts w:ascii="Times New Roman" w:hAnsi="Times New Roman" w:cs="Times New Roman"/>
          <w:sz w:val="24"/>
          <w:lang w:val="en-IN"/>
        </w:rPr>
        <w:t xml:space="preserve"> </w:t>
      </w:r>
    </w:p>
    <w:p w14:paraId="21C3A9BD" w14:textId="77777777" w:rsidR="007D287B" w:rsidRDefault="00FE1DF0" w:rsidP="0059163E">
      <w:pPr>
        <w:spacing w:after="0" w:line="360" w:lineRule="auto"/>
        <w:jc w:val="both"/>
        <w:rPr>
          <w:rFonts w:ascii="Times New Roman" w:hAnsi="Times New Roman" w:cs="Times New Roman"/>
          <w:sz w:val="24"/>
          <w:lang w:val="en-IN"/>
        </w:rPr>
      </w:pPr>
      <w:r w:rsidRPr="00FE1DF0">
        <w:rPr>
          <w:rFonts w:ascii="Times New Roman" w:hAnsi="Times New Roman" w:cs="Times New Roman"/>
          <w:noProof/>
          <w:sz w:val="24"/>
          <w:lang w:val="en-IN"/>
        </w:rPr>
        <w:drawing>
          <wp:inline distT="0" distB="0" distL="0" distR="0" wp14:anchorId="7C6A2B0B" wp14:editId="10023B3C">
            <wp:extent cx="5731510" cy="4883785"/>
            <wp:effectExtent l="19050" t="19050" r="2159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83785"/>
                    </a:xfrm>
                    <a:prstGeom prst="rect">
                      <a:avLst/>
                    </a:prstGeom>
                    <a:ln>
                      <a:solidFill>
                        <a:schemeClr val="tx1"/>
                      </a:solidFill>
                    </a:ln>
                  </pic:spPr>
                </pic:pic>
              </a:graphicData>
            </a:graphic>
          </wp:inline>
        </w:drawing>
      </w:r>
    </w:p>
    <w:p w14:paraId="6A538A14" w14:textId="77777777" w:rsidR="00FE1DF0" w:rsidRPr="00FE1DF0" w:rsidRDefault="00FE1DF0" w:rsidP="0059163E">
      <w:pPr>
        <w:spacing w:after="0" w:line="360" w:lineRule="auto"/>
        <w:jc w:val="center"/>
        <w:rPr>
          <w:rFonts w:ascii="Times New Roman" w:hAnsi="Times New Roman" w:cs="Times New Roman"/>
          <w:b/>
          <w:sz w:val="24"/>
          <w:lang w:val="en-IN"/>
        </w:rPr>
      </w:pPr>
      <w:r w:rsidRPr="00FE1DF0">
        <w:rPr>
          <w:rFonts w:ascii="Times New Roman" w:hAnsi="Times New Roman" w:cs="Times New Roman"/>
          <w:b/>
          <w:sz w:val="24"/>
          <w:lang w:val="en-IN"/>
        </w:rPr>
        <w:t>Figure 4: New registrations of road motor vehicles in Germany in 1,000</w:t>
      </w:r>
    </w:p>
    <w:p w14:paraId="21E519FA" w14:textId="77777777" w:rsidR="00FE1DF0" w:rsidRDefault="00FE1DF0" w:rsidP="0059163E">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FE1DF0">
        <w:rPr>
          <w:rFonts w:ascii="Times New Roman" w:hAnsi="Times New Roman" w:cs="Times New Roman"/>
          <w:sz w:val="24"/>
          <w:lang w:val="en-IN"/>
        </w:rPr>
        <w:t>Destatis, 2025</w:t>
      </w:r>
      <w:r>
        <w:rPr>
          <w:rFonts w:ascii="Times New Roman" w:hAnsi="Times New Roman" w:cs="Times New Roman"/>
          <w:sz w:val="24"/>
          <w:lang w:val="en-IN"/>
        </w:rPr>
        <w:t>)</w:t>
      </w:r>
    </w:p>
    <w:p w14:paraId="6D225732" w14:textId="233DCF46" w:rsidR="00392459" w:rsidRPr="00392459" w:rsidRDefault="00716143" w:rsidP="0059163E">
      <w:pPr>
        <w:spacing w:after="0" w:line="360" w:lineRule="auto"/>
        <w:jc w:val="both"/>
        <w:rPr>
          <w:rFonts w:ascii="Times New Roman" w:hAnsi="Times New Roman" w:cs="Times New Roman"/>
          <w:sz w:val="24"/>
          <w:lang w:val="en-IN"/>
        </w:rPr>
      </w:pPr>
      <w:r w:rsidRPr="00716143">
        <w:rPr>
          <w:rFonts w:ascii="Times New Roman" w:hAnsi="Times New Roman" w:cs="Times New Roman"/>
          <w:sz w:val="24"/>
        </w:rPr>
        <w:t>BMW thus relies on the premium positioning, heritage and upgrades on products to protect share. Meanwhile, 2023 China was sold 30.1 million vehicles, of which NEVs/EVs stimulated the largest increase, a market where volume, and EV adoption are much more important to marketing success (Chinadaily, 2024). Third, on the side of the industry, analysts demonstrate the challenge of Western OEMs with decreased global demand but strong adoption of electrified models - S&amp;P Global reported that decarbonisation and lifecycle claims have become a critical part of automakers marketing as companies are no longer trying to sell pure products, but to tell a sustainability narrative (Spglobal, 2024). Taken together, these numbers justify BMW dualist approach in Germany: emotionally-focused, brand-heritage and upscale messaging, in China, aggressive EV, localised model portfolios and tech-focused messaging. The problem: in Germany, premium narrative is sustaining margins, but at the expense of volume growth; in China, it needs to adapt very quickly and invest heavily in EV credibility - an experimental place where marketing should learn to turn scale into brand equity, rather than sales volume</w:t>
      </w:r>
      <w:r w:rsidR="00392459" w:rsidRPr="00392459">
        <w:rPr>
          <w:rFonts w:ascii="Times New Roman" w:hAnsi="Times New Roman" w:cs="Times New Roman"/>
          <w:sz w:val="24"/>
          <w:lang w:val="en-IN"/>
        </w:rPr>
        <w:t>.</w:t>
      </w:r>
    </w:p>
    <w:p w14:paraId="59780F06" w14:textId="77777777" w:rsidR="00392459" w:rsidRPr="00392459" w:rsidRDefault="00230720" w:rsidP="006E6F1E">
      <w:pPr>
        <w:pStyle w:val="Heading2"/>
      </w:pPr>
      <w:bookmarkStart w:id="17" w:name="_Toc214145587"/>
      <w:r>
        <w:t>6.2</w:t>
      </w:r>
      <w:r w:rsidR="00392459" w:rsidRPr="00392459">
        <w:t xml:space="preserve"> Digital &amp; brand engagement performance</w:t>
      </w:r>
      <w:bookmarkEnd w:id="17"/>
    </w:p>
    <w:p w14:paraId="6DE54EBD" w14:textId="12E66239" w:rsidR="00392459" w:rsidRPr="00392459" w:rsidRDefault="00716143" w:rsidP="0059163E">
      <w:pPr>
        <w:spacing w:after="0" w:line="360" w:lineRule="auto"/>
        <w:jc w:val="both"/>
        <w:rPr>
          <w:rFonts w:ascii="Times New Roman" w:hAnsi="Times New Roman" w:cs="Times New Roman"/>
          <w:sz w:val="24"/>
          <w:lang w:val="en-IN"/>
        </w:rPr>
      </w:pPr>
      <w:r w:rsidRPr="00716143">
        <w:rPr>
          <w:rFonts w:ascii="Times New Roman" w:hAnsi="Times New Roman" w:cs="Times New Roman"/>
          <w:sz w:val="24"/>
        </w:rPr>
        <w:t>Improved ROI in marketing of BMW is being done through digital channels but there is a sharp contrast in terms of platform mix and size of audience. The digital market of Germany indicates a high level of penetration on the internet and social media: German online activities had 77.7 million internet users (Jan 2024) and</w:t>
      </w:r>
      <w:r w:rsidR="00366B8B">
        <w:rPr>
          <w:rFonts w:ascii="Times New Roman" w:hAnsi="Times New Roman" w:cs="Times New Roman"/>
          <w:sz w:val="24"/>
        </w:rPr>
        <w:t xml:space="preserve"> </w:t>
      </w:r>
      <w:r w:rsidRPr="00716143">
        <w:rPr>
          <w:rFonts w:ascii="Times New Roman" w:hAnsi="Times New Roman" w:cs="Times New Roman"/>
          <w:sz w:val="24"/>
        </w:rPr>
        <w:t>67.8 million social media users (c.81.4 penetration), so the digital campaigns that BMW currently undertakes have a wide audience but should understand that they must play in a competitive setting (Datareportal, 2024). Platform consolidation is also a factor in China: The combined monthly active user of Weixin/WeChat is estimated at more than 1.3 billion (combined MAU) in 2023 - which means that integrated WeChat campaigns (mini-programs, official accounts, e-commerce) are inevitable in the marketing of BMW in China (Tencent, 2024). At brand level, BMW global flagship Instagram has extremely high raw reach (BMW has about 43 million followers in their account) and it indicates very high global brand resonance that local country campaigns can use to generate aspirational pictures and cross-market narratives (Instagram, 2025). Conclusion: BMW does well on the metrics of absolute reach in digital performance, however, in Germany the measures of success are premium engagement and service upsell; in China, conversion funnels, in-app commerce and partnering with a platform are more likely to succeed. It is therefore necessary to localize, do creative testing and measuring by platform (but not by global creative alone)</w:t>
      </w:r>
      <w:r w:rsidR="00392459" w:rsidRPr="00392459">
        <w:rPr>
          <w:rFonts w:ascii="Times New Roman" w:hAnsi="Times New Roman" w:cs="Times New Roman"/>
          <w:sz w:val="24"/>
          <w:lang w:val="en-IN"/>
        </w:rPr>
        <w:t>.</w:t>
      </w:r>
    </w:p>
    <w:p w14:paraId="110AA8A4" w14:textId="77777777" w:rsidR="00392459" w:rsidRPr="00392459" w:rsidRDefault="00230720" w:rsidP="006E6F1E">
      <w:pPr>
        <w:pStyle w:val="Heading2"/>
      </w:pPr>
      <w:bookmarkStart w:id="18" w:name="_Toc214145588"/>
      <w:r>
        <w:t>6.3</w:t>
      </w:r>
      <w:r w:rsidR="00392459" w:rsidRPr="00392459">
        <w:t xml:space="preserve"> </w:t>
      </w:r>
      <w:r w:rsidR="00392459" w:rsidRPr="006E6F1E">
        <w:t>Distribution</w:t>
      </w:r>
      <w:r w:rsidR="00392459" w:rsidRPr="00392459">
        <w:t>, retail and after-sales</w:t>
      </w:r>
      <w:bookmarkEnd w:id="18"/>
    </w:p>
    <w:p w14:paraId="60F45858" w14:textId="77777777" w:rsidR="003255EC" w:rsidRPr="003255EC" w:rsidRDefault="00716143" w:rsidP="0059163E">
      <w:pPr>
        <w:spacing w:after="0" w:line="360" w:lineRule="auto"/>
        <w:jc w:val="both"/>
        <w:rPr>
          <w:rFonts w:ascii="Times New Roman" w:hAnsi="Times New Roman" w:cs="Times New Roman"/>
          <w:sz w:val="24"/>
          <w:lang w:val="en-IN"/>
        </w:rPr>
      </w:pPr>
      <w:r w:rsidRPr="00716143">
        <w:rPr>
          <w:rFonts w:ascii="Times New Roman" w:hAnsi="Times New Roman" w:cs="Times New Roman"/>
          <w:sz w:val="24"/>
        </w:rPr>
        <w:t xml:space="preserve">Place and service are competitive in upmarket markets - and the marketing of BMW goes into the retail and post-sales experiences. According to consumer surveys, 63 percent of the customers would consider directly purchasing through OEMs (the threat/opportunity of OEM-led retail) (Pwc, 2025). There is also a significant sign of strategic confidence in automotive execs 83% of executives in the industry survey conducted by KPMG predicted the profitable growth of the industry (pointing to dealer/OEM investments in retail technology remain active) (Kpmg, 2023). On related services and after-sales, Cap Gemini research shows that consumers strongly prefer interoperability and integrated interfaces, 65% of consumers would like to have a single interface to use on interoperability across devices (implication: OEM apps/showrooms have to be able to integrate) (Cap Gemini, 2024). </w:t>
      </w:r>
      <w:r w:rsidR="00817AE4" w:rsidRPr="00817AE4">
        <w:rPr>
          <w:rFonts w:ascii="Times New Roman" w:hAnsi="Times New Roman" w:cs="Times New Roman"/>
          <w:sz w:val="24"/>
        </w:rPr>
        <w:t xml:space="preserve">This will translate into three business marketing requirements in the case of BMW: (1) digitalisation of dealers (online configurator - local fulfilment); (2) brand experience consistency in both the global flagship showrooms and local dealership networks; (3) </w:t>
      </w:r>
      <w:r w:rsidR="00117385" w:rsidRPr="00817AE4">
        <w:rPr>
          <w:rFonts w:ascii="Times New Roman" w:hAnsi="Times New Roman" w:cs="Times New Roman"/>
          <w:sz w:val="24"/>
        </w:rPr>
        <w:t>monetisation</w:t>
      </w:r>
      <w:r w:rsidR="00817AE4" w:rsidRPr="00817AE4">
        <w:rPr>
          <w:rFonts w:ascii="Times New Roman" w:hAnsi="Times New Roman" w:cs="Times New Roman"/>
          <w:sz w:val="24"/>
        </w:rPr>
        <w:t>/marketing of conjoined/after sales services. Germany is an example of how dealers continue to be relevant in terms of test drives and upsells, whereas embedded e-commerce, home delivery, and services that are based on apps are nearing being central to the marketing experience in China. Inability to match retail operations with digital assurances will squander the conversions despite having high brand awareness</w:t>
      </w:r>
      <w:r w:rsidR="00392459" w:rsidRPr="00392459">
        <w:rPr>
          <w:rFonts w:ascii="Times New Roman" w:hAnsi="Times New Roman" w:cs="Times New Roman"/>
          <w:sz w:val="24"/>
          <w:lang w:val="en-IN"/>
        </w:rPr>
        <w:t>.</w:t>
      </w:r>
    </w:p>
    <w:p w14:paraId="18EE0DB9" w14:textId="77777777" w:rsidR="003255EC" w:rsidRPr="003255EC" w:rsidRDefault="00B2622A" w:rsidP="006E6F1E">
      <w:pPr>
        <w:pStyle w:val="Heading1"/>
      </w:pPr>
      <w:bookmarkStart w:id="19" w:name="_Toc214145589"/>
      <w:r>
        <w:t xml:space="preserve">7. </w:t>
      </w:r>
      <w:r w:rsidR="003255EC" w:rsidRPr="003255EC">
        <w:t>Evaluation of Marketing Ethics Practice</w:t>
      </w:r>
      <w:bookmarkEnd w:id="19"/>
    </w:p>
    <w:p w14:paraId="7F913F4E" w14:textId="77777777" w:rsidR="003255EC" w:rsidRPr="003255EC" w:rsidRDefault="00117385" w:rsidP="0059163E">
      <w:pPr>
        <w:spacing w:after="0" w:line="360" w:lineRule="auto"/>
        <w:jc w:val="both"/>
        <w:rPr>
          <w:rFonts w:ascii="Times New Roman" w:hAnsi="Times New Roman" w:cs="Times New Roman"/>
          <w:sz w:val="24"/>
          <w:lang w:val="en-IN"/>
        </w:rPr>
      </w:pPr>
      <w:r w:rsidRPr="00117385">
        <w:rPr>
          <w:rFonts w:ascii="Times New Roman" w:hAnsi="Times New Roman" w:cs="Times New Roman"/>
          <w:sz w:val="24"/>
        </w:rPr>
        <w:t>The marketing of BMW falls at the junction of brand storytelling and high-visibility, and complex global supply chains, that brings about ethical exposure to the claims, labour and data. First, supply-chain risk: there are 17.3 million individuals in forced-labour conditions in the private sector across the globe who are estimated by structural risk, which can be directed to auto supply chains unless strictly controlled (Ilo, 2022). Investigators of human rights have raised concerns over the supplies of aluminium in China (used in numerous car parts) who have increased to about 6 million tonnes (2022) compared to approximately 1 million tonnes (2010) posing a tangible route to the car parts manufactured in China to the rest of the world (Hrw, 2024). Second, there are differences in transparency and governance: in Germany, the CPI of Transparency International basis scores 78 (CPI 2023), whereas in China, the score is considerably lower (CPI 43 in recent reports) - this disparity defines the viability and anticipation of audits, whistleblowing and independent examination in both markets (Transparencycdn, 2023). Third, advertising and sustainability assertions: the high-end OEMs are under severe pressure over green assertions; consumers and regulators now want facts of life and not catch phrases. BMW has acted (supplier codes, public commitments and reporting), but due to the continued existence of opaque tier-2/3 sourcing, local JV limitations in China and the emergence of new due-diligence legislation, reputational risk is still significant. Higher, chain-of-custody, better, more clearly communicable would help reduce exposure and restore the confidence of the people</w:t>
      </w:r>
      <w:r w:rsidR="00561EED" w:rsidRPr="00561EED">
        <w:rPr>
          <w:rFonts w:ascii="Times New Roman" w:hAnsi="Times New Roman" w:cs="Times New Roman"/>
          <w:sz w:val="24"/>
        </w:rPr>
        <w:t>.</w:t>
      </w:r>
    </w:p>
    <w:p w14:paraId="02369005" w14:textId="77777777" w:rsidR="003255EC" w:rsidRPr="003255EC" w:rsidRDefault="00B2622A" w:rsidP="006E6F1E">
      <w:pPr>
        <w:pStyle w:val="Heading1"/>
      </w:pPr>
      <w:bookmarkStart w:id="20" w:name="_Toc214145590"/>
      <w:r>
        <w:t xml:space="preserve">8. </w:t>
      </w:r>
      <w:r w:rsidR="003255EC" w:rsidRPr="003255EC">
        <w:t>Recommendations &amp; Conclusion</w:t>
      </w:r>
      <w:bookmarkEnd w:id="20"/>
    </w:p>
    <w:p w14:paraId="023FCCE3" w14:textId="77777777" w:rsidR="00561EED" w:rsidRPr="00561EED" w:rsidRDefault="00561EED" w:rsidP="0059163E">
      <w:pPr>
        <w:spacing w:after="0" w:line="360" w:lineRule="auto"/>
        <w:jc w:val="both"/>
        <w:rPr>
          <w:rFonts w:ascii="Times New Roman" w:hAnsi="Times New Roman" w:cs="Times New Roman"/>
          <w:b/>
          <w:bCs/>
          <w:sz w:val="24"/>
          <w:lang w:val="en-IN"/>
        </w:rPr>
      </w:pPr>
      <w:r w:rsidRPr="00561EED">
        <w:rPr>
          <w:rFonts w:ascii="Times New Roman" w:hAnsi="Times New Roman" w:cs="Times New Roman"/>
          <w:b/>
          <w:bCs/>
          <w:sz w:val="24"/>
          <w:lang w:val="en-IN"/>
        </w:rPr>
        <w:t xml:space="preserve">Recommendation 1 — Build a seamless, channel-native retail funnel </w:t>
      </w:r>
    </w:p>
    <w:p w14:paraId="64A3D55D" w14:textId="77777777" w:rsidR="00561EED" w:rsidRPr="00561EED" w:rsidRDefault="00117385" w:rsidP="0059163E">
      <w:pPr>
        <w:spacing w:after="0" w:line="360" w:lineRule="auto"/>
        <w:jc w:val="both"/>
        <w:rPr>
          <w:rFonts w:ascii="Times New Roman" w:hAnsi="Times New Roman" w:cs="Times New Roman"/>
          <w:sz w:val="24"/>
          <w:lang w:val="en-IN"/>
        </w:rPr>
      </w:pPr>
      <w:r w:rsidRPr="00117385">
        <w:rPr>
          <w:rFonts w:ascii="Times New Roman" w:hAnsi="Times New Roman" w:cs="Times New Roman"/>
          <w:sz w:val="24"/>
        </w:rPr>
        <w:t>In the short run, BMW needs to expedite an omnichannel retail business model that transforms desire into purchase without compromising on high-end service. Consumers are switching: in an industry survey in 2023 only less than 3% of consumers had done full online purchases but 29% of consumers indicated their preference to do full online purchases the next time around - the gap is an opportunity in the near term (Mckinsey, 2025). The younger generations are already digital-first: one out of every 37 percent of Gen-Z respondents expressed interest in purchasing a car online (EY Mobility Consumer Index) (Ey, 2022). Strategy: roll out local manufacturer e-sales apps (WeChat/mini-programs in China; white-glove delivery + premium configurator in Germany), combine assured local test-driving/return, and provide subscriptions/temporary trials in order to reduce buying fear. This makes the showroom less friction intensive and more conversions and retention through upselling the showroom as an experience and less a purchase gate</w:t>
      </w:r>
      <w:r w:rsidR="00561EED" w:rsidRPr="00561EED">
        <w:rPr>
          <w:rFonts w:ascii="Times New Roman" w:hAnsi="Times New Roman" w:cs="Times New Roman"/>
          <w:sz w:val="24"/>
          <w:lang w:val="en-IN"/>
        </w:rPr>
        <w:t>.</w:t>
      </w:r>
    </w:p>
    <w:p w14:paraId="7C3D4AC3" w14:textId="77777777" w:rsidR="00561EED" w:rsidRPr="00561EED" w:rsidRDefault="00561EED" w:rsidP="0059163E">
      <w:pPr>
        <w:spacing w:after="0" w:line="360" w:lineRule="auto"/>
        <w:jc w:val="both"/>
        <w:rPr>
          <w:rFonts w:ascii="Times New Roman" w:hAnsi="Times New Roman" w:cs="Times New Roman"/>
          <w:b/>
          <w:bCs/>
          <w:sz w:val="24"/>
          <w:lang w:val="en-IN"/>
        </w:rPr>
      </w:pPr>
      <w:r w:rsidRPr="00561EED">
        <w:rPr>
          <w:rFonts w:ascii="Times New Roman" w:hAnsi="Times New Roman" w:cs="Times New Roman"/>
          <w:b/>
          <w:bCs/>
          <w:sz w:val="24"/>
          <w:lang w:val="en-IN"/>
        </w:rPr>
        <w:t xml:space="preserve">Recommendation 2 — Prioritise platform BEV investment and transparent EV credentials </w:t>
      </w:r>
    </w:p>
    <w:p w14:paraId="566A084F" w14:textId="77777777" w:rsidR="00561EED" w:rsidRPr="00561EED" w:rsidRDefault="00117385" w:rsidP="0059163E">
      <w:pPr>
        <w:spacing w:after="0" w:line="360" w:lineRule="auto"/>
        <w:jc w:val="both"/>
        <w:rPr>
          <w:rFonts w:ascii="Times New Roman" w:hAnsi="Times New Roman" w:cs="Times New Roman"/>
          <w:sz w:val="24"/>
          <w:lang w:val="en-IN"/>
        </w:rPr>
      </w:pPr>
      <w:r w:rsidRPr="00117385">
        <w:rPr>
          <w:rFonts w:ascii="Times New Roman" w:hAnsi="Times New Roman" w:cs="Times New Roman"/>
          <w:sz w:val="24"/>
        </w:rPr>
        <w:t>Mid/long-term, the marketing of BMW should be based on a clear EV value offering based on a scalable platform (e.g., Neue Klasse) and quantifiable sustainability assertions. Electrified sales already count as a material part of the world sales A world tracker of the industry reveals that some 14 million new electric cars were registered around the world in 2023 (Iea, 2024). According to recent industry analyses, the momentum in the industry is very high (PwC has recorded that BEV sales have increased by approximately 42 percent in the first quarter of 2025), hence the inability to scale the platform economics up will result in a loss of volume and relevance (Pwc, 2025). BMW ought to position platform lifecycle (software/upgradability), release confirmed LCA figures of fundamental models, package charging/energy services into possession communication, and to employ local pricing/financing trials to increase adoption without watering down premium interpretations</w:t>
      </w:r>
      <w:r w:rsidR="00561EED" w:rsidRPr="00561EED">
        <w:rPr>
          <w:rFonts w:ascii="Times New Roman" w:hAnsi="Times New Roman" w:cs="Times New Roman"/>
          <w:sz w:val="24"/>
          <w:lang w:val="en-IN"/>
        </w:rPr>
        <w:t>.</w:t>
      </w:r>
    </w:p>
    <w:p w14:paraId="3CCDA713" w14:textId="77777777" w:rsidR="00561EED" w:rsidRPr="00561EED" w:rsidRDefault="00561EED" w:rsidP="0059163E">
      <w:pPr>
        <w:spacing w:after="0" w:line="360" w:lineRule="auto"/>
        <w:jc w:val="both"/>
        <w:rPr>
          <w:rFonts w:ascii="Times New Roman" w:hAnsi="Times New Roman" w:cs="Times New Roman"/>
          <w:b/>
          <w:bCs/>
          <w:sz w:val="24"/>
          <w:lang w:val="en-IN"/>
        </w:rPr>
      </w:pPr>
      <w:r w:rsidRPr="00561EED">
        <w:rPr>
          <w:rFonts w:ascii="Times New Roman" w:hAnsi="Times New Roman" w:cs="Times New Roman"/>
          <w:b/>
          <w:bCs/>
          <w:sz w:val="24"/>
          <w:lang w:val="en-IN"/>
        </w:rPr>
        <w:t xml:space="preserve">Recommendation 3 — Harden supply-chain transparency, compliance and local ethics communications </w:t>
      </w:r>
    </w:p>
    <w:p w14:paraId="388F5EB7" w14:textId="77777777" w:rsidR="00561EED" w:rsidRPr="00561EED" w:rsidRDefault="00117385" w:rsidP="0059163E">
      <w:pPr>
        <w:spacing w:after="0" w:line="360" w:lineRule="auto"/>
        <w:jc w:val="both"/>
        <w:rPr>
          <w:rFonts w:ascii="Times New Roman" w:hAnsi="Times New Roman" w:cs="Times New Roman"/>
          <w:sz w:val="24"/>
          <w:lang w:val="en-IN"/>
        </w:rPr>
      </w:pPr>
      <w:r w:rsidRPr="00117385">
        <w:rPr>
          <w:rFonts w:ascii="Times New Roman" w:hAnsi="Times New Roman" w:cs="Times New Roman"/>
          <w:sz w:val="24"/>
        </w:rPr>
        <w:t>In order to counter the greatest reputational risks, BMW should embed traceability and compliance at the local level. U.S. implementation of the Uyghur Forced Labour Prevention Act (UFLPA) releases enforcement statistics and dashboards with current screening and detainees - companies have to assume that customs investigation is systemic (CBP has its UFLPA statistics dashboard that distinguishes shipments under review and enforcement activities). In Europe, the Supply-Chain Due-Diligence Act of Germany originally covered businesses with over 3,000 employees (2023) and starting with 1,000 employees in 2024, putting companies in Europe under increased legal pressure due to legislation (Bmas, 2025). Practical actions: release supplier-of-origin mapping on aluminium, battery metals and castings, use third-party traceability technology (blockchain/trace registries), conduct independent audit and disclose remediation. These steps should be communicated proactively in the country marketing in order to transform compliance into trust</w:t>
      </w:r>
      <w:r w:rsidR="00561EED" w:rsidRPr="00561EED">
        <w:rPr>
          <w:rFonts w:ascii="Times New Roman" w:hAnsi="Times New Roman" w:cs="Times New Roman"/>
          <w:sz w:val="24"/>
          <w:lang w:val="en-IN"/>
        </w:rPr>
        <w:t>.</w:t>
      </w:r>
    </w:p>
    <w:p w14:paraId="6F317203" w14:textId="77777777" w:rsidR="00561EED" w:rsidRPr="001A483F" w:rsidRDefault="000A71B6" w:rsidP="006E6F1E">
      <w:pPr>
        <w:pStyle w:val="Heading1"/>
      </w:pPr>
      <w:bookmarkStart w:id="21" w:name="_Toc214145591"/>
      <w:r w:rsidRPr="001A483F">
        <w:t xml:space="preserve">9. </w:t>
      </w:r>
      <w:r w:rsidR="00561EED" w:rsidRPr="001A483F">
        <w:t>Conclusion</w:t>
      </w:r>
      <w:bookmarkEnd w:id="21"/>
    </w:p>
    <w:p w14:paraId="56EFCDA2" w14:textId="77777777" w:rsidR="001A483F" w:rsidRDefault="00117385" w:rsidP="0059163E">
      <w:pPr>
        <w:spacing w:after="0" w:line="360" w:lineRule="auto"/>
        <w:jc w:val="both"/>
        <w:rPr>
          <w:rFonts w:ascii="Times New Roman" w:hAnsi="Times New Roman" w:cs="Times New Roman"/>
          <w:sz w:val="24"/>
          <w:lang w:val="en-IN"/>
        </w:rPr>
      </w:pPr>
      <w:r w:rsidRPr="00117385">
        <w:rPr>
          <w:rFonts w:ascii="Times New Roman" w:hAnsi="Times New Roman" w:cs="Times New Roman"/>
          <w:sz w:val="24"/>
        </w:rPr>
        <w:t xml:space="preserve">The two-market issue of BMW that is represented by the heritage premium expectations of Germany, and the scale-and-speed market of EV in China necessitates a two-track and yet coherent international marketing strategy. In Germany the long run is protection and enrichment of premium equity: further experience retail, focus on engineering quality and make sustainability claims verifiable. Speed, localisation and conversion is the imperative in China: adaptation of EV models locally, platform economics, in-built digital commerce and initiatives to partner to seize volume without eroding brand eminence. In either market there is only one cross-cutting risk: supply-chain ethics and transparency: marketing messages which purport to be sustainable or provenanced will not work when they are supported by opaque sourcing. BMW ought hence regard traceability and audited lifecycle assertions and consumer-oriented digital retail as marketing investment pillars - they mitigate price premia, open fresh buyer groups and curtail regulatory and reputational </w:t>
      </w:r>
      <w:r w:rsidR="00FA30C7">
        <w:rPr>
          <w:rFonts w:ascii="Times New Roman" w:hAnsi="Times New Roman" w:cs="Times New Roman"/>
          <w:sz w:val="24"/>
        </w:rPr>
        <w:t>downside</w:t>
      </w:r>
      <w:r w:rsidRPr="00117385">
        <w:rPr>
          <w:rFonts w:ascii="Times New Roman" w:hAnsi="Times New Roman" w:cs="Times New Roman"/>
          <w:sz w:val="24"/>
        </w:rPr>
        <w:t>. These steps will go hand in hand and assist BMW to maintain a margin, expand its share in EVs, and sustain brand loyalty</w:t>
      </w:r>
      <w:r w:rsidR="00561EED" w:rsidRPr="00561EED">
        <w:rPr>
          <w:rFonts w:ascii="Times New Roman" w:hAnsi="Times New Roman" w:cs="Times New Roman"/>
          <w:sz w:val="24"/>
          <w:lang w:val="en-IN"/>
        </w:rPr>
        <w:t>.</w:t>
      </w:r>
    </w:p>
    <w:p w14:paraId="48B092F2" w14:textId="77777777" w:rsidR="001A483F" w:rsidRDefault="001A483F">
      <w:pPr>
        <w:rPr>
          <w:rFonts w:ascii="Times New Roman" w:hAnsi="Times New Roman" w:cs="Times New Roman"/>
          <w:sz w:val="24"/>
          <w:lang w:val="en-IN"/>
        </w:rPr>
      </w:pPr>
      <w:r>
        <w:rPr>
          <w:rFonts w:ascii="Times New Roman" w:hAnsi="Times New Roman" w:cs="Times New Roman"/>
          <w:sz w:val="24"/>
          <w:lang w:val="en-IN"/>
        </w:rPr>
        <w:br w:type="page"/>
      </w:r>
    </w:p>
    <w:p w14:paraId="3902389D" w14:textId="77777777" w:rsidR="00561EED" w:rsidRPr="001A483F" w:rsidRDefault="001A483F" w:rsidP="006E6F1E">
      <w:pPr>
        <w:pStyle w:val="Heading1"/>
      </w:pPr>
      <w:bookmarkStart w:id="22" w:name="_Toc214145592"/>
      <w:r w:rsidRPr="006E6F1E">
        <w:t>References</w:t>
      </w:r>
      <w:bookmarkEnd w:id="22"/>
    </w:p>
    <w:p w14:paraId="2542ABB0" w14:textId="77777777" w:rsidR="0096048F" w:rsidRPr="00C5648D" w:rsidRDefault="0096048F" w:rsidP="00C5648D">
      <w:pPr>
        <w:spacing w:line="360" w:lineRule="auto"/>
        <w:jc w:val="both"/>
        <w:rPr>
          <w:rFonts w:ascii="Times New Roman" w:hAnsi="Times New Roman" w:cs="Times New Roman"/>
          <w:sz w:val="24"/>
          <w:lang w:val="en-IN"/>
        </w:rPr>
      </w:pPr>
      <w:r w:rsidRPr="00C5648D">
        <w:rPr>
          <w:rFonts w:ascii="Times New Roman" w:hAnsi="Times New Roman" w:cs="Times New Roman"/>
          <w:sz w:val="24"/>
          <w:lang w:val="en-IN"/>
        </w:rPr>
        <w:t xml:space="preserve">Autovista24, 2024. </w:t>
      </w:r>
      <w:r w:rsidRPr="00C5648D">
        <w:rPr>
          <w:rFonts w:ascii="Times New Roman" w:hAnsi="Times New Roman" w:cs="Times New Roman"/>
          <w:i/>
          <w:iCs/>
          <w:sz w:val="24"/>
          <w:lang w:val="en-IN"/>
        </w:rPr>
        <w:t>German new-car registrations plunged in December as EV bonus withdrawn early</w:t>
      </w:r>
      <w:r w:rsidRPr="00C5648D">
        <w:rPr>
          <w:rFonts w:ascii="Times New Roman" w:hAnsi="Times New Roman" w:cs="Times New Roman"/>
          <w:sz w:val="24"/>
          <w:lang w:val="en-IN"/>
        </w:rPr>
        <w:t xml:space="preserve">. Available through: </w:t>
      </w:r>
      <w:hyperlink r:id="rId13" w:history="1">
        <w:r w:rsidRPr="00C5648D">
          <w:rPr>
            <w:rStyle w:val="Hyperlink"/>
            <w:rFonts w:ascii="Times New Roman" w:hAnsi="Times New Roman" w:cs="Times New Roman"/>
            <w:sz w:val="24"/>
            <w:lang w:val="en-IN"/>
          </w:rPr>
          <w:t>https://autovista24.autovistagroup.com/news/german-new-car-registrations-plunged-december-ev-bonus-withdrawn-early/</w:t>
        </w:r>
      </w:hyperlink>
      <w:r w:rsidRPr="00C5648D">
        <w:rPr>
          <w:rFonts w:ascii="Times New Roman" w:hAnsi="Times New Roman" w:cs="Times New Roman"/>
          <w:sz w:val="24"/>
          <w:lang w:val="en-IN"/>
        </w:rPr>
        <w:t xml:space="preserve"> [Accessed 13 November 2025].</w:t>
      </w:r>
    </w:p>
    <w:p w14:paraId="09C151D0" w14:textId="77777777" w:rsidR="0096048F" w:rsidRPr="00C5648D" w:rsidRDefault="0096048F" w:rsidP="00C5648D">
      <w:pPr>
        <w:spacing w:line="360" w:lineRule="auto"/>
        <w:jc w:val="both"/>
        <w:rPr>
          <w:rFonts w:ascii="Times New Roman" w:hAnsi="Times New Roman" w:cs="Times New Roman"/>
          <w:sz w:val="24"/>
          <w:lang w:val="en-IN"/>
        </w:rPr>
      </w:pPr>
      <w:r w:rsidRPr="00C5648D">
        <w:rPr>
          <w:rFonts w:ascii="Times New Roman" w:hAnsi="Times New Roman" w:cs="Times New Roman"/>
          <w:sz w:val="24"/>
          <w:lang w:val="en-IN"/>
        </w:rPr>
        <w:t xml:space="preserve">Avalara, 2025. </w:t>
      </w:r>
      <w:r w:rsidRPr="00C5648D">
        <w:rPr>
          <w:rFonts w:ascii="Times New Roman" w:hAnsi="Times New Roman" w:cs="Times New Roman"/>
          <w:i/>
          <w:iCs/>
          <w:sz w:val="24"/>
          <w:lang w:val="en-IN"/>
        </w:rPr>
        <w:t>German VAT rates and VAT compliance</w:t>
      </w:r>
      <w:r w:rsidRPr="00C5648D">
        <w:rPr>
          <w:rFonts w:ascii="Times New Roman" w:hAnsi="Times New Roman" w:cs="Times New Roman"/>
          <w:sz w:val="24"/>
          <w:lang w:val="en-IN"/>
        </w:rPr>
        <w:t xml:space="preserve">. Available through: </w:t>
      </w:r>
      <w:hyperlink r:id="rId14" w:history="1">
        <w:r w:rsidRPr="00C5648D">
          <w:rPr>
            <w:rStyle w:val="Hyperlink"/>
            <w:rFonts w:ascii="Times New Roman" w:hAnsi="Times New Roman" w:cs="Times New Roman"/>
            <w:sz w:val="24"/>
            <w:lang w:val="en-IN"/>
          </w:rPr>
          <w:t>https://www.avalara.com/vatlive/en/country-guides/europe/germany/german-vat-rates.html</w:t>
        </w:r>
      </w:hyperlink>
      <w:r w:rsidRPr="00C5648D">
        <w:rPr>
          <w:rFonts w:ascii="Times New Roman" w:hAnsi="Times New Roman" w:cs="Times New Roman"/>
          <w:sz w:val="24"/>
          <w:lang w:val="en-IN"/>
        </w:rPr>
        <w:t xml:space="preserve"> [Accessed 15 November 2025].</w:t>
      </w:r>
    </w:p>
    <w:p w14:paraId="586C47FE" w14:textId="77777777" w:rsidR="0096048F" w:rsidRPr="00C5648D" w:rsidRDefault="0096048F" w:rsidP="00C5648D">
      <w:pPr>
        <w:spacing w:line="360" w:lineRule="auto"/>
        <w:jc w:val="both"/>
        <w:rPr>
          <w:rFonts w:ascii="Times New Roman" w:hAnsi="Times New Roman" w:cs="Times New Roman"/>
          <w:sz w:val="24"/>
          <w:lang w:val="en-IN"/>
        </w:rPr>
      </w:pPr>
      <w:r w:rsidRPr="00C5648D">
        <w:rPr>
          <w:rFonts w:ascii="Times New Roman" w:hAnsi="Times New Roman" w:cs="Times New Roman"/>
          <w:sz w:val="24"/>
          <w:lang w:val="en-IN"/>
        </w:rPr>
        <w:t xml:space="preserve">Best-selling-cars, 2024. </w:t>
      </w:r>
      <w:r w:rsidRPr="00C5648D">
        <w:rPr>
          <w:rFonts w:ascii="Times New Roman" w:hAnsi="Times New Roman" w:cs="Times New Roman"/>
          <w:i/>
          <w:iCs/>
          <w:sz w:val="24"/>
          <w:lang w:val="en-IN"/>
        </w:rPr>
        <w:t>2023 (Full Year) Germany: Car Market Overview and Analysis</w:t>
      </w:r>
      <w:r w:rsidRPr="00C5648D">
        <w:rPr>
          <w:rFonts w:ascii="Times New Roman" w:hAnsi="Times New Roman" w:cs="Times New Roman"/>
          <w:sz w:val="24"/>
          <w:lang w:val="en-IN"/>
        </w:rPr>
        <w:t xml:space="preserve">. Available through: </w:t>
      </w:r>
      <w:hyperlink r:id="rId15" w:history="1">
        <w:r w:rsidRPr="00C5648D">
          <w:rPr>
            <w:rStyle w:val="Hyperlink"/>
            <w:rFonts w:ascii="Times New Roman" w:hAnsi="Times New Roman" w:cs="Times New Roman"/>
            <w:sz w:val="24"/>
            <w:lang w:val="en-IN"/>
          </w:rPr>
          <w:t>https://www.best-selling-cars.com/germany/2023-full-year-germany-car-market-overview-and-analysis</w:t>
        </w:r>
      </w:hyperlink>
      <w:r w:rsidRPr="00C5648D">
        <w:rPr>
          <w:rFonts w:ascii="Times New Roman" w:hAnsi="Times New Roman" w:cs="Times New Roman"/>
          <w:sz w:val="24"/>
          <w:lang w:val="en-IN"/>
        </w:rPr>
        <w:t xml:space="preserve"> [Accessed 11 November 2025].</w:t>
      </w:r>
    </w:p>
    <w:p w14:paraId="4D12B44A"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Bmas</w:t>
      </w:r>
      <w:proofErr w:type="spellEnd"/>
      <w:r w:rsidRPr="00C5648D">
        <w:rPr>
          <w:rFonts w:ascii="Times New Roman" w:hAnsi="Times New Roman" w:cs="Times New Roman"/>
          <w:sz w:val="24"/>
          <w:lang w:val="en-IN"/>
        </w:rPr>
        <w:t xml:space="preserve">, 2025. </w:t>
      </w:r>
      <w:r w:rsidRPr="00C5648D">
        <w:rPr>
          <w:rFonts w:ascii="Times New Roman" w:hAnsi="Times New Roman" w:cs="Times New Roman"/>
          <w:i/>
          <w:iCs/>
          <w:sz w:val="24"/>
          <w:lang w:val="en-IN"/>
        </w:rPr>
        <w:t>Supply Chain Act</w:t>
      </w:r>
      <w:r w:rsidRPr="00C5648D">
        <w:rPr>
          <w:rFonts w:ascii="Times New Roman" w:hAnsi="Times New Roman" w:cs="Times New Roman"/>
          <w:sz w:val="24"/>
          <w:lang w:val="en-IN"/>
        </w:rPr>
        <w:t xml:space="preserve">. Available through: </w:t>
      </w:r>
      <w:hyperlink r:id="rId16" w:history="1">
        <w:r w:rsidRPr="00C5648D">
          <w:rPr>
            <w:rStyle w:val="Hyperlink"/>
            <w:rFonts w:ascii="Times New Roman" w:hAnsi="Times New Roman" w:cs="Times New Roman"/>
            <w:sz w:val="24"/>
            <w:lang w:val="en-IN"/>
          </w:rPr>
          <w:t>https://www.bmas.de/EN/Europe-and-the-World/International/Supply-Chain-Act/supply-chain-act.html</w:t>
        </w:r>
      </w:hyperlink>
      <w:r w:rsidRPr="00C5648D">
        <w:rPr>
          <w:rFonts w:ascii="Times New Roman" w:hAnsi="Times New Roman" w:cs="Times New Roman"/>
          <w:sz w:val="24"/>
          <w:lang w:val="en-IN"/>
        </w:rPr>
        <w:t xml:space="preserve"> [Accessed 14 November 2025].</w:t>
      </w:r>
    </w:p>
    <w:p w14:paraId="619B4CA1"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Bmw</w:t>
      </w:r>
      <w:proofErr w:type="spellEnd"/>
      <w:r w:rsidRPr="00C5648D">
        <w:rPr>
          <w:rFonts w:ascii="Times New Roman" w:hAnsi="Times New Roman" w:cs="Times New Roman"/>
          <w:sz w:val="24"/>
          <w:lang w:val="en-IN"/>
        </w:rPr>
        <w:t xml:space="preserve">-brilliance, 2024. </w:t>
      </w:r>
      <w:r w:rsidRPr="00C5648D">
        <w:rPr>
          <w:rFonts w:ascii="Times New Roman" w:hAnsi="Times New Roman" w:cs="Times New Roman"/>
          <w:i/>
          <w:iCs/>
          <w:sz w:val="24"/>
          <w:lang w:val="en-IN"/>
        </w:rPr>
        <w:t>BMW Group Sales in China Exceed 820,000 Units in 2023</w:t>
      </w:r>
      <w:r w:rsidRPr="00C5648D">
        <w:rPr>
          <w:rFonts w:ascii="Times New Roman" w:hAnsi="Times New Roman" w:cs="Times New Roman"/>
          <w:sz w:val="24"/>
          <w:lang w:val="en-IN"/>
        </w:rPr>
        <w:t xml:space="preserve">. Available through: </w:t>
      </w:r>
      <w:hyperlink r:id="rId17" w:history="1">
        <w:r w:rsidRPr="00C5648D">
          <w:rPr>
            <w:rStyle w:val="Hyperlink"/>
            <w:rFonts w:ascii="Times New Roman" w:hAnsi="Times New Roman" w:cs="Times New Roman"/>
            <w:sz w:val="24"/>
            <w:lang w:val="en-IN"/>
          </w:rPr>
          <w:t>http://www.bmw-brilliance.cn/cn/en/news/news/2024-1-09.html</w:t>
        </w:r>
      </w:hyperlink>
      <w:r w:rsidRPr="00C5648D">
        <w:rPr>
          <w:rFonts w:ascii="Times New Roman" w:hAnsi="Times New Roman" w:cs="Times New Roman"/>
          <w:sz w:val="24"/>
          <w:lang w:val="en-IN"/>
        </w:rPr>
        <w:t xml:space="preserve"> [Accessed 10 November 2025].</w:t>
      </w:r>
    </w:p>
    <w:p w14:paraId="1DD79CD9"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Bmwgroup</w:t>
      </w:r>
      <w:proofErr w:type="spellEnd"/>
      <w:r w:rsidRPr="00C5648D">
        <w:rPr>
          <w:rFonts w:ascii="Times New Roman" w:hAnsi="Times New Roman" w:cs="Times New Roman"/>
          <w:sz w:val="24"/>
          <w:lang w:val="en-IN"/>
        </w:rPr>
        <w:t xml:space="preserve">, 2023. </w:t>
      </w:r>
      <w:r w:rsidRPr="00C5648D">
        <w:rPr>
          <w:rFonts w:ascii="Times New Roman" w:hAnsi="Times New Roman" w:cs="Times New Roman"/>
          <w:i/>
          <w:iCs/>
          <w:sz w:val="24"/>
          <w:lang w:val="en-IN"/>
        </w:rPr>
        <w:t>A successful 2023: BMW Group posts record sales, meets ambitious e-mobility growth targets</w:t>
      </w:r>
      <w:r w:rsidRPr="00C5648D">
        <w:rPr>
          <w:rFonts w:ascii="Times New Roman" w:hAnsi="Times New Roman" w:cs="Times New Roman"/>
          <w:sz w:val="24"/>
          <w:lang w:val="en-IN"/>
        </w:rPr>
        <w:t xml:space="preserve">. Available through: </w:t>
      </w:r>
      <w:hyperlink r:id="rId18" w:history="1">
        <w:r w:rsidRPr="00C5648D">
          <w:rPr>
            <w:rStyle w:val="Hyperlink"/>
            <w:rFonts w:ascii="Times New Roman" w:hAnsi="Times New Roman" w:cs="Times New Roman"/>
            <w:sz w:val="24"/>
            <w:lang w:val="en-IN"/>
          </w:rPr>
          <w:t>https://www.press.bmwgroup.com/global/article/detail/T0438999EN/a-successful-2023%3A-bmw-group-posts-record-sales-meets-ambitious-e-mobility-growth-targets?language</w:t>
        </w:r>
      </w:hyperlink>
      <w:r w:rsidRPr="00C5648D">
        <w:rPr>
          <w:rFonts w:ascii="Times New Roman" w:hAnsi="Times New Roman" w:cs="Times New Roman"/>
          <w:sz w:val="24"/>
          <w:lang w:val="en-IN"/>
        </w:rPr>
        <w:t xml:space="preserve"> [Accessed 16 November 2025].</w:t>
      </w:r>
    </w:p>
    <w:p w14:paraId="73A8FAEF"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Bmwgroup</w:t>
      </w:r>
      <w:proofErr w:type="spellEnd"/>
      <w:r w:rsidRPr="00C5648D">
        <w:rPr>
          <w:rFonts w:ascii="Times New Roman" w:hAnsi="Times New Roman" w:cs="Times New Roman"/>
          <w:sz w:val="24"/>
          <w:lang w:val="en-IN"/>
        </w:rPr>
        <w:t xml:space="preserve">, 2023a. </w:t>
      </w:r>
      <w:r w:rsidRPr="00C5648D">
        <w:rPr>
          <w:rFonts w:ascii="Times New Roman" w:hAnsi="Times New Roman" w:cs="Times New Roman"/>
          <w:i/>
          <w:iCs/>
          <w:sz w:val="24"/>
          <w:lang w:val="en-IN"/>
        </w:rPr>
        <w:t>OVERVIEW OF THE BMW GROUP</w:t>
      </w:r>
      <w:r w:rsidRPr="00C5648D">
        <w:rPr>
          <w:rFonts w:ascii="Times New Roman" w:hAnsi="Times New Roman" w:cs="Times New Roman"/>
          <w:sz w:val="24"/>
          <w:lang w:val="en-IN"/>
        </w:rPr>
        <w:t xml:space="preserve">. Available through: </w:t>
      </w:r>
      <w:hyperlink r:id="rId19" w:history="1">
        <w:r w:rsidRPr="00C5648D">
          <w:rPr>
            <w:rStyle w:val="Hyperlink"/>
            <w:rFonts w:ascii="Times New Roman" w:hAnsi="Times New Roman" w:cs="Times New Roman"/>
            <w:sz w:val="24"/>
            <w:lang w:val="en-IN"/>
          </w:rPr>
          <w:t>https://www.bmwgroup.com/en/report/2023/downloads/BMW-Group-Management-Report-2023-en.pdf</w:t>
        </w:r>
      </w:hyperlink>
      <w:r w:rsidRPr="00C5648D">
        <w:rPr>
          <w:rFonts w:ascii="Times New Roman" w:hAnsi="Times New Roman" w:cs="Times New Roman"/>
          <w:sz w:val="24"/>
          <w:lang w:val="en-IN"/>
        </w:rPr>
        <w:t xml:space="preserve"> [Accessed 12 November 2025].</w:t>
      </w:r>
    </w:p>
    <w:p w14:paraId="34AF9551"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Bmwgroup</w:t>
      </w:r>
      <w:proofErr w:type="spellEnd"/>
      <w:r w:rsidRPr="00C5648D">
        <w:rPr>
          <w:rFonts w:ascii="Times New Roman" w:hAnsi="Times New Roman" w:cs="Times New Roman"/>
          <w:sz w:val="24"/>
          <w:lang w:val="en-IN"/>
        </w:rPr>
        <w:t xml:space="preserve">, 2024. </w:t>
      </w:r>
      <w:r w:rsidRPr="00C5648D">
        <w:rPr>
          <w:rFonts w:ascii="Times New Roman" w:hAnsi="Times New Roman" w:cs="Times New Roman"/>
          <w:i/>
          <w:iCs/>
          <w:sz w:val="24"/>
          <w:lang w:val="en-IN"/>
        </w:rPr>
        <w:t>BMW Group Report 2024</w:t>
      </w:r>
      <w:r w:rsidRPr="00C5648D">
        <w:rPr>
          <w:rFonts w:ascii="Times New Roman" w:hAnsi="Times New Roman" w:cs="Times New Roman"/>
          <w:sz w:val="24"/>
          <w:lang w:val="en-IN"/>
        </w:rPr>
        <w:t xml:space="preserve">. Available through: </w:t>
      </w:r>
      <w:hyperlink r:id="rId20" w:history="1">
        <w:r w:rsidRPr="00C5648D">
          <w:rPr>
            <w:rStyle w:val="Hyperlink"/>
            <w:rFonts w:ascii="Times New Roman" w:hAnsi="Times New Roman" w:cs="Times New Roman"/>
            <w:sz w:val="24"/>
            <w:lang w:val="en-IN"/>
          </w:rPr>
          <w:t>https://www.bmwgroup.com/en/report/2024/index.html</w:t>
        </w:r>
      </w:hyperlink>
      <w:r w:rsidRPr="00C5648D">
        <w:rPr>
          <w:rFonts w:ascii="Times New Roman" w:hAnsi="Times New Roman" w:cs="Times New Roman"/>
          <w:sz w:val="24"/>
          <w:lang w:val="en-IN"/>
        </w:rPr>
        <w:t xml:space="preserve"> [Accessed 14 November 2025].</w:t>
      </w:r>
    </w:p>
    <w:p w14:paraId="4F000CE1"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Bmwgroup</w:t>
      </w:r>
      <w:proofErr w:type="spellEnd"/>
      <w:r w:rsidRPr="00C5648D">
        <w:rPr>
          <w:rFonts w:ascii="Times New Roman" w:hAnsi="Times New Roman" w:cs="Times New Roman"/>
          <w:sz w:val="24"/>
          <w:lang w:val="en-IN"/>
        </w:rPr>
        <w:t xml:space="preserve">, 2025. </w:t>
      </w:r>
      <w:r w:rsidRPr="00C5648D">
        <w:rPr>
          <w:rFonts w:ascii="Times New Roman" w:hAnsi="Times New Roman" w:cs="Times New Roman"/>
          <w:i/>
          <w:iCs/>
          <w:sz w:val="24"/>
          <w:lang w:val="en-IN"/>
        </w:rPr>
        <w:t>BMW Group plants in Germany</w:t>
      </w:r>
      <w:r w:rsidRPr="00C5648D">
        <w:rPr>
          <w:rFonts w:ascii="Times New Roman" w:hAnsi="Times New Roman" w:cs="Times New Roman"/>
          <w:sz w:val="24"/>
          <w:lang w:val="en-IN"/>
        </w:rPr>
        <w:t xml:space="preserve">. Available through: </w:t>
      </w:r>
      <w:hyperlink r:id="rId21" w:history="1">
        <w:r w:rsidRPr="00C5648D">
          <w:rPr>
            <w:rStyle w:val="Hyperlink"/>
            <w:rFonts w:ascii="Times New Roman" w:hAnsi="Times New Roman" w:cs="Times New Roman"/>
            <w:sz w:val="24"/>
            <w:lang w:val="en-IN"/>
          </w:rPr>
          <w:t>https://www.bmwgroup.jobs/de/en/location/plants-germany.html</w:t>
        </w:r>
      </w:hyperlink>
      <w:r w:rsidRPr="00C5648D">
        <w:rPr>
          <w:rFonts w:ascii="Times New Roman" w:hAnsi="Times New Roman" w:cs="Times New Roman"/>
          <w:sz w:val="24"/>
          <w:lang w:val="en-IN"/>
        </w:rPr>
        <w:t xml:space="preserve"> [Accessed 10 November 2025].</w:t>
      </w:r>
    </w:p>
    <w:p w14:paraId="4FFB0661" w14:textId="77777777" w:rsidR="0096048F" w:rsidRPr="00C5648D" w:rsidRDefault="0096048F" w:rsidP="00C5648D">
      <w:pPr>
        <w:spacing w:line="360" w:lineRule="auto"/>
        <w:jc w:val="both"/>
        <w:rPr>
          <w:rFonts w:ascii="Times New Roman" w:hAnsi="Times New Roman" w:cs="Times New Roman"/>
          <w:sz w:val="24"/>
          <w:lang w:val="en-IN"/>
        </w:rPr>
      </w:pPr>
      <w:proofErr w:type="spellStart"/>
      <w:r w:rsidRPr="00C5648D">
        <w:rPr>
          <w:rFonts w:ascii="Times New Roman" w:hAnsi="Times New Roman" w:cs="Times New Roman"/>
          <w:sz w:val="24"/>
          <w:lang w:val="en-IN"/>
        </w:rPr>
        <w:t>Brandirectory</w:t>
      </w:r>
      <w:proofErr w:type="spellEnd"/>
      <w:r w:rsidRPr="00C5648D">
        <w:rPr>
          <w:rFonts w:ascii="Times New Roman" w:hAnsi="Times New Roman" w:cs="Times New Roman"/>
          <w:sz w:val="24"/>
          <w:lang w:val="en-IN"/>
        </w:rPr>
        <w:t xml:space="preserve">, 2025. </w:t>
      </w:r>
      <w:r w:rsidRPr="00C5648D">
        <w:rPr>
          <w:rFonts w:ascii="Times New Roman" w:hAnsi="Times New Roman" w:cs="Times New Roman"/>
          <w:i/>
          <w:iCs/>
          <w:sz w:val="24"/>
          <w:lang w:val="en-IN"/>
        </w:rPr>
        <w:t>BMW</w:t>
      </w:r>
      <w:r w:rsidRPr="00C5648D">
        <w:rPr>
          <w:rFonts w:ascii="Times New Roman" w:hAnsi="Times New Roman" w:cs="Times New Roman"/>
          <w:sz w:val="24"/>
          <w:lang w:val="en-IN"/>
        </w:rPr>
        <w:t xml:space="preserve">. Available through: </w:t>
      </w:r>
      <w:hyperlink r:id="rId22" w:history="1">
        <w:r w:rsidRPr="00C5648D">
          <w:rPr>
            <w:rStyle w:val="Hyperlink"/>
            <w:rFonts w:ascii="Times New Roman" w:hAnsi="Times New Roman" w:cs="Times New Roman"/>
            <w:sz w:val="24"/>
            <w:lang w:val="en-IN"/>
          </w:rPr>
          <w:t>https://brandirectory.com/brands/BMW</w:t>
        </w:r>
      </w:hyperlink>
      <w:r w:rsidRPr="00C5648D">
        <w:rPr>
          <w:rFonts w:ascii="Times New Roman" w:hAnsi="Times New Roman" w:cs="Times New Roman"/>
          <w:sz w:val="24"/>
          <w:lang w:val="en-IN"/>
        </w:rPr>
        <w:t xml:space="preserve"> [Accessed 15 November 2025].</w:t>
      </w:r>
    </w:p>
    <w:p w14:paraId="6C308DA1" w14:textId="77777777" w:rsidR="0096048F" w:rsidRPr="001A483F" w:rsidRDefault="0096048F" w:rsidP="001A483F">
      <w:pPr>
        <w:spacing w:line="360" w:lineRule="auto"/>
        <w:jc w:val="both"/>
        <w:rPr>
          <w:rFonts w:ascii="Times New Roman" w:hAnsi="Times New Roman" w:cs="Times New Roman"/>
          <w:sz w:val="24"/>
          <w:lang w:val="en-IN"/>
        </w:rPr>
      </w:pPr>
      <w:r w:rsidRPr="00C5648D">
        <w:rPr>
          <w:rFonts w:ascii="Times New Roman" w:hAnsi="Times New Roman" w:cs="Times New Roman"/>
          <w:sz w:val="24"/>
          <w:lang w:val="en-IN"/>
        </w:rPr>
        <w:t xml:space="preserve">Capgemini, 2024. </w:t>
      </w:r>
      <w:r w:rsidRPr="00C5648D">
        <w:rPr>
          <w:rFonts w:ascii="Times New Roman" w:hAnsi="Times New Roman" w:cs="Times New Roman"/>
          <w:i/>
          <w:iCs/>
          <w:sz w:val="24"/>
          <w:lang w:val="en-IN"/>
        </w:rPr>
        <w:t>While connected products are increasingly being adopted, 65% of consumers would prefer one interface to enable interoperability across devices</w:t>
      </w:r>
      <w:r w:rsidRPr="00C5648D">
        <w:rPr>
          <w:rFonts w:ascii="Times New Roman" w:hAnsi="Times New Roman" w:cs="Times New Roman"/>
          <w:sz w:val="24"/>
          <w:lang w:val="en-IN"/>
        </w:rPr>
        <w:t xml:space="preserve">. Available through: </w:t>
      </w:r>
      <w:hyperlink r:id="rId23" w:history="1">
        <w:r w:rsidRPr="00C5648D">
          <w:rPr>
            <w:rStyle w:val="Hyperlink"/>
            <w:rFonts w:ascii="Times New Roman" w:hAnsi="Times New Roman" w:cs="Times New Roman"/>
            <w:sz w:val="24"/>
            <w:lang w:val="en-IN"/>
          </w:rPr>
          <w:t>https://www.capgemini.com/news/press-releases/while-connected-products-are-increasingly-being-adopted-65-of-consumers-would-prefer-one-interface-to-enable-interoperability-across-devices</w:t>
        </w:r>
      </w:hyperlink>
      <w:r w:rsidRPr="00C5648D">
        <w:rPr>
          <w:rFonts w:ascii="Times New Roman" w:hAnsi="Times New Roman" w:cs="Times New Roman"/>
          <w:sz w:val="24"/>
          <w:lang w:val="en-IN"/>
        </w:rPr>
        <w:t xml:space="preserve"> [Accessed 11 November 2025].</w:t>
      </w:r>
      <w:r w:rsidRPr="001A483F">
        <w:rPr>
          <w:rFonts w:ascii="Times New Roman" w:hAnsi="Times New Roman" w:cs="Times New Roman"/>
          <w:sz w:val="24"/>
          <w:lang w:val="en-IN"/>
        </w:rPr>
        <w:t xml:space="preserve"> </w:t>
      </w:r>
    </w:p>
    <w:p w14:paraId="1DB643E4"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Cbp</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Uyghur Forced Labor Prevention Act Statistics</w:t>
      </w:r>
      <w:r w:rsidRPr="0096048F">
        <w:rPr>
          <w:rFonts w:ascii="Times New Roman" w:hAnsi="Times New Roman" w:cs="Times New Roman"/>
          <w:sz w:val="24"/>
          <w:lang w:val="en-IN"/>
        </w:rPr>
        <w:t xml:space="preserve">. Available through: </w:t>
      </w:r>
      <w:hyperlink r:id="rId24" w:history="1">
        <w:r w:rsidRPr="0096048F">
          <w:rPr>
            <w:rStyle w:val="Hyperlink"/>
            <w:rFonts w:ascii="Times New Roman" w:hAnsi="Times New Roman" w:cs="Times New Roman"/>
            <w:sz w:val="24"/>
            <w:lang w:val="en-IN"/>
          </w:rPr>
          <w:t>https://www.cbp.gov/newsroom/stats/trade/uyghur-forced-labor-prevention-act-statistics</w:t>
        </w:r>
      </w:hyperlink>
      <w:r w:rsidRPr="0096048F">
        <w:rPr>
          <w:rFonts w:ascii="Times New Roman" w:hAnsi="Times New Roman" w:cs="Times New Roman"/>
          <w:sz w:val="24"/>
          <w:lang w:val="en-IN"/>
        </w:rPr>
        <w:t xml:space="preserve"> [Accessed 14 November 2025].</w:t>
      </w:r>
    </w:p>
    <w:p w14:paraId="7457329B"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Ceew</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How Will India's Vehicle Ownership Grow?</w:t>
      </w:r>
      <w:r w:rsidRPr="0096048F">
        <w:rPr>
          <w:rFonts w:ascii="Times New Roman" w:hAnsi="Times New Roman" w:cs="Times New Roman"/>
          <w:sz w:val="24"/>
          <w:lang w:val="en-IN"/>
        </w:rPr>
        <w:t xml:space="preserve"> Available through: </w:t>
      </w:r>
      <w:hyperlink r:id="rId25" w:history="1">
        <w:r w:rsidRPr="0096048F">
          <w:rPr>
            <w:rStyle w:val="Hyperlink"/>
            <w:rFonts w:ascii="Times New Roman" w:hAnsi="Times New Roman" w:cs="Times New Roman"/>
            <w:sz w:val="24"/>
            <w:lang w:val="en-IN"/>
          </w:rPr>
          <w:t>https://www.ceew.in/publications/how-will-indias-private-and-passenger-vehicle-ownership-grow-by-2050</w:t>
        </w:r>
      </w:hyperlink>
      <w:r w:rsidRPr="0096048F">
        <w:rPr>
          <w:rFonts w:ascii="Times New Roman" w:hAnsi="Times New Roman" w:cs="Times New Roman"/>
          <w:sz w:val="24"/>
          <w:lang w:val="en-IN"/>
        </w:rPr>
        <w:t xml:space="preserve"> [Accessed 12 November 2025].</w:t>
      </w:r>
    </w:p>
    <w:p w14:paraId="503D47AA"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Chinadaily</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German carmakers upbeat on China market, green push</w:t>
      </w:r>
      <w:r w:rsidRPr="0096048F">
        <w:rPr>
          <w:rFonts w:ascii="Times New Roman" w:hAnsi="Times New Roman" w:cs="Times New Roman"/>
          <w:sz w:val="24"/>
          <w:lang w:val="en-IN"/>
        </w:rPr>
        <w:t xml:space="preserve">. Available through: </w:t>
      </w:r>
      <w:hyperlink r:id="rId26" w:history="1">
        <w:r w:rsidRPr="0096048F">
          <w:rPr>
            <w:rStyle w:val="Hyperlink"/>
            <w:rFonts w:ascii="Times New Roman" w:hAnsi="Times New Roman" w:cs="Times New Roman"/>
            <w:sz w:val="24"/>
            <w:lang w:val="en-IN"/>
          </w:rPr>
          <w:t>https://global.chinadaily.com.cn/a/202405/16/WS66456980a31082fc043c7682.html</w:t>
        </w:r>
      </w:hyperlink>
      <w:r w:rsidRPr="0096048F">
        <w:rPr>
          <w:rFonts w:ascii="Times New Roman" w:hAnsi="Times New Roman" w:cs="Times New Roman"/>
          <w:sz w:val="24"/>
          <w:lang w:val="en-IN"/>
        </w:rPr>
        <w:t xml:space="preserve"> [Accessed 16 November 2025].</w:t>
      </w:r>
    </w:p>
    <w:p w14:paraId="59F3190D"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Climateactiontracker</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Germany</w:t>
      </w:r>
      <w:r w:rsidRPr="0096048F">
        <w:rPr>
          <w:rFonts w:ascii="Times New Roman" w:hAnsi="Times New Roman" w:cs="Times New Roman"/>
          <w:sz w:val="24"/>
          <w:lang w:val="en-IN"/>
        </w:rPr>
        <w:t xml:space="preserve">. Available through: </w:t>
      </w:r>
      <w:hyperlink r:id="rId27" w:history="1">
        <w:r w:rsidRPr="0096048F">
          <w:rPr>
            <w:rStyle w:val="Hyperlink"/>
            <w:rFonts w:ascii="Times New Roman" w:hAnsi="Times New Roman" w:cs="Times New Roman"/>
            <w:sz w:val="24"/>
            <w:lang w:val="en-IN"/>
          </w:rPr>
          <w:t>https://climateactiontracker.org/countries/germany/targets/</w:t>
        </w:r>
      </w:hyperlink>
      <w:r w:rsidRPr="0096048F">
        <w:rPr>
          <w:rFonts w:ascii="Times New Roman" w:hAnsi="Times New Roman" w:cs="Times New Roman"/>
          <w:sz w:val="24"/>
          <w:lang w:val="en-IN"/>
        </w:rPr>
        <w:t xml:space="preserve"> [Accessed 11 November 2025].</w:t>
      </w:r>
    </w:p>
    <w:p w14:paraId="5E14EED3"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Datareportal</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Digital 2024: Germany</w:t>
      </w:r>
      <w:r w:rsidRPr="0096048F">
        <w:rPr>
          <w:rFonts w:ascii="Times New Roman" w:hAnsi="Times New Roman" w:cs="Times New Roman"/>
          <w:sz w:val="24"/>
          <w:lang w:val="en-IN"/>
        </w:rPr>
        <w:t xml:space="preserve">. Available through: </w:t>
      </w:r>
      <w:hyperlink r:id="rId28" w:history="1">
        <w:r w:rsidRPr="0096048F">
          <w:rPr>
            <w:rStyle w:val="Hyperlink"/>
            <w:rFonts w:ascii="Times New Roman" w:hAnsi="Times New Roman" w:cs="Times New Roman"/>
            <w:sz w:val="24"/>
            <w:lang w:val="en-IN"/>
          </w:rPr>
          <w:t>https://datareportal.com/reports/digital-2024-germany</w:t>
        </w:r>
      </w:hyperlink>
      <w:r w:rsidRPr="0096048F">
        <w:rPr>
          <w:rFonts w:ascii="Times New Roman" w:hAnsi="Times New Roman" w:cs="Times New Roman"/>
          <w:sz w:val="24"/>
          <w:lang w:val="en-IN"/>
        </w:rPr>
        <w:t xml:space="preserve"> [Accessed 15 November 2025].</w:t>
      </w:r>
    </w:p>
    <w:p w14:paraId="641AEC17"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Destatis</w:t>
      </w:r>
      <w:proofErr w:type="spellEnd"/>
      <w:r w:rsidRPr="0096048F">
        <w:rPr>
          <w:rFonts w:ascii="Times New Roman" w:hAnsi="Times New Roman" w:cs="Times New Roman"/>
          <w:sz w:val="24"/>
          <w:lang w:val="en-IN"/>
        </w:rPr>
        <w:t xml:space="preserve">, 2022. </w:t>
      </w:r>
      <w:r w:rsidRPr="0096048F">
        <w:rPr>
          <w:rFonts w:ascii="Times New Roman" w:hAnsi="Times New Roman" w:cs="Times New Roman"/>
          <w:i/>
          <w:iCs/>
          <w:sz w:val="24"/>
          <w:lang w:val="en-IN"/>
        </w:rPr>
        <w:t>Germany</w:t>
      </w:r>
      <w:r w:rsidRPr="0096048F">
        <w:rPr>
          <w:rFonts w:ascii="Times New Roman" w:hAnsi="Times New Roman" w:cs="Times New Roman"/>
          <w:sz w:val="24"/>
          <w:lang w:val="en-IN"/>
        </w:rPr>
        <w:t xml:space="preserve">. Available through: </w:t>
      </w:r>
      <w:hyperlink r:id="rId29" w:history="1">
        <w:r w:rsidRPr="0096048F">
          <w:rPr>
            <w:rStyle w:val="Hyperlink"/>
            <w:rFonts w:ascii="Times New Roman" w:hAnsi="Times New Roman" w:cs="Times New Roman"/>
            <w:sz w:val="24"/>
            <w:lang w:val="en-IN"/>
          </w:rPr>
          <w:t>https://www.destatis.de/Europa/EN/Country/EU-Member-States/Germany.html</w:t>
        </w:r>
      </w:hyperlink>
      <w:r w:rsidRPr="0096048F">
        <w:rPr>
          <w:rFonts w:ascii="Times New Roman" w:hAnsi="Times New Roman" w:cs="Times New Roman"/>
          <w:sz w:val="24"/>
          <w:lang w:val="en-IN"/>
        </w:rPr>
        <w:t xml:space="preserve"> [Accessed 13 November 2025].</w:t>
      </w:r>
    </w:p>
    <w:p w14:paraId="77E02D95"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Destatis</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Road transport: car dominance unbroken</w:t>
      </w:r>
      <w:r w:rsidRPr="0096048F">
        <w:rPr>
          <w:rFonts w:ascii="Times New Roman" w:hAnsi="Times New Roman" w:cs="Times New Roman"/>
          <w:sz w:val="24"/>
          <w:lang w:val="en-IN"/>
        </w:rPr>
        <w:t xml:space="preserve">. Available through: </w:t>
      </w:r>
      <w:hyperlink r:id="rId30" w:history="1">
        <w:r w:rsidRPr="0096048F">
          <w:rPr>
            <w:rStyle w:val="Hyperlink"/>
            <w:rFonts w:ascii="Times New Roman" w:hAnsi="Times New Roman" w:cs="Times New Roman"/>
            <w:sz w:val="24"/>
            <w:lang w:val="en-IN"/>
          </w:rPr>
          <w:t>https://www.destatis.de/Europa/EN/Topic/Transport/Car.html</w:t>
        </w:r>
      </w:hyperlink>
      <w:r w:rsidRPr="0096048F">
        <w:rPr>
          <w:rFonts w:ascii="Times New Roman" w:hAnsi="Times New Roman" w:cs="Times New Roman"/>
          <w:sz w:val="24"/>
          <w:lang w:val="en-IN"/>
        </w:rPr>
        <w:t xml:space="preserve"> [Accessed 11 November 2025].</w:t>
      </w:r>
    </w:p>
    <w:p w14:paraId="6E41974D"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Destatis</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Transport infrastructure</w:t>
      </w:r>
      <w:r w:rsidRPr="0096048F">
        <w:rPr>
          <w:rFonts w:ascii="Times New Roman" w:hAnsi="Times New Roman" w:cs="Times New Roman"/>
          <w:sz w:val="24"/>
          <w:lang w:val="en-IN"/>
        </w:rPr>
        <w:t xml:space="preserve">. Available through: </w:t>
      </w:r>
      <w:hyperlink r:id="rId31" w:history="1">
        <w:r w:rsidRPr="0096048F">
          <w:rPr>
            <w:rStyle w:val="Hyperlink"/>
            <w:rFonts w:ascii="Times New Roman" w:hAnsi="Times New Roman" w:cs="Times New Roman"/>
            <w:sz w:val="24"/>
            <w:lang w:val="en-IN"/>
          </w:rPr>
          <w:t>https://www.destatis.de/EN/Themes/Economic-Sectors-Enterprises/Transport/Enterprises-Infrastructure-Vehicle-Stock/Tables/new-registrations.html</w:t>
        </w:r>
      </w:hyperlink>
      <w:r w:rsidRPr="0096048F">
        <w:rPr>
          <w:rFonts w:ascii="Times New Roman" w:hAnsi="Times New Roman" w:cs="Times New Roman"/>
          <w:sz w:val="24"/>
          <w:lang w:val="en-IN"/>
        </w:rPr>
        <w:t xml:space="preserve"> [Accessed 14 November 2025].</w:t>
      </w:r>
    </w:p>
    <w:p w14:paraId="65564DA5"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Dieselnet</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China: New Energy Vehicle (NEV) Policy</w:t>
      </w:r>
      <w:r w:rsidRPr="0096048F">
        <w:rPr>
          <w:rFonts w:ascii="Times New Roman" w:hAnsi="Times New Roman" w:cs="Times New Roman"/>
          <w:sz w:val="24"/>
          <w:lang w:val="en-IN"/>
        </w:rPr>
        <w:t xml:space="preserve">. Available through: </w:t>
      </w:r>
      <w:hyperlink r:id="rId32" w:history="1">
        <w:r w:rsidRPr="0096048F">
          <w:rPr>
            <w:rStyle w:val="Hyperlink"/>
            <w:rFonts w:ascii="Times New Roman" w:hAnsi="Times New Roman" w:cs="Times New Roman"/>
            <w:sz w:val="24"/>
            <w:lang w:val="en-IN"/>
          </w:rPr>
          <w:t>https://dieselnet.com/standards/cn/nev.php</w:t>
        </w:r>
      </w:hyperlink>
      <w:r w:rsidRPr="0096048F">
        <w:rPr>
          <w:rFonts w:ascii="Times New Roman" w:hAnsi="Times New Roman" w:cs="Times New Roman"/>
          <w:sz w:val="24"/>
          <w:lang w:val="en-IN"/>
        </w:rPr>
        <w:t xml:space="preserve"> [Accessed 16 November 2025].</w:t>
      </w:r>
    </w:p>
    <w:p w14:paraId="3AEDA9B4"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Electrive</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BMW increases EV sales by 75 per cent in 2023</w:t>
      </w:r>
      <w:r w:rsidRPr="0096048F">
        <w:rPr>
          <w:rFonts w:ascii="Times New Roman" w:hAnsi="Times New Roman" w:cs="Times New Roman"/>
          <w:sz w:val="24"/>
          <w:lang w:val="en-IN"/>
        </w:rPr>
        <w:t xml:space="preserve">. Available through: </w:t>
      </w:r>
      <w:hyperlink r:id="rId33" w:history="1">
        <w:r w:rsidRPr="0096048F">
          <w:rPr>
            <w:rStyle w:val="Hyperlink"/>
            <w:rFonts w:ascii="Times New Roman" w:hAnsi="Times New Roman" w:cs="Times New Roman"/>
            <w:sz w:val="24"/>
            <w:lang w:val="en-IN"/>
          </w:rPr>
          <w:t>https://www.electrive.com/2024/01/09/bmw-increases-ev-sales-by-75-per-cent-in-2023/</w:t>
        </w:r>
      </w:hyperlink>
      <w:r w:rsidRPr="0096048F">
        <w:rPr>
          <w:rFonts w:ascii="Times New Roman" w:hAnsi="Times New Roman" w:cs="Times New Roman"/>
          <w:sz w:val="24"/>
          <w:lang w:val="en-IN"/>
        </w:rPr>
        <w:t xml:space="preserve"> [Accessed 12 November 2025].</w:t>
      </w:r>
    </w:p>
    <w:p w14:paraId="4A943468"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Europa, 2022. </w:t>
      </w:r>
      <w:r w:rsidRPr="0096048F">
        <w:rPr>
          <w:rFonts w:ascii="Times New Roman" w:hAnsi="Times New Roman" w:cs="Times New Roman"/>
          <w:i/>
          <w:iCs/>
          <w:sz w:val="24"/>
          <w:lang w:val="en-IN"/>
        </w:rPr>
        <w:t>Zero emission vehicles: first 'Fit for 55' deal will end the sale of new CO2 emitting cars in Europe by 2035</w:t>
      </w:r>
      <w:r w:rsidRPr="0096048F">
        <w:rPr>
          <w:rFonts w:ascii="Times New Roman" w:hAnsi="Times New Roman" w:cs="Times New Roman"/>
          <w:sz w:val="24"/>
          <w:lang w:val="en-IN"/>
        </w:rPr>
        <w:t xml:space="preserve">. Available through: </w:t>
      </w:r>
      <w:hyperlink r:id="rId34" w:history="1">
        <w:r w:rsidRPr="0096048F">
          <w:rPr>
            <w:rStyle w:val="Hyperlink"/>
            <w:rFonts w:ascii="Times New Roman" w:hAnsi="Times New Roman" w:cs="Times New Roman"/>
            <w:sz w:val="24"/>
            <w:lang w:val="en-IN"/>
          </w:rPr>
          <w:t>https://ec.europa.eu/commission/presscorner/detail/en/ip_22_6462</w:t>
        </w:r>
      </w:hyperlink>
      <w:r w:rsidRPr="0096048F">
        <w:rPr>
          <w:rFonts w:ascii="Times New Roman" w:hAnsi="Times New Roman" w:cs="Times New Roman"/>
          <w:sz w:val="24"/>
          <w:lang w:val="en-IN"/>
        </w:rPr>
        <w:t xml:space="preserve"> [Accessed 13 November 2025].</w:t>
      </w:r>
    </w:p>
    <w:p w14:paraId="32AB67B4"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Europa, 2024. </w:t>
      </w:r>
      <w:r w:rsidRPr="0096048F">
        <w:rPr>
          <w:rFonts w:ascii="Times New Roman" w:hAnsi="Times New Roman" w:cs="Times New Roman"/>
          <w:i/>
          <w:iCs/>
          <w:sz w:val="24"/>
          <w:lang w:val="en-IN"/>
        </w:rPr>
        <w:t>Consumer Monitor 2023</w:t>
      </w:r>
      <w:r w:rsidRPr="0096048F">
        <w:rPr>
          <w:rFonts w:ascii="Times New Roman" w:hAnsi="Times New Roman" w:cs="Times New Roman"/>
          <w:sz w:val="24"/>
          <w:lang w:val="en-IN"/>
        </w:rPr>
        <w:t xml:space="preserve">. Available through: </w:t>
      </w:r>
      <w:hyperlink r:id="rId35" w:history="1">
        <w:r w:rsidRPr="0096048F">
          <w:rPr>
            <w:rStyle w:val="Hyperlink"/>
            <w:rFonts w:ascii="Times New Roman" w:hAnsi="Times New Roman" w:cs="Times New Roman"/>
            <w:sz w:val="24"/>
            <w:lang w:val="en-IN"/>
          </w:rPr>
          <w:t>https://alternative-fuels-observatory.ec.europa.eu/system/files/documents/2024-06/Country%20Report%202023%20Germany_1.pdf</w:t>
        </w:r>
      </w:hyperlink>
      <w:r w:rsidRPr="0096048F">
        <w:rPr>
          <w:rFonts w:ascii="Times New Roman" w:hAnsi="Times New Roman" w:cs="Times New Roman"/>
          <w:sz w:val="24"/>
          <w:lang w:val="en-IN"/>
        </w:rPr>
        <w:t xml:space="preserve"> [Accessed 15 November 2025].</w:t>
      </w:r>
    </w:p>
    <w:p w14:paraId="74B629C5"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Ey, 2022. </w:t>
      </w:r>
      <w:r w:rsidRPr="0096048F">
        <w:rPr>
          <w:rFonts w:ascii="Times New Roman" w:hAnsi="Times New Roman" w:cs="Times New Roman"/>
          <w:i/>
          <w:iCs/>
          <w:sz w:val="24"/>
          <w:lang w:val="en-IN"/>
        </w:rPr>
        <w:t>Auto retail rethink on the horizon as young people continue to move away from the dealership – EY Mobility Consumer</w:t>
      </w:r>
      <w:r w:rsidRPr="0096048F">
        <w:rPr>
          <w:rFonts w:ascii="Times New Roman" w:hAnsi="Times New Roman" w:cs="Times New Roman"/>
          <w:sz w:val="24"/>
          <w:lang w:val="en-IN"/>
        </w:rPr>
        <w:t xml:space="preserve">. Available through: </w:t>
      </w:r>
      <w:hyperlink r:id="rId36" w:history="1">
        <w:r w:rsidRPr="0096048F">
          <w:rPr>
            <w:rStyle w:val="Hyperlink"/>
            <w:rFonts w:ascii="Times New Roman" w:hAnsi="Times New Roman" w:cs="Times New Roman"/>
            <w:sz w:val="24"/>
            <w:lang w:val="en-IN"/>
          </w:rPr>
          <w:t>https://www.ey.com/en_ly/newsroom/2022/11/auto-retail-rethink-on-the-horizon-as-young-people-continue-to-move-away-from-the-dealership-ey-mobility-consumer-index</w:t>
        </w:r>
      </w:hyperlink>
      <w:r w:rsidRPr="0096048F">
        <w:rPr>
          <w:rFonts w:ascii="Times New Roman" w:hAnsi="Times New Roman" w:cs="Times New Roman"/>
          <w:sz w:val="24"/>
          <w:lang w:val="en-IN"/>
        </w:rPr>
        <w:t xml:space="preserve"> [Accessed 11 November 2025].</w:t>
      </w:r>
    </w:p>
    <w:p w14:paraId="0B6D726A"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Gov.cn, 2021. </w:t>
      </w:r>
      <w:r w:rsidRPr="0096048F">
        <w:rPr>
          <w:rFonts w:ascii="Times New Roman" w:hAnsi="Times New Roman" w:cs="Times New Roman"/>
          <w:i/>
          <w:iCs/>
          <w:sz w:val="24"/>
          <w:lang w:val="en-IN"/>
        </w:rPr>
        <w:t>China extends preferential purchase tax policy for NEVs</w:t>
      </w:r>
      <w:r w:rsidRPr="0096048F">
        <w:rPr>
          <w:rFonts w:ascii="Times New Roman" w:hAnsi="Times New Roman" w:cs="Times New Roman"/>
          <w:sz w:val="24"/>
          <w:lang w:val="en-IN"/>
        </w:rPr>
        <w:t xml:space="preserve">. Available through: </w:t>
      </w:r>
      <w:hyperlink r:id="rId37" w:history="1">
        <w:r w:rsidRPr="0096048F">
          <w:rPr>
            <w:rStyle w:val="Hyperlink"/>
            <w:rFonts w:ascii="Times New Roman" w:hAnsi="Times New Roman" w:cs="Times New Roman"/>
            <w:sz w:val="24"/>
            <w:lang w:val="en-IN"/>
          </w:rPr>
          <w:t>https://english.www.gov.cn/news/202306/21/content_WS64929394c6d0868f4e8dd11c.html</w:t>
        </w:r>
      </w:hyperlink>
      <w:r w:rsidRPr="0096048F">
        <w:rPr>
          <w:rFonts w:ascii="Times New Roman" w:hAnsi="Times New Roman" w:cs="Times New Roman"/>
          <w:sz w:val="24"/>
          <w:lang w:val="en-IN"/>
        </w:rPr>
        <w:t xml:space="preserve"> [Accessed 14 November 2025].</w:t>
      </w:r>
    </w:p>
    <w:p w14:paraId="00CB0C20"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Hrw</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Asleep at the Wheel</w:t>
      </w:r>
      <w:r w:rsidRPr="0096048F">
        <w:rPr>
          <w:rFonts w:ascii="Times New Roman" w:hAnsi="Times New Roman" w:cs="Times New Roman"/>
          <w:sz w:val="24"/>
          <w:lang w:val="en-IN"/>
        </w:rPr>
        <w:t xml:space="preserve">. Available through: </w:t>
      </w:r>
      <w:hyperlink r:id="rId38" w:history="1">
        <w:r w:rsidRPr="0096048F">
          <w:rPr>
            <w:rStyle w:val="Hyperlink"/>
            <w:rFonts w:ascii="Times New Roman" w:hAnsi="Times New Roman" w:cs="Times New Roman"/>
            <w:sz w:val="24"/>
            <w:lang w:val="en-IN"/>
          </w:rPr>
          <w:t>https://www.hrw.org/report/2024/02/01/asleep-wheel-car-companies-complicity-forced-labor-china</w:t>
        </w:r>
      </w:hyperlink>
      <w:r w:rsidRPr="0096048F">
        <w:rPr>
          <w:rFonts w:ascii="Times New Roman" w:hAnsi="Times New Roman" w:cs="Times New Roman"/>
          <w:sz w:val="24"/>
          <w:lang w:val="en-IN"/>
        </w:rPr>
        <w:t xml:space="preserve"> [Accessed 16 November 2025].</w:t>
      </w:r>
    </w:p>
    <w:p w14:paraId="089CE346"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Iea</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Trends in electric cars</w:t>
      </w:r>
      <w:r w:rsidRPr="0096048F">
        <w:rPr>
          <w:rFonts w:ascii="Times New Roman" w:hAnsi="Times New Roman" w:cs="Times New Roman"/>
          <w:sz w:val="24"/>
          <w:lang w:val="en-IN"/>
        </w:rPr>
        <w:t xml:space="preserve">. Available through: </w:t>
      </w:r>
      <w:hyperlink r:id="rId39" w:history="1">
        <w:r w:rsidRPr="0096048F">
          <w:rPr>
            <w:rStyle w:val="Hyperlink"/>
            <w:rFonts w:ascii="Times New Roman" w:hAnsi="Times New Roman" w:cs="Times New Roman"/>
            <w:sz w:val="24"/>
            <w:lang w:val="en-IN"/>
          </w:rPr>
          <w:t>https://www.iea.org/reports/global-ev-outlook-2024/trends-in-electric-cars</w:t>
        </w:r>
      </w:hyperlink>
      <w:r w:rsidRPr="0096048F">
        <w:rPr>
          <w:rFonts w:ascii="Times New Roman" w:hAnsi="Times New Roman" w:cs="Times New Roman"/>
          <w:sz w:val="24"/>
          <w:lang w:val="en-IN"/>
        </w:rPr>
        <w:t xml:space="preserve"> [Accessed 12 November 2025].</w:t>
      </w:r>
    </w:p>
    <w:p w14:paraId="05C79807"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Iea</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Global EV Outlook 2024</w:t>
      </w:r>
      <w:r w:rsidRPr="0096048F">
        <w:rPr>
          <w:rFonts w:ascii="Times New Roman" w:hAnsi="Times New Roman" w:cs="Times New Roman"/>
          <w:sz w:val="24"/>
          <w:lang w:val="en-IN"/>
        </w:rPr>
        <w:t xml:space="preserve">. Available through: </w:t>
      </w:r>
      <w:hyperlink r:id="rId40" w:history="1">
        <w:r w:rsidRPr="0096048F">
          <w:rPr>
            <w:rStyle w:val="Hyperlink"/>
            <w:rFonts w:ascii="Times New Roman" w:hAnsi="Times New Roman" w:cs="Times New Roman"/>
            <w:sz w:val="24"/>
            <w:lang w:val="en-IN"/>
          </w:rPr>
          <w:t>https://iea.blob.core.windows.net/assets/a9e3544b-0b12-4e15-b407-65f5c8ce1b5f/GlobalEVOutlook2024.pdf</w:t>
        </w:r>
      </w:hyperlink>
      <w:r w:rsidRPr="0096048F">
        <w:rPr>
          <w:rFonts w:ascii="Times New Roman" w:hAnsi="Times New Roman" w:cs="Times New Roman"/>
          <w:sz w:val="24"/>
          <w:lang w:val="en-IN"/>
        </w:rPr>
        <w:t xml:space="preserve"> [Accessed 15 November 2025].</w:t>
      </w:r>
    </w:p>
    <w:p w14:paraId="551FE7DF"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Iea</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Electric Vehicles</w:t>
      </w:r>
      <w:r w:rsidRPr="0096048F">
        <w:rPr>
          <w:rFonts w:ascii="Times New Roman" w:hAnsi="Times New Roman" w:cs="Times New Roman"/>
          <w:sz w:val="24"/>
          <w:lang w:val="en-IN"/>
        </w:rPr>
        <w:t xml:space="preserve">. Available through: </w:t>
      </w:r>
      <w:hyperlink r:id="rId41" w:history="1">
        <w:r w:rsidRPr="0096048F">
          <w:rPr>
            <w:rStyle w:val="Hyperlink"/>
            <w:rFonts w:ascii="Times New Roman" w:hAnsi="Times New Roman" w:cs="Times New Roman"/>
            <w:sz w:val="24"/>
            <w:lang w:val="en-IN"/>
          </w:rPr>
          <w:t>https://www.iea.org/energy-system/transport/electric-vehicles</w:t>
        </w:r>
      </w:hyperlink>
      <w:r w:rsidRPr="0096048F">
        <w:rPr>
          <w:rFonts w:ascii="Times New Roman" w:hAnsi="Times New Roman" w:cs="Times New Roman"/>
          <w:sz w:val="24"/>
          <w:lang w:val="en-IN"/>
        </w:rPr>
        <w:t xml:space="preserve"> [Accessed 13 November 2025].</w:t>
      </w:r>
    </w:p>
    <w:p w14:paraId="440F355C"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Ilo, 2022. </w:t>
      </w:r>
      <w:r w:rsidRPr="0096048F">
        <w:rPr>
          <w:rFonts w:ascii="Times New Roman" w:hAnsi="Times New Roman" w:cs="Times New Roman"/>
          <w:i/>
          <w:iCs/>
          <w:sz w:val="24"/>
          <w:lang w:val="en-IN"/>
        </w:rPr>
        <w:t>Data and research on forced labour</w:t>
      </w:r>
      <w:r w:rsidRPr="0096048F">
        <w:rPr>
          <w:rFonts w:ascii="Times New Roman" w:hAnsi="Times New Roman" w:cs="Times New Roman"/>
          <w:sz w:val="24"/>
          <w:lang w:val="en-IN"/>
        </w:rPr>
        <w:t xml:space="preserve">. Available through: </w:t>
      </w:r>
      <w:hyperlink r:id="rId42" w:history="1">
        <w:r w:rsidRPr="0096048F">
          <w:rPr>
            <w:rStyle w:val="Hyperlink"/>
            <w:rFonts w:ascii="Times New Roman" w:hAnsi="Times New Roman" w:cs="Times New Roman"/>
            <w:sz w:val="24"/>
            <w:lang w:val="en-IN"/>
          </w:rPr>
          <w:t>https://www.ilo.org/topics/forced-labour-modern-slavery-and-trafficking-persons/data-and-research-forced-labour</w:t>
        </w:r>
      </w:hyperlink>
      <w:r w:rsidRPr="0096048F">
        <w:rPr>
          <w:rFonts w:ascii="Times New Roman" w:hAnsi="Times New Roman" w:cs="Times New Roman"/>
          <w:sz w:val="24"/>
          <w:lang w:val="en-IN"/>
        </w:rPr>
        <w:t xml:space="preserve"> [Accessed 11 November 2025].</w:t>
      </w:r>
    </w:p>
    <w:p w14:paraId="167ED667" w14:textId="77777777" w:rsidR="0096048F" w:rsidRPr="001A483F" w:rsidRDefault="0096048F" w:rsidP="001A483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Imf</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IMF Executive Board Concludes 2024 Article IV Consultation with the People's Republic of China</w:t>
      </w:r>
      <w:r w:rsidRPr="0096048F">
        <w:rPr>
          <w:rFonts w:ascii="Times New Roman" w:hAnsi="Times New Roman" w:cs="Times New Roman"/>
          <w:sz w:val="24"/>
          <w:lang w:val="en-IN"/>
        </w:rPr>
        <w:t xml:space="preserve">. Available through: </w:t>
      </w:r>
      <w:hyperlink r:id="rId43" w:history="1">
        <w:r w:rsidRPr="0096048F">
          <w:rPr>
            <w:rStyle w:val="Hyperlink"/>
            <w:rFonts w:ascii="Times New Roman" w:hAnsi="Times New Roman" w:cs="Times New Roman"/>
            <w:sz w:val="24"/>
            <w:lang w:val="en-IN"/>
          </w:rPr>
          <w:t>https://www.imf.org/en/news/articles/2024/07/31/pr24295-china-imf-exec-board-concludes-2024-art-iv-consult</w:t>
        </w:r>
      </w:hyperlink>
      <w:r w:rsidRPr="0096048F">
        <w:rPr>
          <w:rFonts w:ascii="Times New Roman" w:hAnsi="Times New Roman" w:cs="Times New Roman"/>
          <w:sz w:val="24"/>
          <w:lang w:val="en-IN"/>
        </w:rPr>
        <w:t xml:space="preserve"> [Accessed 14 November 2025].</w:t>
      </w:r>
      <w:r w:rsidRPr="001A483F">
        <w:rPr>
          <w:rFonts w:ascii="Times New Roman" w:hAnsi="Times New Roman" w:cs="Times New Roman"/>
          <w:sz w:val="24"/>
          <w:lang w:val="en-IN"/>
        </w:rPr>
        <w:t xml:space="preserve"> </w:t>
      </w:r>
    </w:p>
    <w:p w14:paraId="1AF3E7F1"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Instagram, 2025. </w:t>
      </w:r>
      <w:r w:rsidRPr="0096048F">
        <w:rPr>
          <w:rFonts w:ascii="Times New Roman" w:hAnsi="Times New Roman" w:cs="Times New Roman"/>
          <w:i/>
          <w:iCs/>
          <w:sz w:val="24"/>
          <w:lang w:val="en-IN"/>
        </w:rPr>
        <w:t>BMW</w:t>
      </w:r>
      <w:r w:rsidRPr="0096048F">
        <w:rPr>
          <w:rFonts w:ascii="Times New Roman" w:hAnsi="Times New Roman" w:cs="Times New Roman"/>
          <w:sz w:val="24"/>
          <w:lang w:val="en-IN"/>
        </w:rPr>
        <w:t xml:space="preserve">. Available through: </w:t>
      </w:r>
      <w:hyperlink r:id="rId44" w:history="1">
        <w:r w:rsidRPr="0096048F">
          <w:rPr>
            <w:rStyle w:val="Hyperlink"/>
            <w:rFonts w:ascii="Times New Roman" w:hAnsi="Times New Roman" w:cs="Times New Roman"/>
            <w:sz w:val="24"/>
            <w:lang w:val="en-IN"/>
          </w:rPr>
          <w:t>https://www.instagram.com/bmw/</w:t>
        </w:r>
      </w:hyperlink>
      <w:r w:rsidRPr="0096048F">
        <w:rPr>
          <w:rFonts w:ascii="Times New Roman" w:hAnsi="Times New Roman" w:cs="Times New Roman"/>
          <w:sz w:val="24"/>
          <w:lang w:val="en-IN"/>
        </w:rPr>
        <w:t xml:space="preserve"> [Accessed 13 November 2025].</w:t>
      </w:r>
    </w:p>
    <w:p w14:paraId="1A15B6B6"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Interbrand, 2023. </w:t>
      </w:r>
      <w:r w:rsidRPr="0096048F">
        <w:rPr>
          <w:rFonts w:ascii="Times New Roman" w:hAnsi="Times New Roman" w:cs="Times New Roman"/>
          <w:i/>
          <w:iCs/>
          <w:sz w:val="24"/>
          <w:lang w:val="en-IN"/>
        </w:rPr>
        <w:t>Best Global Brands 2023</w:t>
      </w:r>
      <w:r w:rsidRPr="0096048F">
        <w:rPr>
          <w:rFonts w:ascii="Times New Roman" w:hAnsi="Times New Roman" w:cs="Times New Roman"/>
          <w:sz w:val="24"/>
          <w:lang w:val="en-IN"/>
        </w:rPr>
        <w:t xml:space="preserve">. Available through: </w:t>
      </w:r>
      <w:hyperlink r:id="rId45" w:history="1">
        <w:r w:rsidRPr="0096048F">
          <w:rPr>
            <w:rStyle w:val="Hyperlink"/>
            <w:rFonts w:ascii="Times New Roman" w:hAnsi="Times New Roman" w:cs="Times New Roman"/>
            <w:sz w:val="24"/>
            <w:lang w:val="en-IN"/>
          </w:rPr>
          <w:t>https://interbrand.com/best-global-brands/global/2023-report</w:t>
        </w:r>
      </w:hyperlink>
      <w:r w:rsidRPr="0096048F">
        <w:rPr>
          <w:rFonts w:ascii="Times New Roman" w:hAnsi="Times New Roman" w:cs="Times New Roman"/>
          <w:sz w:val="24"/>
          <w:lang w:val="en-IN"/>
        </w:rPr>
        <w:t xml:space="preserve"> [Accessed 15 November 2025].</w:t>
      </w:r>
    </w:p>
    <w:p w14:paraId="4E0F1365"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Kpmg</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KPMG's 23rd Annual Global Automotive Executive Survey</w:t>
      </w:r>
      <w:r w:rsidRPr="0096048F">
        <w:rPr>
          <w:rFonts w:ascii="Times New Roman" w:hAnsi="Times New Roman" w:cs="Times New Roman"/>
          <w:sz w:val="24"/>
          <w:lang w:val="en-IN"/>
        </w:rPr>
        <w:t xml:space="preserve">. Available through: </w:t>
      </w:r>
      <w:hyperlink r:id="rId46" w:history="1">
        <w:r w:rsidRPr="0096048F">
          <w:rPr>
            <w:rStyle w:val="Hyperlink"/>
            <w:rFonts w:ascii="Times New Roman" w:hAnsi="Times New Roman" w:cs="Times New Roman"/>
            <w:sz w:val="24"/>
            <w:lang w:val="en-IN"/>
          </w:rPr>
          <w:t>https://kpmg.com/th/en/home/media/press-releases/2023/02/press-release-kpmg-automotive-vehicle-survey-english.html</w:t>
        </w:r>
      </w:hyperlink>
      <w:r w:rsidRPr="0096048F">
        <w:rPr>
          <w:rFonts w:ascii="Times New Roman" w:hAnsi="Times New Roman" w:cs="Times New Roman"/>
          <w:sz w:val="24"/>
          <w:lang w:val="en-IN"/>
        </w:rPr>
        <w:t xml:space="preserve"> [Accessed 11 November 2025].</w:t>
      </w:r>
    </w:p>
    <w:p w14:paraId="3367FB22"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Marklines</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Automotive-sales-in-germany-by-month-2023</w:t>
      </w:r>
      <w:r w:rsidRPr="0096048F">
        <w:rPr>
          <w:rFonts w:ascii="Times New Roman" w:hAnsi="Times New Roman" w:cs="Times New Roman"/>
          <w:sz w:val="24"/>
          <w:lang w:val="en-IN"/>
        </w:rPr>
        <w:t xml:space="preserve">. Available through: </w:t>
      </w:r>
      <w:hyperlink r:id="rId47" w:history="1">
        <w:r w:rsidRPr="0096048F">
          <w:rPr>
            <w:rStyle w:val="Hyperlink"/>
            <w:rFonts w:ascii="Times New Roman" w:hAnsi="Times New Roman" w:cs="Times New Roman"/>
            <w:sz w:val="24"/>
            <w:lang w:val="en-IN"/>
          </w:rPr>
          <w:t>https://www.marklines.com/en/statistics/flash_sales/automotive-sales-in-germany-by-month-2023</w:t>
        </w:r>
      </w:hyperlink>
      <w:r w:rsidRPr="0096048F">
        <w:rPr>
          <w:rFonts w:ascii="Times New Roman" w:hAnsi="Times New Roman" w:cs="Times New Roman"/>
          <w:sz w:val="24"/>
          <w:lang w:val="en-IN"/>
        </w:rPr>
        <w:t xml:space="preserve"> [Accessed 14 November 2025].</w:t>
      </w:r>
    </w:p>
    <w:p w14:paraId="371A2157"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Mckinsey</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McKinsey China Auto Consumer Insights 2024</w:t>
      </w:r>
      <w:r w:rsidRPr="0096048F">
        <w:rPr>
          <w:rFonts w:ascii="Times New Roman" w:hAnsi="Times New Roman" w:cs="Times New Roman"/>
          <w:sz w:val="24"/>
          <w:lang w:val="en-IN"/>
        </w:rPr>
        <w:t xml:space="preserve">. Available through: </w:t>
      </w:r>
      <w:hyperlink r:id="rId48" w:history="1">
        <w:r w:rsidRPr="0096048F">
          <w:rPr>
            <w:rStyle w:val="Hyperlink"/>
            <w:rFonts w:ascii="Times New Roman" w:hAnsi="Times New Roman" w:cs="Times New Roman"/>
            <w:sz w:val="24"/>
            <w:lang w:val="en-IN"/>
          </w:rPr>
          <w:t>https://www.mckinsey.com/~/media/mckinsey/industries/automotive%20and%20assembly/our%20insights/mckinsey%20china%20auto%20consumer%20insights%202024/mckinsey-china-auto-consumer-insights-2024-evolution-not-involution.pdf</w:t>
        </w:r>
      </w:hyperlink>
      <w:r w:rsidRPr="0096048F">
        <w:rPr>
          <w:rFonts w:ascii="Times New Roman" w:hAnsi="Times New Roman" w:cs="Times New Roman"/>
          <w:sz w:val="24"/>
          <w:lang w:val="en-IN"/>
        </w:rPr>
        <w:t xml:space="preserve"> [Accessed 16 November 2025].</w:t>
      </w:r>
    </w:p>
    <w:p w14:paraId="007DE638"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Mckinsey</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Boosting auto sales productivity: A playbook for excellence</w:t>
      </w:r>
      <w:r w:rsidRPr="0096048F">
        <w:rPr>
          <w:rFonts w:ascii="Times New Roman" w:hAnsi="Times New Roman" w:cs="Times New Roman"/>
          <w:sz w:val="24"/>
          <w:lang w:val="en-IN"/>
        </w:rPr>
        <w:t xml:space="preserve">. Available through: </w:t>
      </w:r>
      <w:hyperlink r:id="rId49" w:history="1">
        <w:r w:rsidRPr="0096048F">
          <w:rPr>
            <w:rStyle w:val="Hyperlink"/>
            <w:rFonts w:ascii="Times New Roman" w:hAnsi="Times New Roman" w:cs="Times New Roman"/>
            <w:sz w:val="24"/>
            <w:lang w:val="en-IN"/>
          </w:rPr>
          <w:t>https://www.mckinsey.com/industries/automotive-and-assembly/our-insights/boosting-auto-sales-productivity-a-playbook-for-excellence</w:t>
        </w:r>
      </w:hyperlink>
      <w:r w:rsidRPr="0096048F">
        <w:rPr>
          <w:rFonts w:ascii="Times New Roman" w:hAnsi="Times New Roman" w:cs="Times New Roman"/>
          <w:sz w:val="24"/>
          <w:lang w:val="en-IN"/>
        </w:rPr>
        <w:t xml:space="preserve"> [Accessed 12 November 2025].</w:t>
      </w:r>
    </w:p>
    <w:p w14:paraId="78F59D20"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News, 2022. </w:t>
      </w:r>
      <w:r w:rsidRPr="0096048F">
        <w:rPr>
          <w:rFonts w:ascii="Times New Roman" w:hAnsi="Times New Roman" w:cs="Times New Roman"/>
          <w:i/>
          <w:iCs/>
          <w:sz w:val="24"/>
          <w:lang w:val="en-IN"/>
        </w:rPr>
        <w:t>BMW acquires 75 pct stake in China joint venture</w:t>
      </w:r>
      <w:r w:rsidRPr="0096048F">
        <w:rPr>
          <w:rFonts w:ascii="Times New Roman" w:hAnsi="Times New Roman" w:cs="Times New Roman"/>
          <w:sz w:val="24"/>
          <w:lang w:val="en-IN"/>
        </w:rPr>
        <w:t xml:space="preserve">. Available through: </w:t>
      </w:r>
      <w:hyperlink r:id="rId50" w:history="1">
        <w:r w:rsidRPr="0096048F">
          <w:rPr>
            <w:rStyle w:val="Hyperlink"/>
            <w:rFonts w:ascii="Times New Roman" w:hAnsi="Times New Roman" w:cs="Times New Roman"/>
            <w:sz w:val="24"/>
            <w:lang w:val="en-IN"/>
          </w:rPr>
          <w:t>https://english.news.cn/europe/20220211/820305145efb4c8b86812ba0a42f7c9b/c.html</w:t>
        </w:r>
      </w:hyperlink>
      <w:r w:rsidRPr="0096048F">
        <w:rPr>
          <w:rFonts w:ascii="Times New Roman" w:hAnsi="Times New Roman" w:cs="Times New Roman"/>
          <w:sz w:val="24"/>
          <w:lang w:val="en-IN"/>
        </w:rPr>
        <w:t xml:space="preserve"> [Accessed 14 November 2025].</w:t>
      </w:r>
    </w:p>
    <w:p w14:paraId="0199C9F8"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Pwc</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Electric Vehicle Sales Review Q1 2025</w:t>
      </w:r>
      <w:r w:rsidRPr="0096048F">
        <w:rPr>
          <w:rFonts w:ascii="Times New Roman" w:hAnsi="Times New Roman" w:cs="Times New Roman"/>
          <w:sz w:val="24"/>
          <w:lang w:val="en-IN"/>
        </w:rPr>
        <w:t xml:space="preserve">. Available through: </w:t>
      </w:r>
      <w:hyperlink r:id="rId51" w:history="1">
        <w:r w:rsidRPr="0096048F">
          <w:rPr>
            <w:rStyle w:val="Hyperlink"/>
            <w:rFonts w:ascii="Times New Roman" w:hAnsi="Times New Roman" w:cs="Times New Roman"/>
            <w:sz w:val="24"/>
            <w:lang w:val="en-IN"/>
          </w:rPr>
          <w:t>https://www.pwc.com/my/en/assets/pdf/ev-sales-review-q1-2025.pdf</w:t>
        </w:r>
      </w:hyperlink>
      <w:r w:rsidRPr="0096048F">
        <w:rPr>
          <w:rFonts w:ascii="Times New Roman" w:hAnsi="Times New Roman" w:cs="Times New Roman"/>
          <w:sz w:val="24"/>
          <w:lang w:val="en-IN"/>
        </w:rPr>
        <w:t xml:space="preserve"> [Accessed 11 November 2025].</w:t>
      </w:r>
    </w:p>
    <w:p w14:paraId="03E5D8FC"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Pwc</w:t>
      </w:r>
      <w:proofErr w:type="spellEnd"/>
      <w:r w:rsidRPr="0096048F">
        <w:rPr>
          <w:rFonts w:ascii="Times New Roman" w:hAnsi="Times New Roman" w:cs="Times New Roman"/>
          <w:sz w:val="24"/>
          <w:lang w:val="en-IN"/>
        </w:rPr>
        <w:t xml:space="preserve">, 2025. </w:t>
      </w:r>
      <w:r w:rsidRPr="0096048F">
        <w:rPr>
          <w:rFonts w:ascii="Times New Roman" w:hAnsi="Times New Roman" w:cs="Times New Roman"/>
          <w:i/>
          <w:iCs/>
          <w:sz w:val="24"/>
          <w:lang w:val="en-IN"/>
        </w:rPr>
        <w:t>The Future of Automotive Retail</w:t>
      </w:r>
      <w:r w:rsidRPr="0096048F">
        <w:rPr>
          <w:rFonts w:ascii="Times New Roman" w:hAnsi="Times New Roman" w:cs="Times New Roman"/>
          <w:sz w:val="24"/>
          <w:lang w:val="en-IN"/>
        </w:rPr>
        <w:t xml:space="preserve">. Available through: </w:t>
      </w:r>
      <w:hyperlink r:id="rId52" w:history="1">
        <w:r w:rsidRPr="0096048F">
          <w:rPr>
            <w:rStyle w:val="Hyperlink"/>
            <w:rFonts w:ascii="Times New Roman" w:hAnsi="Times New Roman" w:cs="Times New Roman"/>
            <w:sz w:val="24"/>
            <w:lang w:val="en-IN"/>
          </w:rPr>
          <w:t>https://www.pwc.de/en/automotive-industry/the-future-of-automotive-retail.html</w:t>
        </w:r>
      </w:hyperlink>
      <w:r w:rsidRPr="0096048F">
        <w:rPr>
          <w:rFonts w:ascii="Times New Roman" w:hAnsi="Times New Roman" w:cs="Times New Roman"/>
          <w:sz w:val="24"/>
          <w:lang w:val="en-IN"/>
        </w:rPr>
        <w:t xml:space="preserve"> [Accessed 15 November 2025].</w:t>
      </w:r>
    </w:p>
    <w:p w14:paraId="23C1DD45"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Reuters, 2023. </w:t>
      </w:r>
      <w:r w:rsidRPr="0096048F">
        <w:rPr>
          <w:rFonts w:ascii="Times New Roman" w:hAnsi="Times New Roman" w:cs="Times New Roman"/>
          <w:i/>
          <w:iCs/>
          <w:sz w:val="24"/>
          <w:lang w:val="en-IN"/>
        </w:rPr>
        <w:t>BMW shares hit by 2023 margin disappointment, profit drop</w:t>
      </w:r>
      <w:r w:rsidRPr="0096048F">
        <w:rPr>
          <w:rFonts w:ascii="Times New Roman" w:hAnsi="Times New Roman" w:cs="Times New Roman"/>
          <w:sz w:val="24"/>
          <w:lang w:val="en-IN"/>
        </w:rPr>
        <w:t xml:space="preserve">. Available through: </w:t>
      </w:r>
      <w:hyperlink r:id="rId53" w:history="1">
        <w:r w:rsidRPr="0096048F">
          <w:rPr>
            <w:rStyle w:val="Hyperlink"/>
            <w:rFonts w:ascii="Times New Roman" w:hAnsi="Times New Roman" w:cs="Times New Roman"/>
            <w:sz w:val="24"/>
            <w:lang w:val="en-IN"/>
          </w:rPr>
          <w:t>https://www.reuters.com/business/autos-transportation/bmws-q4-automotive-margin-beats-expectations-2024-03-14</w:t>
        </w:r>
      </w:hyperlink>
      <w:r w:rsidRPr="0096048F">
        <w:rPr>
          <w:rFonts w:ascii="Times New Roman" w:hAnsi="Times New Roman" w:cs="Times New Roman"/>
          <w:sz w:val="24"/>
          <w:lang w:val="en-IN"/>
        </w:rPr>
        <w:t xml:space="preserve"> [Accessed 13 November 2025].</w:t>
      </w:r>
    </w:p>
    <w:p w14:paraId="5F525500"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Spglobal</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Daily Update: September 26, 2024</w:t>
      </w:r>
      <w:r w:rsidRPr="0096048F">
        <w:rPr>
          <w:rFonts w:ascii="Times New Roman" w:hAnsi="Times New Roman" w:cs="Times New Roman"/>
          <w:sz w:val="24"/>
          <w:lang w:val="en-IN"/>
        </w:rPr>
        <w:t xml:space="preserve">. Available through: </w:t>
      </w:r>
      <w:hyperlink r:id="rId54" w:history="1">
        <w:r w:rsidRPr="0096048F">
          <w:rPr>
            <w:rStyle w:val="Hyperlink"/>
            <w:rFonts w:ascii="Times New Roman" w:hAnsi="Times New Roman" w:cs="Times New Roman"/>
            <w:sz w:val="24"/>
            <w:lang w:val="en-IN"/>
          </w:rPr>
          <w:t>https://www.spglobal.com/en/research-insights/market-insights/daily-update-september-26-2024</w:t>
        </w:r>
      </w:hyperlink>
      <w:r w:rsidRPr="0096048F">
        <w:rPr>
          <w:rFonts w:ascii="Times New Roman" w:hAnsi="Times New Roman" w:cs="Times New Roman"/>
          <w:sz w:val="24"/>
          <w:lang w:val="en-IN"/>
        </w:rPr>
        <w:t xml:space="preserve"> [Accessed 16 November 2025].</w:t>
      </w:r>
    </w:p>
    <w:p w14:paraId="7493DAA5" w14:textId="77777777" w:rsidR="0096048F" w:rsidRPr="0096048F" w:rsidRDefault="0096048F" w:rsidP="0096048F">
      <w:pPr>
        <w:spacing w:line="360" w:lineRule="auto"/>
        <w:jc w:val="both"/>
        <w:rPr>
          <w:rFonts w:ascii="Times New Roman" w:hAnsi="Times New Roman" w:cs="Times New Roman"/>
          <w:sz w:val="24"/>
          <w:lang w:val="en-IN"/>
        </w:rPr>
      </w:pPr>
      <w:r w:rsidRPr="0096048F">
        <w:rPr>
          <w:rFonts w:ascii="Times New Roman" w:hAnsi="Times New Roman" w:cs="Times New Roman"/>
          <w:sz w:val="24"/>
          <w:lang w:val="en-IN"/>
        </w:rPr>
        <w:t xml:space="preserve">Tencent, 2024. </w:t>
      </w:r>
      <w:r w:rsidRPr="0096048F">
        <w:rPr>
          <w:rFonts w:ascii="Times New Roman" w:hAnsi="Times New Roman" w:cs="Times New Roman"/>
          <w:i/>
          <w:iCs/>
          <w:sz w:val="24"/>
          <w:lang w:val="en-IN"/>
        </w:rPr>
        <w:t>For Immediate Release</w:t>
      </w:r>
      <w:r w:rsidRPr="0096048F">
        <w:rPr>
          <w:rFonts w:ascii="Times New Roman" w:hAnsi="Times New Roman" w:cs="Times New Roman"/>
          <w:sz w:val="24"/>
          <w:lang w:val="en-IN"/>
        </w:rPr>
        <w:t xml:space="preserve">. Available through: </w:t>
      </w:r>
      <w:hyperlink r:id="rId55" w:history="1">
        <w:r w:rsidRPr="0096048F">
          <w:rPr>
            <w:rStyle w:val="Hyperlink"/>
            <w:rFonts w:ascii="Times New Roman" w:hAnsi="Times New Roman" w:cs="Times New Roman"/>
            <w:sz w:val="24"/>
            <w:lang w:val="en-IN"/>
          </w:rPr>
          <w:t>https://static.www.tencent.com/uploads/2025/03/19/81cb1f36bec218d27d6e0b24eec012b6.pdf</w:t>
        </w:r>
      </w:hyperlink>
      <w:r w:rsidRPr="0096048F">
        <w:rPr>
          <w:rFonts w:ascii="Times New Roman" w:hAnsi="Times New Roman" w:cs="Times New Roman"/>
          <w:sz w:val="24"/>
          <w:lang w:val="en-IN"/>
        </w:rPr>
        <w:t xml:space="preserve"> [Accessed 12 November 2025].</w:t>
      </w:r>
    </w:p>
    <w:p w14:paraId="6737D4EA"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Transparencycdn</w:t>
      </w:r>
      <w:proofErr w:type="spellEnd"/>
      <w:r w:rsidRPr="0096048F">
        <w:rPr>
          <w:rFonts w:ascii="Times New Roman" w:hAnsi="Times New Roman" w:cs="Times New Roman"/>
          <w:sz w:val="24"/>
          <w:lang w:val="en-IN"/>
        </w:rPr>
        <w:t xml:space="preserve">, 2023. </w:t>
      </w:r>
      <w:r w:rsidRPr="0096048F">
        <w:rPr>
          <w:rFonts w:ascii="Times New Roman" w:hAnsi="Times New Roman" w:cs="Times New Roman"/>
          <w:i/>
          <w:iCs/>
          <w:sz w:val="24"/>
          <w:lang w:val="en-IN"/>
        </w:rPr>
        <w:t>CORRUPTION PERCEPTIONS INDEX</w:t>
      </w:r>
      <w:r w:rsidRPr="0096048F">
        <w:rPr>
          <w:rFonts w:ascii="Times New Roman" w:hAnsi="Times New Roman" w:cs="Times New Roman"/>
          <w:sz w:val="24"/>
          <w:lang w:val="en-IN"/>
        </w:rPr>
        <w:t xml:space="preserve">. Available through: </w:t>
      </w:r>
      <w:hyperlink r:id="rId56" w:history="1">
        <w:r w:rsidRPr="0096048F">
          <w:rPr>
            <w:rStyle w:val="Hyperlink"/>
            <w:rFonts w:ascii="Times New Roman" w:hAnsi="Times New Roman" w:cs="Times New Roman"/>
            <w:sz w:val="24"/>
            <w:lang w:val="en-IN"/>
          </w:rPr>
          <w:t>https://files.transparencycdn.org/images/CPI-2023-Report.pdf</w:t>
        </w:r>
      </w:hyperlink>
      <w:r w:rsidRPr="0096048F">
        <w:rPr>
          <w:rFonts w:ascii="Times New Roman" w:hAnsi="Times New Roman" w:cs="Times New Roman"/>
          <w:sz w:val="24"/>
          <w:lang w:val="en-IN"/>
        </w:rPr>
        <w:t xml:space="preserve"> [Accessed 14 November 2025].</w:t>
      </w:r>
    </w:p>
    <w:p w14:paraId="63F00147"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Unfccc</w:t>
      </w:r>
      <w:proofErr w:type="spellEnd"/>
      <w:r w:rsidRPr="0096048F">
        <w:rPr>
          <w:rFonts w:ascii="Times New Roman" w:hAnsi="Times New Roman" w:cs="Times New Roman"/>
          <w:sz w:val="24"/>
          <w:lang w:val="en-IN"/>
        </w:rPr>
        <w:t xml:space="preserve">, 2022. </w:t>
      </w:r>
      <w:r w:rsidRPr="0096048F">
        <w:rPr>
          <w:rFonts w:ascii="Times New Roman" w:hAnsi="Times New Roman" w:cs="Times New Roman"/>
          <w:i/>
          <w:iCs/>
          <w:sz w:val="24"/>
          <w:lang w:val="en-IN"/>
        </w:rPr>
        <w:t>China's Achievements, New Goals and New Measures for Nationally Determined Contributions</w:t>
      </w:r>
      <w:r w:rsidRPr="0096048F">
        <w:rPr>
          <w:rFonts w:ascii="Times New Roman" w:hAnsi="Times New Roman" w:cs="Times New Roman"/>
          <w:sz w:val="24"/>
          <w:lang w:val="en-IN"/>
        </w:rPr>
        <w:t xml:space="preserve">. Available through: </w:t>
      </w:r>
      <w:hyperlink r:id="rId57" w:history="1">
        <w:r w:rsidRPr="0096048F">
          <w:rPr>
            <w:rStyle w:val="Hyperlink"/>
            <w:rFonts w:ascii="Times New Roman" w:hAnsi="Times New Roman" w:cs="Times New Roman"/>
            <w:sz w:val="24"/>
            <w:lang w:val="en-IN"/>
          </w:rPr>
          <w:t>https://unfccc.int/sites/default/files/NDC/2022-06/China%E2%80%99s%20Achievements%2C%20New%20Goals%20and%20New%20Measures%20for%20Nationally%20Determined%20Contributions.pdf</w:t>
        </w:r>
      </w:hyperlink>
      <w:r w:rsidRPr="0096048F">
        <w:rPr>
          <w:rFonts w:ascii="Times New Roman" w:hAnsi="Times New Roman" w:cs="Times New Roman"/>
          <w:sz w:val="24"/>
          <w:lang w:val="en-IN"/>
        </w:rPr>
        <w:t xml:space="preserve"> [Accessed 11 November 2025].</w:t>
      </w:r>
    </w:p>
    <w:p w14:paraId="096DECB2" w14:textId="77777777" w:rsidR="0096048F" w:rsidRPr="0096048F" w:rsidRDefault="0096048F" w:rsidP="001A483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Unfccc</w:t>
      </w:r>
      <w:proofErr w:type="spellEnd"/>
      <w:r w:rsidRPr="0096048F">
        <w:rPr>
          <w:rFonts w:ascii="Times New Roman" w:hAnsi="Times New Roman" w:cs="Times New Roman"/>
          <w:sz w:val="24"/>
          <w:lang w:val="en-IN"/>
        </w:rPr>
        <w:t xml:space="preserve">, 2022a. </w:t>
      </w:r>
      <w:r w:rsidRPr="0096048F">
        <w:rPr>
          <w:rFonts w:ascii="Times New Roman" w:hAnsi="Times New Roman" w:cs="Times New Roman"/>
          <w:i/>
          <w:iCs/>
          <w:sz w:val="24"/>
          <w:lang w:val="en-IN"/>
        </w:rPr>
        <w:t>China's Mid-Century Long-Term Low Greenhouse Gas Emission Development Strategy</w:t>
      </w:r>
      <w:r w:rsidRPr="0096048F">
        <w:rPr>
          <w:rFonts w:ascii="Times New Roman" w:hAnsi="Times New Roman" w:cs="Times New Roman"/>
          <w:sz w:val="24"/>
          <w:lang w:val="en-IN"/>
        </w:rPr>
        <w:t xml:space="preserve">. Available through: </w:t>
      </w:r>
      <w:hyperlink r:id="rId58" w:history="1">
        <w:r w:rsidRPr="0096048F">
          <w:rPr>
            <w:rStyle w:val="Hyperlink"/>
            <w:rFonts w:ascii="Times New Roman" w:hAnsi="Times New Roman" w:cs="Times New Roman"/>
            <w:sz w:val="24"/>
            <w:lang w:val="en-IN"/>
          </w:rPr>
          <w:t>https://unfccc.int/sites/default/files/resource/China%E2%80%99s%20Mid-Century%20Long-Term%20Low%20Greenhouse%20Gas%20Emission%20Development%20Strategy.pdf</w:t>
        </w:r>
      </w:hyperlink>
      <w:r w:rsidRPr="0096048F">
        <w:rPr>
          <w:rFonts w:ascii="Times New Roman" w:hAnsi="Times New Roman" w:cs="Times New Roman"/>
          <w:sz w:val="24"/>
          <w:lang w:val="en-IN"/>
        </w:rPr>
        <w:t xml:space="preserve"> [Accessed 15 November 2025].</w:t>
      </w:r>
      <w:r w:rsidRPr="001A483F">
        <w:rPr>
          <w:rFonts w:ascii="Times New Roman" w:hAnsi="Times New Roman" w:cs="Times New Roman"/>
          <w:sz w:val="24"/>
        </w:rPr>
        <w:t xml:space="preserve"> </w:t>
      </w:r>
    </w:p>
    <w:p w14:paraId="591E0B5B" w14:textId="77777777" w:rsidR="0096048F" w:rsidRPr="0096048F" w:rsidRDefault="0096048F" w:rsidP="0096048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Vda</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Charging Network Ranking: an Overview</w:t>
      </w:r>
      <w:r w:rsidRPr="0096048F">
        <w:rPr>
          <w:rFonts w:ascii="Times New Roman" w:hAnsi="Times New Roman" w:cs="Times New Roman"/>
          <w:sz w:val="24"/>
          <w:lang w:val="en-IN"/>
        </w:rPr>
        <w:t xml:space="preserve">. Available through: </w:t>
      </w:r>
      <w:hyperlink r:id="rId59" w:history="1">
        <w:r w:rsidRPr="0096048F">
          <w:rPr>
            <w:rStyle w:val="Hyperlink"/>
            <w:rFonts w:ascii="Times New Roman" w:hAnsi="Times New Roman" w:cs="Times New Roman"/>
            <w:sz w:val="24"/>
            <w:lang w:val="en-IN"/>
          </w:rPr>
          <w:t>https://www.vda.de/en/topics/electromobility/charging-network-ranking-an-overview</w:t>
        </w:r>
      </w:hyperlink>
      <w:r w:rsidRPr="0096048F">
        <w:rPr>
          <w:rFonts w:ascii="Times New Roman" w:hAnsi="Times New Roman" w:cs="Times New Roman"/>
          <w:sz w:val="24"/>
          <w:lang w:val="en-IN"/>
        </w:rPr>
        <w:t xml:space="preserve"> [Accessed 13 November 2025].</w:t>
      </w:r>
    </w:p>
    <w:p w14:paraId="70A67FB7" w14:textId="77777777" w:rsidR="0096048F" w:rsidRDefault="0096048F" w:rsidP="001A483F">
      <w:pPr>
        <w:spacing w:line="360" w:lineRule="auto"/>
        <w:jc w:val="both"/>
        <w:rPr>
          <w:rFonts w:ascii="Times New Roman" w:hAnsi="Times New Roman" w:cs="Times New Roman"/>
          <w:sz w:val="24"/>
          <w:lang w:val="en-IN"/>
        </w:rPr>
      </w:pPr>
      <w:proofErr w:type="spellStart"/>
      <w:r w:rsidRPr="0096048F">
        <w:rPr>
          <w:rFonts w:ascii="Times New Roman" w:hAnsi="Times New Roman" w:cs="Times New Roman"/>
          <w:sz w:val="24"/>
          <w:lang w:val="en-IN"/>
        </w:rPr>
        <w:t>Wsj</w:t>
      </w:r>
      <w:proofErr w:type="spellEnd"/>
      <w:r w:rsidRPr="0096048F">
        <w:rPr>
          <w:rFonts w:ascii="Times New Roman" w:hAnsi="Times New Roman" w:cs="Times New Roman"/>
          <w:sz w:val="24"/>
          <w:lang w:val="en-IN"/>
        </w:rPr>
        <w:t xml:space="preserve">, 2024. </w:t>
      </w:r>
      <w:r w:rsidRPr="0096048F">
        <w:rPr>
          <w:rFonts w:ascii="Times New Roman" w:hAnsi="Times New Roman" w:cs="Times New Roman"/>
          <w:i/>
          <w:iCs/>
          <w:sz w:val="24"/>
          <w:lang w:val="en-IN"/>
        </w:rPr>
        <w:t>BMW Plans $2.8 Billion China Factory Update to Boost EV Production</w:t>
      </w:r>
      <w:r w:rsidRPr="0096048F">
        <w:rPr>
          <w:rFonts w:ascii="Times New Roman" w:hAnsi="Times New Roman" w:cs="Times New Roman"/>
          <w:sz w:val="24"/>
          <w:lang w:val="en-IN"/>
        </w:rPr>
        <w:t xml:space="preserve">. Available through: </w:t>
      </w:r>
      <w:hyperlink r:id="rId60" w:history="1">
        <w:r w:rsidRPr="0096048F">
          <w:rPr>
            <w:rStyle w:val="Hyperlink"/>
            <w:rFonts w:ascii="Times New Roman" w:hAnsi="Times New Roman" w:cs="Times New Roman"/>
            <w:sz w:val="24"/>
            <w:lang w:val="en-IN"/>
          </w:rPr>
          <w:t>https://www.wsj.com/world/china/bmw-plans-2-8-billion-china-factory-update-to-boost-ev-production-3b7903a1</w:t>
        </w:r>
      </w:hyperlink>
      <w:r w:rsidRPr="0096048F">
        <w:rPr>
          <w:rFonts w:ascii="Times New Roman" w:hAnsi="Times New Roman" w:cs="Times New Roman"/>
          <w:sz w:val="24"/>
          <w:lang w:val="en-IN"/>
        </w:rPr>
        <w:t xml:space="preserve"> [Accessed 16 November 2025].</w:t>
      </w:r>
      <w:r w:rsidRPr="001A483F">
        <w:rPr>
          <w:rFonts w:ascii="Times New Roman" w:hAnsi="Times New Roman" w:cs="Times New Roman"/>
          <w:sz w:val="24"/>
          <w:lang w:val="en-IN"/>
        </w:rPr>
        <w:t xml:space="preserve"> </w:t>
      </w:r>
    </w:p>
    <w:p w14:paraId="3E7E91A2" w14:textId="77777777" w:rsidR="00726E25" w:rsidRDefault="00726E25">
      <w:pPr>
        <w:rPr>
          <w:rFonts w:ascii="Times New Roman" w:hAnsi="Times New Roman" w:cs="Times New Roman"/>
          <w:sz w:val="24"/>
          <w:lang w:val="en-IN"/>
        </w:rPr>
      </w:pPr>
      <w:r>
        <w:rPr>
          <w:rFonts w:ascii="Times New Roman" w:hAnsi="Times New Roman" w:cs="Times New Roman"/>
          <w:sz w:val="24"/>
          <w:lang w:val="en-IN"/>
        </w:rPr>
        <w:br w:type="page"/>
      </w:r>
    </w:p>
    <w:p w14:paraId="18A5BAF6" w14:textId="77777777" w:rsidR="001A483F" w:rsidRPr="00726E25" w:rsidRDefault="00726E25" w:rsidP="00FA39B6">
      <w:pPr>
        <w:pStyle w:val="Heading1"/>
      </w:pPr>
      <w:bookmarkStart w:id="23" w:name="_Toc214145593"/>
      <w:r w:rsidRPr="00726E25">
        <w:t>Appendices</w:t>
      </w:r>
      <w:bookmarkEnd w:id="23"/>
    </w:p>
    <w:p w14:paraId="2902314E" w14:textId="77777777" w:rsidR="00726E25" w:rsidRPr="00726E25" w:rsidRDefault="00726E25" w:rsidP="00D923BC">
      <w:pPr>
        <w:pStyle w:val="Heading2"/>
      </w:pPr>
      <w:bookmarkStart w:id="24" w:name="_Toc214145594"/>
      <w:r w:rsidRPr="00726E25">
        <w:t>Appendix 1: Global electric car stock, 2013-2023</w:t>
      </w:r>
      <w:bookmarkEnd w:id="24"/>
    </w:p>
    <w:p w14:paraId="542A512E" w14:textId="77777777" w:rsidR="00726E25" w:rsidRPr="00561EED" w:rsidRDefault="00726E25" w:rsidP="00726E25">
      <w:pPr>
        <w:spacing w:after="0" w:line="360" w:lineRule="auto"/>
        <w:jc w:val="both"/>
        <w:rPr>
          <w:rFonts w:ascii="Times New Roman" w:hAnsi="Times New Roman" w:cs="Times New Roman"/>
          <w:sz w:val="24"/>
          <w:lang w:val="en-IN"/>
        </w:rPr>
      </w:pPr>
      <w:r w:rsidRPr="00726E25">
        <w:rPr>
          <w:rFonts w:ascii="Times New Roman" w:hAnsi="Times New Roman" w:cs="Times New Roman"/>
          <w:noProof/>
          <w:sz w:val="24"/>
          <w:lang w:val="en-IN"/>
        </w:rPr>
        <w:drawing>
          <wp:inline distT="0" distB="0" distL="0" distR="0" wp14:anchorId="40A73866" wp14:editId="6A2B8575">
            <wp:extent cx="5731510" cy="2679065"/>
            <wp:effectExtent l="19050" t="19050" r="21590" b="260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679065"/>
                    </a:xfrm>
                    <a:prstGeom prst="rect">
                      <a:avLst/>
                    </a:prstGeom>
                    <a:ln>
                      <a:solidFill>
                        <a:schemeClr val="tx1"/>
                      </a:solidFill>
                    </a:ln>
                  </pic:spPr>
                </pic:pic>
              </a:graphicData>
            </a:graphic>
          </wp:inline>
        </w:drawing>
      </w:r>
    </w:p>
    <w:p w14:paraId="7679355D" w14:textId="77777777" w:rsidR="00726E25" w:rsidRDefault="00726E25" w:rsidP="00726E25">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726E25">
        <w:rPr>
          <w:rFonts w:ascii="Times New Roman" w:hAnsi="Times New Roman" w:cs="Times New Roman"/>
          <w:sz w:val="24"/>
          <w:lang w:val="en-IN"/>
        </w:rPr>
        <w:t>https://www.iea.org/reports/global-ev-outlook-2024/trends-in-electric-cars</w:t>
      </w:r>
      <w:r>
        <w:rPr>
          <w:rFonts w:ascii="Times New Roman" w:hAnsi="Times New Roman" w:cs="Times New Roman"/>
          <w:sz w:val="24"/>
          <w:lang w:val="en-IN"/>
        </w:rPr>
        <w:t>)</w:t>
      </w:r>
    </w:p>
    <w:p w14:paraId="230120F4" w14:textId="77777777" w:rsidR="00726E25" w:rsidRDefault="00726E25">
      <w:pPr>
        <w:rPr>
          <w:rFonts w:ascii="Times New Roman" w:hAnsi="Times New Roman" w:cs="Times New Roman"/>
          <w:sz w:val="24"/>
          <w:lang w:val="en-IN"/>
        </w:rPr>
      </w:pPr>
      <w:r>
        <w:rPr>
          <w:rFonts w:ascii="Times New Roman" w:hAnsi="Times New Roman" w:cs="Times New Roman"/>
          <w:sz w:val="24"/>
          <w:lang w:val="en-IN"/>
        </w:rPr>
        <w:br w:type="page"/>
      </w:r>
    </w:p>
    <w:p w14:paraId="7D5A0754" w14:textId="77777777" w:rsidR="008B632A" w:rsidRDefault="00726E25" w:rsidP="00FA39B6">
      <w:pPr>
        <w:pStyle w:val="Heading2"/>
      </w:pPr>
      <w:bookmarkStart w:id="25" w:name="_Toc214145595"/>
      <w:r>
        <w:t xml:space="preserve">Appendix 2: </w:t>
      </w:r>
      <w:r w:rsidR="00FA39B6">
        <w:t>Automotive sales volume 2023</w:t>
      </w:r>
      <w:bookmarkEnd w:id="25"/>
    </w:p>
    <w:p w14:paraId="01D827CB" w14:textId="77777777" w:rsidR="00FA39B6" w:rsidRDefault="00FA39B6" w:rsidP="00726E25">
      <w:pPr>
        <w:spacing w:after="0" w:line="360" w:lineRule="auto"/>
        <w:rPr>
          <w:rFonts w:ascii="Times New Roman" w:hAnsi="Times New Roman" w:cs="Times New Roman"/>
          <w:sz w:val="24"/>
          <w:lang w:val="en-IN"/>
        </w:rPr>
      </w:pPr>
      <w:r w:rsidRPr="00FA39B6">
        <w:rPr>
          <w:rFonts w:ascii="Times New Roman" w:hAnsi="Times New Roman" w:cs="Times New Roman"/>
          <w:noProof/>
          <w:sz w:val="24"/>
          <w:lang w:val="en-IN"/>
        </w:rPr>
        <w:drawing>
          <wp:inline distT="0" distB="0" distL="0" distR="0" wp14:anchorId="22ABC2A1" wp14:editId="32566E42">
            <wp:extent cx="5731510" cy="3238500"/>
            <wp:effectExtent l="19050" t="19050" r="2159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238500"/>
                    </a:xfrm>
                    <a:prstGeom prst="rect">
                      <a:avLst/>
                    </a:prstGeom>
                    <a:ln>
                      <a:solidFill>
                        <a:schemeClr val="tx1"/>
                      </a:solidFill>
                    </a:ln>
                  </pic:spPr>
                </pic:pic>
              </a:graphicData>
            </a:graphic>
          </wp:inline>
        </w:drawing>
      </w:r>
    </w:p>
    <w:p w14:paraId="5C7B370A" w14:textId="77777777" w:rsidR="00FA39B6" w:rsidRPr="003255EC" w:rsidRDefault="00FA39B6" w:rsidP="00FA39B6">
      <w:pPr>
        <w:spacing w:after="0" w:line="360" w:lineRule="auto"/>
        <w:jc w:val="center"/>
        <w:rPr>
          <w:rFonts w:ascii="Times New Roman" w:hAnsi="Times New Roman" w:cs="Times New Roman"/>
          <w:sz w:val="24"/>
          <w:lang w:val="en-IN"/>
        </w:rPr>
      </w:pPr>
      <w:r>
        <w:rPr>
          <w:rFonts w:ascii="Times New Roman" w:hAnsi="Times New Roman" w:cs="Times New Roman"/>
          <w:sz w:val="24"/>
          <w:lang w:val="en-IN"/>
        </w:rPr>
        <w:t xml:space="preserve">(Source: </w:t>
      </w:r>
      <w:r w:rsidRPr="00FA39B6">
        <w:rPr>
          <w:rFonts w:ascii="Times New Roman" w:hAnsi="Times New Roman" w:cs="Times New Roman"/>
          <w:sz w:val="24"/>
          <w:lang w:val="en-IN"/>
        </w:rPr>
        <w:t>https://www.marklines.com/en/statistics/flash_sales/automotive-sales-in-germany-by-month-2023</w:t>
      </w:r>
      <w:r>
        <w:rPr>
          <w:rFonts w:ascii="Times New Roman" w:hAnsi="Times New Roman" w:cs="Times New Roman"/>
          <w:sz w:val="24"/>
          <w:lang w:val="en-IN"/>
        </w:rPr>
        <w:t>)</w:t>
      </w:r>
    </w:p>
    <w:sectPr w:rsidR="00FA39B6" w:rsidRPr="003255EC" w:rsidSect="0054493C">
      <w:footerReference w:type="default" r:id="rId63"/>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24546" w14:textId="77777777" w:rsidR="00813726" w:rsidRDefault="00813726" w:rsidP="000F1739">
      <w:pPr>
        <w:spacing w:after="0" w:line="240" w:lineRule="auto"/>
      </w:pPr>
      <w:r>
        <w:separator/>
      </w:r>
    </w:p>
  </w:endnote>
  <w:endnote w:type="continuationSeparator" w:id="0">
    <w:p w14:paraId="47AE5772" w14:textId="77777777" w:rsidR="00813726" w:rsidRDefault="00813726" w:rsidP="000F1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Helvetica">
    <w:altName w:val="Arial"/>
    <w:panose1 w:val="020B05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823038085"/>
      <w:docPartObj>
        <w:docPartGallery w:val="Page Numbers (Bottom of Page)"/>
        <w:docPartUnique/>
      </w:docPartObj>
    </w:sdtPr>
    <w:sdtEndPr>
      <w:rPr>
        <w:noProof/>
      </w:rPr>
    </w:sdtEndPr>
    <w:sdtContent>
      <w:p w14:paraId="5312BB5D" w14:textId="77777777" w:rsidR="00C20E8E" w:rsidRPr="000F1739" w:rsidRDefault="00C20E8E">
        <w:pPr>
          <w:pStyle w:val="Footer"/>
          <w:jc w:val="right"/>
          <w:rPr>
            <w:rFonts w:ascii="Times New Roman" w:hAnsi="Times New Roman" w:cs="Times New Roman"/>
            <w:sz w:val="20"/>
            <w:szCs w:val="20"/>
          </w:rPr>
        </w:pPr>
        <w:r w:rsidRPr="000F1739">
          <w:rPr>
            <w:rFonts w:ascii="Times New Roman" w:hAnsi="Times New Roman" w:cs="Times New Roman"/>
            <w:sz w:val="20"/>
            <w:szCs w:val="20"/>
          </w:rPr>
          <w:fldChar w:fldCharType="begin"/>
        </w:r>
        <w:r w:rsidRPr="000F1739">
          <w:rPr>
            <w:rFonts w:ascii="Times New Roman" w:hAnsi="Times New Roman" w:cs="Times New Roman"/>
            <w:sz w:val="20"/>
            <w:szCs w:val="20"/>
          </w:rPr>
          <w:instrText xml:space="preserve"> PAGE   \* MERGEFORMAT </w:instrText>
        </w:r>
        <w:r w:rsidRPr="000F1739">
          <w:rPr>
            <w:rFonts w:ascii="Times New Roman" w:hAnsi="Times New Roman" w:cs="Times New Roman"/>
            <w:sz w:val="20"/>
            <w:szCs w:val="20"/>
          </w:rPr>
          <w:fldChar w:fldCharType="separate"/>
        </w:r>
        <w:r w:rsidRPr="000F1739">
          <w:rPr>
            <w:rFonts w:ascii="Times New Roman" w:hAnsi="Times New Roman" w:cs="Times New Roman"/>
            <w:noProof/>
            <w:sz w:val="20"/>
            <w:szCs w:val="20"/>
          </w:rPr>
          <w:t>2</w:t>
        </w:r>
        <w:r w:rsidRPr="000F1739">
          <w:rPr>
            <w:rFonts w:ascii="Times New Roman" w:hAnsi="Times New Roman" w:cs="Times New Roman"/>
            <w:noProof/>
            <w:sz w:val="20"/>
            <w:szCs w:val="20"/>
          </w:rPr>
          <w:fldChar w:fldCharType="end"/>
        </w:r>
      </w:p>
    </w:sdtContent>
  </w:sdt>
  <w:p w14:paraId="10AABF12" w14:textId="77777777" w:rsidR="00C20E8E" w:rsidRPr="000F1739" w:rsidRDefault="00C20E8E">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DD5C9" w14:textId="77777777" w:rsidR="00813726" w:rsidRDefault="00813726" w:rsidP="000F1739">
      <w:pPr>
        <w:spacing w:after="0" w:line="240" w:lineRule="auto"/>
      </w:pPr>
      <w:r>
        <w:separator/>
      </w:r>
    </w:p>
  </w:footnote>
  <w:footnote w:type="continuationSeparator" w:id="0">
    <w:p w14:paraId="2A02A268" w14:textId="77777777" w:rsidR="00813726" w:rsidRDefault="00813726" w:rsidP="000F1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A5EF7"/>
    <w:multiLevelType w:val="multilevel"/>
    <w:tmpl w:val="E138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2704C"/>
    <w:multiLevelType w:val="multilevel"/>
    <w:tmpl w:val="DF9C1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B13780"/>
    <w:multiLevelType w:val="multilevel"/>
    <w:tmpl w:val="EA14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FA43DA"/>
    <w:multiLevelType w:val="multilevel"/>
    <w:tmpl w:val="AB9E3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821A31"/>
    <w:multiLevelType w:val="multilevel"/>
    <w:tmpl w:val="128E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C36E7"/>
    <w:multiLevelType w:val="multilevel"/>
    <w:tmpl w:val="01881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57799A"/>
    <w:multiLevelType w:val="multilevel"/>
    <w:tmpl w:val="A314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442137"/>
    <w:multiLevelType w:val="multilevel"/>
    <w:tmpl w:val="F86A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548697">
    <w:abstractNumId w:val="3"/>
  </w:num>
  <w:num w:numId="2" w16cid:durableId="1465468652">
    <w:abstractNumId w:val="4"/>
  </w:num>
  <w:num w:numId="3" w16cid:durableId="1976911626">
    <w:abstractNumId w:val="7"/>
  </w:num>
  <w:num w:numId="4" w16cid:durableId="1147894798">
    <w:abstractNumId w:val="5"/>
  </w:num>
  <w:num w:numId="5" w16cid:durableId="1997109577">
    <w:abstractNumId w:val="1"/>
  </w:num>
  <w:num w:numId="6" w16cid:durableId="122625244">
    <w:abstractNumId w:val="0"/>
  </w:num>
  <w:num w:numId="7" w16cid:durableId="1899003055">
    <w:abstractNumId w:val="6"/>
  </w:num>
  <w:num w:numId="8" w16cid:durableId="872961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739"/>
    <w:rsid w:val="000A71B6"/>
    <w:rsid w:val="000D7063"/>
    <w:rsid w:val="000F1739"/>
    <w:rsid w:val="00117385"/>
    <w:rsid w:val="00143F3B"/>
    <w:rsid w:val="001A15B0"/>
    <w:rsid w:val="001A483F"/>
    <w:rsid w:val="001C42BC"/>
    <w:rsid w:val="001C72E7"/>
    <w:rsid w:val="001C78F7"/>
    <w:rsid w:val="001F6F5C"/>
    <w:rsid w:val="00230720"/>
    <w:rsid w:val="0023486D"/>
    <w:rsid w:val="00280D0A"/>
    <w:rsid w:val="003255EC"/>
    <w:rsid w:val="00361DBE"/>
    <w:rsid w:val="00362A4A"/>
    <w:rsid w:val="00366B8B"/>
    <w:rsid w:val="00371C7C"/>
    <w:rsid w:val="00392459"/>
    <w:rsid w:val="003A4F5F"/>
    <w:rsid w:val="004065E8"/>
    <w:rsid w:val="00435875"/>
    <w:rsid w:val="00457595"/>
    <w:rsid w:val="00484F14"/>
    <w:rsid w:val="00487BA0"/>
    <w:rsid w:val="004A5846"/>
    <w:rsid w:val="0054493C"/>
    <w:rsid w:val="00561EED"/>
    <w:rsid w:val="00567242"/>
    <w:rsid w:val="0059163E"/>
    <w:rsid w:val="005A7DF0"/>
    <w:rsid w:val="005D36B4"/>
    <w:rsid w:val="0067461C"/>
    <w:rsid w:val="006969F1"/>
    <w:rsid w:val="006E6F1E"/>
    <w:rsid w:val="007071CF"/>
    <w:rsid w:val="00713384"/>
    <w:rsid w:val="00716143"/>
    <w:rsid w:val="00726E25"/>
    <w:rsid w:val="007B00BE"/>
    <w:rsid w:val="007C4D73"/>
    <w:rsid w:val="007D287B"/>
    <w:rsid w:val="007F5300"/>
    <w:rsid w:val="00813726"/>
    <w:rsid w:val="00817AE4"/>
    <w:rsid w:val="008B632A"/>
    <w:rsid w:val="009055A1"/>
    <w:rsid w:val="00926AAC"/>
    <w:rsid w:val="0096048F"/>
    <w:rsid w:val="009658CB"/>
    <w:rsid w:val="00984B53"/>
    <w:rsid w:val="009D2790"/>
    <w:rsid w:val="009E0E65"/>
    <w:rsid w:val="00A37AF0"/>
    <w:rsid w:val="00AB38B0"/>
    <w:rsid w:val="00AC614C"/>
    <w:rsid w:val="00B0544F"/>
    <w:rsid w:val="00B2622A"/>
    <w:rsid w:val="00C0135A"/>
    <w:rsid w:val="00C0762A"/>
    <w:rsid w:val="00C20E8E"/>
    <w:rsid w:val="00C5648D"/>
    <w:rsid w:val="00C8770E"/>
    <w:rsid w:val="00CB3D5E"/>
    <w:rsid w:val="00CC493D"/>
    <w:rsid w:val="00D22F6B"/>
    <w:rsid w:val="00D836F9"/>
    <w:rsid w:val="00D923BC"/>
    <w:rsid w:val="00D951B3"/>
    <w:rsid w:val="00DB562A"/>
    <w:rsid w:val="00DC0DA5"/>
    <w:rsid w:val="00E67FAF"/>
    <w:rsid w:val="00E77180"/>
    <w:rsid w:val="00EA3326"/>
    <w:rsid w:val="00EC05D0"/>
    <w:rsid w:val="00EE4D93"/>
    <w:rsid w:val="00EE722D"/>
    <w:rsid w:val="00FA30C7"/>
    <w:rsid w:val="00FA39B6"/>
    <w:rsid w:val="00FB1AE9"/>
    <w:rsid w:val="00FE1DD4"/>
    <w:rsid w:val="00FE1DF0"/>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5CE86"/>
  <w15:chartTrackingRefBased/>
  <w15:docId w15:val="{F6B20703-3566-4EB9-BE82-FAB58EAE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6F1E"/>
    <w:pPr>
      <w:spacing w:after="0" w:line="360" w:lineRule="auto"/>
      <w:jc w:val="both"/>
      <w:outlineLvl w:val="0"/>
    </w:pPr>
    <w:rPr>
      <w:rFonts w:ascii="Times New Roman" w:hAnsi="Times New Roman" w:cs="Times New Roman"/>
      <w:b/>
      <w:sz w:val="28"/>
      <w:lang w:val="en-IN"/>
    </w:rPr>
  </w:style>
  <w:style w:type="paragraph" w:styleId="Heading2">
    <w:name w:val="heading 2"/>
    <w:basedOn w:val="Normal"/>
    <w:next w:val="Normal"/>
    <w:link w:val="Heading2Char"/>
    <w:uiPriority w:val="9"/>
    <w:unhideWhenUsed/>
    <w:qFormat/>
    <w:rsid w:val="006E6F1E"/>
    <w:pPr>
      <w:spacing w:after="0" w:line="360" w:lineRule="auto"/>
      <w:jc w:val="both"/>
      <w:outlineLvl w:val="1"/>
    </w:pPr>
    <w:rPr>
      <w:rFonts w:ascii="Times New Roman" w:hAnsi="Times New Roman" w:cs="Times New Roman"/>
      <w:b/>
      <w:bCs/>
      <w:sz w:val="24"/>
      <w:lang w:val="en-IN"/>
    </w:rPr>
  </w:style>
  <w:style w:type="paragraph" w:styleId="Heading3">
    <w:name w:val="heading 3"/>
    <w:basedOn w:val="Normal"/>
    <w:next w:val="Normal"/>
    <w:link w:val="Heading3Char"/>
    <w:uiPriority w:val="9"/>
    <w:semiHidden/>
    <w:unhideWhenUsed/>
    <w:qFormat/>
    <w:rsid w:val="00726E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1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739"/>
    <w:rPr>
      <w:lang w:val="en-GB"/>
    </w:rPr>
  </w:style>
  <w:style w:type="paragraph" w:styleId="Footer">
    <w:name w:val="footer"/>
    <w:basedOn w:val="Normal"/>
    <w:link w:val="FooterChar"/>
    <w:uiPriority w:val="99"/>
    <w:unhideWhenUsed/>
    <w:rsid w:val="000F1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739"/>
    <w:rPr>
      <w:lang w:val="en-GB"/>
    </w:rPr>
  </w:style>
  <w:style w:type="character" w:styleId="Hyperlink">
    <w:name w:val="Hyperlink"/>
    <w:basedOn w:val="DefaultParagraphFont"/>
    <w:uiPriority w:val="99"/>
    <w:unhideWhenUsed/>
    <w:rsid w:val="00DB562A"/>
    <w:rPr>
      <w:color w:val="0563C1" w:themeColor="hyperlink"/>
      <w:u w:val="single"/>
    </w:rPr>
  </w:style>
  <w:style w:type="character" w:styleId="UnresolvedMention">
    <w:name w:val="Unresolved Mention"/>
    <w:basedOn w:val="DefaultParagraphFont"/>
    <w:uiPriority w:val="99"/>
    <w:semiHidden/>
    <w:unhideWhenUsed/>
    <w:rsid w:val="00DB562A"/>
    <w:rPr>
      <w:color w:val="605E5C"/>
      <w:shd w:val="clear" w:color="auto" w:fill="E1DFDD"/>
    </w:rPr>
  </w:style>
  <w:style w:type="character" w:customStyle="1" w:styleId="Heading1Char">
    <w:name w:val="Heading 1 Char"/>
    <w:basedOn w:val="DefaultParagraphFont"/>
    <w:link w:val="Heading1"/>
    <w:uiPriority w:val="9"/>
    <w:rsid w:val="006E6F1E"/>
    <w:rPr>
      <w:rFonts w:ascii="Times New Roman" w:hAnsi="Times New Roman" w:cs="Times New Roman"/>
      <w:b/>
      <w:sz w:val="28"/>
    </w:rPr>
  </w:style>
  <w:style w:type="character" w:customStyle="1" w:styleId="Heading2Char">
    <w:name w:val="Heading 2 Char"/>
    <w:basedOn w:val="DefaultParagraphFont"/>
    <w:link w:val="Heading2"/>
    <w:uiPriority w:val="9"/>
    <w:rsid w:val="006E6F1E"/>
    <w:rPr>
      <w:rFonts w:ascii="Times New Roman" w:hAnsi="Times New Roman" w:cs="Times New Roman"/>
      <w:b/>
      <w:bCs/>
      <w:sz w:val="24"/>
    </w:rPr>
  </w:style>
  <w:style w:type="paragraph" w:styleId="TOCHeading">
    <w:name w:val="TOC Heading"/>
    <w:basedOn w:val="Heading1"/>
    <w:next w:val="Normal"/>
    <w:uiPriority w:val="39"/>
    <w:unhideWhenUsed/>
    <w:qFormat/>
    <w:rsid w:val="006E6F1E"/>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E6F1E"/>
    <w:pPr>
      <w:spacing w:after="100"/>
    </w:pPr>
  </w:style>
  <w:style w:type="paragraph" w:styleId="TOC2">
    <w:name w:val="toc 2"/>
    <w:basedOn w:val="Normal"/>
    <w:next w:val="Normal"/>
    <w:autoRedefine/>
    <w:uiPriority w:val="39"/>
    <w:unhideWhenUsed/>
    <w:rsid w:val="006E6F1E"/>
    <w:pPr>
      <w:spacing w:after="100"/>
      <w:ind w:left="220"/>
    </w:pPr>
  </w:style>
  <w:style w:type="character" w:customStyle="1" w:styleId="Heading3Char">
    <w:name w:val="Heading 3 Char"/>
    <w:basedOn w:val="DefaultParagraphFont"/>
    <w:link w:val="Heading3"/>
    <w:uiPriority w:val="9"/>
    <w:semiHidden/>
    <w:rsid w:val="00726E25"/>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24391">
      <w:bodyDiv w:val="1"/>
      <w:marLeft w:val="0"/>
      <w:marRight w:val="0"/>
      <w:marTop w:val="0"/>
      <w:marBottom w:val="0"/>
      <w:divBdr>
        <w:top w:val="none" w:sz="0" w:space="0" w:color="auto"/>
        <w:left w:val="none" w:sz="0" w:space="0" w:color="auto"/>
        <w:bottom w:val="none" w:sz="0" w:space="0" w:color="auto"/>
        <w:right w:val="none" w:sz="0" w:space="0" w:color="auto"/>
      </w:divBdr>
    </w:div>
    <w:div w:id="89786162">
      <w:bodyDiv w:val="1"/>
      <w:marLeft w:val="0"/>
      <w:marRight w:val="0"/>
      <w:marTop w:val="0"/>
      <w:marBottom w:val="0"/>
      <w:divBdr>
        <w:top w:val="none" w:sz="0" w:space="0" w:color="auto"/>
        <w:left w:val="none" w:sz="0" w:space="0" w:color="auto"/>
        <w:bottom w:val="none" w:sz="0" w:space="0" w:color="auto"/>
        <w:right w:val="none" w:sz="0" w:space="0" w:color="auto"/>
      </w:divBdr>
    </w:div>
    <w:div w:id="136000308">
      <w:bodyDiv w:val="1"/>
      <w:marLeft w:val="0"/>
      <w:marRight w:val="0"/>
      <w:marTop w:val="0"/>
      <w:marBottom w:val="0"/>
      <w:divBdr>
        <w:top w:val="none" w:sz="0" w:space="0" w:color="auto"/>
        <w:left w:val="none" w:sz="0" w:space="0" w:color="auto"/>
        <w:bottom w:val="none" w:sz="0" w:space="0" w:color="auto"/>
        <w:right w:val="none" w:sz="0" w:space="0" w:color="auto"/>
      </w:divBdr>
    </w:div>
    <w:div w:id="220482862">
      <w:bodyDiv w:val="1"/>
      <w:marLeft w:val="0"/>
      <w:marRight w:val="0"/>
      <w:marTop w:val="0"/>
      <w:marBottom w:val="0"/>
      <w:divBdr>
        <w:top w:val="none" w:sz="0" w:space="0" w:color="auto"/>
        <w:left w:val="none" w:sz="0" w:space="0" w:color="auto"/>
        <w:bottom w:val="none" w:sz="0" w:space="0" w:color="auto"/>
        <w:right w:val="none" w:sz="0" w:space="0" w:color="auto"/>
      </w:divBdr>
    </w:div>
    <w:div w:id="220866374">
      <w:bodyDiv w:val="1"/>
      <w:marLeft w:val="0"/>
      <w:marRight w:val="0"/>
      <w:marTop w:val="0"/>
      <w:marBottom w:val="0"/>
      <w:divBdr>
        <w:top w:val="none" w:sz="0" w:space="0" w:color="auto"/>
        <w:left w:val="none" w:sz="0" w:space="0" w:color="auto"/>
        <w:bottom w:val="none" w:sz="0" w:space="0" w:color="auto"/>
        <w:right w:val="none" w:sz="0" w:space="0" w:color="auto"/>
      </w:divBdr>
    </w:div>
    <w:div w:id="233125065">
      <w:bodyDiv w:val="1"/>
      <w:marLeft w:val="0"/>
      <w:marRight w:val="0"/>
      <w:marTop w:val="0"/>
      <w:marBottom w:val="0"/>
      <w:divBdr>
        <w:top w:val="none" w:sz="0" w:space="0" w:color="auto"/>
        <w:left w:val="none" w:sz="0" w:space="0" w:color="auto"/>
        <w:bottom w:val="none" w:sz="0" w:space="0" w:color="auto"/>
        <w:right w:val="none" w:sz="0" w:space="0" w:color="auto"/>
      </w:divBdr>
    </w:div>
    <w:div w:id="245193973">
      <w:bodyDiv w:val="1"/>
      <w:marLeft w:val="0"/>
      <w:marRight w:val="0"/>
      <w:marTop w:val="0"/>
      <w:marBottom w:val="0"/>
      <w:divBdr>
        <w:top w:val="none" w:sz="0" w:space="0" w:color="auto"/>
        <w:left w:val="none" w:sz="0" w:space="0" w:color="auto"/>
        <w:bottom w:val="none" w:sz="0" w:space="0" w:color="auto"/>
        <w:right w:val="none" w:sz="0" w:space="0" w:color="auto"/>
      </w:divBdr>
    </w:div>
    <w:div w:id="245845112">
      <w:bodyDiv w:val="1"/>
      <w:marLeft w:val="0"/>
      <w:marRight w:val="0"/>
      <w:marTop w:val="0"/>
      <w:marBottom w:val="0"/>
      <w:divBdr>
        <w:top w:val="none" w:sz="0" w:space="0" w:color="auto"/>
        <w:left w:val="none" w:sz="0" w:space="0" w:color="auto"/>
        <w:bottom w:val="none" w:sz="0" w:space="0" w:color="auto"/>
        <w:right w:val="none" w:sz="0" w:space="0" w:color="auto"/>
      </w:divBdr>
    </w:div>
    <w:div w:id="246695453">
      <w:bodyDiv w:val="1"/>
      <w:marLeft w:val="0"/>
      <w:marRight w:val="0"/>
      <w:marTop w:val="0"/>
      <w:marBottom w:val="0"/>
      <w:divBdr>
        <w:top w:val="none" w:sz="0" w:space="0" w:color="auto"/>
        <w:left w:val="none" w:sz="0" w:space="0" w:color="auto"/>
        <w:bottom w:val="none" w:sz="0" w:space="0" w:color="auto"/>
        <w:right w:val="none" w:sz="0" w:space="0" w:color="auto"/>
      </w:divBdr>
    </w:div>
    <w:div w:id="275450118">
      <w:bodyDiv w:val="1"/>
      <w:marLeft w:val="0"/>
      <w:marRight w:val="0"/>
      <w:marTop w:val="0"/>
      <w:marBottom w:val="0"/>
      <w:divBdr>
        <w:top w:val="none" w:sz="0" w:space="0" w:color="auto"/>
        <w:left w:val="none" w:sz="0" w:space="0" w:color="auto"/>
        <w:bottom w:val="none" w:sz="0" w:space="0" w:color="auto"/>
        <w:right w:val="none" w:sz="0" w:space="0" w:color="auto"/>
      </w:divBdr>
    </w:div>
    <w:div w:id="283921947">
      <w:bodyDiv w:val="1"/>
      <w:marLeft w:val="0"/>
      <w:marRight w:val="0"/>
      <w:marTop w:val="0"/>
      <w:marBottom w:val="0"/>
      <w:divBdr>
        <w:top w:val="none" w:sz="0" w:space="0" w:color="auto"/>
        <w:left w:val="none" w:sz="0" w:space="0" w:color="auto"/>
        <w:bottom w:val="none" w:sz="0" w:space="0" w:color="auto"/>
        <w:right w:val="none" w:sz="0" w:space="0" w:color="auto"/>
      </w:divBdr>
    </w:div>
    <w:div w:id="334696559">
      <w:bodyDiv w:val="1"/>
      <w:marLeft w:val="0"/>
      <w:marRight w:val="0"/>
      <w:marTop w:val="0"/>
      <w:marBottom w:val="0"/>
      <w:divBdr>
        <w:top w:val="none" w:sz="0" w:space="0" w:color="auto"/>
        <w:left w:val="none" w:sz="0" w:space="0" w:color="auto"/>
        <w:bottom w:val="none" w:sz="0" w:space="0" w:color="auto"/>
        <w:right w:val="none" w:sz="0" w:space="0" w:color="auto"/>
      </w:divBdr>
    </w:div>
    <w:div w:id="382752985">
      <w:bodyDiv w:val="1"/>
      <w:marLeft w:val="0"/>
      <w:marRight w:val="0"/>
      <w:marTop w:val="0"/>
      <w:marBottom w:val="0"/>
      <w:divBdr>
        <w:top w:val="none" w:sz="0" w:space="0" w:color="auto"/>
        <w:left w:val="none" w:sz="0" w:space="0" w:color="auto"/>
        <w:bottom w:val="none" w:sz="0" w:space="0" w:color="auto"/>
        <w:right w:val="none" w:sz="0" w:space="0" w:color="auto"/>
      </w:divBdr>
    </w:div>
    <w:div w:id="433130173">
      <w:bodyDiv w:val="1"/>
      <w:marLeft w:val="0"/>
      <w:marRight w:val="0"/>
      <w:marTop w:val="0"/>
      <w:marBottom w:val="0"/>
      <w:divBdr>
        <w:top w:val="none" w:sz="0" w:space="0" w:color="auto"/>
        <w:left w:val="none" w:sz="0" w:space="0" w:color="auto"/>
        <w:bottom w:val="none" w:sz="0" w:space="0" w:color="auto"/>
        <w:right w:val="none" w:sz="0" w:space="0" w:color="auto"/>
      </w:divBdr>
    </w:div>
    <w:div w:id="457917626">
      <w:bodyDiv w:val="1"/>
      <w:marLeft w:val="0"/>
      <w:marRight w:val="0"/>
      <w:marTop w:val="0"/>
      <w:marBottom w:val="0"/>
      <w:divBdr>
        <w:top w:val="none" w:sz="0" w:space="0" w:color="auto"/>
        <w:left w:val="none" w:sz="0" w:space="0" w:color="auto"/>
        <w:bottom w:val="none" w:sz="0" w:space="0" w:color="auto"/>
        <w:right w:val="none" w:sz="0" w:space="0" w:color="auto"/>
      </w:divBdr>
    </w:div>
    <w:div w:id="521936666">
      <w:bodyDiv w:val="1"/>
      <w:marLeft w:val="0"/>
      <w:marRight w:val="0"/>
      <w:marTop w:val="0"/>
      <w:marBottom w:val="0"/>
      <w:divBdr>
        <w:top w:val="none" w:sz="0" w:space="0" w:color="auto"/>
        <w:left w:val="none" w:sz="0" w:space="0" w:color="auto"/>
        <w:bottom w:val="none" w:sz="0" w:space="0" w:color="auto"/>
        <w:right w:val="none" w:sz="0" w:space="0" w:color="auto"/>
      </w:divBdr>
    </w:div>
    <w:div w:id="538707501">
      <w:bodyDiv w:val="1"/>
      <w:marLeft w:val="0"/>
      <w:marRight w:val="0"/>
      <w:marTop w:val="0"/>
      <w:marBottom w:val="0"/>
      <w:divBdr>
        <w:top w:val="none" w:sz="0" w:space="0" w:color="auto"/>
        <w:left w:val="none" w:sz="0" w:space="0" w:color="auto"/>
        <w:bottom w:val="none" w:sz="0" w:space="0" w:color="auto"/>
        <w:right w:val="none" w:sz="0" w:space="0" w:color="auto"/>
      </w:divBdr>
    </w:div>
    <w:div w:id="554506929">
      <w:bodyDiv w:val="1"/>
      <w:marLeft w:val="0"/>
      <w:marRight w:val="0"/>
      <w:marTop w:val="0"/>
      <w:marBottom w:val="0"/>
      <w:divBdr>
        <w:top w:val="none" w:sz="0" w:space="0" w:color="auto"/>
        <w:left w:val="none" w:sz="0" w:space="0" w:color="auto"/>
        <w:bottom w:val="none" w:sz="0" w:space="0" w:color="auto"/>
        <w:right w:val="none" w:sz="0" w:space="0" w:color="auto"/>
      </w:divBdr>
    </w:div>
    <w:div w:id="631401862">
      <w:bodyDiv w:val="1"/>
      <w:marLeft w:val="0"/>
      <w:marRight w:val="0"/>
      <w:marTop w:val="0"/>
      <w:marBottom w:val="0"/>
      <w:divBdr>
        <w:top w:val="none" w:sz="0" w:space="0" w:color="auto"/>
        <w:left w:val="none" w:sz="0" w:space="0" w:color="auto"/>
        <w:bottom w:val="none" w:sz="0" w:space="0" w:color="auto"/>
        <w:right w:val="none" w:sz="0" w:space="0" w:color="auto"/>
      </w:divBdr>
    </w:div>
    <w:div w:id="652218021">
      <w:bodyDiv w:val="1"/>
      <w:marLeft w:val="0"/>
      <w:marRight w:val="0"/>
      <w:marTop w:val="0"/>
      <w:marBottom w:val="0"/>
      <w:divBdr>
        <w:top w:val="none" w:sz="0" w:space="0" w:color="auto"/>
        <w:left w:val="none" w:sz="0" w:space="0" w:color="auto"/>
        <w:bottom w:val="none" w:sz="0" w:space="0" w:color="auto"/>
        <w:right w:val="none" w:sz="0" w:space="0" w:color="auto"/>
      </w:divBdr>
    </w:div>
    <w:div w:id="655693215">
      <w:bodyDiv w:val="1"/>
      <w:marLeft w:val="0"/>
      <w:marRight w:val="0"/>
      <w:marTop w:val="0"/>
      <w:marBottom w:val="0"/>
      <w:divBdr>
        <w:top w:val="none" w:sz="0" w:space="0" w:color="auto"/>
        <w:left w:val="none" w:sz="0" w:space="0" w:color="auto"/>
        <w:bottom w:val="none" w:sz="0" w:space="0" w:color="auto"/>
        <w:right w:val="none" w:sz="0" w:space="0" w:color="auto"/>
      </w:divBdr>
    </w:div>
    <w:div w:id="660737522">
      <w:bodyDiv w:val="1"/>
      <w:marLeft w:val="0"/>
      <w:marRight w:val="0"/>
      <w:marTop w:val="0"/>
      <w:marBottom w:val="0"/>
      <w:divBdr>
        <w:top w:val="none" w:sz="0" w:space="0" w:color="auto"/>
        <w:left w:val="none" w:sz="0" w:space="0" w:color="auto"/>
        <w:bottom w:val="none" w:sz="0" w:space="0" w:color="auto"/>
        <w:right w:val="none" w:sz="0" w:space="0" w:color="auto"/>
      </w:divBdr>
    </w:div>
    <w:div w:id="725643048">
      <w:bodyDiv w:val="1"/>
      <w:marLeft w:val="0"/>
      <w:marRight w:val="0"/>
      <w:marTop w:val="0"/>
      <w:marBottom w:val="0"/>
      <w:divBdr>
        <w:top w:val="none" w:sz="0" w:space="0" w:color="auto"/>
        <w:left w:val="none" w:sz="0" w:space="0" w:color="auto"/>
        <w:bottom w:val="none" w:sz="0" w:space="0" w:color="auto"/>
        <w:right w:val="none" w:sz="0" w:space="0" w:color="auto"/>
      </w:divBdr>
    </w:div>
    <w:div w:id="740176298">
      <w:bodyDiv w:val="1"/>
      <w:marLeft w:val="0"/>
      <w:marRight w:val="0"/>
      <w:marTop w:val="0"/>
      <w:marBottom w:val="0"/>
      <w:divBdr>
        <w:top w:val="none" w:sz="0" w:space="0" w:color="auto"/>
        <w:left w:val="none" w:sz="0" w:space="0" w:color="auto"/>
        <w:bottom w:val="none" w:sz="0" w:space="0" w:color="auto"/>
        <w:right w:val="none" w:sz="0" w:space="0" w:color="auto"/>
      </w:divBdr>
    </w:div>
    <w:div w:id="750542670">
      <w:bodyDiv w:val="1"/>
      <w:marLeft w:val="0"/>
      <w:marRight w:val="0"/>
      <w:marTop w:val="0"/>
      <w:marBottom w:val="0"/>
      <w:divBdr>
        <w:top w:val="none" w:sz="0" w:space="0" w:color="auto"/>
        <w:left w:val="none" w:sz="0" w:space="0" w:color="auto"/>
        <w:bottom w:val="none" w:sz="0" w:space="0" w:color="auto"/>
        <w:right w:val="none" w:sz="0" w:space="0" w:color="auto"/>
      </w:divBdr>
    </w:div>
    <w:div w:id="1022709749">
      <w:bodyDiv w:val="1"/>
      <w:marLeft w:val="0"/>
      <w:marRight w:val="0"/>
      <w:marTop w:val="0"/>
      <w:marBottom w:val="0"/>
      <w:divBdr>
        <w:top w:val="none" w:sz="0" w:space="0" w:color="auto"/>
        <w:left w:val="none" w:sz="0" w:space="0" w:color="auto"/>
        <w:bottom w:val="none" w:sz="0" w:space="0" w:color="auto"/>
        <w:right w:val="none" w:sz="0" w:space="0" w:color="auto"/>
      </w:divBdr>
    </w:div>
    <w:div w:id="1072586342">
      <w:bodyDiv w:val="1"/>
      <w:marLeft w:val="0"/>
      <w:marRight w:val="0"/>
      <w:marTop w:val="0"/>
      <w:marBottom w:val="0"/>
      <w:divBdr>
        <w:top w:val="none" w:sz="0" w:space="0" w:color="auto"/>
        <w:left w:val="none" w:sz="0" w:space="0" w:color="auto"/>
        <w:bottom w:val="none" w:sz="0" w:space="0" w:color="auto"/>
        <w:right w:val="none" w:sz="0" w:space="0" w:color="auto"/>
      </w:divBdr>
    </w:div>
    <w:div w:id="1082027603">
      <w:bodyDiv w:val="1"/>
      <w:marLeft w:val="0"/>
      <w:marRight w:val="0"/>
      <w:marTop w:val="0"/>
      <w:marBottom w:val="0"/>
      <w:divBdr>
        <w:top w:val="none" w:sz="0" w:space="0" w:color="auto"/>
        <w:left w:val="none" w:sz="0" w:space="0" w:color="auto"/>
        <w:bottom w:val="none" w:sz="0" w:space="0" w:color="auto"/>
        <w:right w:val="none" w:sz="0" w:space="0" w:color="auto"/>
      </w:divBdr>
    </w:div>
    <w:div w:id="1121535856">
      <w:bodyDiv w:val="1"/>
      <w:marLeft w:val="0"/>
      <w:marRight w:val="0"/>
      <w:marTop w:val="0"/>
      <w:marBottom w:val="0"/>
      <w:divBdr>
        <w:top w:val="none" w:sz="0" w:space="0" w:color="auto"/>
        <w:left w:val="none" w:sz="0" w:space="0" w:color="auto"/>
        <w:bottom w:val="none" w:sz="0" w:space="0" w:color="auto"/>
        <w:right w:val="none" w:sz="0" w:space="0" w:color="auto"/>
      </w:divBdr>
    </w:div>
    <w:div w:id="1125656145">
      <w:bodyDiv w:val="1"/>
      <w:marLeft w:val="0"/>
      <w:marRight w:val="0"/>
      <w:marTop w:val="0"/>
      <w:marBottom w:val="0"/>
      <w:divBdr>
        <w:top w:val="none" w:sz="0" w:space="0" w:color="auto"/>
        <w:left w:val="none" w:sz="0" w:space="0" w:color="auto"/>
        <w:bottom w:val="none" w:sz="0" w:space="0" w:color="auto"/>
        <w:right w:val="none" w:sz="0" w:space="0" w:color="auto"/>
      </w:divBdr>
    </w:div>
    <w:div w:id="1127431991">
      <w:bodyDiv w:val="1"/>
      <w:marLeft w:val="0"/>
      <w:marRight w:val="0"/>
      <w:marTop w:val="0"/>
      <w:marBottom w:val="0"/>
      <w:divBdr>
        <w:top w:val="none" w:sz="0" w:space="0" w:color="auto"/>
        <w:left w:val="none" w:sz="0" w:space="0" w:color="auto"/>
        <w:bottom w:val="none" w:sz="0" w:space="0" w:color="auto"/>
        <w:right w:val="none" w:sz="0" w:space="0" w:color="auto"/>
      </w:divBdr>
    </w:div>
    <w:div w:id="1258951306">
      <w:bodyDiv w:val="1"/>
      <w:marLeft w:val="0"/>
      <w:marRight w:val="0"/>
      <w:marTop w:val="0"/>
      <w:marBottom w:val="0"/>
      <w:divBdr>
        <w:top w:val="none" w:sz="0" w:space="0" w:color="auto"/>
        <w:left w:val="none" w:sz="0" w:space="0" w:color="auto"/>
        <w:bottom w:val="none" w:sz="0" w:space="0" w:color="auto"/>
        <w:right w:val="none" w:sz="0" w:space="0" w:color="auto"/>
      </w:divBdr>
    </w:div>
    <w:div w:id="1377657540">
      <w:bodyDiv w:val="1"/>
      <w:marLeft w:val="0"/>
      <w:marRight w:val="0"/>
      <w:marTop w:val="0"/>
      <w:marBottom w:val="0"/>
      <w:divBdr>
        <w:top w:val="none" w:sz="0" w:space="0" w:color="auto"/>
        <w:left w:val="none" w:sz="0" w:space="0" w:color="auto"/>
        <w:bottom w:val="none" w:sz="0" w:space="0" w:color="auto"/>
        <w:right w:val="none" w:sz="0" w:space="0" w:color="auto"/>
      </w:divBdr>
    </w:div>
    <w:div w:id="1446578960">
      <w:bodyDiv w:val="1"/>
      <w:marLeft w:val="0"/>
      <w:marRight w:val="0"/>
      <w:marTop w:val="0"/>
      <w:marBottom w:val="0"/>
      <w:divBdr>
        <w:top w:val="none" w:sz="0" w:space="0" w:color="auto"/>
        <w:left w:val="none" w:sz="0" w:space="0" w:color="auto"/>
        <w:bottom w:val="none" w:sz="0" w:space="0" w:color="auto"/>
        <w:right w:val="none" w:sz="0" w:space="0" w:color="auto"/>
      </w:divBdr>
    </w:div>
    <w:div w:id="1489908192">
      <w:bodyDiv w:val="1"/>
      <w:marLeft w:val="0"/>
      <w:marRight w:val="0"/>
      <w:marTop w:val="0"/>
      <w:marBottom w:val="0"/>
      <w:divBdr>
        <w:top w:val="none" w:sz="0" w:space="0" w:color="auto"/>
        <w:left w:val="none" w:sz="0" w:space="0" w:color="auto"/>
        <w:bottom w:val="none" w:sz="0" w:space="0" w:color="auto"/>
        <w:right w:val="none" w:sz="0" w:space="0" w:color="auto"/>
      </w:divBdr>
    </w:div>
    <w:div w:id="1502891820">
      <w:bodyDiv w:val="1"/>
      <w:marLeft w:val="0"/>
      <w:marRight w:val="0"/>
      <w:marTop w:val="0"/>
      <w:marBottom w:val="0"/>
      <w:divBdr>
        <w:top w:val="none" w:sz="0" w:space="0" w:color="auto"/>
        <w:left w:val="none" w:sz="0" w:space="0" w:color="auto"/>
        <w:bottom w:val="none" w:sz="0" w:space="0" w:color="auto"/>
        <w:right w:val="none" w:sz="0" w:space="0" w:color="auto"/>
      </w:divBdr>
    </w:div>
    <w:div w:id="1508013245">
      <w:bodyDiv w:val="1"/>
      <w:marLeft w:val="0"/>
      <w:marRight w:val="0"/>
      <w:marTop w:val="0"/>
      <w:marBottom w:val="0"/>
      <w:divBdr>
        <w:top w:val="none" w:sz="0" w:space="0" w:color="auto"/>
        <w:left w:val="none" w:sz="0" w:space="0" w:color="auto"/>
        <w:bottom w:val="none" w:sz="0" w:space="0" w:color="auto"/>
        <w:right w:val="none" w:sz="0" w:space="0" w:color="auto"/>
      </w:divBdr>
    </w:div>
    <w:div w:id="1584796118">
      <w:bodyDiv w:val="1"/>
      <w:marLeft w:val="0"/>
      <w:marRight w:val="0"/>
      <w:marTop w:val="0"/>
      <w:marBottom w:val="0"/>
      <w:divBdr>
        <w:top w:val="none" w:sz="0" w:space="0" w:color="auto"/>
        <w:left w:val="none" w:sz="0" w:space="0" w:color="auto"/>
        <w:bottom w:val="none" w:sz="0" w:space="0" w:color="auto"/>
        <w:right w:val="none" w:sz="0" w:space="0" w:color="auto"/>
      </w:divBdr>
    </w:div>
    <w:div w:id="1698194992">
      <w:bodyDiv w:val="1"/>
      <w:marLeft w:val="0"/>
      <w:marRight w:val="0"/>
      <w:marTop w:val="0"/>
      <w:marBottom w:val="0"/>
      <w:divBdr>
        <w:top w:val="none" w:sz="0" w:space="0" w:color="auto"/>
        <w:left w:val="none" w:sz="0" w:space="0" w:color="auto"/>
        <w:bottom w:val="none" w:sz="0" w:space="0" w:color="auto"/>
        <w:right w:val="none" w:sz="0" w:space="0" w:color="auto"/>
      </w:divBdr>
    </w:div>
    <w:div w:id="1718622655">
      <w:bodyDiv w:val="1"/>
      <w:marLeft w:val="0"/>
      <w:marRight w:val="0"/>
      <w:marTop w:val="0"/>
      <w:marBottom w:val="0"/>
      <w:divBdr>
        <w:top w:val="none" w:sz="0" w:space="0" w:color="auto"/>
        <w:left w:val="none" w:sz="0" w:space="0" w:color="auto"/>
        <w:bottom w:val="none" w:sz="0" w:space="0" w:color="auto"/>
        <w:right w:val="none" w:sz="0" w:space="0" w:color="auto"/>
      </w:divBdr>
    </w:div>
    <w:div w:id="1740859869">
      <w:bodyDiv w:val="1"/>
      <w:marLeft w:val="0"/>
      <w:marRight w:val="0"/>
      <w:marTop w:val="0"/>
      <w:marBottom w:val="0"/>
      <w:divBdr>
        <w:top w:val="none" w:sz="0" w:space="0" w:color="auto"/>
        <w:left w:val="none" w:sz="0" w:space="0" w:color="auto"/>
        <w:bottom w:val="none" w:sz="0" w:space="0" w:color="auto"/>
        <w:right w:val="none" w:sz="0" w:space="0" w:color="auto"/>
      </w:divBdr>
    </w:div>
    <w:div w:id="1741560342">
      <w:bodyDiv w:val="1"/>
      <w:marLeft w:val="0"/>
      <w:marRight w:val="0"/>
      <w:marTop w:val="0"/>
      <w:marBottom w:val="0"/>
      <w:divBdr>
        <w:top w:val="none" w:sz="0" w:space="0" w:color="auto"/>
        <w:left w:val="none" w:sz="0" w:space="0" w:color="auto"/>
        <w:bottom w:val="none" w:sz="0" w:space="0" w:color="auto"/>
        <w:right w:val="none" w:sz="0" w:space="0" w:color="auto"/>
      </w:divBdr>
    </w:div>
    <w:div w:id="1761372911">
      <w:bodyDiv w:val="1"/>
      <w:marLeft w:val="0"/>
      <w:marRight w:val="0"/>
      <w:marTop w:val="0"/>
      <w:marBottom w:val="0"/>
      <w:divBdr>
        <w:top w:val="none" w:sz="0" w:space="0" w:color="auto"/>
        <w:left w:val="none" w:sz="0" w:space="0" w:color="auto"/>
        <w:bottom w:val="none" w:sz="0" w:space="0" w:color="auto"/>
        <w:right w:val="none" w:sz="0" w:space="0" w:color="auto"/>
      </w:divBdr>
    </w:div>
    <w:div w:id="1787772603">
      <w:bodyDiv w:val="1"/>
      <w:marLeft w:val="0"/>
      <w:marRight w:val="0"/>
      <w:marTop w:val="0"/>
      <w:marBottom w:val="0"/>
      <w:divBdr>
        <w:top w:val="none" w:sz="0" w:space="0" w:color="auto"/>
        <w:left w:val="none" w:sz="0" w:space="0" w:color="auto"/>
        <w:bottom w:val="none" w:sz="0" w:space="0" w:color="auto"/>
        <w:right w:val="none" w:sz="0" w:space="0" w:color="auto"/>
      </w:divBdr>
    </w:div>
    <w:div w:id="1811629657">
      <w:bodyDiv w:val="1"/>
      <w:marLeft w:val="0"/>
      <w:marRight w:val="0"/>
      <w:marTop w:val="0"/>
      <w:marBottom w:val="0"/>
      <w:divBdr>
        <w:top w:val="none" w:sz="0" w:space="0" w:color="auto"/>
        <w:left w:val="none" w:sz="0" w:space="0" w:color="auto"/>
        <w:bottom w:val="none" w:sz="0" w:space="0" w:color="auto"/>
        <w:right w:val="none" w:sz="0" w:space="0" w:color="auto"/>
      </w:divBdr>
    </w:div>
    <w:div w:id="1910966203">
      <w:bodyDiv w:val="1"/>
      <w:marLeft w:val="0"/>
      <w:marRight w:val="0"/>
      <w:marTop w:val="0"/>
      <w:marBottom w:val="0"/>
      <w:divBdr>
        <w:top w:val="none" w:sz="0" w:space="0" w:color="auto"/>
        <w:left w:val="none" w:sz="0" w:space="0" w:color="auto"/>
        <w:bottom w:val="none" w:sz="0" w:space="0" w:color="auto"/>
        <w:right w:val="none" w:sz="0" w:space="0" w:color="auto"/>
      </w:divBdr>
    </w:div>
    <w:div w:id="1918586124">
      <w:bodyDiv w:val="1"/>
      <w:marLeft w:val="0"/>
      <w:marRight w:val="0"/>
      <w:marTop w:val="0"/>
      <w:marBottom w:val="0"/>
      <w:divBdr>
        <w:top w:val="none" w:sz="0" w:space="0" w:color="auto"/>
        <w:left w:val="none" w:sz="0" w:space="0" w:color="auto"/>
        <w:bottom w:val="none" w:sz="0" w:space="0" w:color="auto"/>
        <w:right w:val="none" w:sz="0" w:space="0" w:color="auto"/>
      </w:divBdr>
    </w:div>
    <w:div w:id="2019193187">
      <w:bodyDiv w:val="1"/>
      <w:marLeft w:val="0"/>
      <w:marRight w:val="0"/>
      <w:marTop w:val="0"/>
      <w:marBottom w:val="0"/>
      <w:divBdr>
        <w:top w:val="none" w:sz="0" w:space="0" w:color="auto"/>
        <w:left w:val="none" w:sz="0" w:space="0" w:color="auto"/>
        <w:bottom w:val="none" w:sz="0" w:space="0" w:color="auto"/>
        <w:right w:val="none" w:sz="0" w:space="0" w:color="auto"/>
      </w:divBdr>
    </w:div>
    <w:div w:id="2048527368">
      <w:bodyDiv w:val="1"/>
      <w:marLeft w:val="0"/>
      <w:marRight w:val="0"/>
      <w:marTop w:val="0"/>
      <w:marBottom w:val="0"/>
      <w:divBdr>
        <w:top w:val="none" w:sz="0" w:space="0" w:color="auto"/>
        <w:left w:val="none" w:sz="0" w:space="0" w:color="auto"/>
        <w:bottom w:val="none" w:sz="0" w:space="0" w:color="auto"/>
        <w:right w:val="none" w:sz="0" w:space="0" w:color="auto"/>
      </w:divBdr>
    </w:div>
    <w:div w:id="2049066272">
      <w:bodyDiv w:val="1"/>
      <w:marLeft w:val="0"/>
      <w:marRight w:val="0"/>
      <w:marTop w:val="0"/>
      <w:marBottom w:val="0"/>
      <w:divBdr>
        <w:top w:val="none" w:sz="0" w:space="0" w:color="auto"/>
        <w:left w:val="none" w:sz="0" w:space="0" w:color="auto"/>
        <w:bottom w:val="none" w:sz="0" w:space="0" w:color="auto"/>
        <w:right w:val="none" w:sz="0" w:space="0" w:color="auto"/>
      </w:divBdr>
    </w:div>
    <w:div w:id="2073653660">
      <w:bodyDiv w:val="1"/>
      <w:marLeft w:val="0"/>
      <w:marRight w:val="0"/>
      <w:marTop w:val="0"/>
      <w:marBottom w:val="0"/>
      <w:divBdr>
        <w:top w:val="none" w:sz="0" w:space="0" w:color="auto"/>
        <w:left w:val="none" w:sz="0" w:space="0" w:color="auto"/>
        <w:bottom w:val="none" w:sz="0" w:space="0" w:color="auto"/>
        <w:right w:val="none" w:sz="0" w:space="0" w:color="auto"/>
      </w:divBdr>
    </w:div>
    <w:div w:id="212326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utovista24.autovistagroup.com/news/german-new-car-registrations-plunged-december-ev-bonus-withdrawn-early/" TargetMode="External" /><Relationship Id="rId18" Type="http://schemas.openxmlformats.org/officeDocument/2006/relationships/hyperlink" Target="https://www.press.bmwgroup.com/global/article/detail/T0438999EN/a-successful-2023%3A-bmw-group-posts-record-sales-meets-ambitious-e-mobility-growth-targets?language" TargetMode="External" /><Relationship Id="rId26" Type="http://schemas.openxmlformats.org/officeDocument/2006/relationships/hyperlink" Target="https://global.chinadaily.com.cn/a/202405/16/WS66456980a31082fc043c7682.html" TargetMode="External" /><Relationship Id="rId39" Type="http://schemas.openxmlformats.org/officeDocument/2006/relationships/hyperlink" Target="https://www.iea.org/reports/global-ev-outlook-2024/trends-in-electric-cars" TargetMode="External" /><Relationship Id="rId21" Type="http://schemas.openxmlformats.org/officeDocument/2006/relationships/hyperlink" Target="https://www.bmwgroup.jobs/de/en/location/plants-germany.html" TargetMode="External" /><Relationship Id="rId34" Type="http://schemas.openxmlformats.org/officeDocument/2006/relationships/hyperlink" Target="https://ec.europa.eu/commission/presscorner/detail/en/ip_22_6462" TargetMode="External" /><Relationship Id="rId42" Type="http://schemas.openxmlformats.org/officeDocument/2006/relationships/hyperlink" Target="https://www.ilo.org/topics/forced-labour-modern-slavery-and-trafficking-persons/data-and-research-forced-labour" TargetMode="External" /><Relationship Id="rId47" Type="http://schemas.openxmlformats.org/officeDocument/2006/relationships/hyperlink" Target="https://www.marklines.com/en/statistics/flash_sales/automotive-sales-in-germany-by-month-2023" TargetMode="External" /><Relationship Id="rId50" Type="http://schemas.openxmlformats.org/officeDocument/2006/relationships/hyperlink" Target="https://english.news.cn/europe/20220211/820305145efb4c8b86812ba0a42f7c9b/c.html" TargetMode="External" /><Relationship Id="rId55" Type="http://schemas.openxmlformats.org/officeDocument/2006/relationships/hyperlink" Target="https://static.www.tencent.com/uploads/2025/03/19/81cb1f36bec218d27d6e0b24eec012b6.pdf" TargetMode="External" /><Relationship Id="rId63" Type="http://schemas.openxmlformats.org/officeDocument/2006/relationships/footer" Target="footer1.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hyperlink" Target="https://www.bmas.de/EN/Europe-and-the-World/International/Supply-Chain-Act/supply-chain-act.html" TargetMode="External" /><Relationship Id="rId20" Type="http://schemas.openxmlformats.org/officeDocument/2006/relationships/hyperlink" Target="https://www.bmwgroup.com/en/report/2024/index.html" TargetMode="External" /><Relationship Id="rId29" Type="http://schemas.openxmlformats.org/officeDocument/2006/relationships/hyperlink" Target="https://www.destatis.de/Europa/EN/Country/EU-Member-States/Germany.html" TargetMode="External" /><Relationship Id="rId41" Type="http://schemas.openxmlformats.org/officeDocument/2006/relationships/hyperlink" Target="https://www.iea.org/energy-system/transport/electric-vehicles" TargetMode="External" /><Relationship Id="rId54" Type="http://schemas.openxmlformats.org/officeDocument/2006/relationships/hyperlink" Target="https://www.spglobal.com/en/research-insights/market-insights/daily-update-september-26-2024" TargetMode="External" /><Relationship Id="rId62" Type="http://schemas.openxmlformats.org/officeDocument/2006/relationships/image" Target="media/image7.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cbp.gov/newsroom/stats/trade/uyghur-forced-labor-prevention-act-statistics" TargetMode="External" /><Relationship Id="rId32" Type="http://schemas.openxmlformats.org/officeDocument/2006/relationships/hyperlink" Target="https://dieselnet.com/standards/cn/nev.php" TargetMode="External" /><Relationship Id="rId37" Type="http://schemas.openxmlformats.org/officeDocument/2006/relationships/hyperlink" Target="https://english.www.gov.cn/news/202306/21/content_WS64929394c6d0868f4e8dd11c.html" TargetMode="External" /><Relationship Id="rId40" Type="http://schemas.openxmlformats.org/officeDocument/2006/relationships/hyperlink" Target="https://iea.blob.core.windows.net/assets/a9e3544b-0b12-4e15-b407-65f5c8ce1b5f/GlobalEVOutlook2024.pdf" TargetMode="External" /><Relationship Id="rId45" Type="http://schemas.openxmlformats.org/officeDocument/2006/relationships/hyperlink" Target="https://interbrand.com/best-global-brands/global/2023-report" TargetMode="External" /><Relationship Id="rId53" Type="http://schemas.openxmlformats.org/officeDocument/2006/relationships/hyperlink" Target="https://www.reuters.com/business/autos-transportation/bmws-q4-automotive-margin-beats-expectations-2024-03-14" TargetMode="External" /><Relationship Id="rId58" Type="http://schemas.openxmlformats.org/officeDocument/2006/relationships/hyperlink" Target="https://unfccc.int/sites/default/files/resource/China%E2%80%99s%20Mid-Century%20Long-Term%20Low%20Greenhouse%20Gas%20Emission%20Development%20Strategy.pdf" TargetMode="External" /><Relationship Id="rId5" Type="http://schemas.openxmlformats.org/officeDocument/2006/relationships/webSettings" Target="webSettings.xml" /><Relationship Id="rId15" Type="http://schemas.openxmlformats.org/officeDocument/2006/relationships/hyperlink" Target="https://www.best-selling-cars.com/germany/2023-full-year-germany-car-market-overview-and-analysis" TargetMode="External" /><Relationship Id="rId23" Type="http://schemas.openxmlformats.org/officeDocument/2006/relationships/hyperlink" Target="https://www.capgemini.com/news/press-releases/while-connected-products-are-increasingly-being-adopted-65-of-consumers-would-prefer-one-interface-to-enable-interoperability-across-devices" TargetMode="External" /><Relationship Id="rId28" Type="http://schemas.openxmlformats.org/officeDocument/2006/relationships/hyperlink" Target="https://datareportal.com/reports/digital-2024-germany" TargetMode="External" /><Relationship Id="rId36" Type="http://schemas.openxmlformats.org/officeDocument/2006/relationships/hyperlink" Target="https://www.ey.com/en_ly/newsroom/2022/11/auto-retail-rethink-on-the-horizon-as-young-people-continue-to-move-away-from-the-dealership-ey-mobility-consumer-index" TargetMode="External" /><Relationship Id="rId49" Type="http://schemas.openxmlformats.org/officeDocument/2006/relationships/hyperlink" Target="https://www.mckinsey.com/industries/automotive-and-assembly/our-insights/boosting-auto-sales-productivity-a-playbook-for-excellence" TargetMode="External" /><Relationship Id="rId57" Type="http://schemas.openxmlformats.org/officeDocument/2006/relationships/hyperlink" Target="https://unfccc.int/sites/default/files/NDC/2022-06/China%E2%80%99s%20Achievements%2C%20New%20Goals%20and%20New%20Measures%20for%20Nationally%20Determined%20Contributions.pdf" TargetMode="External" /><Relationship Id="rId61" Type="http://schemas.openxmlformats.org/officeDocument/2006/relationships/image" Target="media/image6.png" /><Relationship Id="rId10" Type="http://schemas.openxmlformats.org/officeDocument/2006/relationships/image" Target="media/image3.png" /><Relationship Id="rId19" Type="http://schemas.openxmlformats.org/officeDocument/2006/relationships/hyperlink" Target="https://www.bmwgroup.com/en/report/2023/downloads/BMW-Group-Management-Report-2023-en.pdf" TargetMode="External" /><Relationship Id="rId31" Type="http://schemas.openxmlformats.org/officeDocument/2006/relationships/hyperlink" Target="https://www.destatis.de/EN/Themes/Economic-Sectors-Enterprises/Transport/Enterprises-Infrastructure-Vehicle-Stock/Tables/new-registrations.html" TargetMode="External" /><Relationship Id="rId44" Type="http://schemas.openxmlformats.org/officeDocument/2006/relationships/hyperlink" Target="https://www.instagram.com/bmw/" TargetMode="External" /><Relationship Id="rId52" Type="http://schemas.openxmlformats.org/officeDocument/2006/relationships/hyperlink" Target="https://www.pwc.de/en/automotive-industry/the-future-of-automotive-retail.html" TargetMode="External" /><Relationship Id="rId60" Type="http://schemas.openxmlformats.org/officeDocument/2006/relationships/hyperlink" Target="https://www.wsj.com/world/china/bmw-plans-2-8-billion-china-factory-update-to-boost-ev-production-3b7903a1" TargetMode="External" /><Relationship Id="rId65"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valara.com/vatlive/en/country-guides/europe/germany/german-vat-rates.html" TargetMode="External" /><Relationship Id="rId22" Type="http://schemas.openxmlformats.org/officeDocument/2006/relationships/hyperlink" Target="https://brandirectory.com/brands/BMW" TargetMode="External" /><Relationship Id="rId27" Type="http://schemas.openxmlformats.org/officeDocument/2006/relationships/hyperlink" Target="https://climateactiontracker.org/countries/germany/targets/" TargetMode="External" /><Relationship Id="rId30" Type="http://schemas.openxmlformats.org/officeDocument/2006/relationships/hyperlink" Target="https://www.destatis.de/Europa/EN/Topic/Transport/Car.html" TargetMode="External" /><Relationship Id="rId35" Type="http://schemas.openxmlformats.org/officeDocument/2006/relationships/hyperlink" Target="https://alternative-fuels-observatory.ec.europa.eu/system/files/documents/2024-06/Country%20Report%202023%20Germany_1.pdf" TargetMode="External" /><Relationship Id="rId43" Type="http://schemas.openxmlformats.org/officeDocument/2006/relationships/hyperlink" Target="https://www.imf.org/en/news/articles/2024/07/31/pr24295-china-imf-exec-board-concludes-2024-art-iv-consult" TargetMode="External" /><Relationship Id="rId48" Type="http://schemas.openxmlformats.org/officeDocument/2006/relationships/hyperlink" Target="https://www.mckinsey.com/~/media/mckinsey/industries/automotive%20and%20assembly/our%20insights/mckinsey%20china%20auto%20consumer%20insights%202024/mckinsey-china-auto-consumer-insights-2024-evolution-not-involution.pdf" TargetMode="External" /><Relationship Id="rId56" Type="http://schemas.openxmlformats.org/officeDocument/2006/relationships/hyperlink" Target="https://files.transparencycdn.org/images/CPI-2023-Report.pdf" TargetMode="External" /><Relationship Id="rId64" Type="http://schemas.openxmlformats.org/officeDocument/2006/relationships/fontTable" Target="fontTable.xml" /><Relationship Id="rId8" Type="http://schemas.openxmlformats.org/officeDocument/2006/relationships/image" Target="media/image1.png" /><Relationship Id="rId51" Type="http://schemas.openxmlformats.org/officeDocument/2006/relationships/hyperlink" Target="https://www.pwc.com/my/en/assets/pdf/ev-sales-review-q1-2025.pdf"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hyperlink" Target="http://www.bmw-brilliance.cn/cn/en/news/news/2024-1-09.html" TargetMode="External" /><Relationship Id="rId25" Type="http://schemas.openxmlformats.org/officeDocument/2006/relationships/hyperlink" Target="https://www.ceew.in/publications/how-will-indias-private-and-passenger-vehicle-ownership-grow-by-2050" TargetMode="External" /><Relationship Id="rId33" Type="http://schemas.openxmlformats.org/officeDocument/2006/relationships/hyperlink" Target="https://www.electrive.com/2024/01/09/bmw-increases-ev-sales-by-75-per-cent-in-2023/" TargetMode="External" /><Relationship Id="rId38" Type="http://schemas.openxmlformats.org/officeDocument/2006/relationships/hyperlink" Target="https://www.hrw.org/report/2024/02/01/asleep-wheel-car-companies-complicity-forced-labor-china" TargetMode="External" /><Relationship Id="rId46" Type="http://schemas.openxmlformats.org/officeDocument/2006/relationships/hyperlink" Target="https://kpmg.com/th/en/home/media/press-releases/2023/02/press-release-kpmg-automotive-vehicle-survey-english.html" TargetMode="External" /><Relationship Id="rId59" Type="http://schemas.openxmlformats.org/officeDocument/2006/relationships/hyperlink" Target="https://www.vda.de/en/topics/electromobility/charging-network-ranking-an-overview"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34C9A2-0967-4248-91B7-FC1A8AADA2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7949</Words>
  <Characters>45313</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Karunamoy Chakraborty</dc:creator>
  <cp:keywords/>
  <dc:description/>
  <cp:lastModifiedBy>Nenavath Hari Singh</cp:lastModifiedBy>
  <cp:revision>2</cp:revision>
  <dcterms:created xsi:type="dcterms:W3CDTF">2025-11-26T04:05:00Z</dcterms:created>
  <dcterms:modified xsi:type="dcterms:W3CDTF">2025-11-26T04:05:00Z</dcterms:modified>
</cp:coreProperties>
</file>