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8654E" w14:textId="7B18EC15" w:rsidR="008B2307" w:rsidRDefault="008B2307"/>
    <w:sdt>
      <w:sdtPr>
        <w:id w:val="1368177574"/>
        <w:docPartObj>
          <w:docPartGallery w:val="Cover Pages"/>
          <w:docPartUnique/>
        </w:docPartObj>
      </w:sdtPr>
      <w:sdtEndPr>
        <w:rPr>
          <w:rFonts w:asciiTheme="majorHAnsi" w:eastAsiaTheme="majorEastAsia" w:hAnsiTheme="majorHAnsi" w:cstheme="majorBidi"/>
          <w:color w:val="0F4761" w:themeColor="accent1" w:themeShade="BF"/>
          <w:sz w:val="40"/>
          <w:szCs w:val="40"/>
        </w:rPr>
      </w:sdtEndPr>
      <w:sdtContent>
        <w:p w14:paraId="03911CC8" w14:textId="380D4EE4" w:rsidR="00842BB9" w:rsidRDefault="00842BB9">
          <w:r>
            <w:rPr>
              <w:noProof/>
            </w:rPr>
            <mc:AlternateContent>
              <mc:Choice Requires="wpg">
                <w:drawing>
                  <wp:anchor distT="0" distB="0" distL="114300" distR="114300" simplePos="0" relativeHeight="251659264" behindDoc="1" locked="0" layoutInCell="1" allowOverlap="1" wp14:anchorId="7109CC97" wp14:editId="1FFAB5F1">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24"/>
                                      <w:szCs w:val="2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47167B0" w14:textId="241590A0" w:rsidR="00842BB9" w:rsidRPr="00F02958" w:rsidRDefault="00842BB9">
                                      <w:pPr>
                                        <w:pStyle w:val="NoSpacing"/>
                                        <w:spacing w:before="120"/>
                                        <w:jc w:val="center"/>
                                        <w:rPr>
                                          <w:rFonts w:ascii="Arial" w:hAnsi="Arial" w:cs="Arial"/>
                                          <w:color w:val="FFFFFF" w:themeColor="background1"/>
                                          <w:sz w:val="24"/>
                                          <w:szCs w:val="24"/>
                                        </w:rPr>
                                      </w:pPr>
                                      <w:r w:rsidRPr="00F02958">
                                        <w:rPr>
                                          <w:rFonts w:ascii="Arial" w:hAnsi="Arial" w:cs="Arial"/>
                                          <w:color w:val="FFFFFF" w:themeColor="background1"/>
                                          <w:sz w:val="24"/>
                                          <w:szCs w:val="24"/>
                                        </w:rPr>
                                        <w:t>Tickle Ruth Elizabeth</w:t>
                                      </w:r>
                                    </w:p>
                                  </w:sdtContent>
                                </w:sdt>
                                <w:p w14:paraId="5DA3793E" w14:textId="5FCBA70E" w:rsidR="00842BB9" w:rsidRDefault="00000000">
                                  <w:pPr>
                                    <w:pStyle w:val="NoSpacing"/>
                                    <w:spacing w:before="120"/>
                                    <w:jc w:val="center"/>
                                    <w:rPr>
                                      <w:rFonts w:ascii="Arial" w:hAnsi="Arial" w:cs="Arial"/>
                                      <w:color w:val="FFFFFF" w:themeColor="background1"/>
                                      <w:sz w:val="24"/>
                                      <w:szCs w:val="24"/>
                                    </w:rPr>
                                  </w:pPr>
                                  <w:sdt>
                                    <w:sdtPr>
                                      <w:rPr>
                                        <w:rFonts w:ascii="Arial" w:hAnsi="Arial" w:cs="Arial"/>
                                        <w:caps/>
                                        <w:color w:val="FFFFFF" w:themeColor="background1"/>
                                        <w:sz w:val="24"/>
                                        <w:szCs w:val="24"/>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B21996" w:rsidRPr="00F02958">
                                        <w:rPr>
                                          <w:rFonts w:ascii="Arial" w:hAnsi="Arial" w:cs="Arial"/>
                                          <w:caps/>
                                          <w:color w:val="FFFFFF" w:themeColor="background1"/>
                                          <w:sz w:val="24"/>
                                          <w:szCs w:val="24"/>
                                        </w:rPr>
                                        <w:t xml:space="preserve">     </w:t>
                                      </w:r>
                                    </w:sdtContent>
                                  </w:sdt>
                                  <w:r w:rsidR="00842BB9" w:rsidRPr="00F02958">
                                    <w:rPr>
                                      <w:rFonts w:ascii="Arial" w:hAnsi="Arial" w:cs="Arial"/>
                                      <w:color w:val="FFFFFF" w:themeColor="background1"/>
                                      <w:sz w:val="24"/>
                                      <w:szCs w:val="24"/>
                                    </w:rPr>
                                    <w:t>  </w:t>
                                  </w:r>
                                  <w:sdt>
                                    <w:sdtPr>
                                      <w:rPr>
                                        <w:rFonts w:ascii="Arial" w:hAnsi="Arial" w:cs="Arial"/>
                                        <w:color w:val="FFFFFF" w:themeColor="background1"/>
                                        <w:sz w:val="24"/>
                                        <w:szCs w:val="24"/>
                                      </w:rPr>
                                      <w:alias w:val="Address"/>
                                      <w:tag w:val=""/>
                                      <w:id w:val="-253358678"/>
                                      <w:dataBinding w:prefixMappings="xmlns:ns0='http://schemas.microsoft.com/office/2006/coverPageProps' " w:xpath="/ns0:CoverPageProperties[1]/ns0:CompanyAddress[1]" w:storeItemID="{55AF091B-3C7A-41E3-B477-F2FDAA23CFDA}"/>
                                      <w:text/>
                                    </w:sdtPr>
                                    <w:sdtContent>
                                      <w:r w:rsidR="00B21996" w:rsidRPr="00F02958">
                                        <w:rPr>
                                          <w:rFonts w:ascii="Arial" w:hAnsi="Arial" w:cs="Arial"/>
                                          <w:color w:val="FFFFFF" w:themeColor="background1"/>
                                          <w:sz w:val="24"/>
                                          <w:szCs w:val="24"/>
                                        </w:rPr>
                                        <w:t>Student 2421528</w:t>
                                      </w:r>
                                    </w:sdtContent>
                                  </w:sdt>
                                </w:p>
                                <w:p w14:paraId="5EAC9E33" w14:textId="33CD18ED" w:rsidR="00791BAD" w:rsidRPr="00F02958" w:rsidRDefault="002B76CE">
                                  <w:pPr>
                                    <w:pStyle w:val="NoSpacing"/>
                                    <w:spacing w:before="120"/>
                                    <w:jc w:val="center"/>
                                    <w:rPr>
                                      <w:rFonts w:ascii="Arial" w:hAnsi="Arial" w:cs="Arial"/>
                                      <w:color w:val="FFFFFF" w:themeColor="background1"/>
                                      <w:sz w:val="24"/>
                                      <w:szCs w:val="24"/>
                                    </w:rPr>
                                  </w:pPr>
                                  <w:r>
                                    <w:rPr>
                                      <w:rFonts w:ascii="Arial" w:hAnsi="Arial" w:cs="Arial"/>
                                      <w:color w:val="FFFFFF" w:themeColor="background1"/>
                                      <w:sz w:val="24"/>
                                      <w:szCs w:val="24"/>
                                    </w:rPr>
                                    <w:t>BMP07006D Contemporary Issues in Policing</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color w:val="156082" w:themeColor="accent1"/>
                                      <w:sz w:val="60"/>
                                      <w:szCs w:val="60"/>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9A285A5" w14:textId="0494D52A" w:rsidR="00842BB9" w:rsidRPr="00F02958" w:rsidRDefault="0014065A">
                                      <w:pPr>
                                        <w:pStyle w:val="NoSpacing"/>
                                        <w:jc w:val="center"/>
                                        <w:rPr>
                                          <w:rFonts w:ascii="Arial" w:eastAsiaTheme="majorEastAsia" w:hAnsi="Arial" w:cs="Arial"/>
                                          <w:caps/>
                                          <w:color w:val="156082" w:themeColor="accent1"/>
                                          <w:sz w:val="60"/>
                                          <w:szCs w:val="60"/>
                                        </w:rPr>
                                      </w:pPr>
                                      <w:r w:rsidRPr="00F02958">
                                        <w:rPr>
                                          <w:rFonts w:ascii="Arial" w:eastAsiaTheme="majorEastAsia" w:hAnsi="Arial" w:cs="Arial"/>
                                          <w:caps/>
                                          <w:color w:val="156082" w:themeColor="accent1"/>
                                          <w:sz w:val="60"/>
                                          <w:szCs w:val="60"/>
                                        </w:rPr>
                                        <w:t xml:space="preserve">Serious and Organised crime (soc) &amp; </w:t>
                                      </w:r>
                                      <w:r w:rsidR="004B6B5F" w:rsidRPr="00F02958">
                                        <w:rPr>
                                          <w:rFonts w:ascii="Arial" w:eastAsiaTheme="majorEastAsia" w:hAnsi="Arial" w:cs="Arial"/>
                                          <w:caps/>
                                          <w:color w:val="156082" w:themeColor="accent1"/>
                                          <w:sz w:val="60"/>
                                          <w:szCs w:val="60"/>
                                        </w:rPr>
                                        <w:t>firearms-enabled violence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109CC97"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rFonts w:ascii="Arial" w:hAnsi="Arial" w:cs="Arial"/>
                                <w:color w:val="FFFFFF" w:themeColor="background1"/>
                                <w:sz w:val="24"/>
                                <w:szCs w:val="2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47167B0" w14:textId="241590A0" w:rsidR="00842BB9" w:rsidRPr="00F02958" w:rsidRDefault="00842BB9">
                                <w:pPr>
                                  <w:pStyle w:val="NoSpacing"/>
                                  <w:spacing w:before="120"/>
                                  <w:jc w:val="center"/>
                                  <w:rPr>
                                    <w:rFonts w:ascii="Arial" w:hAnsi="Arial" w:cs="Arial"/>
                                    <w:color w:val="FFFFFF" w:themeColor="background1"/>
                                    <w:sz w:val="24"/>
                                    <w:szCs w:val="24"/>
                                  </w:rPr>
                                </w:pPr>
                                <w:r w:rsidRPr="00F02958">
                                  <w:rPr>
                                    <w:rFonts w:ascii="Arial" w:hAnsi="Arial" w:cs="Arial"/>
                                    <w:color w:val="FFFFFF" w:themeColor="background1"/>
                                    <w:sz w:val="24"/>
                                    <w:szCs w:val="24"/>
                                  </w:rPr>
                                  <w:t>Tickle Ruth Elizabeth</w:t>
                                </w:r>
                              </w:p>
                            </w:sdtContent>
                          </w:sdt>
                          <w:p w14:paraId="5DA3793E" w14:textId="5FCBA70E" w:rsidR="00842BB9" w:rsidRDefault="00A55C2A">
                            <w:pPr>
                              <w:pStyle w:val="NoSpacing"/>
                              <w:spacing w:before="120"/>
                              <w:jc w:val="center"/>
                              <w:rPr>
                                <w:rFonts w:ascii="Arial" w:hAnsi="Arial" w:cs="Arial"/>
                                <w:color w:val="FFFFFF" w:themeColor="background1"/>
                                <w:sz w:val="24"/>
                                <w:szCs w:val="24"/>
                              </w:rPr>
                            </w:pPr>
                            <w:sdt>
                              <w:sdtPr>
                                <w:rPr>
                                  <w:rFonts w:ascii="Arial" w:hAnsi="Arial" w:cs="Arial"/>
                                  <w:caps/>
                                  <w:color w:val="FFFFFF" w:themeColor="background1"/>
                                  <w:sz w:val="24"/>
                                  <w:szCs w:val="24"/>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B21996" w:rsidRPr="00F02958">
                                  <w:rPr>
                                    <w:rFonts w:ascii="Arial" w:hAnsi="Arial" w:cs="Arial"/>
                                    <w:caps/>
                                    <w:color w:val="FFFFFF" w:themeColor="background1"/>
                                    <w:sz w:val="24"/>
                                    <w:szCs w:val="24"/>
                                  </w:rPr>
                                  <w:t xml:space="preserve">     </w:t>
                                </w:r>
                              </w:sdtContent>
                            </w:sdt>
                            <w:r w:rsidR="00842BB9" w:rsidRPr="00F02958">
                              <w:rPr>
                                <w:rFonts w:ascii="Arial" w:hAnsi="Arial" w:cs="Arial"/>
                                <w:color w:val="FFFFFF" w:themeColor="background1"/>
                                <w:sz w:val="24"/>
                                <w:szCs w:val="24"/>
                              </w:rPr>
                              <w:t>  </w:t>
                            </w:r>
                            <w:sdt>
                              <w:sdtPr>
                                <w:rPr>
                                  <w:rFonts w:ascii="Arial" w:hAnsi="Arial" w:cs="Arial"/>
                                  <w:color w:val="FFFFFF" w:themeColor="background1"/>
                                  <w:sz w:val="24"/>
                                  <w:szCs w:val="24"/>
                                </w:rPr>
                                <w:alias w:val="Address"/>
                                <w:tag w:val=""/>
                                <w:id w:val="-253358678"/>
                                <w:dataBinding w:prefixMappings="xmlns:ns0='http://schemas.microsoft.com/office/2006/coverPageProps' " w:xpath="/ns0:CoverPageProperties[1]/ns0:CompanyAddress[1]" w:storeItemID="{55AF091B-3C7A-41E3-B477-F2FDAA23CFDA}"/>
                                <w:text/>
                              </w:sdtPr>
                              <w:sdtEndPr/>
                              <w:sdtContent>
                                <w:r w:rsidR="00B21996" w:rsidRPr="00F02958">
                                  <w:rPr>
                                    <w:rFonts w:ascii="Arial" w:hAnsi="Arial" w:cs="Arial"/>
                                    <w:color w:val="FFFFFF" w:themeColor="background1"/>
                                    <w:sz w:val="24"/>
                                    <w:szCs w:val="24"/>
                                  </w:rPr>
                                  <w:t>Student 2421528</w:t>
                                </w:r>
                              </w:sdtContent>
                            </w:sdt>
                          </w:p>
                          <w:p w14:paraId="5EAC9E33" w14:textId="33CD18ED" w:rsidR="00791BAD" w:rsidRPr="00F02958" w:rsidRDefault="002B76CE">
                            <w:pPr>
                              <w:pStyle w:val="NoSpacing"/>
                              <w:spacing w:before="120"/>
                              <w:jc w:val="center"/>
                              <w:rPr>
                                <w:rFonts w:ascii="Arial" w:hAnsi="Arial" w:cs="Arial"/>
                                <w:color w:val="FFFFFF" w:themeColor="background1"/>
                                <w:sz w:val="24"/>
                                <w:szCs w:val="24"/>
                              </w:rPr>
                            </w:pPr>
                            <w:r>
                              <w:rPr>
                                <w:rFonts w:ascii="Arial" w:hAnsi="Arial" w:cs="Arial"/>
                                <w:color w:val="FFFFFF" w:themeColor="background1"/>
                                <w:sz w:val="24"/>
                                <w:szCs w:val="24"/>
                              </w:rPr>
                              <w:t>BMP07006D Contemporary Issues in Policing</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eastAsiaTheme="majorEastAsia" w:hAnsi="Arial" w:cs="Arial"/>
                                <w:caps/>
                                <w:color w:val="156082" w:themeColor="accent1"/>
                                <w:sz w:val="60"/>
                                <w:szCs w:val="60"/>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9A285A5" w14:textId="0494D52A" w:rsidR="00842BB9" w:rsidRPr="00F02958" w:rsidRDefault="0014065A">
                                <w:pPr>
                                  <w:pStyle w:val="NoSpacing"/>
                                  <w:jc w:val="center"/>
                                  <w:rPr>
                                    <w:rFonts w:ascii="Arial" w:eastAsiaTheme="majorEastAsia" w:hAnsi="Arial" w:cs="Arial"/>
                                    <w:caps/>
                                    <w:color w:val="156082" w:themeColor="accent1"/>
                                    <w:sz w:val="60"/>
                                    <w:szCs w:val="60"/>
                                  </w:rPr>
                                </w:pPr>
                                <w:r w:rsidRPr="00F02958">
                                  <w:rPr>
                                    <w:rFonts w:ascii="Arial" w:eastAsiaTheme="majorEastAsia" w:hAnsi="Arial" w:cs="Arial"/>
                                    <w:caps/>
                                    <w:color w:val="156082" w:themeColor="accent1"/>
                                    <w:sz w:val="60"/>
                                    <w:szCs w:val="60"/>
                                  </w:rPr>
                                  <w:t xml:space="preserve">Serious and Organised crime (soc) &amp; </w:t>
                                </w:r>
                                <w:r w:rsidR="004B6B5F" w:rsidRPr="00F02958">
                                  <w:rPr>
                                    <w:rFonts w:ascii="Arial" w:eastAsiaTheme="majorEastAsia" w:hAnsi="Arial" w:cs="Arial"/>
                                    <w:caps/>
                                    <w:color w:val="156082" w:themeColor="accent1"/>
                                    <w:sz w:val="60"/>
                                    <w:szCs w:val="60"/>
                                  </w:rPr>
                                  <w:t>firearms-enabled violence</w:t>
                                </w:r>
                              </w:p>
                            </w:sdtContent>
                          </w:sdt>
                        </w:txbxContent>
                      </v:textbox>
                    </v:shape>
                    <w10:wrap anchorx="page" anchory="page"/>
                  </v:group>
                </w:pict>
              </mc:Fallback>
            </mc:AlternateContent>
          </w:r>
        </w:p>
        <w:p w14:paraId="64EBE69C" w14:textId="5DBEBC92" w:rsidR="00A6547F" w:rsidRPr="002D4C60" w:rsidRDefault="00842BB9">
          <w:pPr>
            <w:rPr>
              <w:rFonts w:asciiTheme="majorHAnsi" w:eastAsiaTheme="majorEastAsia" w:hAnsiTheme="majorHAnsi" w:cstheme="majorBidi"/>
              <w:color w:val="0F4761" w:themeColor="accent1" w:themeShade="BF"/>
              <w:sz w:val="40"/>
              <w:szCs w:val="40"/>
            </w:rPr>
          </w:pPr>
          <w:r>
            <w:rPr>
              <w:rFonts w:asciiTheme="majorHAnsi" w:eastAsiaTheme="majorEastAsia" w:hAnsiTheme="majorHAnsi" w:cstheme="majorBidi"/>
              <w:color w:val="0F4761" w:themeColor="accent1" w:themeShade="BF"/>
              <w:sz w:val="40"/>
              <w:szCs w:val="40"/>
            </w:rPr>
            <w:br w:type="page"/>
          </w:r>
        </w:p>
        <w:p w14:paraId="0551C590" w14:textId="7B6ECE43" w:rsidR="00842BB9" w:rsidRDefault="00000000">
          <w:pPr>
            <w:rPr>
              <w:rFonts w:asciiTheme="majorHAnsi" w:eastAsiaTheme="majorEastAsia" w:hAnsiTheme="majorHAnsi" w:cstheme="majorBidi"/>
              <w:color w:val="0F4761" w:themeColor="accent1" w:themeShade="BF"/>
              <w:sz w:val="40"/>
              <w:szCs w:val="40"/>
            </w:rPr>
          </w:pPr>
        </w:p>
      </w:sdtContent>
    </w:sdt>
    <w:sdt>
      <w:sdtPr>
        <w:rPr>
          <w:rFonts w:ascii="Arial" w:eastAsiaTheme="minorHAnsi" w:hAnsi="Arial" w:cstheme="minorBidi"/>
          <w:color w:val="auto"/>
          <w:kern w:val="2"/>
          <w:sz w:val="24"/>
          <w:szCs w:val="22"/>
          <w:lang w:val="en-GB"/>
          <w14:ligatures w14:val="standardContextual"/>
        </w:rPr>
        <w:id w:val="-1476991333"/>
        <w:docPartObj>
          <w:docPartGallery w:val="Table of Contents"/>
          <w:docPartUnique/>
        </w:docPartObj>
      </w:sdtPr>
      <w:sdtEndPr>
        <w:rPr>
          <w:b/>
          <w:bCs/>
          <w:noProof/>
        </w:rPr>
      </w:sdtEndPr>
      <w:sdtContent>
        <w:p w14:paraId="162B861F" w14:textId="3765B5C8" w:rsidR="00842BB9" w:rsidRPr="00F02958" w:rsidRDefault="00842BB9" w:rsidP="00F02958">
          <w:pPr>
            <w:pStyle w:val="TOCHeading"/>
            <w:spacing w:line="360" w:lineRule="auto"/>
            <w:rPr>
              <w:rFonts w:ascii="Arial" w:hAnsi="Arial" w:cs="Arial"/>
              <w:sz w:val="24"/>
              <w:szCs w:val="24"/>
            </w:rPr>
          </w:pPr>
          <w:r w:rsidRPr="00F02958">
            <w:rPr>
              <w:rFonts w:ascii="Arial" w:hAnsi="Arial" w:cs="Arial"/>
              <w:sz w:val="24"/>
              <w:szCs w:val="24"/>
            </w:rPr>
            <w:t>Contents</w:t>
          </w:r>
        </w:p>
        <w:p w14:paraId="35A42BE8" w14:textId="751807E6" w:rsidR="00F43293" w:rsidRDefault="00842BB9">
          <w:pPr>
            <w:pStyle w:val="TOC1"/>
            <w:rPr>
              <w:rFonts w:asciiTheme="minorHAnsi" w:eastAsiaTheme="minorEastAsia" w:hAnsiTheme="minorHAnsi"/>
              <w:noProof/>
              <w:szCs w:val="24"/>
              <w:lang w:eastAsia="en-GB"/>
            </w:rPr>
          </w:pPr>
          <w:r w:rsidRPr="00F02958">
            <w:rPr>
              <w:rFonts w:cs="Arial"/>
              <w:szCs w:val="24"/>
            </w:rPr>
            <w:fldChar w:fldCharType="begin"/>
          </w:r>
          <w:r w:rsidRPr="00F02958">
            <w:rPr>
              <w:rFonts w:cs="Arial"/>
              <w:szCs w:val="24"/>
            </w:rPr>
            <w:instrText xml:space="preserve"> TOC \o "1-3" \h \z \u </w:instrText>
          </w:r>
          <w:r w:rsidRPr="00F02958">
            <w:rPr>
              <w:rFonts w:cs="Arial"/>
              <w:szCs w:val="24"/>
            </w:rPr>
            <w:fldChar w:fldCharType="separate"/>
          </w:r>
          <w:hyperlink w:anchor="_Toc227406742" w:history="1">
            <w:r w:rsidR="00F43293" w:rsidRPr="005D769E">
              <w:rPr>
                <w:rStyle w:val="Hyperlink"/>
                <w:rFonts w:cs="Arial"/>
                <w:noProof/>
              </w:rPr>
              <w:t>Introduction</w:t>
            </w:r>
            <w:r w:rsidR="00F43293">
              <w:rPr>
                <w:noProof/>
                <w:webHidden/>
              </w:rPr>
              <w:tab/>
            </w:r>
            <w:r w:rsidR="00F43293">
              <w:rPr>
                <w:noProof/>
                <w:webHidden/>
              </w:rPr>
              <w:fldChar w:fldCharType="begin"/>
            </w:r>
            <w:r w:rsidR="00F43293">
              <w:rPr>
                <w:noProof/>
                <w:webHidden/>
              </w:rPr>
              <w:instrText xml:space="preserve"> PAGEREF _Toc227406742 \h </w:instrText>
            </w:r>
            <w:r w:rsidR="00F43293">
              <w:rPr>
                <w:noProof/>
                <w:webHidden/>
              </w:rPr>
            </w:r>
            <w:r w:rsidR="00F43293">
              <w:rPr>
                <w:noProof/>
                <w:webHidden/>
              </w:rPr>
              <w:fldChar w:fldCharType="separate"/>
            </w:r>
            <w:r w:rsidR="00F43293">
              <w:rPr>
                <w:noProof/>
                <w:webHidden/>
              </w:rPr>
              <w:t>2</w:t>
            </w:r>
            <w:r w:rsidR="00F43293">
              <w:rPr>
                <w:noProof/>
                <w:webHidden/>
              </w:rPr>
              <w:fldChar w:fldCharType="end"/>
            </w:r>
          </w:hyperlink>
        </w:p>
        <w:p w14:paraId="763528A9" w14:textId="58F239D6" w:rsidR="00F43293" w:rsidRDefault="00F43293">
          <w:pPr>
            <w:pStyle w:val="TOC1"/>
            <w:rPr>
              <w:rFonts w:asciiTheme="minorHAnsi" w:eastAsiaTheme="minorEastAsia" w:hAnsiTheme="minorHAnsi"/>
              <w:noProof/>
              <w:szCs w:val="24"/>
              <w:lang w:eastAsia="en-GB"/>
            </w:rPr>
          </w:pPr>
          <w:hyperlink w:anchor="_Toc227406743" w:history="1">
            <w:r w:rsidRPr="005D769E">
              <w:rPr>
                <w:rStyle w:val="Hyperlink"/>
                <w:noProof/>
              </w:rPr>
              <w:t>Conceptualising Serious and Organised Crime and Firearms-Enabled Violence</w:t>
            </w:r>
            <w:r>
              <w:rPr>
                <w:noProof/>
                <w:webHidden/>
              </w:rPr>
              <w:tab/>
            </w:r>
            <w:r>
              <w:rPr>
                <w:noProof/>
                <w:webHidden/>
              </w:rPr>
              <w:fldChar w:fldCharType="begin"/>
            </w:r>
            <w:r>
              <w:rPr>
                <w:noProof/>
                <w:webHidden/>
              </w:rPr>
              <w:instrText xml:space="preserve"> PAGEREF _Toc227406743 \h </w:instrText>
            </w:r>
            <w:r>
              <w:rPr>
                <w:noProof/>
                <w:webHidden/>
              </w:rPr>
            </w:r>
            <w:r>
              <w:rPr>
                <w:noProof/>
                <w:webHidden/>
              </w:rPr>
              <w:fldChar w:fldCharType="separate"/>
            </w:r>
            <w:r>
              <w:rPr>
                <w:noProof/>
                <w:webHidden/>
              </w:rPr>
              <w:t>3</w:t>
            </w:r>
            <w:r>
              <w:rPr>
                <w:noProof/>
                <w:webHidden/>
              </w:rPr>
              <w:fldChar w:fldCharType="end"/>
            </w:r>
          </w:hyperlink>
        </w:p>
        <w:p w14:paraId="7065E33D" w14:textId="6EE029C0" w:rsidR="00F43293" w:rsidRDefault="00F43293">
          <w:pPr>
            <w:pStyle w:val="TOC1"/>
            <w:rPr>
              <w:rFonts w:asciiTheme="minorHAnsi" w:eastAsiaTheme="minorEastAsia" w:hAnsiTheme="minorHAnsi"/>
              <w:noProof/>
              <w:szCs w:val="24"/>
              <w:lang w:eastAsia="en-GB"/>
            </w:rPr>
          </w:pPr>
          <w:hyperlink w:anchor="_Toc227406744" w:history="1">
            <w:r w:rsidRPr="005D769E">
              <w:rPr>
                <w:rStyle w:val="Hyperlink"/>
                <w:noProof/>
              </w:rPr>
              <w:t>Structural Inequality, Community Context and Legitimacy</w:t>
            </w:r>
            <w:r>
              <w:rPr>
                <w:noProof/>
                <w:webHidden/>
              </w:rPr>
              <w:tab/>
            </w:r>
            <w:r>
              <w:rPr>
                <w:noProof/>
                <w:webHidden/>
              </w:rPr>
              <w:fldChar w:fldCharType="begin"/>
            </w:r>
            <w:r>
              <w:rPr>
                <w:noProof/>
                <w:webHidden/>
              </w:rPr>
              <w:instrText xml:space="preserve"> PAGEREF _Toc227406744 \h </w:instrText>
            </w:r>
            <w:r>
              <w:rPr>
                <w:noProof/>
                <w:webHidden/>
              </w:rPr>
            </w:r>
            <w:r>
              <w:rPr>
                <w:noProof/>
                <w:webHidden/>
              </w:rPr>
              <w:fldChar w:fldCharType="separate"/>
            </w:r>
            <w:r>
              <w:rPr>
                <w:noProof/>
                <w:webHidden/>
              </w:rPr>
              <w:t>4</w:t>
            </w:r>
            <w:r>
              <w:rPr>
                <w:noProof/>
                <w:webHidden/>
              </w:rPr>
              <w:fldChar w:fldCharType="end"/>
            </w:r>
          </w:hyperlink>
        </w:p>
        <w:p w14:paraId="0FCB8124" w14:textId="68634FC4" w:rsidR="00F43293" w:rsidRDefault="00F43293">
          <w:pPr>
            <w:pStyle w:val="TOC1"/>
            <w:rPr>
              <w:rFonts w:asciiTheme="minorHAnsi" w:eastAsiaTheme="minorEastAsia" w:hAnsiTheme="minorHAnsi"/>
              <w:noProof/>
              <w:szCs w:val="24"/>
              <w:lang w:eastAsia="en-GB"/>
            </w:rPr>
          </w:pPr>
          <w:hyperlink w:anchor="_Toc227406745" w:history="1">
            <w:r w:rsidRPr="005D769E">
              <w:rPr>
                <w:rStyle w:val="Hyperlink"/>
                <w:noProof/>
              </w:rPr>
              <w:t>Partnership Governance and System Fragmentation</w:t>
            </w:r>
            <w:r>
              <w:rPr>
                <w:noProof/>
                <w:webHidden/>
              </w:rPr>
              <w:tab/>
            </w:r>
            <w:r>
              <w:rPr>
                <w:noProof/>
                <w:webHidden/>
              </w:rPr>
              <w:fldChar w:fldCharType="begin"/>
            </w:r>
            <w:r>
              <w:rPr>
                <w:noProof/>
                <w:webHidden/>
              </w:rPr>
              <w:instrText xml:space="preserve"> PAGEREF _Toc227406745 \h </w:instrText>
            </w:r>
            <w:r>
              <w:rPr>
                <w:noProof/>
                <w:webHidden/>
              </w:rPr>
            </w:r>
            <w:r>
              <w:rPr>
                <w:noProof/>
                <w:webHidden/>
              </w:rPr>
              <w:fldChar w:fldCharType="separate"/>
            </w:r>
            <w:r>
              <w:rPr>
                <w:noProof/>
                <w:webHidden/>
              </w:rPr>
              <w:t>7</w:t>
            </w:r>
            <w:r>
              <w:rPr>
                <w:noProof/>
                <w:webHidden/>
              </w:rPr>
              <w:fldChar w:fldCharType="end"/>
            </w:r>
          </w:hyperlink>
        </w:p>
        <w:p w14:paraId="0D25FDCD" w14:textId="196CFE1E" w:rsidR="00F43293" w:rsidRDefault="00F43293">
          <w:pPr>
            <w:pStyle w:val="TOC1"/>
            <w:rPr>
              <w:rFonts w:asciiTheme="minorHAnsi" w:eastAsiaTheme="minorEastAsia" w:hAnsiTheme="minorHAnsi"/>
              <w:noProof/>
              <w:szCs w:val="24"/>
              <w:lang w:eastAsia="en-GB"/>
            </w:rPr>
          </w:pPr>
          <w:hyperlink w:anchor="_Toc227406746" w:history="1">
            <w:r w:rsidRPr="005D769E">
              <w:rPr>
                <w:rStyle w:val="Hyperlink"/>
                <w:noProof/>
              </w:rPr>
              <w:t>Vulnerability, Exploitation and County Lines</w:t>
            </w:r>
            <w:r>
              <w:rPr>
                <w:noProof/>
                <w:webHidden/>
              </w:rPr>
              <w:tab/>
            </w:r>
            <w:r>
              <w:rPr>
                <w:noProof/>
                <w:webHidden/>
              </w:rPr>
              <w:fldChar w:fldCharType="begin"/>
            </w:r>
            <w:r>
              <w:rPr>
                <w:noProof/>
                <w:webHidden/>
              </w:rPr>
              <w:instrText xml:space="preserve"> PAGEREF _Toc227406746 \h </w:instrText>
            </w:r>
            <w:r>
              <w:rPr>
                <w:noProof/>
                <w:webHidden/>
              </w:rPr>
            </w:r>
            <w:r>
              <w:rPr>
                <w:noProof/>
                <w:webHidden/>
              </w:rPr>
              <w:fldChar w:fldCharType="separate"/>
            </w:r>
            <w:r>
              <w:rPr>
                <w:noProof/>
                <w:webHidden/>
              </w:rPr>
              <w:t>9</w:t>
            </w:r>
            <w:r>
              <w:rPr>
                <w:noProof/>
                <w:webHidden/>
              </w:rPr>
              <w:fldChar w:fldCharType="end"/>
            </w:r>
          </w:hyperlink>
        </w:p>
        <w:p w14:paraId="05864C09" w14:textId="1006A113" w:rsidR="00F43293" w:rsidRDefault="00F43293">
          <w:pPr>
            <w:pStyle w:val="TOC1"/>
            <w:rPr>
              <w:rFonts w:asciiTheme="minorHAnsi" w:eastAsiaTheme="minorEastAsia" w:hAnsiTheme="minorHAnsi"/>
              <w:noProof/>
              <w:szCs w:val="24"/>
              <w:lang w:eastAsia="en-GB"/>
            </w:rPr>
          </w:pPr>
          <w:hyperlink w:anchor="_Toc227406747" w:history="1">
            <w:r w:rsidRPr="005D769E">
              <w:rPr>
                <w:rStyle w:val="Hyperlink"/>
                <w:noProof/>
              </w:rPr>
              <w:t>Leadership Approaches in the Literature</w:t>
            </w:r>
            <w:r>
              <w:rPr>
                <w:noProof/>
                <w:webHidden/>
              </w:rPr>
              <w:tab/>
            </w:r>
            <w:r>
              <w:rPr>
                <w:noProof/>
                <w:webHidden/>
              </w:rPr>
              <w:fldChar w:fldCharType="begin"/>
            </w:r>
            <w:r>
              <w:rPr>
                <w:noProof/>
                <w:webHidden/>
              </w:rPr>
              <w:instrText xml:space="preserve"> PAGEREF _Toc227406747 \h </w:instrText>
            </w:r>
            <w:r>
              <w:rPr>
                <w:noProof/>
                <w:webHidden/>
              </w:rPr>
            </w:r>
            <w:r>
              <w:rPr>
                <w:noProof/>
                <w:webHidden/>
              </w:rPr>
              <w:fldChar w:fldCharType="separate"/>
            </w:r>
            <w:r>
              <w:rPr>
                <w:noProof/>
                <w:webHidden/>
              </w:rPr>
              <w:t>11</w:t>
            </w:r>
            <w:r>
              <w:rPr>
                <w:noProof/>
                <w:webHidden/>
              </w:rPr>
              <w:fldChar w:fldCharType="end"/>
            </w:r>
          </w:hyperlink>
        </w:p>
        <w:p w14:paraId="0C1FAF58" w14:textId="0D80B7F0" w:rsidR="00F43293" w:rsidRDefault="00F43293">
          <w:pPr>
            <w:pStyle w:val="TOC1"/>
            <w:rPr>
              <w:rFonts w:asciiTheme="minorHAnsi" w:eastAsiaTheme="minorEastAsia" w:hAnsiTheme="minorHAnsi"/>
              <w:noProof/>
              <w:szCs w:val="24"/>
              <w:lang w:eastAsia="en-GB"/>
            </w:rPr>
          </w:pPr>
          <w:hyperlink w:anchor="_Toc227406748" w:history="1">
            <w:r w:rsidRPr="005D769E">
              <w:rPr>
                <w:rStyle w:val="Hyperlink"/>
                <w:noProof/>
              </w:rPr>
              <w:t>Conclusion</w:t>
            </w:r>
            <w:r>
              <w:rPr>
                <w:noProof/>
                <w:webHidden/>
              </w:rPr>
              <w:tab/>
            </w:r>
            <w:r>
              <w:rPr>
                <w:noProof/>
                <w:webHidden/>
              </w:rPr>
              <w:fldChar w:fldCharType="begin"/>
            </w:r>
            <w:r>
              <w:rPr>
                <w:noProof/>
                <w:webHidden/>
              </w:rPr>
              <w:instrText xml:space="preserve"> PAGEREF _Toc227406748 \h </w:instrText>
            </w:r>
            <w:r>
              <w:rPr>
                <w:noProof/>
                <w:webHidden/>
              </w:rPr>
            </w:r>
            <w:r>
              <w:rPr>
                <w:noProof/>
                <w:webHidden/>
              </w:rPr>
              <w:fldChar w:fldCharType="separate"/>
            </w:r>
            <w:r>
              <w:rPr>
                <w:noProof/>
                <w:webHidden/>
              </w:rPr>
              <w:t>12</w:t>
            </w:r>
            <w:r>
              <w:rPr>
                <w:noProof/>
                <w:webHidden/>
              </w:rPr>
              <w:fldChar w:fldCharType="end"/>
            </w:r>
          </w:hyperlink>
        </w:p>
        <w:p w14:paraId="36966DAE" w14:textId="1A1908D9" w:rsidR="00F43293" w:rsidRDefault="00F43293">
          <w:pPr>
            <w:pStyle w:val="TOC1"/>
            <w:rPr>
              <w:rFonts w:asciiTheme="minorHAnsi" w:eastAsiaTheme="minorEastAsia" w:hAnsiTheme="minorHAnsi"/>
              <w:noProof/>
              <w:szCs w:val="24"/>
              <w:lang w:eastAsia="en-GB"/>
            </w:rPr>
          </w:pPr>
          <w:hyperlink w:anchor="_Toc227406749" w:history="1">
            <w:r w:rsidRPr="005D769E">
              <w:rPr>
                <w:rStyle w:val="Hyperlink"/>
                <w:noProof/>
              </w:rPr>
              <w:t>References</w:t>
            </w:r>
            <w:r>
              <w:rPr>
                <w:noProof/>
                <w:webHidden/>
              </w:rPr>
              <w:tab/>
            </w:r>
            <w:r>
              <w:rPr>
                <w:noProof/>
                <w:webHidden/>
              </w:rPr>
              <w:fldChar w:fldCharType="begin"/>
            </w:r>
            <w:r>
              <w:rPr>
                <w:noProof/>
                <w:webHidden/>
              </w:rPr>
              <w:instrText xml:space="preserve"> PAGEREF _Toc227406749 \h </w:instrText>
            </w:r>
            <w:r>
              <w:rPr>
                <w:noProof/>
                <w:webHidden/>
              </w:rPr>
            </w:r>
            <w:r>
              <w:rPr>
                <w:noProof/>
                <w:webHidden/>
              </w:rPr>
              <w:fldChar w:fldCharType="separate"/>
            </w:r>
            <w:r>
              <w:rPr>
                <w:noProof/>
                <w:webHidden/>
              </w:rPr>
              <w:t>15</w:t>
            </w:r>
            <w:r>
              <w:rPr>
                <w:noProof/>
                <w:webHidden/>
              </w:rPr>
              <w:fldChar w:fldCharType="end"/>
            </w:r>
          </w:hyperlink>
        </w:p>
        <w:p w14:paraId="1EC50E02" w14:textId="43FA7438" w:rsidR="00842BB9" w:rsidRDefault="00842BB9" w:rsidP="00F02958">
          <w:pPr>
            <w:spacing w:line="360" w:lineRule="auto"/>
          </w:pPr>
          <w:r w:rsidRPr="00F02958">
            <w:rPr>
              <w:rFonts w:cs="Arial"/>
              <w:b/>
              <w:bCs/>
              <w:noProof/>
              <w:szCs w:val="24"/>
            </w:rPr>
            <w:fldChar w:fldCharType="end"/>
          </w:r>
        </w:p>
      </w:sdtContent>
    </w:sdt>
    <w:p w14:paraId="6D77DF7B" w14:textId="6B2162FB" w:rsidR="004E327F" w:rsidRDefault="004E327F" w:rsidP="004E327F">
      <w:pPr>
        <w:shd w:val="clear" w:color="auto" w:fill="FFFFFF" w:themeFill="background1"/>
        <w:spacing w:after="171"/>
        <w:jc w:val="both"/>
        <w:rPr>
          <w:rFonts w:eastAsia="Arial" w:cs="Arial"/>
          <w:color w:val="000000" w:themeColor="text1"/>
          <w:sz w:val="20"/>
        </w:rPr>
      </w:pPr>
      <w:r>
        <w:rPr>
          <w:rFonts w:eastAsia="Arial" w:cs="Arial"/>
          <w:color w:val="000000" w:themeColor="text1"/>
          <w:highlight w:val="yellow"/>
        </w:rPr>
        <w:t xml:space="preserve">I acknowledge the use of </w:t>
      </w:r>
      <w:r w:rsidR="009066D8">
        <w:rPr>
          <w:rFonts w:eastAsia="Arial" w:cs="Arial"/>
          <w:color w:val="000000" w:themeColor="text1"/>
          <w:highlight w:val="yellow"/>
        </w:rPr>
        <w:t>Copilot</w:t>
      </w:r>
      <w:r w:rsidR="00EE5F72">
        <w:rPr>
          <w:rFonts w:eastAsia="Arial" w:cs="Arial"/>
          <w:color w:val="000000" w:themeColor="text1"/>
          <w:highlight w:val="yellow"/>
        </w:rPr>
        <w:t xml:space="preserve"> (</w:t>
      </w:r>
      <w:r w:rsidR="00432E4A">
        <w:rPr>
          <w:rFonts w:eastAsia="Arial" w:cs="Arial"/>
          <w:color w:val="000000" w:themeColor="text1"/>
          <w:highlight w:val="yellow"/>
        </w:rPr>
        <w:t xml:space="preserve">copilot.microsoft.com) </w:t>
      </w:r>
      <w:r w:rsidR="004F05BC">
        <w:rPr>
          <w:rFonts w:eastAsia="Arial" w:cs="Arial"/>
          <w:color w:val="000000" w:themeColor="text1"/>
          <w:highlight w:val="yellow"/>
        </w:rPr>
        <w:t>on 31</w:t>
      </w:r>
      <w:r w:rsidR="004F05BC" w:rsidRPr="004F05BC">
        <w:rPr>
          <w:rFonts w:eastAsia="Arial" w:cs="Arial"/>
          <w:color w:val="000000" w:themeColor="text1"/>
          <w:highlight w:val="yellow"/>
          <w:vertAlign w:val="superscript"/>
        </w:rPr>
        <w:t>st</w:t>
      </w:r>
      <w:r w:rsidR="004F05BC">
        <w:rPr>
          <w:rFonts w:eastAsia="Arial" w:cs="Arial"/>
          <w:color w:val="000000" w:themeColor="text1"/>
          <w:highlight w:val="yellow"/>
        </w:rPr>
        <w:t xml:space="preserve"> Match </w:t>
      </w:r>
      <w:r w:rsidR="006556E4">
        <w:rPr>
          <w:rFonts w:eastAsia="Arial" w:cs="Arial"/>
          <w:color w:val="000000" w:themeColor="text1"/>
          <w:highlight w:val="yellow"/>
        </w:rPr>
        <w:t>2026</w:t>
      </w:r>
      <w:r w:rsidR="00355E7C">
        <w:rPr>
          <w:rFonts w:eastAsia="Arial" w:cs="Arial"/>
          <w:color w:val="000000" w:themeColor="text1"/>
          <w:highlight w:val="yellow"/>
        </w:rPr>
        <w:t xml:space="preserve"> and 18</w:t>
      </w:r>
      <w:r w:rsidR="00355E7C" w:rsidRPr="00355E7C">
        <w:rPr>
          <w:rFonts w:eastAsia="Arial" w:cs="Arial"/>
          <w:color w:val="000000" w:themeColor="text1"/>
          <w:highlight w:val="yellow"/>
          <w:vertAlign w:val="superscript"/>
        </w:rPr>
        <w:t>th</w:t>
      </w:r>
      <w:r w:rsidR="00355E7C">
        <w:rPr>
          <w:rFonts w:eastAsia="Arial" w:cs="Arial"/>
          <w:color w:val="000000" w:themeColor="text1"/>
          <w:highlight w:val="yellow"/>
        </w:rPr>
        <w:t xml:space="preserve"> April 2026</w:t>
      </w:r>
      <w:r w:rsidR="006556E4">
        <w:rPr>
          <w:rFonts w:eastAsia="Arial" w:cs="Arial"/>
          <w:color w:val="000000" w:themeColor="text1"/>
          <w:highlight w:val="yellow"/>
        </w:rPr>
        <w:t xml:space="preserve"> </w:t>
      </w:r>
      <w:r>
        <w:rPr>
          <w:rFonts w:eastAsia="Arial" w:cs="Arial"/>
          <w:color w:val="000000" w:themeColor="text1"/>
          <w:highlight w:val="yellow"/>
        </w:rPr>
        <w:t xml:space="preserve">to </w:t>
      </w:r>
      <w:r w:rsidR="009609CE">
        <w:rPr>
          <w:rFonts w:eastAsia="Arial" w:cs="Arial"/>
          <w:color w:val="000000" w:themeColor="text1"/>
          <w:highlight w:val="yellow"/>
        </w:rPr>
        <w:t xml:space="preserve">assist with </w:t>
      </w:r>
      <w:r w:rsidR="00F923E1">
        <w:rPr>
          <w:rFonts w:eastAsia="Arial" w:cs="Arial"/>
          <w:color w:val="000000" w:themeColor="text1"/>
          <w:highlight w:val="yellow"/>
        </w:rPr>
        <w:t xml:space="preserve">structuring </w:t>
      </w:r>
      <w:r w:rsidR="00E25B01">
        <w:rPr>
          <w:rFonts w:eastAsia="Arial" w:cs="Arial"/>
          <w:color w:val="000000" w:themeColor="text1"/>
          <w:highlight w:val="yellow"/>
        </w:rPr>
        <w:t>and proof reading my</w:t>
      </w:r>
      <w:r w:rsidR="00F923E1">
        <w:rPr>
          <w:rFonts w:eastAsia="Arial" w:cs="Arial"/>
          <w:color w:val="000000" w:themeColor="text1"/>
          <w:highlight w:val="yellow"/>
        </w:rPr>
        <w:t xml:space="preserve"> </w:t>
      </w:r>
      <w:r w:rsidR="00E25B01">
        <w:rPr>
          <w:rFonts w:eastAsia="Arial" w:cs="Arial"/>
          <w:color w:val="000000" w:themeColor="text1"/>
          <w:highlight w:val="yellow"/>
        </w:rPr>
        <w:t xml:space="preserve">document. </w:t>
      </w:r>
      <w:r>
        <w:rPr>
          <w:rFonts w:eastAsia="Arial" w:cs="Arial"/>
          <w:color w:val="000000" w:themeColor="text1"/>
          <w:highlight w:val="yellow"/>
        </w:rPr>
        <w:t xml:space="preserve">I used the prompt(s): </w:t>
      </w:r>
    </w:p>
    <w:p w14:paraId="2AC5629A" w14:textId="327429E4" w:rsidR="004E327F" w:rsidRDefault="00E25B01" w:rsidP="004E327F">
      <w:pPr>
        <w:pStyle w:val="ListParagraph"/>
        <w:numPr>
          <w:ilvl w:val="0"/>
          <w:numId w:val="3"/>
        </w:numPr>
        <w:shd w:val="clear" w:color="auto" w:fill="FFFFFF" w:themeFill="background1"/>
        <w:spacing w:after="0" w:line="223" w:lineRule="auto"/>
        <w:jc w:val="both"/>
        <w:rPr>
          <w:rFonts w:eastAsia="Arial" w:cs="Arial"/>
          <w:color w:val="000000" w:themeColor="text1"/>
        </w:rPr>
      </w:pPr>
      <w:r>
        <w:rPr>
          <w:rFonts w:eastAsia="Arial" w:cs="Arial"/>
          <w:color w:val="000000" w:themeColor="text1"/>
        </w:rPr>
        <w:t xml:space="preserve">Can you </w:t>
      </w:r>
      <w:r w:rsidR="00086D18">
        <w:rPr>
          <w:rFonts w:eastAsia="Arial" w:cs="Arial"/>
          <w:color w:val="000000" w:themeColor="text1"/>
        </w:rPr>
        <w:t>advise me on how to structure a literature review please?</w:t>
      </w:r>
    </w:p>
    <w:p w14:paraId="71647D97" w14:textId="6E98877C" w:rsidR="004E327F" w:rsidRDefault="009757B2" w:rsidP="004E327F">
      <w:pPr>
        <w:pStyle w:val="ListParagraph"/>
        <w:numPr>
          <w:ilvl w:val="0"/>
          <w:numId w:val="3"/>
        </w:numPr>
        <w:shd w:val="clear" w:color="auto" w:fill="FFFFFF" w:themeFill="background1"/>
        <w:spacing w:after="0" w:line="223" w:lineRule="auto"/>
        <w:jc w:val="both"/>
        <w:rPr>
          <w:rFonts w:eastAsia="Arial" w:cs="Arial"/>
          <w:color w:val="000000" w:themeColor="text1"/>
        </w:rPr>
      </w:pPr>
      <w:r>
        <w:rPr>
          <w:rFonts w:eastAsia="Arial" w:cs="Arial"/>
          <w:color w:val="000000" w:themeColor="text1"/>
        </w:rPr>
        <w:t>Please check the following text for readability, gramma</w:t>
      </w:r>
      <w:r w:rsidR="00A55C2A">
        <w:rPr>
          <w:rFonts w:eastAsia="Arial" w:cs="Arial"/>
          <w:color w:val="000000" w:themeColor="text1"/>
        </w:rPr>
        <w:t>r, spelling</w:t>
      </w:r>
      <w:r>
        <w:rPr>
          <w:rFonts w:eastAsia="Arial" w:cs="Arial"/>
          <w:color w:val="000000" w:themeColor="text1"/>
        </w:rPr>
        <w:t xml:space="preserve"> and s</w:t>
      </w:r>
      <w:r w:rsidR="004C5063">
        <w:rPr>
          <w:rFonts w:eastAsia="Arial" w:cs="Arial"/>
          <w:color w:val="000000" w:themeColor="text1"/>
        </w:rPr>
        <w:t>yntax</w:t>
      </w:r>
    </w:p>
    <w:p w14:paraId="60562ADF" w14:textId="77777777" w:rsidR="004C5063" w:rsidRDefault="004C5063" w:rsidP="004C5063">
      <w:pPr>
        <w:pStyle w:val="ListParagraph"/>
        <w:shd w:val="clear" w:color="auto" w:fill="FFFFFF" w:themeFill="background1"/>
        <w:spacing w:after="0" w:line="223" w:lineRule="auto"/>
        <w:jc w:val="both"/>
        <w:rPr>
          <w:rFonts w:eastAsia="Arial" w:cs="Arial"/>
          <w:color w:val="000000" w:themeColor="text1"/>
        </w:rPr>
      </w:pPr>
    </w:p>
    <w:p w14:paraId="3C914DB6" w14:textId="77777777" w:rsidR="004E327F" w:rsidRDefault="004E327F" w:rsidP="004E327F">
      <w:pPr>
        <w:shd w:val="clear" w:color="auto" w:fill="FFFFFF" w:themeFill="background1"/>
        <w:spacing w:after="172"/>
        <w:jc w:val="both"/>
        <w:rPr>
          <w:rFonts w:eastAsia="Arial" w:cs="Arial"/>
          <w:color w:val="000000" w:themeColor="text1"/>
        </w:rPr>
      </w:pPr>
      <w:r>
        <w:rPr>
          <w:rFonts w:eastAsia="Arial" w:cs="Arial"/>
          <w:color w:val="000000" w:themeColor="text1"/>
          <w:highlight w:val="yellow"/>
        </w:rPr>
        <w:t>I confirm that I have not presented any AI generated text as my own work. I confirm I have copies of my drafts, notes, and other resources I used before, and after the use of AI tools which I may be asked to provide in evidence.</w:t>
      </w:r>
    </w:p>
    <w:p w14:paraId="1049679B" w14:textId="2D5F0EB1" w:rsidR="00842BB9" w:rsidRDefault="00842BB9">
      <w:pPr>
        <w:rPr>
          <w:rFonts w:asciiTheme="majorHAnsi" w:eastAsiaTheme="majorEastAsia" w:hAnsiTheme="majorHAnsi" w:cstheme="majorBidi"/>
          <w:color w:val="0F4761" w:themeColor="accent1" w:themeShade="BF"/>
          <w:sz w:val="40"/>
          <w:szCs w:val="40"/>
        </w:rPr>
      </w:pPr>
      <w:r>
        <w:br w:type="page"/>
      </w:r>
    </w:p>
    <w:p w14:paraId="32F6E2C6" w14:textId="67D86F03" w:rsidR="008B13A5" w:rsidRPr="008B13A5" w:rsidRDefault="00A626CA" w:rsidP="00976E4F">
      <w:pPr>
        <w:pStyle w:val="Heading1"/>
        <w:spacing w:line="360" w:lineRule="auto"/>
      </w:pPr>
      <w:bookmarkStart w:id="0" w:name="_Toc227406742"/>
      <w:r w:rsidRPr="003228D0">
        <w:rPr>
          <w:rFonts w:ascii="Arial" w:hAnsi="Arial" w:cs="Arial"/>
          <w:sz w:val="32"/>
          <w:szCs w:val="32"/>
        </w:rPr>
        <w:lastRenderedPageBreak/>
        <w:t>Introduction</w:t>
      </w:r>
      <w:bookmarkEnd w:id="0"/>
    </w:p>
    <w:p w14:paraId="49796707" w14:textId="0C4BD043" w:rsidR="00703162" w:rsidRDefault="004C4759" w:rsidP="00C82D2A">
      <w:pPr>
        <w:spacing w:line="480" w:lineRule="auto"/>
        <w:rPr>
          <w:noProof/>
        </w:rPr>
      </w:pPr>
      <w:r>
        <w:t xml:space="preserve">Serious and Organised Crime (SOC) and firearms-enabled violence </w:t>
      </w:r>
      <w:r w:rsidR="0059464F">
        <w:t xml:space="preserve">represent </w:t>
      </w:r>
      <w:r w:rsidR="005A1D09">
        <w:t>enduring</w:t>
      </w:r>
      <w:r w:rsidR="00D7252E">
        <w:t xml:space="preserve">, </w:t>
      </w:r>
      <w:r w:rsidR="00F85821">
        <w:t xml:space="preserve">high-harm challenges within contemporary policing in </w:t>
      </w:r>
      <w:r>
        <w:t xml:space="preserve">England and Wales. </w:t>
      </w:r>
      <w:r w:rsidR="00247BBF">
        <w:t xml:space="preserve">Although firearms discharges </w:t>
      </w:r>
      <w:r w:rsidR="00254492">
        <w:t>constitute</w:t>
      </w:r>
      <w:r w:rsidR="001207CB">
        <w:t xml:space="preserve"> </w:t>
      </w:r>
      <w:r w:rsidR="00247BBF">
        <w:t>a relatively small proportion of recorded violent crime</w:t>
      </w:r>
      <w:r w:rsidR="00EC7207">
        <w:t>, the</w:t>
      </w:r>
      <w:r w:rsidR="001207CB">
        <w:t xml:space="preserve">ir </w:t>
      </w:r>
      <w:r w:rsidR="00EC7207">
        <w:t>associat</w:t>
      </w:r>
      <w:r w:rsidR="001207CB">
        <w:t xml:space="preserve">ion </w:t>
      </w:r>
      <w:r w:rsidR="00411ECD">
        <w:t xml:space="preserve">with organised criminality, territorial disputes and </w:t>
      </w:r>
      <w:r w:rsidR="0067474A">
        <w:t xml:space="preserve">disproportionate </w:t>
      </w:r>
      <w:r w:rsidR="00DC316F">
        <w:t xml:space="preserve">impacts on fear, </w:t>
      </w:r>
      <w:r w:rsidR="00FC5C46">
        <w:t xml:space="preserve">public confidence and police legitimacy </w:t>
      </w:r>
      <w:r w:rsidR="0067474A">
        <w:t>render firearms-enabled vio</w:t>
      </w:r>
      <w:r w:rsidR="008E298A">
        <w:t>lence a particularly acute</w:t>
      </w:r>
      <w:r w:rsidR="00E40E8B">
        <w:t xml:space="preserve"> contemporary policing challenge </w:t>
      </w:r>
      <w:sdt>
        <w:sdtPr>
          <w:id w:val="217247732"/>
          <w:citation/>
        </w:sdtPr>
        <w:sdtContent>
          <w:r w:rsidR="003C296A">
            <w:fldChar w:fldCharType="begin"/>
          </w:r>
          <w:r w:rsidR="003C296A">
            <w:instrText xml:space="preserve"> CITATION Squ14 \l 2057 </w:instrText>
          </w:r>
          <w:r w:rsidR="003C296A">
            <w:fldChar w:fldCharType="separate"/>
          </w:r>
          <w:r w:rsidR="003C296A" w:rsidRPr="003C296A">
            <w:rPr>
              <w:noProof/>
            </w:rPr>
            <w:t>(Squires, 2014)</w:t>
          </w:r>
          <w:r w:rsidR="003C296A">
            <w:fldChar w:fldCharType="end"/>
          </w:r>
        </w:sdtContent>
      </w:sdt>
      <w:r w:rsidR="006C04FA">
        <w:t xml:space="preserve">. In urban areas characterised by entrenched deprivation and </w:t>
      </w:r>
      <w:r w:rsidR="00BC3055">
        <w:t xml:space="preserve">historically embedded organised </w:t>
      </w:r>
      <w:r w:rsidR="006C04FA">
        <w:t>crim</w:t>
      </w:r>
      <w:r w:rsidR="00BC3055">
        <w:t>e</w:t>
      </w:r>
      <w:r w:rsidR="006C04FA">
        <w:t xml:space="preserve"> </w:t>
      </w:r>
      <w:r w:rsidR="00BC3055">
        <w:t>groups</w:t>
      </w:r>
      <w:r w:rsidR="006C04FA">
        <w:t>, SOC and firearms</w:t>
      </w:r>
      <w:r w:rsidR="000009E3">
        <w:t xml:space="preserve"> violence are frequently inter</w:t>
      </w:r>
      <w:r w:rsidR="00BE1EB3">
        <w:t xml:space="preserve">twined </w:t>
      </w:r>
      <w:r w:rsidR="000009E3">
        <w:t xml:space="preserve">with illicit drug markets, territoriality, and the exploitation of vulnerable </w:t>
      </w:r>
      <w:r w:rsidR="00385364">
        <w:t xml:space="preserve">individuals </w:t>
      </w:r>
      <w:r w:rsidR="00385364" w:rsidRPr="00385364">
        <w:rPr>
          <w:noProof/>
        </w:rPr>
        <w:t>(Hobbs, 2013</w:t>
      </w:r>
      <w:r w:rsidR="00385364">
        <w:rPr>
          <w:noProof/>
        </w:rPr>
        <w:t xml:space="preserve">; </w:t>
      </w:r>
      <w:r w:rsidR="00385364" w:rsidRPr="00385364">
        <w:rPr>
          <w:noProof/>
        </w:rPr>
        <w:t>Densley &amp; Pyrooz, 2019)</w:t>
      </w:r>
      <w:r w:rsidR="00385364">
        <w:rPr>
          <w:noProof/>
        </w:rPr>
        <w:t>.</w:t>
      </w:r>
      <w:r w:rsidR="008A075C">
        <w:rPr>
          <w:noProof/>
        </w:rPr>
        <w:t xml:space="preserve"> </w:t>
      </w:r>
    </w:p>
    <w:p w14:paraId="21ABA7AE" w14:textId="7B795BCB" w:rsidR="008E33FB" w:rsidRDefault="00C3645A" w:rsidP="00C82D2A">
      <w:pPr>
        <w:spacing w:line="480" w:lineRule="auto"/>
        <w:rPr>
          <w:noProof/>
        </w:rPr>
      </w:pPr>
      <w:r>
        <w:rPr>
          <w:noProof/>
        </w:rPr>
        <w:t>This literature review critically examines academic, policy and professional literature relating to SOC</w:t>
      </w:r>
      <w:r w:rsidR="003877A9">
        <w:rPr>
          <w:noProof/>
        </w:rPr>
        <w:t xml:space="preserve"> and firearms-enabled violence</w:t>
      </w:r>
      <w:r w:rsidR="00D404DC">
        <w:rPr>
          <w:noProof/>
        </w:rPr>
        <w:t xml:space="preserve">. </w:t>
      </w:r>
      <w:r w:rsidR="00132E06">
        <w:rPr>
          <w:noProof/>
        </w:rPr>
        <w:t>R</w:t>
      </w:r>
      <w:r w:rsidR="00C57935">
        <w:rPr>
          <w:noProof/>
        </w:rPr>
        <w:t xml:space="preserve">ather than addressing firearms as a discrete </w:t>
      </w:r>
      <w:r w:rsidR="00BE054D">
        <w:rPr>
          <w:noProof/>
        </w:rPr>
        <w:t>phenomenon, th</w:t>
      </w:r>
      <w:r w:rsidR="00132E06">
        <w:rPr>
          <w:noProof/>
        </w:rPr>
        <w:t>is</w:t>
      </w:r>
      <w:r w:rsidR="00BE054D">
        <w:rPr>
          <w:noProof/>
        </w:rPr>
        <w:t xml:space="preserve"> review situates firearms-enabled violence </w:t>
      </w:r>
      <w:r w:rsidR="006C672F">
        <w:rPr>
          <w:noProof/>
        </w:rPr>
        <w:t>within broader debates on organised crime, structural inequality, legitimacy, partnership governance</w:t>
      </w:r>
      <w:r w:rsidR="008450B9">
        <w:rPr>
          <w:noProof/>
        </w:rPr>
        <w:t xml:space="preserve">, </w:t>
      </w:r>
      <w:r w:rsidR="006C672F">
        <w:rPr>
          <w:noProof/>
        </w:rPr>
        <w:t>vulnerability</w:t>
      </w:r>
      <w:r w:rsidR="008450B9">
        <w:rPr>
          <w:noProof/>
        </w:rPr>
        <w:t xml:space="preserve"> and leadership</w:t>
      </w:r>
      <w:r w:rsidR="006C672F">
        <w:rPr>
          <w:noProof/>
        </w:rPr>
        <w:t>.</w:t>
      </w:r>
      <w:r w:rsidR="00553395">
        <w:rPr>
          <w:noProof/>
        </w:rPr>
        <w:t xml:space="preserve"> </w:t>
      </w:r>
      <w:r w:rsidR="00A65EE5">
        <w:rPr>
          <w:noProof/>
        </w:rPr>
        <w:t xml:space="preserve">This reflects increasing recognition within the literature that firearms violence is best understood </w:t>
      </w:r>
      <w:r w:rsidR="00533DD1">
        <w:rPr>
          <w:noProof/>
        </w:rPr>
        <w:t xml:space="preserve">as an emergent </w:t>
      </w:r>
      <w:r w:rsidR="008E33FB">
        <w:rPr>
          <w:noProof/>
        </w:rPr>
        <w:t xml:space="preserve">manifestation of </w:t>
      </w:r>
      <w:r w:rsidR="00533DD1">
        <w:rPr>
          <w:noProof/>
        </w:rPr>
        <w:t>organised crime systems</w:t>
      </w:r>
      <w:r w:rsidR="009061A8">
        <w:rPr>
          <w:noProof/>
        </w:rPr>
        <w:t xml:space="preserve"> rather than an isolated tactical policing issue.</w:t>
      </w:r>
    </w:p>
    <w:p w14:paraId="3178B812" w14:textId="2AAB5F97" w:rsidR="00853CF0" w:rsidRDefault="005E6C59" w:rsidP="007C634A">
      <w:pPr>
        <w:spacing w:line="480" w:lineRule="auto"/>
      </w:pPr>
      <w:r>
        <w:rPr>
          <w:noProof/>
        </w:rPr>
        <w:t xml:space="preserve">The review </w:t>
      </w:r>
      <w:r w:rsidR="00517437">
        <w:rPr>
          <w:noProof/>
        </w:rPr>
        <w:t>synthesises literature across key themes including organised crime conceptual</w:t>
      </w:r>
      <w:r w:rsidR="00CA14A3">
        <w:rPr>
          <w:noProof/>
        </w:rPr>
        <w:t>isation, legitimacy, partnership governance, vulnerability and leadership.</w:t>
      </w:r>
      <w:r w:rsidR="002C6262">
        <w:rPr>
          <w:noProof/>
        </w:rPr>
        <w:t xml:space="preserve"> </w:t>
      </w:r>
      <w:r w:rsidR="00C07970">
        <w:rPr>
          <w:noProof/>
        </w:rPr>
        <w:t xml:space="preserve">In doing so, it explicity engages with questions of evidence quality and </w:t>
      </w:r>
      <w:r w:rsidR="00D12122">
        <w:rPr>
          <w:noProof/>
        </w:rPr>
        <w:t xml:space="preserve">representativeness, recognising that much of the existing knowledge base is shaped by urban case studies </w:t>
      </w:r>
      <w:r w:rsidR="00EC23E9">
        <w:rPr>
          <w:noProof/>
        </w:rPr>
        <w:t xml:space="preserve">and public-sector evaluations. Leadership is included as a key theme given </w:t>
      </w:r>
      <w:r w:rsidR="00553D9E">
        <w:rPr>
          <w:noProof/>
        </w:rPr>
        <w:t>its influence</w:t>
      </w:r>
      <w:r w:rsidR="00AE76E7">
        <w:rPr>
          <w:noProof/>
        </w:rPr>
        <w:t xml:space="preserve"> on how policing systems respond across organisational and professional boundaries. </w:t>
      </w:r>
    </w:p>
    <w:p w14:paraId="08DB1B81" w14:textId="4EE77FF5" w:rsidR="004C3E53" w:rsidRDefault="004B03B6" w:rsidP="00976E4F">
      <w:pPr>
        <w:pStyle w:val="Heading1"/>
        <w:rPr>
          <w:sz w:val="32"/>
          <w:szCs w:val="32"/>
        </w:rPr>
      </w:pPr>
      <w:bookmarkStart w:id="1" w:name="_Toc225415634"/>
      <w:bookmarkStart w:id="2" w:name="_Toc227406743"/>
      <w:r w:rsidRPr="008B13A5">
        <w:rPr>
          <w:sz w:val="32"/>
          <w:szCs w:val="32"/>
        </w:rPr>
        <w:lastRenderedPageBreak/>
        <w:t xml:space="preserve">Conceptualising Serious and Organised Crime and </w:t>
      </w:r>
      <w:r w:rsidR="00EB49D0" w:rsidRPr="008B13A5">
        <w:rPr>
          <w:sz w:val="32"/>
          <w:szCs w:val="32"/>
        </w:rPr>
        <w:t>Firearms</w:t>
      </w:r>
      <w:r w:rsidR="0036282C" w:rsidRPr="008B13A5">
        <w:rPr>
          <w:sz w:val="32"/>
          <w:szCs w:val="32"/>
        </w:rPr>
        <w:t>-Enabled</w:t>
      </w:r>
      <w:r w:rsidR="00E2186F" w:rsidRPr="008B13A5">
        <w:rPr>
          <w:sz w:val="32"/>
          <w:szCs w:val="32"/>
        </w:rPr>
        <w:t xml:space="preserve"> </w:t>
      </w:r>
      <w:r w:rsidR="009C021C" w:rsidRPr="008B13A5">
        <w:rPr>
          <w:sz w:val="32"/>
          <w:szCs w:val="32"/>
        </w:rPr>
        <w:t>Violence</w:t>
      </w:r>
      <w:bookmarkEnd w:id="1"/>
      <w:bookmarkEnd w:id="2"/>
      <w:r w:rsidR="009C021C" w:rsidRPr="008B13A5">
        <w:rPr>
          <w:sz w:val="32"/>
          <w:szCs w:val="32"/>
        </w:rPr>
        <w:t xml:space="preserve"> </w:t>
      </w:r>
    </w:p>
    <w:p w14:paraId="66D9B39F" w14:textId="77777777" w:rsidR="00640AFE" w:rsidRPr="00640AFE" w:rsidRDefault="00640AFE" w:rsidP="00640AFE"/>
    <w:p w14:paraId="1FEFF3CB" w14:textId="1B15D709" w:rsidR="00E57BDD" w:rsidRDefault="00332468" w:rsidP="005F1F04">
      <w:pPr>
        <w:spacing w:line="480" w:lineRule="auto"/>
        <w:jc w:val="both"/>
      </w:pPr>
      <w:r>
        <w:t>The</w:t>
      </w:r>
      <w:r w:rsidR="00E30DAE">
        <w:t xml:space="preserve"> literature </w:t>
      </w:r>
      <w:r w:rsidR="00F67A13">
        <w:t>broadly defines SOC as coordinated and sustained criminal activity undertaken by groups for profit, power or status</w:t>
      </w:r>
      <w:r w:rsidR="007A6B28">
        <w:t xml:space="preserve">, generating </w:t>
      </w:r>
      <w:r w:rsidR="009A78D2">
        <w:t xml:space="preserve">significant harm </w:t>
      </w:r>
      <w:r w:rsidR="00E9367B">
        <w:t xml:space="preserve">to individuals, communities and institutions </w:t>
      </w:r>
      <w:r w:rsidR="005A593B" w:rsidRPr="00E9367B">
        <w:rPr>
          <w:noProof/>
        </w:rPr>
        <w:t>(National Crime Agency, 2023</w:t>
      </w:r>
      <w:r w:rsidR="005A593B">
        <w:rPr>
          <w:noProof/>
        </w:rPr>
        <w:t xml:space="preserve">; </w:t>
      </w:r>
      <w:r w:rsidR="005A593B" w:rsidRPr="005A593B">
        <w:rPr>
          <w:noProof/>
        </w:rPr>
        <w:t>Hobbs, 2013)</w:t>
      </w:r>
      <w:r w:rsidR="005A593B">
        <w:rPr>
          <w:noProof/>
        </w:rPr>
        <w:t xml:space="preserve">. </w:t>
      </w:r>
      <w:r w:rsidR="009D5395">
        <w:t>H</w:t>
      </w:r>
      <w:r w:rsidR="00BF7C31">
        <w:t>owever,</w:t>
      </w:r>
      <w:r w:rsidR="009D5395">
        <w:t xml:space="preserve"> </w:t>
      </w:r>
      <w:r w:rsidR="008C2D6D">
        <w:t xml:space="preserve">criminological scholarship </w:t>
      </w:r>
      <w:r w:rsidR="00BF7C31">
        <w:t xml:space="preserve">cautions against treating </w:t>
      </w:r>
      <w:r w:rsidR="00311BF7">
        <w:t xml:space="preserve">organised crime as a homogeneous or </w:t>
      </w:r>
      <w:r w:rsidR="008C2D6D">
        <w:t xml:space="preserve">exclusively </w:t>
      </w:r>
      <w:r w:rsidR="00311BF7">
        <w:t>economic phenomenon</w:t>
      </w:r>
      <w:r w:rsidR="00F00778">
        <w:t xml:space="preserve">, emphasising </w:t>
      </w:r>
      <w:r w:rsidR="00C634DF">
        <w:t>its s</w:t>
      </w:r>
      <w:r w:rsidR="00E75187">
        <w:t xml:space="preserve">ocial embeddedness within </w:t>
      </w:r>
      <w:r w:rsidR="00AA2C7D">
        <w:t xml:space="preserve">particular </w:t>
      </w:r>
      <w:r w:rsidR="009E44B1">
        <w:t>places</w:t>
      </w:r>
      <w:r w:rsidR="00E75187">
        <w:t>, cultures and histori</w:t>
      </w:r>
      <w:r w:rsidR="00AA2C7D">
        <w:t>cal contexts</w:t>
      </w:r>
      <w:r w:rsidR="0080579C">
        <w:t xml:space="preserve"> </w:t>
      </w:r>
      <w:r w:rsidR="00DC677E" w:rsidRPr="00262872">
        <w:rPr>
          <w:noProof/>
        </w:rPr>
        <w:t>(Hobbs, 2013</w:t>
      </w:r>
      <w:r w:rsidR="00DC677E">
        <w:rPr>
          <w:noProof/>
        </w:rPr>
        <w:t xml:space="preserve">; </w:t>
      </w:r>
      <w:r w:rsidR="00DC677E" w:rsidRPr="00DC677E">
        <w:rPr>
          <w:noProof/>
        </w:rPr>
        <w:t>Densley &amp; Pyrooz, 2019)</w:t>
      </w:r>
      <w:r w:rsidR="00DC677E">
        <w:rPr>
          <w:noProof/>
        </w:rPr>
        <w:t>.</w:t>
      </w:r>
    </w:p>
    <w:p w14:paraId="69C54117" w14:textId="29B01B25" w:rsidR="00DB1267" w:rsidRDefault="00B70111" w:rsidP="003228D0">
      <w:pPr>
        <w:spacing w:line="480" w:lineRule="auto"/>
        <w:rPr>
          <w:noProof/>
        </w:rPr>
      </w:pPr>
      <w:r>
        <w:rPr>
          <w:noProof/>
        </w:rPr>
        <w:t xml:space="preserve">While this </w:t>
      </w:r>
      <w:r w:rsidR="005759C3">
        <w:rPr>
          <w:noProof/>
        </w:rPr>
        <w:t xml:space="preserve">socially </w:t>
      </w:r>
      <w:r w:rsidR="007E5AB5">
        <w:rPr>
          <w:noProof/>
        </w:rPr>
        <w:t>embedded conceptualisation is thoeretically persuasive</w:t>
      </w:r>
      <w:r w:rsidR="00B5698F">
        <w:rPr>
          <w:noProof/>
        </w:rPr>
        <w:t xml:space="preserve">, its empirical foundations warrant critical consideration. Much of the supporting </w:t>
      </w:r>
      <w:r w:rsidR="00C670D7">
        <w:rPr>
          <w:noProof/>
        </w:rPr>
        <w:t xml:space="preserve">evidence derives from qualitative, ethnographic research conducted within specific urban settings </w:t>
      </w:r>
      <w:r w:rsidR="004A00CC">
        <w:rPr>
          <w:noProof/>
        </w:rPr>
        <w:t xml:space="preserve">in England and Wales. Although this provides depth and contextual richness, it raises questions regarding generalisability, particularly when applied to contemporary </w:t>
      </w:r>
      <w:r w:rsidR="00C4673B">
        <w:rPr>
          <w:noProof/>
        </w:rPr>
        <w:t>firearms-enabled violence, where coercion and intimidation may play a more central role tha</w:t>
      </w:r>
      <w:r w:rsidR="001A0358">
        <w:rPr>
          <w:noProof/>
        </w:rPr>
        <w:t>n</w:t>
      </w:r>
      <w:r w:rsidR="00C4673B">
        <w:rPr>
          <w:noProof/>
        </w:rPr>
        <w:t xml:space="preserve"> social</w:t>
      </w:r>
      <w:r w:rsidR="001A0358">
        <w:rPr>
          <w:noProof/>
        </w:rPr>
        <w:t xml:space="preserve"> </w:t>
      </w:r>
      <w:r w:rsidR="00354FB2">
        <w:rPr>
          <w:noProof/>
        </w:rPr>
        <w:t xml:space="preserve">proximity or local legitimacy. </w:t>
      </w:r>
      <w:r w:rsidR="00CB6297">
        <w:rPr>
          <w:noProof/>
        </w:rPr>
        <w:t xml:space="preserve">As </w:t>
      </w:r>
      <w:r w:rsidR="00CB6297" w:rsidRPr="00CB6297">
        <w:rPr>
          <w:noProof/>
        </w:rPr>
        <w:t>Von Lampe</w:t>
      </w:r>
      <w:r w:rsidR="00CB6297">
        <w:rPr>
          <w:noProof/>
        </w:rPr>
        <w:t xml:space="preserve"> (</w:t>
      </w:r>
      <w:r w:rsidR="00CB6297" w:rsidRPr="00CB6297">
        <w:rPr>
          <w:noProof/>
        </w:rPr>
        <w:t>2016)</w:t>
      </w:r>
      <w:r w:rsidR="00CB6297">
        <w:rPr>
          <w:noProof/>
        </w:rPr>
        <w:t xml:space="preserve"> </w:t>
      </w:r>
      <w:r w:rsidR="00375FD9">
        <w:rPr>
          <w:noProof/>
        </w:rPr>
        <w:t xml:space="preserve">cautions, conceptual coherence within organised crime research does not necessarily equate to empirical </w:t>
      </w:r>
      <w:r w:rsidR="00A05F57">
        <w:rPr>
          <w:noProof/>
        </w:rPr>
        <w:t>representativeness across contexts.</w:t>
      </w:r>
    </w:p>
    <w:p w14:paraId="0BD0EFAF" w14:textId="74B2AFAD" w:rsidR="00A05F57" w:rsidRDefault="00A05F57" w:rsidP="003228D0">
      <w:pPr>
        <w:spacing w:line="480" w:lineRule="auto"/>
        <w:rPr>
          <w:noProof/>
        </w:rPr>
      </w:pPr>
      <w:r>
        <w:rPr>
          <w:noProof/>
        </w:rPr>
        <w:t>Firearms</w:t>
      </w:r>
      <w:r w:rsidR="0003185F">
        <w:rPr>
          <w:noProof/>
        </w:rPr>
        <w:t>-</w:t>
      </w:r>
      <w:r>
        <w:rPr>
          <w:noProof/>
        </w:rPr>
        <w:t>enable</w:t>
      </w:r>
      <w:r w:rsidR="0003185F">
        <w:rPr>
          <w:noProof/>
        </w:rPr>
        <w:t>d</w:t>
      </w:r>
      <w:r>
        <w:rPr>
          <w:noProof/>
        </w:rPr>
        <w:t xml:space="preserve"> violence </w:t>
      </w:r>
      <w:r w:rsidR="002A454A">
        <w:rPr>
          <w:noProof/>
        </w:rPr>
        <w:t xml:space="preserve">occupies a distinct yet interconnected position within the SOC literature. While firearms function instrumentally </w:t>
      </w:r>
      <w:r w:rsidR="00871B05">
        <w:rPr>
          <w:noProof/>
        </w:rPr>
        <w:t xml:space="preserve">within drug markets and organised crime disputes, scholars emphasise their symbolic </w:t>
      </w:r>
      <w:r w:rsidR="005A607B">
        <w:rPr>
          <w:noProof/>
        </w:rPr>
        <w:t xml:space="preserve">and communicative significane. </w:t>
      </w:r>
      <w:r w:rsidR="005A607B" w:rsidRPr="005A607B">
        <w:rPr>
          <w:noProof/>
        </w:rPr>
        <w:t>Squires</w:t>
      </w:r>
      <w:r w:rsidR="005A607B">
        <w:rPr>
          <w:noProof/>
        </w:rPr>
        <w:t xml:space="preserve"> (</w:t>
      </w:r>
      <w:r w:rsidR="005A607B" w:rsidRPr="005A607B">
        <w:rPr>
          <w:noProof/>
        </w:rPr>
        <w:t>2014)</w:t>
      </w:r>
      <w:r w:rsidR="005A607B">
        <w:rPr>
          <w:noProof/>
        </w:rPr>
        <w:t xml:space="preserve"> </w:t>
      </w:r>
      <w:r w:rsidR="00CC4AB2">
        <w:rPr>
          <w:noProof/>
        </w:rPr>
        <w:t xml:space="preserve">highlights the capacity of firearms to impose fear, assert dominance and destabilise community order, even where incidents </w:t>
      </w:r>
      <w:r w:rsidR="006D6A12">
        <w:rPr>
          <w:noProof/>
        </w:rPr>
        <w:t xml:space="preserve">remain relatively </w:t>
      </w:r>
      <w:r w:rsidR="006D6A12">
        <w:rPr>
          <w:noProof/>
        </w:rPr>
        <w:lastRenderedPageBreak/>
        <w:t>infrequent. This framing usefull</w:t>
      </w:r>
      <w:r w:rsidR="00644284">
        <w:rPr>
          <w:noProof/>
        </w:rPr>
        <w:t>y</w:t>
      </w:r>
      <w:r w:rsidR="006D6A12">
        <w:rPr>
          <w:noProof/>
        </w:rPr>
        <w:t xml:space="preserve"> explains the disproportionate psychological and social impact of firearms violence compared to other forms of serious harm.</w:t>
      </w:r>
    </w:p>
    <w:p w14:paraId="0F8AC3D5" w14:textId="31A62CD9" w:rsidR="006D6A12" w:rsidRDefault="00953972" w:rsidP="003228D0">
      <w:pPr>
        <w:spacing w:line="480" w:lineRule="auto"/>
        <w:rPr>
          <w:noProof/>
        </w:rPr>
      </w:pPr>
      <w:r>
        <w:rPr>
          <w:noProof/>
        </w:rPr>
        <w:t xml:space="preserve">However, the evidential basis underpinning this conceptualisation is uneven. Much of the literature draws on recorded incidents, case studies and media analysis rather than systemic longitudinal research, limiting confidence in assessing </w:t>
      </w:r>
      <w:r w:rsidR="007E0417">
        <w:rPr>
          <w:noProof/>
        </w:rPr>
        <w:t xml:space="preserve">how symbolic effects vary across different communities or persist over time. This is particularly relevant </w:t>
      </w:r>
      <w:r w:rsidR="000041F2">
        <w:rPr>
          <w:noProof/>
        </w:rPr>
        <w:t>when considering whether firearms violence operates in similar ways across diverse geographical settings or organised crime structures.</w:t>
      </w:r>
    </w:p>
    <w:p w14:paraId="0A948D44" w14:textId="3570C834" w:rsidR="00DB1267" w:rsidRDefault="00D153FB" w:rsidP="00640AFE">
      <w:pPr>
        <w:spacing w:line="480" w:lineRule="auto"/>
      </w:pPr>
      <w:r>
        <w:rPr>
          <w:noProof/>
        </w:rPr>
        <w:t>Recent literature reflects the adaptive nature of firearms-related criminality</w:t>
      </w:r>
      <w:r w:rsidR="003D61F6">
        <w:rPr>
          <w:noProof/>
        </w:rPr>
        <w:t xml:space="preserve">, </w:t>
      </w:r>
      <w:r w:rsidR="003735A8">
        <w:rPr>
          <w:noProof/>
        </w:rPr>
        <w:t xml:space="preserve">including </w:t>
      </w:r>
      <w:r w:rsidR="007724FA">
        <w:rPr>
          <w:noProof/>
        </w:rPr>
        <w:t>weapon</w:t>
      </w:r>
      <w:r w:rsidR="003735A8">
        <w:rPr>
          <w:noProof/>
        </w:rPr>
        <w:t xml:space="preserve"> conversion, </w:t>
      </w:r>
      <w:r w:rsidR="007724FA">
        <w:rPr>
          <w:noProof/>
        </w:rPr>
        <w:t xml:space="preserve">online procurement, and the use of encrypted communication platforms </w:t>
      </w:r>
      <w:r w:rsidR="00DE76DE" w:rsidRPr="00DE76DE">
        <w:rPr>
          <w:noProof/>
        </w:rPr>
        <w:t>(Wall, 2007</w:t>
      </w:r>
      <w:r w:rsidR="00DE76DE">
        <w:rPr>
          <w:noProof/>
        </w:rPr>
        <w:t xml:space="preserve">; </w:t>
      </w:r>
      <w:r w:rsidR="00DE76DE" w:rsidRPr="00DE76DE">
        <w:rPr>
          <w:noProof/>
        </w:rPr>
        <w:t>Grant &amp; Adamson, 2017</w:t>
      </w:r>
      <w:r w:rsidR="000A6F90">
        <w:rPr>
          <w:noProof/>
        </w:rPr>
        <w:t xml:space="preserve">; </w:t>
      </w:r>
      <w:r w:rsidR="00DE76DE" w:rsidRPr="00DE76DE">
        <w:rPr>
          <w:noProof/>
        </w:rPr>
        <w:t>Van Puyvelde &amp; Brantly, 2019)</w:t>
      </w:r>
      <w:r w:rsidR="000A6F90">
        <w:rPr>
          <w:noProof/>
        </w:rPr>
        <w:t xml:space="preserve">. </w:t>
      </w:r>
      <w:r w:rsidR="00603ECA">
        <w:rPr>
          <w:noProof/>
        </w:rPr>
        <w:t xml:space="preserve">While these studies highlight important developments, much </w:t>
      </w:r>
      <w:r w:rsidR="00BB35DC">
        <w:rPr>
          <w:noProof/>
        </w:rPr>
        <w:t>of this work remains exploratory and unevenly distributed across jurisdictions. As such</w:t>
      </w:r>
      <w:r w:rsidR="00674109">
        <w:rPr>
          <w:noProof/>
        </w:rPr>
        <w:t>,</w:t>
      </w:r>
      <w:r w:rsidR="00BB35DC">
        <w:rPr>
          <w:noProof/>
        </w:rPr>
        <w:t xml:space="preserve"> firearms-enabled </w:t>
      </w:r>
      <w:r w:rsidR="00DE2B58">
        <w:rPr>
          <w:noProof/>
        </w:rPr>
        <w:t xml:space="preserve">violence is best understood not as a fixed phenomenom, but as an evolving </w:t>
      </w:r>
      <w:r w:rsidR="00E073BD">
        <w:rPr>
          <w:noProof/>
        </w:rPr>
        <w:t xml:space="preserve">manifestation of organised crime systems whose characteristics and harm may vary according to local context </w:t>
      </w:r>
      <w:r w:rsidR="007E352D">
        <w:rPr>
          <w:noProof/>
        </w:rPr>
        <w:t xml:space="preserve">and enforcement pressure. </w:t>
      </w:r>
      <w:r w:rsidR="00A65294">
        <w:rPr>
          <w:noProof/>
        </w:rPr>
        <w:t xml:space="preserve"> </w:t>
      </w:r>
    </w:p>
    <w:p w14:paraId="2BEEB874" w14:textId="5BD18B2D" w:rsidR="00842BB9" w:rsidRPr="008B13A5" w:rsidRDefault="00F15424" w:rsidP="008B13A5">
      <w:pPr>
        <w:pStyle w:val="Heading1"/>
        <w:rPr>
          <w:sz w:val="32"/>
          <w:szCs w:val="32"/>
        </w:rPr>
      </w:pPr>
      <w:bookmarkStart w:id="3" w:name="_Toc225415635"/>
      <w:bookmarkStart w:id="4" w:name="_Toc227406744"/>
      <w:r w:rsidRPr="008B13A5">
        <w:rPr>
          <w:sz w:val="32"/>
          <w:szCs w:val="32"/>
        </w:rPr>
        <w:t>Structural Inequality, Community Context and Legitimacy</w:t>
      </w:r>
      <w:bookmarkEnd w:id="3"/>
      <w:bookmarkEnd w:id="4"/>
    </w:p>
    <w:p w14:paraId="2A915F24" w14:textId="77777777" w:rsidR="00ED3A41" w:rsidRPr="00ED3A41" w:rsidRDefault="00ED3A41" w:rsidP="00ED3A41"/>
    <w:p w14:paraId="0BD643D2" w14:textId="25A5006C" w:rsidR="0064354E" w:rsidRDefault="000603AA" w:rsidP="00ED3A41">
      <w:pPr>
        <w:spacing w:line="480" w:lineRule="auto"/>
      </w:pPr>
      <w:r>
        <w:t xml:space="preserve">A </w:t>
      </w:r>
      <w:r w:rsidR="00D900B4">
        <w:t xml:space="preserve">substantial body of criminological literature </w:t>
      </w:r>
      <w:r w:rsidR="00AB606D">
        <w:t xml:space="preserve">emphasises the relationship between </w:t>
      </w:r>
      <w:r w:rsidR="004B30C8">
        <w:t xml:space="preserve">SOC, structural inequality and place-based disadvantage. </w:t>
      </w:r>
      <w:r w:rsidR="00295017">
        <w:t xml:space="preserve">Research </w:t>
      </w:r>
      <w:r w:rsidR="00496A60">
        <w:t xml:space="preserve">consistently </w:t>
      </w:r>
      <w:r w:rsidR="00295017">
        <w:t xml:space="preserve">demonstrates that </w:t>
      </w:r>
      <w:r w:rsidR="00496A60">
        <w:t xml:space="preserve">organised crime is more likely to embed and persist in communities </w:t>
      </w:r>
      <w:r w:rsidR="00A07EB0">
        <w:t xml:space="preserve">characterised by </w:t>
      </w:r>
      <w:r w:rsidR="00155294">
        <w:t>socio-</w:t>
      </w:r>
      <w:r w:rsidR="00A07EB0">
        <w:t>economic deprivation, limited legitimate opportunity</w:t>
      </w:r>
      <w:r w:rsidR="00266BCC">
        <w:t xml:space="preserve"> and </w:t>
      </w:r>
      <w:r w:rsidR="00155294">
        <w:t xml:space="preserve">historically </w:t>
      </w:r>
      <w:r w:rsidR="00266BCC">
        <w:t xml:space="preserve">weakened </w:t>
      </w:r>
      <w:r w:rsidR="00155294">
        <w:t xml:space="preserve">relationships </w:t>
      </w:r>
      <w:r w:rsidR="00A82BA6">
        <w:t xml:space="preserve">with statutory </w:t>
      </w:r>
      <w:r w:rsidR="00266BCC">
        <w:t>institution</w:t>
      </w:r>
      <w:r w:rsidR="00A82BA6">
        <w:t xml:space="preserve">s </w:t>
      </w:r>
      <w:r w:rsidR="00A82BA6" w:rsidRPr="00266BCC">
        <w:rPr>
          <w:noProof/>
        </w:rPr>
        <w:t>(Hobbs, 2013</w:t>
      </w:r>
      <w:r w:rsidR="004E2C11">
        <w:rPr>
          <w:noProof/>
        </w:rPr>
        <w:t xml:space="preserve">; </w:t>
      </w:r>
      <w:r w:rsidR="00A82BA6" w:rsidRPr="00A82BA6">
        <w:rPr>
          <w:noProof/>
        </w:rPr>
        <w:t>Densley &amp; Pyrooz, 2019)</w:t>
      </w:r>
      <w:r w:rsidR="004E2C11">
        <w:rPr>
          <w:noProof/>
        </w:rPr>
        <w:t xml:space="preserve">. Rather than functioning </w:t>
      </w:r>
      <w:r w:rsidR="00914B00">
        <w:rPr>
          <w:noProof/>
        </w:rPr>
        <w:t xml:space="preserve">solely as illicit economic </w:t>
      </w:r>
      <w:r w:rsidR="00914B00">
        <w:rPr>
          <w:noProof/>
        </w:rPr>
        <w:lastRenderedPageBreak/>
        <w:t xml:space="preserve">enterprises, organised crime groups exploit existing structural </w:t>
      </w:r>
      <w:r w:rsidR="008735BE">
        <w:rPr>
          <w:noProof/>
        </w:rPr>
        <w:t xml:space="preserve">conditions, positioning themselves within social networks where formal governance and social support mechanisms are perceived as absent or ineffective. </w:t>
      </w:r>
    </w:p>
    <w:p w14:paraId="17808585" w14:textId="40B8703A" w:rsidR="00D247BA" w:rsidRDefault="0060460C" w:rsidP="00ED3A41">
      <w:pPr>
        <w:spacing w:line="480" w:lineRule="auto"/>
      </w:pPr>
      <w:r>
        <w:t>Community-focused s</w:t>
      </w:r>
      <w:r w:rsidR="00A36BBE">
        <w:t xml:space="preserve">cholarship </w:t>
      </w:r>
      <w:r w:rsidR="000125DE">
        <w:t xml:space="preserve">further </w:t>
      </w:r>
      <w:r w:rsidR="00A36BBE">
        <w:t xml:space="preserve">highlights the </w:t>
      </w:r>
      <w:r w:rsidR="00DE7C18">
        <w:t xml:space="preserve">role </w:t>
      </w:r>
      <w:r w:rsidR="00A36BBE">
        <w:t xml:space="preserve">of </w:t>
      </w:r>
      <w:r>
        <w:t xml:space="preserve">social capital and </w:t>
      </w:r>
      <w:r w:rsidR="00A36BBE">
        <w:t xml:space="preserve">collective </w:t>
      </w:r>
      <w:r w:rsidR="0077717B">
        <w:t xml:space="preserve">efficacy in shaping </w:t>
      </w:r>
      <w:r w:rsidR="00FE50E0">
        <w:t>neighbourhood</w:t>
      </w:r>
      <w:r w:rsidR="0077717B">
        <w:t xml:space="preserve"> resilience to organised criminality</w:t>
      </w:r>
      <w:r w:rsidR="004418FE">
        <w:t xml:space="preserve">. </w:t>
      </w:r>
      <w:r w:rsidR="001968F7">
        <w:t xml:space="preserve"> </w:t>
      </w:r>
      <w:r w:rsidR="004418FE" w:rsidRPr="001968F7">
        <w:rPr>
          <w:noProof/>
        </w:rPr>
        <w:t>Chanan &amp; Miller</w:t>
      </w:r>
      <w:r w:rsidR="004418FE">
        <w:rPr>
          <w:noProof/>
        </w:rPr>
        <w:t xml:space="preserve"> (</w:t>
      </w:r>
      <w:r w:rsidR="004418FE" w:rsidRPr="001968F7">
        <w:rPr>
          <w:noProof/>
        </w:rPr>
        <w:t>2013)</w:t>
      </w:r>
      <w:r w:rsidR="004418FE">
        <w:rPr>
          <w:noProof/>
        </w:rPr>
        <w:t xml:space="preserve"> argue that </w:t>
      </w:r>
      <w:r w:rsidR="00B6088E">
        <w:t>communities</w:t>
      </w:r>
      <w:r w:rsidR="004418FE">
        <w:t xml:space="preserve"> with dense social networks, local engagement and mutual trust are </w:t>
      </w:r>
      <w:r w:rsidR="00CE2056">
        <w:t>better equipped to resist the influence of organised crime, whereas fragmented communities experience weakened informal social controls</w:t>
      </w:r>
      <w:r w:rsidR="00CC6345">
        <w:t xml:space="preserve">. </w:t>
      </w:r>
      <w:r w:rsidR="00451C0C">
        <w:t>However</w:t>
      </w:r>
      <w:r w:rsidR="00D247BA">
        <w:t>, these dynamics are primarily evidenced w</w:t>
      </w:r>
      <w:r w:rsidR="00E92DC6">
        <w:t xml:space="preserve">ithin densely populated urban settings and may be less readily transferrable to contexts where </w:t>
      </w:r>
      <w:r w:rsidR="008E7C92">
        <w:t xml:space="preserve">organised crime relies more heavily on coercion than social embeddedness, limiting opportunities for sustained community resilience. </w:t>
      </w:r>
    </w:p>
    <w:p w14:paraId="4751E6A0" w14:textId="48EADCF1" w:rsidR="00F30CD6" w:rsidRDefault="00836A51" w:rsidP="00ED3A41">
      <w:pPr>
        <w:spacing w:line="480" w:lineRule="auto"/>
        <w:rPr>
          <w:noProof/>
        </w:rPr>
      </w:pPr>
      <w:r>
        <w:t>Legitimacy theory o</w:t>
      </w:r>
      <w:r w:rsidR="00C92F16">
        <w:t xml:space="preserve">ffers a critical lens through which to understand </w:t>
      </w:r>
      <w:r>
        <w:t>these dynamics</w:t>
      </w:r>
      <w:r w:rsidR="00142C69">
        <w:t xml:space="preserve">. </w:t>
      </w:r>
      <w:r w:rsidR="00821210" w:rsidRPr="00821210">
        <w:rPr>
          <w:noProof/>
        </w:rPr>
        <w:t>Tyler</w:t>
      </w:r>
      <w:r w:rsidR="00821210">
        <w:rPr>
          <w:noProof/>
        </w:rPr>
        <w:t xml:space="preserve">’s </w:t>
      </w:r>
      <w:r w:rsidR="00876CEE">
        <w:rPr>
          <w:noProof/>
        </w:rPr>
        <w:t>(</w:t>
      </w:r>
      <w:r w:rsidR="00821210" w:rsidRPr="00821210">
        <w:rPr>
          <w:noProof/>
        </w:rPr>
        <w:t>2006)</w:t>
      </w:r>
      <w:r w:rsidR="00876CEE">
        <w:rPr>
          <w:noProof/>
        </w:rPr>
        <w:t xml:space="preserve"> procedural justice framework demonstrat</w:t>
      </w:r>
      <w:r w:rsidR="00142C69">
        <w:rPr>
          <w:noProof/>
        </w:rPr>
        <w:t xml:space="preserve">es </w:t>
      </w:r>
      <w:r w:rsidR="003E152B">
        <w:rPr>
          <w:noProof/>
        </w:rPr>
        <w:t xml:space="preserve">that cooperation </w:t>
      </w:r>
      <w:r w:rsidR="00876CEE">
        <w:rPr>
          <w:noProof/>
        </w:rPr>
        <w:t xml:space="preserve">with policing </w:t>
      </w:r>
      <w:r w:rsidR="00227313">
        <w:rPr>
          <w:noProof/>
        </w:rPr>
        <w:t xml:space="preserve">is shaped </w:t>
      </w:r>
      <w:r w:rsidR="00876CEE">
        <w:rPr>
          <w:noProof/>
        </w:rPr>
        <w:t xml:space="preserve">less </w:t>
      </w:r>
      <w:r w:rsidR="00227313">
        <w:rPr>
          <w:noProof/>
        </w:rPr>
        <w:t xml:space="preserve">by </w:t>
      </w:r>
      <w:r w:rsidR="00876CEE">
        <w:rPr>
          <w:noProof/>
        </w:rPr>
        <w:t xml:space="preserve">instrumental </w:t>
      </w:r>
      <w:r w:rsidR="001C5527">
        <w:rPr>
          <w:noProof/>
        </w:rPr>
        <w:t xml:space="preserve">effectiveness and more </w:t>
      </w:r>
      <w:r w:rsidR="00227313">
        <w:rPr>
          <w:noProof/>
        </w:rPr>
        <w:t xml:space="preserve">by </w:t>
      </w:r>
      <w:r w:rsidR="001C5527">
        <w:rPr>
          <w:noProof/>
        </w:rPr>
        <w:t xml:space="preserve">perceptions of fairness, </w:t>
      </w:r>
      <w:r w:rsidR="005A3C5E">
        <w:rPr>
          <w:noProof/>
        </w:rPr>
        <w:t xml:space="preserve">consistency and </w:t>
      </w:r>
      <w:r w:rsidR="001C5527">
        <w:rPr>
          <w:noProof/>
        </w:rPr>
        <w:t>respect</w:t>
      </w:r>
      <w:r w:rsidR="005A3C5E">
        <w:rPr>
          <w:noProof/>
        </w:rPr>
        <w:t>ful treatment</w:t>
      </w:r>
      <w:r w:rsidR="001C5527">
        <w:rPr>
          <w:noProof/>
        </w:rPr>
        <w:t xml:space="preserve">. </w:t>
      </w:r>
      <w:r w:rsidR="005A3C5E">
        <w:rPr>
          <w:noProof/>
        </w:rPr>
        <w:t xml:space="preserve">Building on this, </w:t>
      </w:r>
      <w:r w:rsidR="001C5527" w:rsidRPr="001C5527">
        <w:rPr>
          <w:noProof/>
        </w:rPr>
        <w:t>Bottoms &amp; Tankebe</w:t>
      </w:r>
      <w:r w:rsidR="001C5527">
        <w:rPr>
          <w:noProof/>
        </w:rPr>
        <w:t xml:space="preserve"> (</w:t>
      </w:r>
      <w:r w:rsidR="001C5527" w:rsidRPr="001C5527">
        <w:rPr>
          <w:noProof/>
        </w:rPr>
        <w:t>2012)</w:t>
      </w:r>
      <w:r w:rsidR="001C5527">
        <w:rPr>
          <w:noProof/>
        </w:rPr>
        <w:t xml:space="preserve"> </w:t>
      </w:r>
      <w:r w:rsidR="005A3C5E">
        <w:rPr>
          <w:noProof/>
        </w:rPr>
        <w:t xml:space="preserve">conceptualise </w:t>
      </w:r>
      <w:r w:rsidR="00567DB6">
        <w:rPr>
          <w:noProof/>
        </w:rPr>
        <w:t xml:space="preserve">legitimacy </w:t>
      </w:r>
      <w:r w:rsidR="005A3C5E">
        <w:rPr>
          <w:noProof/>
        </w:rPr>
        <w:t xml:space="preserve">as a relational </w:t>
      </w:r>
      <w:r w:rsidR="00D35D2C">
        <w:rPr>
          <w:noProof/>
        </w:rPr>
        <w:t xml:space="preserve">and negotiated process rather than a static </w:t>
      </w:r>
      <w:r w:rsidR="00EB45EB">
        <w:rPr>
          <w:noProof/>
        </w:rPr>
        <w:t xml:space="preserve">institutional </w:t>
      </w:r>
      <w:r w:rsidR="00D35D2C">
        <w:rPr>
          <w:noProof/>
        </w:rPr>
        <w:t xml:space="preserve">condition, emphasising that authority must be continually </w:t>
      </w:r>
      <w:r w:rsidR="006A33EB">
        <w:rPr>
          <w:noProof/>
        </w:rPr>
        <w:t xml:space="preserve">reinforced through reciprocal engagement between institutions and communities. </w:t>
      </w:r>
      <w:r w:rsidR="00EB45EB">
        <w:rPr>
          <w:noProof/>
        </w:rPr>
        <w:t xml:space="preserve">These perspectives are highly influential within contemporary </w:t>
      </w:r>
      <w:r w:rsidR="006137AA">
        <w:rPr>
          <w:noProof/>
        </w:rPr>
        <w:t xml:space="preserve">policing discourse and underpin many community-orientated approaches to serious crime. </w:t>
      </w:r>
      <w:r w:rsidR="00F30CD6">
        <w:rPr>
          <w:noProof/>
        </w:rPr>
        <w:t xml:space="preserve"> </w:t>
      </w:r>
    </w:p>
    <w:p w14:paraId="7C7BCEF8" w14:textId="3E7487AF" w:rsidR="007E1F2A" w:rsidRDefault="00DC3EA1" w:rsidP="00ED3A41">
      <w:pPr>
        <w:spacing w:line="480" w:lineRule="auto"/>
        <w:rPr>
          <w:noProof/>
        </w:rPr>
      </w:pPr>
      <w:r>
        <w:rPr>
          <w:noProof/>
        </w:rPr>
        <w:t>However, the ap</w:t>
      </w:r>
      <w:r w:rsidR="00D013F6">
        <w:rPr>
          <w:noProof/>
        </w:rPr>
        <w:t>p</w:t>
      </w:r>
      <w:r>
        <w:rPr>
          <w:noProof/>
        </w:rPr>
        <w:t>licability of legitimacy theory</w:t>
      </w:r>
      <w:r w:rsidR="005A0B52">
        <w:rPr>
          <w:noProof/>
        </w:rPr>
        <w:t xml:space="preserve"> within SOC-affected environments warrants careful consideration. Much of the empirical evidence supporting procedural </w:t>
      </w:r>
      <w:r w:rsidR="005933D8">
        <w:rPr>
          <w:noProof/>
        </w:rPr>
        <w:t xml:space="preserve">justice is derived from survey-based research examining general policing </w:t>
      </w:r>
      <w:r w:rsidR="005933D8">
        <w:rPr>
          <w:noProof/>
        </w:rPr>
        <w:lastRenderedPageBreak/>
        <w:t xml:space="preserve">encounters rather than </w:t>
      </w:r>
      <w:r w:rsidR="009951E1">
        <w:rPr>
          <w:noProof/>
        </w:rPr>
        <w:t xml:space="preserve">high-harm organised crime contexts. In communities affected </w:t>
      </w:r>
      <w:r w:rsidR="007C5203">
        <w:rPr>
          <w:noProof/>
        </w:rPr>
        <w:t xml:space="preserve">by organised crime and firearms violence, </w:t>
      </w:r>
      <w:r w:rsidR="002E68C5">
        <w:rPr>
          <w:noProof/>
        </w:rPr>
        <w:t>intimidation, fear o</w:t>
      </w:r>
      <w:r w:rsidR="006227D7">
        <w:rPr>
          <w:noProof/>
        </w:rPr>
        <w:t>f</w:t>
      </w:r>
      <w:r w:rsidR="002E68C5">
        <w:rPr>
          <w:noProof/>
        </w:rPr>
        <w:t xml:space="preserve"> reprisal and </w:t>
      </w:r>
      <w:r w:rsidR="007C5203">
        <w:rPr>
          <w:noProof/>
        </w:rPr>
        <w:t xml:space="preserve">entrenched mistrust </w:t>
      </w:r>
      <w:r w:rsidR="00B73229">
        <w:rPr>
          <w:noProof/>
        </w:rPr>
        <w:t xml:space="preserve">may significantly constrain individual and collective agency, limiting the extent to which </w:t>
      </w:r>
      <w:r w:rsidR="00335861">
        <w:rPr>
          <w:noProof/>
        </w:rPr>
        <w:t xml:space="preserve">procedural fairness alone can translate into cooperation or intelligence sharing </w:t>
      </w:r>
      <w:sdt>
        <w:sdtPr>
          <w:rPr>
            <w:noProof/>
          </w:rPr>
          <w:id w:val="1180318770"/>
          <w:citation/>
        </w:sdtPr>
        <w:sdtContent>
          <w:r w:rsidR="002E68C5">
            <w:rPr>
              <w:noProof/>
            </w:rPr>
            <w:fldChar w:fldCharType="begin"/>
          </w:r>
          <w:r w:rsidR="002E68C5">
            <w:rPr>
              <w:noProof/>
            </w:rPr>
            <w:instrText xml:space="preserve"> CITATION Squ14 \l 2057 </w:instrText>
          </w:r>
          <w:r w:rsidR="002E68C5">
            <w:rPr>
              <w:noProof/>
            </w:rPr>
            <w:fldChar w:fldCharType="separate"/>
          </w:r>
          <w:r w:rsidR="002E68C5" w:rsidRPr="002E68C5">
            <w:rPr>
              <w:noProof/>
            </w:rPr>
            <w:t>(Squires, 2014)</w:t>
          </w:r>
          <w:r w:rsidR="002E68C5">
            <w:rPr>
              <w:noProof/>
            </w:rPr>
            <w:fldChar w:fldCharType="end"/>
          </w:r>
        </w:sdtContent>
      </w:sdt>
      <w:r w:rsidR="002E68C5">
        <w:rPr>
          <w:noProof/>
        </w:rPr>
        <w:t xml:space="preserve">. </w:t>
      </w:r>
    </w:p>
    <w:p w14:paraId="315F9240" w14:textId="460A4FFC" w:rsidR="00261243" w:rsidRDefault="007E1F2A" w:rsidP="00ED3A41">
      <w:pPr>
        <w:spacing w:line="480" w:lineRule="auto"/>
        <w:rPr>
          <w:noProof/>
        </w:rPr>
      </w:pPr>
      <w:r>
        <w:rPr>
          <w:noProof/>
        </w:rPr>
        <w:t xml:space="preserve">The concept of “social silencing” further complicates assumptions regarding community engagement in </w:t>
      </w:r>
      <w:r w:rsidR="00CF5D88">
        <w:rPr>
          <w:noProof/>
        </w:rPr>
        <w:t>SOC-affected areas. Where organised crime exerts coerciv</w:t>
      </w:r>
      <w:r w:rsidR="00710EAD">
        <w:rPr>
          <w:noProof/>
        </w:rPr>
        <w:t>e control</w:t>
      </w:r>
      <w:r w:rsidR="00F969E7">
        <w:rPr>
          <w:noProof/>
        </w:rPr>
        <w:t xml:space="preserve">, reductions in recorded violence or visible enforcement </w:t>
      </w:r>
      <w:r w:rsidR="004928D0">
        <w:rPr>
          <w:noProof/>
        </w:rPr>
        <w:t xml:space="preserve">success do not necessarily reflect increased legitimacy or improved police-community relations </w:t>
      </w:r>
      <w:sdt>
        <w:sdtPr>
          <w:rPr>
            <w:noProof/>
          </w:rPr>
          <w:id w:val="1271360059"/>
          <w:citation/>
        </w:sdtPr>
        <w:sdtContent>
          <w:r w:rsidR="00710EAD">
            <w:rPr>
              <w:noProof/>
            </w:rPr>
            <w:fldChar w:fldCharType="begin"/>
          </w:r>
          <w:r w:rsidR="00710EAD">
            <w:rPr>
              <w:noProof/>
            </w:rPr>
            <w:instrText xml:space="preserve"> CITATION Bot12 \l 2057 </w:instrText>
          </w:r>
          <w:r w:rsidR="00710EAD">
            <w:rPr>
              <w:noProof/>
            </w:rPr>
            <w:fldChar w:fldCharType="separate"/>
          </w:r>
          <w:r w:rsidR="00710EAD" w:rsidRPr="00710EAD">
            <w:rPr>
              <w:noProof/>
            </w:rPr>
            <w:t>(Bottoms &amp; Tankebe, 2012)</w:t>
          </w:r>
          <w:r w:rsidR="00710EAD">
            <w:rPr>
              <w:noProof/>
            </w:rPr>
            <w:fldChar w:fldCharType="end"/>
          </w:r>
        </w:sdtContent>
      </w:sdt>
      <w:r w:rsidR="00710EAD">
        <w:rPr>
          <w:noProof/>
        </w:rPr>
        <w:t>.</w:t>
      </w:r>
      <w:r w:rsidR="005647C3">
        <w:rPr>
          <w:noProof/>
        </w:rPr>
        <w:t xml:space="preserve"> </w:t>
      </w:r>
      <w:r w:rsidR="004928D0">
        <w:rPr>
          <w:noProof/>
        </w:rPr>
        <w:t xml:space="preserve">Instead, organised crime </w:t>
      </w:r>
      <w:r w:rsidR="007F1C11">
        <w:rPr>
          <w:noProof/>
        </w:rPr>
        <w:t xml:space="preserve">may remain embedded beneath the surface through fear-based compliance and disengagement, raising critical questions about the extent to which traditional enforcement outcomes can be assumed to represent genuine harm reduction or strengthened legitimacy. </w:t>
      </w:r>
    </w:p>
    <w:p w14:paraId="7F80F3E1" w14:textId="1FBD526A" w:rsidR="00603FB3" w:rsidRDefault="00214FA3" w:rsidP="00ED3A41">
      <w:pPr>
        <w:spacing w:line="480" w:lineRule="auto"/>
        <w:rPr>
          <w:noProof/>
        </w:rPr>
      </w:pPr>
      <w:r>
        <w:rPr>
          <w:noProof/>
        </w:rPr>
        <w:t xml:space="preserve">Critically, </w:t>
      </w:r>
      <w:r w:rsidR="0025379A">
        <w:rPr>
          <w:noProof/>
        </w:rPr>
        <w:t xml:space="preserve">scholars caution that enforcement-centric strategies which prioritise disruption without addressing </w:t>
      </w:r>
      <w:r w:rsidR="00D92B61">
        <w:rPr>
          <w:noProof/>
        </w:rPr>
        <w:t xml:space="preserve">underlying </w:t>
      </w:r>
      <w:r w:rsidR="0025379A">
        <w:rPr>
          <w:noProof/>
        </w:rPr>
        <w:t>inequality</w:t>
      </w:r>
      <w:r w:rsidR="00D92B61">
        <w:rPr>
          <w:noProof/>
        </w:rPr>
        <w:t xml:space="preserve"> and legitimacy</w:t>
      </w:r>
      <w:r w:rsidR="0025379A">
        <w:rPr>
          <w:noProof/>
        </w:rPr>
        <w:t xml:space="preserve"> </w:t>
      </w:r>
      <w:r w:rsidR="00823CF0">
        <w:rPr>
          <w:noProof/>
        </w:rPr>
        <w:t xml:space="preserve">may inadvertently </w:t>
      </w:r>
      <w:r w:rsidR="009D01B0">
        <w:rPr>
          <w:noProof/>
        </w:rPr>
        <w:t xml:space="preserve">deepen </w:t>
      </w:r>
      <w:r w:rsidR="00823CF0">
        <w:rPr>
          <w:noProof/>
        </w:rPr>
        <w:t xml:space="preserve">disengagement </w:t>
      </w:r>
      <w:r w:rsidR="003E24B4">
        <w:rPr>
          <w:noProof/>
        </w:rPr>
        <w:t>with</w:t>
      </w:r>
      <w:r w:rsidR="00823CF0">
        <w:rPr>
          <w:noProof/>
        </w:rPr>
        <w:t>in already marginalised communities</w:t>
      </w:r>
      <w:r w:rsidR="003E24B4">
        <w:rPr>
          <w:noProof/>
        </w:rPr>
        <w:t xml:space="preserve"> </w:t>
      </w:r>
      <w:sdt>
        <w:sdtPr>
          <w:rPr>
            <w:noProof/>
          </w:rPr>
          <w:id w:val="-2102629800"/>
          <w:citation/>
        </w:sdtPr>
        <w:sdtContent>
          <w:r w:rsidR="004844A7">
            <w:rPr>
              <w:noProof/>
            </w:rPr>
            <w:fldChar w:fldCharType="begin"/>
          </w:r>
          <w:r w:rsidR="004844A7">
            <w:rPr>
              <w:noProof/>
            </w:rPr>
            <w:instrText xml:space="preserve"> CITATION Loa031 \l 2057 </w:instrText>
          </w:r>
          <w:r w:rsidR="004844A7">
            <w:rPr>
              <w:noProof/>
            </w:rPr>
            <w:fldChar w:fldCharType="separate"/>
          </w:r>
          <w:r w:rsidR="004844A7" w:rsidRPr="004844A7">
            <w:rPr>
              <w:noProof/>
            </w:rPr>
            <w:t>(Loader &amp; Mulcahy, 2003)</w:t>
          </w:r>
          <w:r w:rsidR="004844A7">
            <w:rPr>
              <w:noProof/>
            </w:rPr>
            <w:fldChar w:fldCharType="end"/>
          </w:r>
        </w:sdtContent>
      </w:sdt>
      <w:r w:rsidR="004844A7">
        <w:rPr>
          <w:noProof/>
        </w:rPr>
        <w:t xml:space="preserve">. </w:t>
      </w:r>
      <w:r w:rsidR="00AF1702">
        <w:rPr>
          <w:noProof/>
        </w:rPr>
        <w:t>While legitimacy is freq</w:t>
      </w:r>
      <w:r w:rsidR="00A47036">
        <w:rPr>
          <w:noProof/>
        </w:rPr>
        <w:t>u</w:t>
      </w:r>
      <w:r w:rsidR="00AF1702">
        <w:rPr>
          <w:noProof/>
        </w:rPr>
        <w:t xml:space="preserve">ently positioned as a foundational condition for effective </w:t>
      </w:r>
      <w:r w:rsidR="008D6A4E">
        <w:rPr>
          <w:noProof/>
        </w:rPr>
        <w:t xml:space="preserve">SOC </w:t>
      </w:r>
      <w:r w:rsidR="00F653E8">
        <w:rPr>
          <w:noProof/>
        </w:rPr>
        <w:t>disruption</w:t>
      </w:r>
      <w:r w:rsidR="008D6A4E">
        <w:rPr>
          <w:noProof/>
        </w:rPr>
        <w:t xml:space="preserve">, there remains limited longitudinal </w:t>
      </w:r>
      <w:r w:rsidR="008F5B1C">
        <w:rPr>
          <w:noProof/>
        </w:rPr>
        <w:t xml:space="preserve">evidence demonstrating that legitimacy-focused approaches result in sustained reductions in organised crime harm. </w:t>
      </w:r>
      <w:r w:rsidR="0095283E">
        <w:rPr>
          <w:noProof/>
        </w:rPr>
        <w:t xml:space="preserve">This highlights an important gap between normative </w:t>
      </w:r>
      <w:r w:rsidR="00D50AA8">
        <w:rPr>
          <w:noProof/>
        </w:rPr>
        <w:t xml:space="preserve">theoretical expectations and empirically demonstrated outcomes in high-harm policing contexts. </w:t>
      </w:r>
      <w:r w:rsidR="00F653E8">
        <w:rPr>
          <w:noProof/>
        </w:rPr>
        <w:t xml:space="preserve"> </w:t>
      </w:r>
    </w:p>
    <w:p w14:paraId="46F842A9" w14:textId="77777777" w:rsidR="00254BE8" w:rsidRDefault="00254BE8" w:rsidP="00ED3A41">
      <w:pPr>
        <w:spacing w:line="480" w:lineRule="auto"/>
        <w:rPr>
          <w:noProof/>
        </w:rPr>
      </w:pPr>
    </w:p>
    <w:p w14:paraId="61D21FC5" w14:textId="77777777" w:rsidR="00254BE8" w:rsidRDefault="00254BE8" w:rsidP="00ED3A41">
      <w:pPr>
        <w:spacing w:line="480" w:lineRule="auto"/>
        <w:rPr>
          <w:noProof/>
        </w:rPr>
      </w:pPr>
    </w:p>
    <w:p w14:paraId="478CE869" w14:textId="1DE005DF" w:rsidR="001A0993" w:rsidRPr="008B13A5" w:rsidRDefault="00986CD6" w:rsidP="008B13A5">
      <w:pPr>
        <w:pStyle w:val="Heading1"/>
        <w:rPr>
          <w:sz w:val="32"/>
          <w:szCs w:val="32"/>
        </w:rPr>
      </w:pPr>
      <w:bookmarkStart w:id="5" w:name="_Toc227406745"/>
      <w:r w:rsidRPr="008B13A5">
        <w:rPr>
          <w:sz w:val="32"/>
          <w:szCs w:val="32"/>
        </w:rPr>
        <w:lastRenderedPageBreak/>
        <w:t>Partnership Governance and System Fragmentation</w:t>
      </w:r>
      <w:bookmarkEnd w:id="5"/>
    </w:p>
    <w:p w14:paraId="54EE65AE" w14:textId="77777777" w:rsidR="00B738E4" w:rsidRPr="00B738E4" w:rsidRDefault="00B738E4" w:rsidP="00B738E4"/>
    <w:p w14:paraId="3C27D33F" w14:textId="24B6F1F6" w:rsidR="00806507" w:rsidRDefault="00986CD6" w:rsidP="00B738E4">
      <w:pPr>
        <w:spacing w:line="480" w:lineRule="auto"/>
        <w:rPr>
          <w:noProof/>
        </w:rPr>
      </w:pPr>
      <w:r>
        <w:t xml:space="preserve">The </w:t>
      </w:r>
      <w:r w:rsidR="00F32ED1">
        <w:t xml:space="preserve">literature consistently recognises that </w:t>
      </w:r>
      <w:r w:rsidR="000061BB">
        <w:t xml:space="preserve">SOC </w:t>
      </w:r>
      <w:r w:rsidR="00836BFD">
        <w:t>cannot be effectively addressed through single-agency or enforcement only models</w:t>
      </w:r>
      <w:r w:rsidR="00CD547F">
        <w:t xml:space="preserve">, given its intersections </w:t>
      </w:r>
      <w:r w:rsidR="00553332">
        <w:t xml:space="preserve">with </w:t>
      </w:r>
      <w:r w:rsidR="00F42C40">
        <w:t xml:space="preserve">safeguarding, </w:t>
      </w:r>
      <w:r w:rsidR="00F51A3C">
        <w:t xml:space="preserve">public </w:t>
      </w:r>
      <w:r w:rsidR="00F42C40">
        <w:t>health</w:t>
      </w:r>
      <w:r w:rsidR="00F55E58">
        <w:t xml:space="preserve"> a</w:t>
      </w:r>
      <w:r w:rsidR="00F42C40">
        <w:t>nd community safety</w:t>
      </w:r>
      <w:r w:rsidR="00F55E58">
        <w:t xml:space="preserve"> </w:t>
      </w:r>
      <w:r w:rsidR="001F4125" w:rsidRPr="001F4125">
        <w:rPr>
          <w:noProof/>
        </w:rPr>
        <w:t>(Crawford, 1997</w:t>
      </w:r>
      <w:r w:rsidR="001F4125">
        <w:rPr>
          <w:noProof/>
        </w:rPr>
        <w:t xml:space="preserve">; </w:t>
      </w:r>
      <w:r w:rsidR="001F4125" w:rsidRPr="001F4125">
        <w:rPr>
          <w:noProof/>
        </w:rPr>
        <w:t>Hughes, 2007)</w:t>
      </w:r>
      <w:r w:rsidR="001F4125">
        <w:rPr>
          <w:noProof/>
        </w:rPr>
        <w:t xml:space="preserve">. </w:t>
      </w:r>
      <w:r w:rsidR="00806507">
        <w:rPr>
          <w:noProof/>
        </w:rPr>
        <w:t xml:space="preserve">As a result, partnership working has become a central feature of both academic </w:t>
      </w:r>
      <w:r w:rsidR="00E80301">
        <w:rPr>
          <w:noProof/>
        </w:rPr>
        <w:t xml:space="preserve">debate </w:t>
      </w:r>
      <w:r w:rsidR="00806507">
        <w:rPr>
          <w:noProof/>
        </w:rPr>
        <w:t>and policy frameworks ad</w:t>
      </w:r>
      <w:r w:rsidR="00996DB9">
        <w:rPr>
          <w:noProof/>
        </w:rPr>
        <w:t>d</w:t>
      </w:r>
      <w:r w:rsidR="00806507">
        <w:rPr>
          <w:noProof/>
        </w:rPr>
        <w:t xml:space="preserve">ressing organised crime and serious violence. </w:t>
      </w:r>
    </w:p>
    <w:p w14:paraId="4E3141C0" w14:textId="5BAF13C3" w:rsidR="003E65EB" w:rsidRDefault="00C021CB" w:rsidP="00B738E4">
      <w:pPr>
        <w:spacing w:line="480" w:lineRule="auto"/>
        <w:rPr>
          <w:noProof/>
        </w:rPr>
      </w:pPr>
      <w:r>
        <w:rPr>
          <w:noProof/>
        </w:rPr>
        <w:t xml:space="preserve">Despite </w:t>
      </w:r>
      <w:r w:rsidR="00EF6A79">
        <w:rPr>
          <w:noProof/>
        </w:rPr>
        <w:t xml:space="preserve">this </w:t>
      </w:r>
      <w:r w:rsidR="004B7BE5">
        <w:rPr>
          <w:noProof/>
        </w:rPr>
        <w:t>broad consensus</w:t>
      </w:r>
      <w:r w:rsidR="00EF6A79">
        <w:rPr>
          <w:noProof/>
        </w:rPr>
        <w:t xml:space="preserve">, critical scholarship highlights persistent weaknesses in </w:t>
      </w:r>
      <w:r w:rsidR="004B7BE5">
        <w:rPr>
          <w:noProof/>
        </w:rPr>
        <w:t>partnership</w:t>
      </w:r>
      <w:r w:rsidR="00FF7217">
        <w:rPr>
          <w:noProof/>
        </w:rPr>
        <w:t xml:space="preserve"> </w:t>
      </w:r>
      <w:r w:rsidR="00C4015F">
        <w:rPr>
          <w:noProof/>
        </w:rPr>
        <w:t xml:space="preserve">governance. </w:t>
      </w:r>
      <w:r w:rsidR="00E70271" w:rsidRPr="00E70271">
        <w:rPr>
          <w:noProof/>
        </w:rPr>
        <w:t>Crawford</w:t>
      </w:r>
      <w:r w:rsidR="00E70271">
        <w:rPr>
          <w:noProof/>
        </w:rPr>
        <w:t xml:space="preserve"> (</w:t>
      </w:r>
      <w:r w:rsidR="00E70271" w:rsidRPr="00E70271">
        <w:rPr>
          <w:noProof/>
        </w:rPr>
        <w:t>1997)</w:t>
      </w:r>
      <w:r w:rsidR="006272A5">
        <w:rPr>
          <w:noProof/>
        </w:rPr>
        <w:t xml:space="preserve"> argues that crime </w:t>
      </w:r>
      <w:r w:rsidR="00FF7217">
        <w:rPr>
          <w:noProof/>
        </w:rPr>
        <w:t xml:space="preserve">control increasingly </w:t>
      </w:r>
      <w:r w:rsidR="005A7A93">
        <w:rPr>
          <w:noProof/>
        </w:rPr>
        <w:t xml:space="preserve">operates through </w:t>
      </w:r>
      <w:r w:rsidR="006272A5">
        <w:rPr>
          <w:noProof/>
        </w:rPr>
        <w:t>fragmented</w:t>
      </w:r>
      <w:r w:rsidR="005A7A93">
        <w:rPr>
          <w:noProof/>
        </w:rPr>
        <w:t xml:space="preserve"> governance arrangements characterised by competing </w:t>
      </w:r>
      <w:r w:rsidR="000F2612">
        <w:rPr>
          <w:noProof/>
        </w:rPr>
        <w:t xml:space="preserve">organisational priorities, professional culture and accountability regimes. </w:t>
      </w:r>
      <w:r w:rsidR="002557B3">
        <w:rPr>
          <w:noProof/>
        </w:rPr>
        <w:t>Building on this</w:t>
      </w:r>
      <w:r w:rsidR="00024371">
        <w:rPr>
          <w:noProof/>
        </w:rPr>
        <w:t xml:space="preserve">, </w:t>
      </w:r>
      <w:r w:rsidR="00624D23" w:rsidRPr="00624D23">
        <w:rPr>
          <w:noProof/>
        </w:rPr>
        <w:t>James,</w:t>
      </w:r>
      <w:r w:rsidR="00624D23">
        <w:rPr>
          <w:noProof/>
        </w:rPr>
        <w:t xml:space="preserve"> Mullins and Bovaird (</w:t>
      </w:r>
      <w:r w:rsidR="00624D23" w:rsidRPr="00624D23">
        <w:rPr>
          <w:noProof/>
        </w:rPr>
        <w:t>2012)</w:t>
      </w:r>
      <w:r w:rsidR="00624D23">
        <w:rPr>
          <w:noProof/>
        </w:rPr>
        <w:t xml:space="preserve"> </w:t>
      </w:r>
      <w:r w:rsidR="00465BD3">
        <w:rPr>
          <w:noProof/>
        </w:rPr>
        <w:t>emphasise that effective partnership</w:t>
      </w:r>
      <w:r w:rsidR="00F70CA2">
        <w:rPr>
          <w:noProof/>
        </w:rPr>
        <w:t xml:space="preserve"> </w:t>
      </w:r>
      <w:r w:rsidR="00357B1E">
        <w:rPr>
          <w:noProof/>
        </w:rPr>
        <w:t xml:space="preserve">working </w:t>
      </w:r>
      <w:r w:rsidR="009C4B41">
        <w:rPr>
          <w:noProof/>
        </w:rPr>
        <w:t>requires sha</w:t>
      </w:r>
      <w:r w:rsidR="00F70CA2">
        <w:rPr>
          <w:noProof/>
        </w:rPr>
        <w:t xml:space="preserve">red strategic objectives, clear governance arrangements </w:t>
      </w:r>
      <w:r w:rsidR="00B47AD4">
        <w:rPr>
          <w:noProof/>
        </w:rPr>
        <w:t xml:space="preserve">and joint ownership of risk. </w:t>
      </w:r>
      <w:r w:rsidR="009C4B41">
        <w:rPr>
          <w:noProof/>
        </w:rPr>
        <w:t>Where these conditions are absent</w:t>
      </w:r>
      <w:r w:rsidR="00C76980">
        <w:rPr>
          <w:noProof/>
        </w:rPr>
        <w:t xml:space="preserve">, partnerships </w:t>
      </w:r>
      <w:r w:rsidR="00CC0987">
        <w:rPr>
          <w:noProof/>
        </w:rPr>
        <w:t xml:space="preserve">often function as </w:t>
      </w:r>
      <w:r w:rsidR="00C76980">
        <w:rPr>
          <w:noProof/>
        </w:rPr>
        <w:t>loose</w:t>
      </w:r>
      <w:r w:rsidR="00CC0987">
        <w:rPr>
          <w:noProof/>
        </w:rPr>
        <w:t xml:space="preserve"> </w:t>
      </w:r>
      <w:r w:rsidR="00C76980">
        <w:rPr>
          <w:noProof/>
        </w:rPr>
        <w:t>networks</w:t>
      </w:r>
      <w:r w:rsidR="00002EE6">
        <w:rPr>
          <w:noProof/>
        </w:rPr>
        <w:t xml:space="preserve"> rather than integrated systems, resulting in role </w:t>
      </w:r>
      <w:r w:rsidR="00C76980">
        <w:rPr>
          <w:noProof/>
        </w:rPr>
        <w:t>ambiguity</w:t>
      </w:r>
      <w:r w:rsidR="007F319B">
        <w:rPr>
          <w:noProof/>
        </w:rPr>
        <w:t xml:space="preserve">, constrained information sharing and inconsistent decision making. </w:t>
      </w:r>
    </w:p>
    <w:p w14:paraId="270AA6AC" w14:textId="1B7A8F6C" w:rsidR="00002EE6" w:rsidRDefault="00002EE6" w:rsidP="00B738E4">
      <w:pPr>
        <w:spacing w:line="480" w:lineRule="auto"/>
        <w:rPr>
          <w:noProof/>
        </w:rPr>
      </w:pPr>
      <w:r>
        <w:rPr>
          <w:noProof/>
        </w:rPr>
        <w:t>I</w:t>
      </w:r>
      <w:r w:rsidR="004762B1">
        <w:rPr>
          <w:noProof/>
        </w:rPr>
        <w:t>mportantly, much of the supportive evidence for partnership-based approaches originates within government and public-sector literature, where effectiveness is frequently measured through process indicators such as partnership formation</w:t>
      </w:r>
      <w:r w:rsidR="00E030F2">
        <w:rPr>
          <w:noProof/>
        </w:rPr>
        <w:t xml:space="preserve">, meeting structures and information-sharing protocols. While such measures provide insight into governance compliance, they offer limited evidence regarding sustained reductions in organised crime harm. </w:t>
      </w:r>
      <w:r w:rsidR="001118CB" w:rsidRPr="001118CB">
        <w:rPr>
          <w:noProof/>
        </w:rPr>
        <w:t>Skogan</w:t>
      </w:r>
      <w:r w:rsidR="001118CB">
        <w:rPr>
          <w:noProof/>
        </w:rPr>
        <w:t xml:space="preserve"> (</w:t>
      </w:r>
      <w:r w:rsidR="001118CB" w:rsidRPr="001118CB">
        <w:rPr>
          <w:noProof/>
        </w:rPr>
        <w:t>2008)</w:t>
      </w:r>
      <w:r w:rsidR="001118CB">
        <w:rPr>
          <w:noProof/>
        </w:rPr>
        <w:t xml:space="preserve"> </w:t>
      </w:r>
      <w:r w:rsidR="00270CEA">
        <w:rPr>
          <w:noProof/>
        </w:rPr>
        <w:t>cautions that many mu</w:t>
      </w:r>
      <w:r w:rsidR="00996DB9">
        <w:rPr>
          <w:noProof/>
        </w:rPr>
        <w:t>lt</w:t>
      </w:r>
      <w:r w:rsidR="006C3A0C">
        <w:rPr>
          <w:noProof/>
        </w:rPr>
        <w:t>i</w:t>
      </w:r>
      <w:r w:rsidR="00270CEA">
        <w:rPr>
          <w:noProof/>
        </w:rPr>
        <w:t>-agency crime prevention initiatives are insufficiently subjected to independent outcome evaluation, raising questions about whether reported success reflects genuine impact or organisational self-assessment.</w:t>
      </w:r>
    </w:p>
    <w:p w14:paraId="4A17FD7E" w14:textId="47F7B6F0" w:rsidR="000B26C9" w:rsidRDefault="000D6D29" w:rsidP="00B738E4">
      <w:pPr>
        <w:spacing w:line="480" w:lineRule="auto"/>
      </w:pPr>
      <w:r>
        <w:lastRenderedPageBreak/>
        <w:t xml:space="preserve">Contemporary </w:t>
      </w:r>
      <w:r w:rsidR="00733819">
        <w:t xml:space="preserve">policing </w:t>
      </w:r>
      <w:r w:rsidR="00894F94">
        <w:t xml:space="preserve">discourse </w:t>
      </w:r>
      <w:r w:rsidR="00733819">
        <w:t>increasingly advocate</w:t>
      </w:r>
      <w:r w:rsidR="00894F94">
        <w:t>s</w:t>
      </w:r>
      <w:r w:rsidR="00733819">
        <w:t xml:space="preserve"> whole system and public </w:t>
      </w:r>
      <w:r w:rsidR="00314DDA">
        <w:t>health-oriented</w:t>
      </w:r>
      <w:r w:rsidR="00733819">
        <w:t xml:space="preserve"> approaches to serious violence</w:t>
      </w:r>
      <w:r w:rsidR="000B26C9">
        <w:t xml:space="preserve"> and SOC</w:t>
      </w:r>
      <w:r w:rsidR="004B158A">
        <w:t xml:space="preserve">, </w:t>
      </w:r>
      <w:r w:rsidR="000B26C9">
        <w:t>emphasi</w:t>
      </w:r>
      <w:r w:rsidR="004B158A">
        <w:t xml:space="preserve">sing </w:t>
      </w:r>
      <w:r w:rsidR="008A043F">
        <w:t xml:space="preserve">prevention, </w:t>
      </w:r>
      <w:r w:rsidR="00BB4996">
        <w:t xml:space="preserve">data integration and shared accountability across sectors. </w:t>
      </w:r>
      <w:r w:rsidR="004B158A">
        <w:t xml:space="preserve">While these approaches align </w:t>
      </w:r>
      <w:r w:rsidR="005C2A6B">
        <w:t xml:space="preserve">conceptually with the complexity of organised crime, </w:t>
      </w:r>
      <w:r w:rsidR="00BB4996">
        <w:t xml:space="preserve">critical evaluations </w:t>
      </w:r>
      <w:r w:rsidR="005C2A6B">
        <w:t xml:space="preserve">suggest </w:t>
      </w:r>
      <w:r w:rsidR="00BB4996">
        <w:t>that structural barriers</w:t>
      </w:r>
      <w:r w:rsidR="00B67A90">
        <w:t xml:space="preserve"> continue to </w:t>
      </w:r>
      <w:r w:rsidR="005B2E17">
        <w:t xml:space="preserve">undermine </w:t>
      </w:r>
      <w:r w:rsidR="00B67A90">
        <w:t xml:space="preserve">implementation. </w:t>
      </w:r>
      <w:r w:rsidR="00E8794E">
        <w:t xml:space="preserve">Incompatible information systems, divergent legal frameworks and misaligned performance </w:t>
      </w:r>
      <w:r w:rsidR="00AE0CC3">
        <w:t xml:space="preserve">regimes frequently limit meaningful collaboration </w:t>
      </w:r>
      <w:r w:rsidR="009049BD" w:rsidRPr="005B2E17">
        <w:rPr>
          <w:noProof/>
        </w:rPr>
        <w:t>(Crawford, 1997</w:t>
      </w:r>
      <w:r w:rsidR="009049BD">
        <w:rPr>
          <w:noProof/>
        </w:rPr>
        <w:t xml:space="preserve">; </w:t>
      </w:r>
      <w:r w:rsidR="009049BD" w:rsidRPr="005B2E17">
        <w:rPr>
          <w:noProof/>
        </w:rPr>
        <w:t>James, et al., 2012)</w:t>
      </w:r>
      <w:r w:rsidR="009049BD">
        <w:rPr>
          <w:noProof/>
        </w:rPr>
        <w:t xml:space="preserve">. </w:t>
      </w:r>
      <w:r w:rsidR="00AE0CC3" w:rsidRPr="00AE0CC3">
        <w:rPr>
          <w:noProof/>
        </w:rPr>
        <w:t xml:space="preserve">Atkinson </w:t>
      </w:r>
      <w:r w:rsidR="00AE0CC3">
        <w:rPr>
          <w:noProof/>
        </w:rPr>
        <w:t>and</w:t>
      </w:r>
      <w:r w:rsidR="00AE0CC3" w:rsidRPr="00AE0CC3">
        <w:rPr>
          <w:noProof/>
        </w:rPr>
        <w:t xml:space="preserve"> Coleman</w:t>
      </w:r>
      <w:r w:rsidR="00AE0CC3">
        <w:rPr>
          <w:noProof/>
        </w:rPr>
        <w:t xml:space="preserve"> (</w:t>
      </w:r>
      <w:r w:rsidR="00AE0CC3" w:rsidRPr="00AE0CC3">
        <w:rPr>
          <w:noProof/>
        </w:rPr>
        <w:t>2017)</w:t>
      </w:r>
      <w:r w:rsidR="00AE0CC3">
        <w:rPr>
          <w:noProof/>
        </w:rPr>
        <w:t xml:space="preserve"> </w:t>
      </w:r>
      <w:r w:rsidR="00133AFE">
        <w:rPr>
          <w:noProof/>
        </w:rPr>
        <w:t>further argue that network-based governance models can diffuse accountability, particularly in high-risk environments where no single agency retains clear operational or moral responsibility</w:t>
      </w:r>
      <w:r w:rsidR="00660876">
        <w:rPr>
          <w:noProof/>
        </w:rPr>
        <w:t xml:space="preserve"> for outcomes. </w:t>
      </w:r>
    </w:p>
    <w:p w14:paraId="4000635C" w14:textId="52482434" w:rsidR="00203899" w:rsidRDefault="00203899" w:rsidP="00B738E4">
      <w:pPr>
        <w:spacing w:line="480" w:lineRule="auto"/>
        <w:rPr>
          <w:noProof/>
        </w:rPr>
      </w:pPr>
      <w:r>
        <w:rPr>
          <w:noProof/>
        </w:rPr>
        <w:t xml:space="preserve">The literature also </w:t>
      </w:r>
      <w:r w:rsidR="00660876">
        <w:rPr>
          <w:noProof/>
        </w:rPr>
        <w:t xml:space="preserve">identifies </w:t>
      </w:r>
      <w:r w:rsidR="00D749AE">
        <w:rPr>
          <w:noProof/>
        </w:rPr>
        <w:t xml:space="preserve">enduring </w:t>
      </w:r>
      <w:r>
        <w:rPr>
          <w:noProof/>
        </w:rPr>
        <w:t>tensions between enforcement</w:t>
      </w:r>
      <w:r w:rsidR="00F45B9F">
        <w:rPr>
          <w:noProof/>
        </w:rPr>
        <w:t>-</w:t>
      </w:r>
      <w:r>
        <w:rPr>
          <w:noProof/>
        </w:rPr>
        <w:t>focused priorities and welfare</w:t>
      </w:r>
      <w:r w:rsidR="00F45B9F">
        <w:rPr>
          <w:noProof/>
        </w:rPr>
        <w:t>-</w:t>
      </w:r>
      <w:r>
        <w:rPr>
          <w:noProof/>
        </w:rPr>
        <w:t xml:space="preserve">orientated </w:t>
      </w:r>
      <w:r w:rsidR="00C42BB8">
        <w:rPr>
          <w:noProof/>
        </w:rPr>
        <w:t>objectives within mu</w:t>
      </w:r>
      <w:r w:rsidR="007023E3">
        <w:rPr>
          <w:noProof/>
        </w:rPr>
        <w:t>lti</w:t>
      </w:r>
      <w:r w:rsidR="00C42BB8">
        <w:rPr>
          <w:noProof/>
        </w:rPr>
        <w:t xml:space="preserve">-agency environments. Policing organisations are typically assessed against disruption based </w:t>
      </w:r>
      <w:r w:rsidR="008B27E5">
        <w:rPr>
          <w:noProof/>
        </w:rPr>
        <w:t>o</w:t>
      </w:r>
      <w:r w:rsidR="00010EBF">
        <w:rPr>
          <w:noProof/>
        </w:rPr>
        <w:t xml:space="preserve">n </w:t>
      </w:r>
      <w:r w:rsidR="008B27E5">
        <w:rPr>
          <w:noProof/>
        </w:rPr>
        <w:t xml:space="preserve">enforcement metrics, </w:t>
      </w:r>
      <w:r w:rsidR="00C42BB8">
        <w:rPr>
          <w:noProof/>
        </w:rPr>
        <w:t xml:space="preserve">while local authorities and third sector </w:t>
      </w:r>
      <w:r w:rsidR="008B6F4E">
        <w:rPr>
          <w:noProof/>
        </w:rPr>
        <w:t xml:space="preserve">partners prioritise safeguarding, prevention and long-term support </w:t>
      </w:r>
      <w:sdt>
        <w:sdtPr>
          <w:rPr>
            <w:noProof/>
          </w:rPr>
          <w:id w:val="256488922"/>
          <w:citation/>
        </w:sdtPr>
        <w:sdtContent>
          <w:r w:rsidR="008B6F4E">
            <w:rPr>
              <w:noProof/>
            </w:rPr>
            <w:fldChar w:fldCharType="begin"/>
          </w:r>
          <w:r w:rsidR="008B6F4E">
            <w:rPr>
              <w:noProof/>
            </w:rPr>
            <w:instrText xml:space="preserve"> CITATION Hug07 \l 2057 </w:instrText>
          </w:r>
          <w:r w:rsidR="008B6F4E">
            <w:rPr>
              <w:noProof/>
            </w:rPr>
            <w:fldChar w:fldCharType="separate"/>
          </w:r>
          <w:r w:rsidR="008B6F4E" w:rsidRPr="008B6F4E">
            <w:rPr>
              <w:noProof/>
            </w:rPr>
            <w:t>(Hughes, 2007)</w:t>
          </w:r>
          <w:r w:rsidR="008B6F4E">
            <w:rPr>
              <w:noProof/>
            </w:rPr>
            <w:fldChar w:fldCharType="end"/>
          </w:r>
        </w:sdtContent>
      </w:sdt>
      <w:r w:rsidR="008B6F4E">
        <w:rPr>
          <w:noProof/>
        </w:rPr>
        <w:t xml:space="preserve">. </w:t>
      </w:r>
      <w:r w:rsidR="008B6F4E" w:rsidRPr="008B6F4E">
        <w:rPr>
          <w:noProof/>
        </w:rPr>
        <w:t>Brothers</w:t>
      </w:r>
      <w:r w:rsidR="008B6F4E">
        <w:rPr>
          <w:noProof/>
        </w:rPr>
        <w:t xml:space="preserve"> (</w:t>
      </w:r>
      <w:r w:rsidR="008B6F4E" w:rsidRPr="008B6F4E">
        <w:rPr>
          <w:noProof/>
        </w:rPr>
        <w:t>2015)</w:t>
      </w:r>
      <w:r w:rsidR="008B6F4E">
        <w:rPr>
          <w:noProof/>
        </w:rPr>
        <w:t xml:space="preserve"> argues that power imbalances </w:t>
      </w:r>
      <w:r w:rsidR="005755FE">
        <w:rPr>
          <w:noProof/>
        </w:rPr>
        <w:t>can marginalise</w:t>
      </w:r>
      <w:r w:rsidR="004A2B79">
        <w:rPr>
          <w:noProof/>
        </w:rPr>
        <w:t xml:space="preserve"> non-poli</w:t>
      </w:r>
      <w:r w:rsidR="00010EBF">
        <w:rPr>
          <w:noProof/>
        </w:rPr>
        <w:t>c</w:t>
      </w:r>
      <w:r w:rsidR="004A2B79">
        <w:rPr>
          <w:noProof/>
        </w:rPr>
        <w:t xml:space="preserve">ing perspectives, resulting in partnerships </w:t>
      </w:r>
      <w:r w:rsidR="0074577B">
        <w:rPr>
          <w:noProof/>
        </w:rPr>
        <w:t xml:space="preserve">that are procedurally </w:t>
      </w:r>
      <w:r w:rsidR="005755FE">
        <w:rPr>
          <w:noProof/>
        </w:rPr>
        <w:t>inclusive but substa</w:t>
      </w:r>
      <w:r w:rsidR="00F27005">
        <w:rPr>
          <w:noProof/>
        </w:rPr>
        <w:t>n</w:t>
      </w:r>
      <w:r w:rsidR="005755FE">
        <w:rPr>
          <w:noProof/>
        </w:rPr>
        <w:t xml:space="preserve">tively dominated by enforcement </w:t>
      </w:r>
      <w:r w:rsidR="0074577B">
        <w:rPr>
          <w:noProof/>
        </w:rPr>
        <w:t>logics</w:t>
      </w:r>
      <w:r w:rsidR="00D16275">
        <w:rPr>
          <w:noProof/>
        </w:rPr>
        <w:t xml:space="preserve">. </w:t>
      </w:r>
      <w:r w:rsidR="0074577B">
        <w:rPr>
          <w:noProof/>
        </w:rPr>
        <w:t xml:space="preserve">This </w:t>
      </w:r>
      <w:r w:rsidR="00D16275">
        <w:rPr>
          <w:noProof/>
        </w:rPr>
        <w:t>risk</w:t>
      </w:r>
      <w:r w:rsidR="0074577B">
        <w:rPr>
          <w:noProof/>
        </w:rPr>
        <w:t xml:space="preserve">s </w:t>
      </w:r>
      <w:r w:rsidR="00D16275">
        <w:rPr>
          <w:noProof/>
        </w:rPr>
        <w:t>limiting innovation and undermining legitimacy within communities</w:t>
      </w:r>
      <w:r w:rsidR="009C7FA5">
        <w:rPr>
          <w:noProof/>
        </w:rPr>
        <w:t xml:space="preserve"> most affected by organised crime and firearms violence</w:t>
      </w:r>
      <w:r w:rsidR="00D16275">
        <w:rPr>
          <w:noProof/>
        </w:rPr>
        <w:t>.</w:t>
      </w:r>
    </w:p>
    <w:p w14:paraId="3BCACDE0" w14:textId="6C1ED2D0" w:rsidR="00FF6D1E" w:rsidRPr="008B13A5" w:rsidRDefault="00806304" w:rsidP="00640AFE">
      <w:pPr>
        <w:pStyle w:val="NormalWeb"/>
        <w:spacing w:line="480" w:lineRule="auto"/>
        <w:rPr>
          <w:sz w:val="32"/>
          <w:szCs w:val="32"/>
        </w:rPr>
      </w:pPr>
      <w:r w:rsidRPr="00806304">
        <w:rPr>
          <w:rFonts w:ascii="Arial" w:hAnsi="Arial" w:cs="Arial"/>
        </w:rPr>
        <w:t xml:space="preserve">Overall, the literature presents partnership </w:t>
      </w:r>
      <w:r w:rsidR="00D16275">
        <w:rPr>
          <w:rFonts w:ascii="Arial" w:hAnsi="Arial" w:cs="Arial"/>
        </w:rPr>
        <w:t>governance</w:t>
      </w:r>
      <w:r w:rsidR="00523FFE">
        <w:rPr>
          <w:rFonts w:ascii="Arial" w:hAnsi="Arial" w:cs="Arial"/>
        </w:rPr>
        <w:t xml:space="preserve"> </w:t>
      </w:r>
      <w:r w:rsidRPr="00806304">
        <w:rPr>
          <w:rFonts w:ascii="Arial" w:hAnsi="Arial" w:cs="Arial"/>
        </w:rPr>
        <w:t xml:space="preserve">in SOC contexts as both </w:t>
      </w:r>
      <w:r w:rsidR="001324EF">
        <w:rPr>
          <w:rFonts w:ascii="Arial" w:hAnsi="Arial" w:cs="Arial"/>
        </w:rPr>
        <w:t xml:space="preserve">necessary </w:t>
      </w:r>
      <w:r w:rsidRPr="00806304">
        <w:rPr>
          <w:rFonts w:ascii="Arial" w:hAnsi="Arial" w:cs="Arial"/>
        </w:rPr>
        <w:t xml:space="preserve">and inherently fragile. While integrated </w:t>
      </w:r>
      <w:r w:rsidR="001324EF">
        <w:rPr>
          <w:rFonts w:ascii="Arial" w:hAnsi="Arial" w:cs="Arial"/>
        </w:rPr>
        <w:t>and multi-agency a</w:t>
      </w:r>
      <w:r w:rsidRPr="00806304">
        <w:rPr>
          <w:rFonts w:ascii="Arial" w:hAnsi="Arial" w:cs="Arial"/>
        </w:rPr>
        <w:t xml:space="preserve">pproaches </w:t>
      </w:r>
      <w:r w:rsidR="001324EF">
        <w:rPr>
          <w:rFonts w:ascii="Arial" w:hAnsi="Arial" w:cs="Arial"/>
        </w:rPr>
        <w:t xml:space="preserve">are widely promoted </w:t>
      </w:r>
      <w:r w:rsidR="00DF1A04">
        <w:rPr>
          <w:rFonts w:ascii="Arial" w:hAnsi="Arial" w:cs="Arial"/>
        </w:rPr>
        <w:t xml:space="preserve">as a solution to the complex nature </w:t>
      </w:r>
      <w:r w:rsidRPr="00806304">
        <w:rPr>
          <w:rFonts w:ascii="Arial" w:hAnsi="Arial" w:cs="Arial"/>
        </w:rPr>
        <w:t xml:space="preserve">of organised crime, their </w:t>
      </w:r>
      <w:r w:rsidR="00DF1A04">
        <w:rPr>
          <w:rFonts w:ascii="Arial" w:hAnsi="Arial" w:cs="Arial"/>
        </w:rPr>
        <w:t>eff</w:t>
      </w:r>
      <w:r w:rsidR="006B540B">
        <w:rPr>
          <w:rFonts w:ascii="Arial" w:hAnsi="Arial" w:cs="Arial"/>
        </w:rPr>
        <w:t>e</w:t>
      </w:r>
      <w:r w:rsidR="00DF1A04">
        <w:rPr>
          <w:rFonts w:ascii="Arial" w:hAnsi="Arial" w:cs="Arial"/>
        </w:rPr>
        <w:t xml:space="preserve">ctiveness remains difficult </w:t>
      </w:r>
      <w:r w:rsidR="00775D37">
        <w:rPr>
          <w:rFonts w:ascii="Arial" w:hAnsi="Arial" w:cs="Arial"/>
        </w:rPr>
        <w:t xml:space="preserve">to assess due to weaknesses in governance clarity, accountability mechanisms </w:t>
      </w:r>
      <w:r w:rsidR="006B540B">
        <w:rPr>
          <w:rFonts w:ascii="Arial" w:hAnsi="Arial" w:cs="Arial"/>
        </w:rPr>
        <w:t xml:space="preserve">and evaluative rigor. </w:t>
      </w:r>
      <w:r w:rsidRPr="00806304">
        <w:rPr>
          <w:rFonts w:ascii="Arial" w:hAnsi="Arial" w:cs="Arial"/>
        </w:rPr>
        <w:t xml:space="preserve">Without </w:t>
      </w:r>
      <w:r w:rsidR="006B540B">
        <w:rPr>
          <w:rFonts w:ascii="Arial" w:hAnsi="Arial" w:cs="Arial"/>
        </w:rPr>
        <w:t xml:space="preserve">sustained leadership, </w:t>
      </w:r>
      <w:r w:rsidR="006B540B">
        <w:rPr>
          <w:rFonts w:ascii="Arial" w:hAnsi="Arial" w:cs="Arial"/>
        </w:rPr>
        <w:lastRenderedPageBreak/>
        <w:t xml:space="preserve">independent evaluation and structural alignment, partnership arrangements risk managing </w:t>
      </w:r>
      <w:r w:rsidR="00023CC6">
        <w:rPr>
          <w:rFonts w:ascii="Arial" w:hAnsi="Arial" w:cs="Arial"/>
        </w:rPr>
        <w:t xml:space="preserve">organisational risk and political expectation rather than delivering measurable reductions in organised crime harm. </w:t>
      </w:r>
    </w:p>
    <w:p w14:paraId="3F0F489D" w14:textId="687F0E2E" w:rsidR="00E45977" w:rsidRPr="008B13A5" w:rsidRDefault="00E45977" w:rsidP="008B13A5">
      <w:pPr>
        <w:pStyle w:val="Heading1"/>
        <w:rPr>
          <w:sz w:val="32"/>
          <w:szCs w:val="32"/>
        </w:rPr>
      </w:pPr>
      <w:bookmarkStart w:id="6" w:name="_Toc227406746"/>
      <w:r w:rsidRPr="008B13A5">
        <w:rPr>
          <w:sz w:val="32"/>
          <w:szCs w:val="32"/>
        </w:rPr>
        <w:t>Vulnerability, Exp</w:t>
      </w:r>
      <w:r w:rsidR="00B738E4" w:rsidRPr="008B13A5">
        <w:rPr>
          <w:sz w:val="32"/>
          <w:szCs w:val="32"/>
        </w:rPr>
        <w:t>l</w:t>
      </w:r>
      <w:r w:rsidRPr="008B13A5">
        <w:rPr>
          <w:sz w:val="32"/>
          <w:szCs w:val="32"/>
        </w:rPr>
        <w:t xml:space="preserve">oitation and </w:t>
      </w:r>
      <w:r w:rsidR="00B24359" w:rsidRPr="008B13A5">
        <w:rPr>
          <w:sz w:val="32"/>
          <w:szCs w:val="32"/>
        </w:rPr>
        <w:t>County Lines</w:t>
      </w:r>
      <w:bookmarkEnd w:id="6"/>
    </w:p>
    <w:p w14:paraId="35C5F6DD" w14:textId="77777777" w:rsidR="00217648" w:rsidRDefault="00217648" w:rsidP="00B24359"/>
    <w:p w14:paraId="1ED5F662" w14:textId="710E09E8" w:rsidR="008D693E" w:rsidRDefault="00B24359" w:rsidP="00217648">
      <w:pPr>
        <w:spacing w:line="480" w:lineRule="auto"/>
      </w:pPr>
      <w:r>
        <w:t xml:space="preserve">County Lines exploitation </w:t>
      </w:r>
      <w:r w:rsidR="00F84A31">
        <w:t xml:space="preserve">is widely </w:t>
      </w:r>
      <w:r w:rsidR="00C52F05">
        <w:t xml:space="preserve">examined </w:t>
      </w:r>
      <w:r w:rsidR="00F84A31">
        <w:t xml:space="preserve">within the literature as one of the most harmful contemporary manifestations </w:t>
      </w:r>
      <w:r w:rsidR="00E57F8C">
        <w:t>of SOC in the UK. It involves the organised movement of drugs, money and weapons across geogra</w:t>
      </w:r>
      <w:r w:rsidR="00AE14E7">
        <w:t xml:space="preserve">phical boundaries, typically </w:t>
      </w:r>
      <w:r w:rsidR="009A7206">
        <w:t xml:space="preserve">enabled through </w:t>
      </w:r>
      <w:r w:rsidR="00133508">
        <w:t xml:space="preserve">the coercive exploitation of children and vulnerable adults </w:t>
      </w:r>
      <w:sdt>
        <w:sdtPr>
          <w:id w:val="-1827121126"/>
          <w:citation/>
        </w:sdtPr>
        <w:sdtContent>
          <w:r w:rsidR="00133508">
            <w:fldChar w:fldCharType="begin"/>
          </w:r>
          <w:r w:rsidR="00133508">
            <w:instrText xml:space="preserve"> CITATION McL19 \l 2057 </w:instrText>
          </w:r>
          <w:r w:rsidR="00133508">
            <w:fldChar w:fldCharType="separate"/>
          </w:r>
          <w:r w:rsidR="00133508" w:rsidRPr="00133508">
            <w:rPr>
              <w:noProof/>
            </w:rPr>
            <w:t>(McLean, et al., 2019)</w:t>
          </w:r>
          <w:r w:rsidR="00133508">
            <w:fldChar w:fldCharType="end"/>
          </w:r>
        </w:sdtContent>
      </w:sdt>
      <w:r w:rsidR="00133508">
        <w:t xml:space="preserve">. </w:t>
      </w:r>
      <w:r w:rsidR="008D693E">
        <w:t xml:space="preserve">Unlike traditional models of organised crime recruitment that emphasise rational choice or economic </w:t>
      </w:r>
      <w:r w:rsidR="009B7428">
        <w:t>motivation</w:t>
      </w:r>
      <w:r w:rsidR="00963A2C">
        <w:t xml:space="preserve">, county lines networks rely heavily upon grooming, intimidation and violence, </w:t>
      </w:r>
      <w:r w:rsidR="006F2BA5">
        <w:t xml:space="preserve">blurring </w:t>
      </w:r>
      <w:r w:rsidR="00263DC4">
        <w:t xml:space="preserve">conventional distinctions between victimhood and offending </w:t>
      </w:r>
      <w:sdt>
        <w:sdtPr>
          <w:id w:val="1838108515"/>
          <w:citation/>
        </w:sdtPr>
        <w:sdtContent>
          <w:r w:rsidR="000845DC">
            <w:fldChar w:fldCharType="begin"/>
          </w:r>
          <w:r w:rsidR="000845DC">
            <w:instrText xml:space="preserve"> CITATION Win15 \l 2057 </w:instrText>
          </w:r>
          <w:r w:rsidR="000845DC">
            <w:fldChar w:fldCharType="separate"/>
          </w:r>
          <w:r w:rsidR="000845DC" w:rsidRPr="000845DC">
            <w:rPr>
              <w:noProof/>
            </w:rPr>
            <w:t>(Windle &amp; Briggs, 2015)</w:t>
          </w:r>
          <w:r w:rsidR="000845DC">
            <w:fldChar w:fldCharType="end"/>
          </w:r>
        </w:sdtContent>
      </w:sdt>
      <w:r w:rsidR="000845DC">
        <w:t>.</w:t>
      </w:r>
    </w:p>
    <w:p w14:paraId="695DA241" w14:textId="407EE2C0" w:rsidR="0083765D" w:rsidRDefault="0083765D" w:rsidP="00217648">
      <w:pPr>
        <w:spacing w:line="480" w:lineRule="auto"/>
      </w:pPr>
      <w:r>
        <w:t xml:space="preserve">A </w:t>
      </w:r>
      <w:r w:rsidR="000845DC">
        <w:t xml:space="preserve">dominant </w:t>
      </w:r>
      <w:r w:rsidR="00205733">
        <w:t xml:space="preserve">critique within </w:t>
      </w:r>
      <w:r w:rsidR="00E17877">
        <w:t>the literature</w:t>
      </w:r>
      <w:r w:rsidR="00205733">
        <w:t xml:space="preserve"> concerns the limitations of traditional </w:t>
      </w:r>
      <w:r w:rsidR="00E17877">
        <w:t xml:space="preserve">safeguarding and criminal justice </w:t>
      </w:r>
      <w:r w:rsidR="00F30040">
        <w:t xml:space="preserve">frameworks in responding </w:t>
      </w:r>
      <w:r w:rsidR="00205733">
        <w:t xml:space="preserve">effectively </w:t>
      </w:r>
      <w:r w:rsidR="004F628F">
        <w:t>to this form of harm. Early safeguarding research highlighted how child protection systems, primarily designed to address intra-familial abuse</w:t>
      </w:r>
      <w:r w:rsidR="00F97E55">
        <w:t>, struggle to identify and respond to harm occurring within p</w:t>
      </w:r>
      <w:r w:rsidR="003347DE">
        <w:t xml:space="preserve">eer groups, </w:t>
      </w:r>
      <w:r w:rsidR="00211C52">
        <w:t>p</w:t>
      </w:r>
      <w:r w:rsidR="003347DE">
        <w:t>ublic spaces and criminal networks</w:t>
      </w:r>
      <w:r w:rsidR="00211C52">
        <w:t xml:space="preserve"> </w:t>
      </w:r>
      <w:sdt>
        <w:sdtPr>
          <w:id w:val="294726890"/>
          <w:citation/>
        </w:sdtPr>
        <w:sdtContent>
          <w:r w:rsidR="00211C52">
            <w:fldChar w:fldCharType="begin"/>
          </w:r>
          <w:r w:rsidR="00211C52">
            <w:instrText xml:space="preserve"> CITATION All13 \l 2057 </w:instrText>
          </w:r>
          <w:r w:rsidR="00211C52">
            <w:fldChar w:fldCharType="separate"/>
          </w:r>
          <w:r w:rsidR="00211C52" w:rsidRPr="00211C52">
            <w:rPr>
              <w:noProof/>
            </w:rPr>
            <w:t>(Allnock &amp; Miller, 2013)</w:t>
          </w:r>
          <w:r w:rsidR="00211C52">
            <w:fldChar w:fldCharType="end"/>
          </w:r>
        </w:sdtContent>
      </w:sdt>
      <w:r w:rsidR="001A406D">
        <w:t xml:space="preserve">. </w:t>
      </w:r>
      <w:r w:rsidR="00211C52">
        <w:t>These limitations are particularly pronounced in SOC contexts</w:t>
      </w:r>
      <w:r w:rsidR="00DF0190">
        <w:t xml:space="preserve">, where exploitation is organised, mobile and embedded across multiple environments. </w:t>
      </w:r>
    </w:p>
    <w:p w14:paraId="656C4E76" w14:textId="3912C8FB" w:rsidR="007A0FB8" w:rsidRDefault="007A0FB8" w:rsidP="00217648">
      <w:pPr>
        <w:spacing w:line="480" w:lineRule="auto"/>
        <w:rPr>
          <w:noProof/>
        </w:rPr>
      </w:pPr>
      <w:r>
        <w:t xml:space="preserve">Contextual safeguarding theory represents </w:t>
      </w:r>
      <w:r w:rsidR="00574139">
        <w:t xml:space="preserve">a significant conceptual </w:t>
      </w:r>
      <w:r w:rsidR="009E44B1">
        <w:t xml:space="preserve">development </w:t>
      </w:r>
      <w:r w:rsidR="00FE7878">
        <w:t xml:space="preserve">in this area, repositioning exploitation as a product of social contexts rather than </w:t>
      </w:r>
      <w:r w:rsidR="000E095B">
        <w:t xml:space="preserve">individual vulnerability </w:t>
      </w:r>
      <w:sdt>
        <w:sdtPr>
          <w:id w:val="-1055383610"/>
          <w:citation/>
        </w:sdtPr>
        <w:sdtContent>
          <w:r w:rsidR="000E095B">
            <w:fldChar w:fldCharType="begin"/>
          </w:r>
          <w:r w:rsidR="000E095B">
            <w:instrText xml:space="preserve"> CITATION Fir20 \l 2057 </w:instrText>
          </w:r>
          <w:r w:rsidR="000E095B">
            <w:fldChar w:fldCharType="separate"/>
          </w:r>
          <w:r w:rsidR="000E095B" w:rsidRPr="000E095B">
            <w:rPr>
              <w:noProof/>
            </w:rPr>
            <w:t>(Firmin, 2020)</w:t>
          </w:r>
          <w:r w:rsidR="000E095B">
            <w:fldChar w:fldCharType="end"/>
          </w:r>
        </w:sdtContent>
      </w:sdt>
      <w:r w:rsidR="000E095B">
        <w:t xml:space="preserve">. This </w:t>
      </w:r>
      <w:r w:rsidR="003628F8">
        <w:t>framework is widely cited within both academic and policy discourse as particularly suited to county lines offending</w:t>
      </w:r>
      <w:r w:rsidR="0026366D">
        <w:t xml:space="preserve">, given </w:t>
      </w:r>
      <w:r w:rsidR="0026366D">
        <w:lastRenderedPageBreak/>
        <w:t xml:space="preserve">its emphasis on schools, transport hubs and neighbourhoods as sites of harm </w:t>
      </w:r>
      <w:sdt>
        <w:sdtPr>
          <w:id w:val="-834535439"/>
          <w:citation/>
        </w:sdtPr>
        <w:sdtContent>
          <w:r w:rsidR="006473B9">
            <w:fldChar w:fldCharType="begin"/>
          </w:r>
          <w:r w:rsidR="006473B9">
            <w:instrText xml:space="preserve"> CITATION McL19 \l 2057 </w:instrText>
          </w:r>
          <w:r w:rsidR="006473B9">
            <w:fldChar w:fldCharType="separate"/>
          </w:r>
          <w:r w:rsidR="006473B9" w:rsidRPr="006473B9">
            <w:rPr>
              <w:noProof/>
            </w:rPr>
            <w:t>(McLean, et al., 2019)</w:t>
          </w:r>
          <w:r w:rsidR="006473B9">
            <w:fldChar w:fldCharType="end"/>
          </w:r>
        </w:sdtContent>
      </w:sdt>
      <w:r w:rsidR="006473B9">
        <w:t>. W</w:t>
      </w:r>
      <w:r w:rsidR="00D55E25">
        <w:rPr>
          <w:noProof/>
        </w:rPr>
        <w:t xml:space="preserve">hile conceptually </w:t>
      </w:r>
      <w:r w:rsidR="006473B9">
        <w:rPr>
          <w:noProof/>
        </w:rPr>
        <w:t>persuasive</w:t>
      </w:r>
      <w:r w:rsidR="00EC1748">
        <w:rPr>
          <w:noProof/>
        </w:rPr>
        <w:t xml:space="preserve">, the empirical evidence supporting contextual safeguarding remains relatively limited, with inconsistent implementation and a lack of longitudinal evaluation </w:t>
      </w:r>
      <w:r w:rsidR="00082386">
        <w:rPr>
          <w:noProof/>
        </w:rPr>
        <w:t xml:space="preserve">constraining confidence in sustained impact on organised crime activity. </w:t>
      </w:r>
      <w:r w:rsidR="00D55E25">
        <w:rPr>
          <w:noProof/>
        </w:rPr>
        <w:t xml:space="preserve"> </w:t>
      </w:r>
    </w:p>
    <w:p w14:paraId="1D45E79B" w14:textId="7F302B14" w:rsidR="007F4A80" w:rsidRDefault="008805B4" w:rsidP="00217648">
      <w:pPr>
        <w:spacing w:line="480" w:lineRule="auto"/>
        <w:rPr>
          <w:noProof/>
        </w:rPr>
      </w:pPr>
      <w:r>
        <w:rPr>
          <w:noProof/>
        </w:rPr>
        <w:t xml:space="preserve">The literature consistently </w:t>
      </w:r>
      <w:r w:rsidR="00242E1A">
        <w:rPr>
          <w:noProof/>
        </w:rPr>
        <w:t xml:space="preserve">identifies </w:t>
      </w:r>
      <w:r w:rsidR="005E148E">
        <w:rPr>
          <w:noProof/>
        </w:rPr>
        <w:t xml:space="preserve">links </w:t>
      </w:r>
      <w:r w:rsidR="00242E1A">
        <w:rPr>
          <w:noProof/>
        </w:rPr>
        <w:t xml:space="preserve">between </w:t>
      </w:r>
      <w:r w:rsidR="005E148E">
        <w:rPr>
          <w:noProof/>
        </w:rPr>
        <w:t>county lines exploitation</w:t>
      </w:r>
      <w:r w:rsidR="00242E1A">
        <w:rPr>
          <w:noProof/>
        </w:rPr>
        <w:t xml:space="preserve"> and </w:t>
      </w:r>
      <w:r w:rsidR="005E148E">
        <w:rPr>
          <w:noProof/>
        </w:rPr>
        <w:t xml:space="preserve"> structural vulnerability</w:t>
      </w:r>
      <w:r w:rsidR="00750DC4">
        <w:rPr>
          <w:noProof/>
        </w:rPr>
        <w:t>. F</w:t>
      </w:r>
      <w:r w:rsidR="007F4A80">
        <w:rPr>
          <w:noProof/>
        </w:rPr>
        <w:t xml:space="preserve">actors such as poverty, </w:t>
      </w:r>
      <w:r w:rsidR="00750DC4">
        <w:rPr>
          <w:noProof/>
        </w:rPr>
        <w:t xml:space="preserve">care experience, adverse childhood </w:t>
      </w:r>
      <w:r w:rsidR="00B11C2C">
        <w:rPr>
          <w:noProof/>
        </w:rPr>
        <w:t xml:space="preserve">experiences </w:t>
      </w:r>
      <w:r w:rsidR="00117674">
        <w:rPr>
          <w:noProof/>
        </w:rPr>
        <w:t>and unmet mental health needs increas</w:t>
      </w:r>
      <w:r w:rsidR="00B11C2C">
        <w:rPr>
          <w:noProof/>
        </w:rPr>
        <w:t xml:space="preserve">e </w:t>
      </w:r>
      <w:r w:rsidR="00117674">
        <w:rPr>
          <w:noProof/>
        </w:rPr>
        <w:t>suscept</w:t>
      </w:r>
      <w:r w:rsidR="006C3A0C">
        <w:rPr>
          <w:noProof/>
        </w:rPr>
        <w:t>i</w:t>
      </w:r>
      <w:r w:rsidR="00117674">
        <w:rPr>
          <w:noProof/>
        </w:rPr>
        <w:t xml:space="preserve">bility to </w:t>
      </w:r>
      <w:r w:rsidR="00B11C2C">
        <w:rPr>
          <w:noProof/>
        </w:rPr>
        <w:t xml:space="preserve">recruitment </w:t>
      </w:r>
      <w:r w:rsidR="006D7223">
        <w:rPr>
          <w:noProof/>
        </w:rPr>
        <w:t xml:space="preserve">and coercion </w:t>
      </w:r>
      <w:r w:rsidR="0092780E" w:rsidRPr="00117674">
        <w:rPr>
          <w:noProof/>
        </w:rPr>
        <w:t>(McLean, et al., 2019</w:t>
      </w:r>
      <w:r w:rsidR="0092780E">
        <w:rPr>
          <w:noProof/>
        </w:rPr>
        <w:t xml:space="preserve">; </w:t>
      </w:r>
      <w:r w:rsidR="00AE328E" w:rsidRPr="00AE328E">
        <w:rPr>
          <w:noProof/>
        </w:rPr>
        <w:t>Windle &amp; Briggs, 2015)</w:t>
      </w:r>
      <w:r w:rsidR="0092780E">
        <w:rPr>
          <w:noProof/>
        </w:rPr>
        <w:t xml:space="preserve">. </w:t>
      </w:r>
      <w:r w:rsidR="00276609">
        <w:rPr>
          <w:noProof/>
        </w:rPr>
        <w:t xml:space="preserve">Organised crime </w:t>
      </w:r>
      <w:r w:rsidR="00DF0F22">
        <w:rPr>
          <w:noProof/>
        </w:rPr>
        <w:t xml:space="preserve">research </w:t>
      </w:r>
      <w:r w:rsidR="00E308E7">
        <w:rPr>
          <w:noProof/>
        </w:rPr>
        <w:t xml:space="preserve">suggests </w:t>
      </w:r>
      <w:r w:rsidR="005723E5">
        <w:rPr>
          <w:noProof/>
        </w:rPr>
        <w:t>these</w:t>
      </w:r>
      <w:r w:rsidR="00276609">
        <w:rPr>
          <w:noProof/>
        </w:rPr>
        <w:t xml:space="preserve"> vulnerabilities are not incidental</w:t>
      </w:r>
      <w:r w:rsidR="005723E5">
        <w:rPr>
          <w:noProof/>
        </w:rPr>
        <w:t>,</w:t>
      </w:r>
      <w:r w:rsidR="00276609">
        <w:rPr>
          <w:noProof/>
        </w:rPr>
        <w:t xml:space="preserve"> but strategically targeted by criminal networks seeking individuals who are easily controlled, replaced</w:t>
      </w:r>
      <w:r w:rsidR="00F768A1">
        <w:rPr>
          <w:noProof/>
        </w:rPr>
        <w:t xml:space="preserve"> and </w:t>
      </w:r>
      <w:r w:rsidR="005723E5">
        <w:rPr>
          <w:noProof/>
        </w:rPr>
        <w:t xml:space="preserve">subject to </w:t>
      </w:r>
      <w:r w:rsidR="00F768A1">
        <w:rPr>
          <w:noProof/>
        </w:rPr>
        <w:t>limited guardianship</w:t>
      </w:r>
      <w:r w:rsidR="00BB55F8">
        <w:rPr>
          <w:noProof/>
        </w:rPr>
        <w:t>.</w:t>
      </w:r>
    </w:p>
    <w:p w14:paraId="7A2858C1" w14:textId="33E80E07" w:rsidR="005A0C12" w:rsidRDefault="00D228DD" w:rsidP="00217648">
      <w:pPr>
        <w:spacing w:line="480" w:lineRule="auto"/>
        <w:rPr>
          <w:noProof/>
        </w:rPr>
      </w:pPr>
      <w:r>
        <w:t xml:space="preserve">A further critical concern within the </w:t>
      </w:r>
      <w:r w:rsidR="00B84F93">
        <w:t xml:space="preserve">literature </w:t>
      </w:r>
      <w:r>
        <w:t xml:space="preserve">relates to the </w:t>
      </w:r>
      <w:r w:rsidR="00E033DB">
        <w:t xml:space="preserve">criminalisation of exploited young people. </w:t>
      </w:r>
      <w:r w:rsidR="00E033DB" w:rsidRPr="00E033DB">
        <w:rPr>
          <w:noProof/>
        </w:rPr>
        <w:t>Beckett, et al.</w:t>
      </w:r>
      <w:r w:rsidR="00F86E2E">
        <w:rPr>
          <w:noProof/>
        </w:rPr>
        <w:t xml:space="preserve"> (</w:t>
      </w:r>
      <w:r w:rsidR="00E033DB" w:rsidRPr="00E033DB">
        <w:rPr>
          <w:noProof/>
        </w:rPr>
        <w:t>2017)</w:t>
      </w:r>
      <w:r w:rsidR="00F86E2E">
        <w:rPr>
          <w:noProof/>
        </w:rPr>
        <w:t xml:space="preserve"> argue that individuals subject to exploitation frequently occupy ambiguous positions between victimhood and offending, resulting in inconsist</w:t>
      </w:r>
      <w:r w:rsidR="00885A75">
        <w:rPr>
          <w:noProof/>
        </w:rPr>
        <w:t xml:space="preserve">ent responses </w:t>
      </w:r>
      <w:r w:rsidR="00FA35C3">
        <w:rPr>
          <w:noProof/>
        </w:rPr>
        <w:t xml:space="preserve">from </w:t>
      </w:r>
      <w:r w:rsidR="00885A75">
        <w:rPr>
          <w:noProof/>
        </w:rPr>
        <w:t xml:space="preserve">policing and safeguarding systems. This victim-offender hybridity </w:t>
      </w:r>
      <w:r w:rsidR="008C7843">
        <w:rPr>
          <w:noProof/>
        </w:rPr>
        <w:t xml:space="preserve">raises </w:t>
      </w:r>
      <w:r w:rsidR="00885A75">
        <w:rPr>
          <w:noProof/>
        </w:rPr>
        <w:t xml:space="preserve">the risk </w:t>
      </w:r>
      <w:r w:rsidR="00F00192">
        <w:rPr>
          <w:noProof/>
        </w:rPr>
        <w:t>that enforcement</w:t>
      </w:r>
      <w:r w:rsidR="008C7843">
        <w:rPr>
          <w:noProof/>
        </w:rPr>
        <w:t xml:space="preserve">-led interventions </w:t>
      </w:r>
      <w:r w:rsidR="00C41FB4">
        <w:rPr>
          <w:noProof/>
        </w:rPr>
        <w:t>may reinforce har</w:t>
      </w:r>
      <w:r w:rsidR="006C3A0C">
        <w:rPr>
          <w:noProof/>
        </w:rPr>
        <w:t>m</w:t>
      </w:r>
      <w:r w:rsidR="00C41FB4">
        <w:rPr>
          <w:noProof/>
        </w:rPr>
        <w:t xml:space="preserve"> rather than disrupt it, particularly where safeguarding thresholds and criminal justice </w:t>
      </w:r>
      <w:r w:rsidR="0067129C">
        <w:rPr>
          <w:noProof/>
        </w:rPr>
        <w:t>responsib</w:t>
      </w:r>
      <w:r w:rsidR="007149C2">
        <w:rPr>
          <w:noProof/>
        </w:rPr>
        <w:t>ilities</w:t>
      </w:r>
      <w:r w:rsidR="0067129C">
        <w:rPr>
          <w:noProof/>
        </w:rPr>
        <w:t xml:space="preserve"> are poorly aligned. </w:t>
      </w:r>
      <w:r w:rsidR="00F00192">
        <w:rPr>
          <w:noProof/>
        </w:rPr>
        <w:t xml:space="preserve"> </w:t>
      </w:r>
    </w:p>
    <w:p w14:paraId="16FA72E9" w14:textId="1A9F997A" w:rsidR="000C6A55" w:rsidRDefault="000C6A55" w:rsidP="00217648">
      <w:pPr>
        <w:spacing w:line="480" w:lineRule="auto"/>
        <w:rPr>
          <w:noProof/>
        </w:rPr>
      </w:pPr>
      <w:r>
        <w:rPr>
          <w:noProof/>
        </w:rPr>
        <w:t xml:space="preserve">Despite increased policy and </w:t>
      </w:r>
      <w:r w:rsidR="00390416">
        <w:rPr>
          <w:noProof/>
        </w:rPr>
        <w:t>operational focus on county lines, qu</w:t>
      </w:r>
      <w:r>
        <w:rPr>
          <w:noProof/>
        </w:rPr>
        <w:t>estion</w:t>
      </w:r>
      <w:r w:rsidR="000141E6">
        <w:rPr>
          <w:noProof/>
        </w:rPr>
        <w:t>s</w:t>
      </w:r>
      <w:r>
        <w:rPr>
          <w:noProof/>
        </w:rPr>
        <w:t xml:space="preserve"> </w:t>
      </w:r>
      <w:r w:rsidR="00390416">
        <w:rPr>
          <w:noProof/>
        </w:rPr>
        <w:t xml:space="preserve">remain regarding </w:t>
      </w:r>
      <w:r>
        <w:rPr>
          <w:noProof/>
        </w:rPr>
        <w:t>the sustainability of existing responses</w:t>
      </w:r>
      <w:r w:rsidR="00594CE7">
        <w:rPr>
          <w:noProof/>
        </w:rPr>
        <w:t>. E</w:t>
      </w:r>
      <w:r>
        <w:rPr>
          <w:noProof/>
        </w:rPr>
        <w:t xml:space="preserve">nforcement activity </w:t>
      </w:r>
      <w:r w:rsidR="00A954C2">
        <w:rPr>
          <w:noProof/>
        </w:rPr>
        <w:t xml:space="preserve">is frequently associated with </w:t>
      </w:r>
      <w:r w:rsidR="00594CE7">
        <w:rPr>
          <w:noProof/>
        </w:rPr>
        <w:t xml:space="preserve">short-term </w:t>
      </w:r>
      <w:r w:rsidR="00635561">
        <w:rPr>
          <w:noProof/>
        </w:rPr>
        <w:t xml:space="preserve">disruption but limited evidence of long-term harm reduction, with displacement and network adaptation </w:t>
      </w:r>
      <w:r w:rsidR="00F83E98">
        <w:rPr>
          <w:noProof/>
        </w:rPr>
        <w:t xml:space="preserve">widely reported </w:t>
      </w:r>
      <w:sdt>
        <w:sdtPr>
          <w:rPr>
            <w:noProof/>
          </w:rPr>
          <w:id w:val="-822427491"/>
          <w:citation/>
        </w:sdtPr>
        <w:sdtContent>
          <w:r w:rsidR="00762139">
            <w:rPr>
              <w:noProof/>
            </w:rPr>
            <w:fldChar w:fldCharType="begin"/>
          </w:r>
          <w:r w:rsidR="00762139">
            <w:rPr>
              <w:noProof/>
            </w:rPr>
            <w:instrText xml:space="preserve"> CITATION McL191 \l 2057 </w:instrText>
          </w:r>
          <w:r w:rsidR="00762139">
            <w:rPr>
              <w:noProof/>
            </w:rPr>
            <w:fldChar w:fldCharType="separate"/>
          </w:r>
          <w:r w:rsidR="00762139" w:rsidRPr="00762139">
            <w:rPr>
              <w:noProof/>
            </w:rPr>
            <w:t>(McLean, et al., 2019)</w:t>
          </w:r>
          <w:r w:rsidR="00762139">
            <w:rPr>
              <w:noProof/>
            </w:rPr>
            <w:fldChar w:fldCharType="end"/>
          </w:r>
        </w:sdtContent>
      </w:sdt>
      <w:r w:rsidR="00762139">
        <w:rPr>
          <w:noProof/>
        </w:rPr>
        <w:t xml:space="preserve">. </w:t>
      </w:r>
      <w:r w:rsidR="00F83E98">
        <w:rPr>
          <w:noProof/>
        </w:rPr>
        <w:t xml:space="preserve">This reinforces concerns that while county lines has become a prominent </w:t>
      </w:r>
      <w:r w:rsidR="00E06DE8">
        <w:rPr>
          <w:noProof/>
        </w:rPr>
        <w:lastRenderedPageBreak/>
        <w:t xml:space="preserve">organising concept within policing and safeguarding discourse, the evidential base underpinning claims of effectiveness </w:t>
      </w:r>
      <w:r w:rsidR="00F15A73">
        <w:rPr>
          <w:noProof/>
        </w:rPr>
        <w:t xml:space="preserve">remains underdeveloped. </w:t>
      </w:r>
    </w:p>
    <w:p w14:paraId="22E5F7D7" w14:textId="509F3BAC" w:rsidR="00E50D7A" w:rsidRDefault="00D51B71" w:rsidP="00217648">
      <w:pPr>
        <w:spacing w:line="480" w:lineRule="auto"/>
      </w:pPr>
      <w:r>
        <w:rPr>
          <w:noProof/>
        </w:rPr>
        <w:t>Taken together, th</w:t>
      </w:r>
      <w:r w:rsidR="00F15A73">
        <w:rPr>
          <w:noProof/>
        </w:rPr>
        <w:t xml:space="preserve">e </w:t>
      </w:r>
      <w:r>
        <w:rPr>
          <w:noProof/>
        </w:rPr>
        <w:t xml:space="preserve">literature </w:t>
      </w:r>
      <w:r w:rsidR="00F15A73">
        <w:rPr>
          <w:noProof/>
        </w:rPr>
        <w:t xml:space="preserve">positions county lines exploitation as a </w:t>
      </w:r>
      <w:r w:rsidR="00005035">
        <w:rPr>
          <w:noProof/>
        </w:rPr>
        <w:t xml:space="preserve">key </w:t>
      </w:r>
      <w:r w:rsidR="00F15A73">
        <w:rPr>
          <w:noProof/>
        </w:rPr>
        <w:t xml:space="preserve">lens through which </w:t>
      </w:r>
      <w:r>
        <w:rPr>
          <w:noProof/>
        </w:rPr>
        <w:t>vulnerability</w:t>
      </w:r>
      <w:r w:rsidR="0065545B">
        <w:rPr>
          <w:noProof/>
        </w:rPr>
        <w:t xml:space="preserve"> and organised crime intersect.  However, it highlights enduring tensions between conceptu</w:t>
      </w:r>
      <w:r w:rsidR="00576443">
        <w:rPr>
          <w:noProof/>
        </w:rPr>
        <w:t>al innovation, policy ambition and e</w:t>
      </w:r>
      <w:r w:rsidR="0056044A">
        <w:rPr>
          <w:noProof/>
        </w:rPr>
        <w:t xml:space="preserve">vidential </w:t>
      </w:r>
      <w:r w:rsidR="00576443">
        <w:rPr>
          <w:noProof/>
        </w:rPr>
        <w:t>validation. Responses to county lines therefore remain constrained by fragmented systems, uneven evidence</w:t>
      </w:r>
      <w:r w:rsidR="00B66077">
        <w:rPr>
          <w:noProof/>
        </w:rPr>
        <w:t xml:space="preserve"> and limited under</w:t>
      </w:r>
      <w:r w:rsidR="00BF06E1">
        <w:rPr>
          <w:noProof/>
        </w:rPr>
        <w:t>s</w:t>
      </w:r>
      <w:r w:rsidR="00B66077">
        <w:rPr>
          <w:noProof/>
        </w:rPr>
        <w:t xml:space="preserve">tanding of long-term impact. </w:t>
      </w:r>
      <w:r>
        <w:rPr>
          <w:noProof/>
        </w:rPr>
        <w:t xml:space="preserve"> </w:t>
      </w:r>
    </w:p>
    <w:p w14:paraId="71AC0FC3" w14:textId="674270F8" w:rsidR="00217648" w:rsidRPr="008B13A5" w:rsidRDefault="00217648" w:rsidP="008B13A5">
      <w:pPr>
        <w:pStyle w:val="Heading1"/>
        <w:rPr>
          <w:noProof/>
          <w:sz w:val="32"/>
          <w:szCs w:val="32"/>
        </w:rPr>
      </w:pPr>
      <w:bookmarkStart w:id="7" w:name="_Toc227406747"/>
      <w:r w:rsidRPr="008B13A5">
        <w:rPr>
          <w:noProof/>
          <w:sz w:val="32"/>
          <w:szCs w:val="32"/>
        </w:rPr>
        <w:t>Leadership Approaches in the Literature</w:t>
      </w:r>
      <w:bookmarkEnd w:id="7"/>
    </w:p>
    <w:p w14:paraId="1A1798F2" w14:textId="77777777" w:rsidR="00217648" w:rsidRDefault="00217648" w:rsidP="00217648"/>
    <w:p w14:paraId="11B250F7" w14:textId="19F44E9E" w:rsidR="00217648" w:rsidRDefault="00217648" w:rsidP="001E5614">
      <w:pPr>
        <w:spacing w:line="480" w:lineRule="auto"/>
      </w:pPr>
      <w:r>
        <w:t xml:space="preserve">Leadership is widely recognised </w:t>
      </w:r>
      <w:r w:rsidR="00840797">
        <w:t xml:space="preserve">within the literature as a critical </w:t>
      </w:r>
      <w:r w:rsidR="00E50D7A">
        <w:t xml:space="preserve">determinant </w:t>
      </w:r>
      <w:r w:rsidR="00840797">
        <w:t xml:space="preserve">shaping responses </w:t>
      </w:r>
      <w:r w:rsidR="003559D2">
        <w:t xml:space="preserve">to SOC and firearms-enabled violence. However, </w:t>
      </w:r>
      <w:r w:rsidR="00E50D7A">
        <w:t xml:space="preserve">scholars consistently </w:t>
      </w:r>
      <w:r w:rsidR="008B075A">
        <w:t xml:space="preserve">note </w:t>
      </w:r>
      <w:r w:rsidR="009D1540">
        <w:t>a lack of consensus r</w:t>
      </w:r>
      <w:r w:rsidR="00036EDC">
        <w:t xml:space="preserve">egarding which leadership models are most effective within complex, multi-agency </w:t>
      </w:r>
      <w:r w:rsidR="009D1540">
        <w:t xml:space="preserve">and politically constrained </w:t>
      </w:r>
      <w:r w:rsidR="00036EDC">
        <w:t>environments</w:t>
      </w:r>
      <w:r w:rsidR="009C7E26">
        <w:t xml:space="preserve">. Traditional command-and-control approaches associated with enforcement-led policing are increasingly critiqued for their inability to address the adaptive </w:t>
      </w:r>
      <w:r w:rsidR="00B839EE">
        <w:t xml:space="preserve">and socially embedded nature of organised crime </w:t>
      </w:r>
      <w:sdt>
        <w:sdtPr>
          <w:id w:val="-104192997"/>
          <w:citation/>
        </w:sdtPr>
        <w:sdtContent>
          <w:r w:rsidR="00B839EE">
            <w:fldChar w:fldCharType="begin"/>
          </w:r>
          <w:r w:rsidR="00B839EE">
            <w:instrText xml:space="preserve"> CITATION Rei101 \l 2057 </w:instrText>
          </w:r>
          <w:r w:rsidR="00B839EE">
            <w:fldChar w:fldCharType="separate"/>
          </w:r>
          <w:r w:rsidR="00B839EE" w:rsidRPr="00B839EE">
            <w:rPr>
              <w:noProof/>
            </w:rPr>
            <w:t>(Reiner, 2010)</w:t>
          </w:r>
          <w:r w:rsidR="00B839EE">
            <w:fldChar w:fldCharType="end"/>
          </w:r>
        </w:sdtContent>
      </w:sdt>
      <w:r w:rsidR="00B839EE">
        <w:t>.</w:t>
      </w:r>
      <w:r w:rsidR="00422F62">
        <w:t xml:space="preserve"> </w:t>
      </w:r>
    </w:p>
    <w:p w14:paraId="15B04A3B" w14:textId="0557EB42" w:rsidR="00B55614" w:rsidRDefault="00226060" w:rsidP="001E5614">
      <w:pPr>
        <w:spacing w:line="480" w:lineRule="auto"/>
      </w:pPr>
      <w:r>
        <w:t xml:space="preserve">In response, the literature increasingly advocates </w:t>
      </w:r>
      <w:r w:rsidR="00BC4716">
        <w:t>systems</w:t>
      </w:r>
      <w:r w:rsidR="007E767B">
        <w:t>-</w:t>
      </w:r>
      <w:r w:rsidR="00BC4716">
        <w:t>oriented</w:t>
      </w:r>
      <w:r w:rsidR="007E767B">
        <w:t xml:space="preserve">, </w:t>
      </w:r>
      <w:r w:rsidR="00020F73">
        <w:t>collaborative and</w:t>
      </w:r>
      <w:r w:rsidR="00BC4716">
        <w:t xml:space="preserve"> public health informed </w:t>
      </w:r>
      <w:r w:rsidR="009A6E19">
        <w:t xml:space="preserve">approaches. </w:t>
      </w:r>
      <w:r w:rsidR="007E767B">
        <w:t>These models emphasise</w:t>
      </w:r>
      <w:r w:rsidR="00813F47">
        <w:t xml:space="preserve"> </w:t>
      </w:r>
      <w:r w:rsidR="00432654">
        <w:t>partnership</w:t>
      </w:r>
      <w:r w:rsidR="006E2016">
        <w:t xml:space="preserve"> governance</w:t>
      </w:r>
      <w:r w:rsidR="002756DA">
        <w:t>,</w:t>
      </w:r>
      <w:r w:rsidR="00813F47">
        <w:t xml:space="preserve"> distributed learning</w:t>
      </w:r>
      <w:r w:rsidR="00A40927">
        <w:t xml:space="preserve"> </w:t>
      </w:r>
      <w:r w:rsidR="002756DA">
        <w:t xml:space="preserve">and </w:t>
      </w:r>
      <w:r w:rsidR="003358F7">
        <w:t>long-term</w:t>
      </w:r>
      <w:r w:rsidR="002756DA">
        <w:t xml:space="preserve"> harm reduction </w:t>
      </w:r>
      <w:r w:rsidR="00A40927">
        <w:t xml:space="preserve">over </w:t>
      </w:r>
      <w:r w:rsidR="00F12C76">
        <w:t xml:space="preserve">short-term enforcement outcomes </w:t>
      </w:r>
      <w:r w:rsidR="002756DA" w:rsidRPr="00432654">
        <w:rPr>
          <w:noProof/>
        </w:rPr>
        <w:t>(Butts, et al., 2015</w:t>
      </w:r>
      <w:r w:rsidR="002756DA">
        <w:rPr>
          <w:noProof/>
        </w:rPr>
        <w:t xml:space="preserve">; </w:t>
      </w:r>
      <w:r w:rsidR="002756DA" w:rsidRPr="002756DA">
        <w:rPr>
          <w:noProof/>
        </w:rPr>
        <w:t>Hughes, 2007)</w:t>
      </w:r>
      <w:r w:rsidR="000C0CBF">
        <w:t xml:space="preserve">. </w:t>
      </w:r>
    </w:p>
    <w:p w14:paraId="25779B16" w14:textId="5925DB8C" w:rsidR="00E97AB5" w:rsidRDefault="00C6577B" w:rsidP="001E5614">
      <w:pPr>
        <w:spacing w:line="480" w:lineRule="auto"/>
      </w:pPr>
      <w:r>
        <w:t xml:space="preserve">However, </w:t>
      </w:r>
      <w:r w:rsidR="00AA0B56">
        <w:t xml:space="preserve">claims regarding </w:t>
      </w:r>
      <w:r w:rsidR="00BA13B0">
        <w:t xml:space="preserve">the transformative potential of leadership within SOC context should be treated with caution, particularly </w:t>
      </w:r>
      <w:r w:rsidR="00F34E15">
        <w:t xml:space="preserve">where expectations of long-term harm reduction exceed the current evidential base. Leadership operates </w:t>
      </w:r>
      <w:r w:rsidR="00610900">
        <w:t xml:space="preserve">within </w:t>
      </w:r>
      <w:r w:rsidR="00610900">
        <w:lastRenderedPageBreak/>
        <w:t>structurally constrained systems shaped by political priorities</w:t>
      </w:r>
      <w:r w:rsidR="00985725">
        <w:t xml:space="preserve"> </w:t>
      </w:r>
      <w:r w:rsidR="00AA1192">
        <w:t>and resource limitations</w:t>
      </w:r>
      <w:r w:rsidR="00B015BD">
        <w:t>,</w:t>
      </w:r>
      <w:r w:rsidR="00985725">
        <w:t xml:space="preserve"> limiting </w:t>
      </w:r>
      <w:r w:rsidR="00B015BD">
        <w:t xml:space="preserve">its capacity </w:t>
      </w:r>
      <w:r w:rsidR="00D62FF7">
        <w:t>to effect sustained change</w:t>
      </w:r>
      <w:r w:rsidR="00985725">
        <w:t xml:space="preserve"> </w:t>
      </w:r>
      <w:sdt>
        <w:sdtPr>
          <w:id w:val="1125589589"/>
          <w:citation/>
        </w:sdtPr>
        <w:sdtContent>
          <w:r w:rsidR="00AA1192">
            <w:fldChar w:fldCharType="begin"/>
          </w:r>
          <w:r w:rsidR="00AA1192">
            <w:instrText xml:space="preserve"> CITATION Rei101 \l 2057 </w:instrText>
          </w:r>
          <w:r w:rsidR="00AA1192">
            <w:fldChar w:fldCharType="separate"/>
          </w:r>
          <w:r w:rsidR="00AA1192" w:rsidRPr="00AA1192">
            <w:rPr>
              <w:noProof/>
            </w:rPr>
            <w:t>(Reiner, 2010)</w:t>
          </w:r>
          <w:r w:rsidR="00AA1192">
            <w:fldChar w:fldCharType="end"/>
          </w:r>
        </w:sdtContent>
      </w:sdt>
      <w:r w:rsidR="00AA1192">
        <w:t xml:space="preserve">. </w:t>
      </w:r>
    </w:p>
    <w:p w14:paraId="20A3456E" w14:textId="3579336D" w:rsidR="00130AE4" w:rsidRDefault="00134005" w:rsidP="001E5614">
      <w:pPr>
        <w:spacing w:line="480" w:lineRule="auto"/>
        <w:rPr>
          <w:noProof/>
        </w:rPr>
      </w:pPr>
      <w:r>
        <w:t>Legitimacy</w:t>
      </w:r>
      <w:r w:rsidR="00C9636B">
        <w:t>-</w:t>
      </w:r>
      <w:r>
        <w:t>focused leadership</w:t>
      </w:r>
      <w:r w:rsidR="00C062C7">
        <w:t xml:space="preserve"> represents a further </w:t>
      </w:r>
      <w:r w:rsidR="00C9636B">
        <w:t xml:space="preserve">strand within the </w:t>
      </w:r>
      <w:r>
        <w:t>literature</w:t>
      </w:r>
      <w:r w:rsidR="00C062C7">
        <w:t xml:space="preserve">, emphasising </w:t>
      </w:r>
      <w:r w:rsidR="00BF723C">
        <w:t>e</w:t>
      </w:r>
      <w:r>
        <w:t>thical decision making</w:t>
      </w:r>
      <w:r w:rsidR="00353E93">
        <w:t xml:space="preserve">, </w:t>
      </w:r>
      <w:r w:rsidR="00C062C7">
        <w:t>procedural justice</w:t>
      </w:r>
      <w:r w:rsidR="00C14888">
        <w:t xml:space="preserve"> and community en</w:t>
      </w:r>
      <w:r w:rsidR="00353E93">
        <w:t xml:space="preserve">gagement </w:t>
      </w:r>
      <w:r w:rsidR="00AD5EF5" w:rsidRPr="00AD5EF5">
        <w:rPr>
          <w:noProof/>
        </w:rPr>
        <w:t>(Tyler, 2006</w:t>
      </w:r>
      <w:r w:rsidR="00AD5EF5">
        <w:rPr>
          <w:noProof/>
        </w:rPr>
        <w:t xml:space="preserve">; </w:t>
      </w:r>
      <w:r w:rsidR="00AD5EF5" w:rsidRPr="00AD5EF5">
        <w:rPr>
          <w:noProof/>
        </w:rPr>
        <w:t>Loader &amp; Mulcahy, 2003)</w:t>
      </w:r>
      <w:r w:rsidR="00AD5EF5">
        <w:rPr>
          <w:noProof/>
        </w:rPr>
        <w:t xml:space="preserve">. </w:t>
      </w:r>
      <w:r w:rsidR="00C14888">
        <w:rPr>
          <w:noProof/>
        </w:rPr>
        <w:t xml:space="preserve">While these approaches </w:t>
      </w:r>
      <w:r w:rsidR="00F60F76">
        <w:rPr>
          <w:noProof/>
        </w:rPr>
        <w:t xml:space="preserve">are often prioritised as essential to sustainable harm reduction, their influence may be constrained within SOC-affected environments characterised </w:t>
      </w:r>
      <w:r w:rsidR="00937094">
        <w:rPr>
          <w:noProof/>
        </w:rPr>
        <w:t xml:space="preserve">by fear, coercion and entrenched mistrust. In such contexts, leadership efforts to build legitimacy </w:t>
      </w:r>
      <w:r w:rsidR="00384201">
        <w:rPr>
          <w:noProof/>
        </w:rPr>
        <w:t xml:space="preserve">may be undermined by factors beyond organisational control. </w:t>
      </w:r>
      <w:r w:rsidR="00AA02DE">
        <w:rPr>
          <w:noProof/>
        </w:rPr>
        <w:t xml:space="preserve"> </w:t>
      </w:r>
    </w:p>
    <w:p w14:paraId="72B38DBD" w14:textId="07C10390" w:rsidR="00130AE4" w:rsidRPr="00B24359" w:rsidRDefault="00C45ED9" w:rsidP="00217648">
      <w:pPr>
        <w:spacing w:line="480" w:lineRule="auto"/>
      </w:pPr>
      <w:r>
        <w:rPr>
          <w:noProof/>
        </w:rPr>
        <w:t>Overall, the literature portrays leadership in SOC contexts as contested</w:t>
      </w:r>
      <w:r w:rsidR="00BE33FA">
        <w:rPr>
          <w:noProof/>
        </w:rPr>
        <w:t>, constrained and under-researched</w:t>
      </w:r>
      <w:r w:rsidR="0020543E">
        <w:rPr>
          <w:noProof/>
        </w:rPr>
        <w:t xml:space="preserve">. </w:t>
      </w:r>
      <w:r w:rsidR="00594B8D">
        <w:rPr>
          <w:noProof/>
        </w:rPr>
        <w:t>E</w:t>
      </w:r>
      <w:r w:rsidR="003E4BB2">
        <w:rPr>
          <w:noProof/>
        </w:rPr>
        <w:t xml:space="preserve">xpectations placed upon </w:t>
      </w:r>
      <w:r w:rsidR="00C04A23">
        <w:rPr>
          <w:noProof/>
        </w:rPr>
        <w:t xml:space="preserve">policing leadership </w:t>
      </w:r>
      <w:r w:rsidR="0020543E">
        <w:rPr>
          <w:noProof/>
        </w:rPr>
        <w:t xml:space="preserve">to deliver system-wide </w:t>
      </w:r>
      <w:r w:rsidR="000519A6">
        <w:rPr>
          <w:noProof/>
        </w:rPr>
        <w:t xml:space="preserve">change </w:t>
      </w:r>
      <w:r w:rsidR="00594B8D">
        <w:rPr>
          <w:noProof/>
        </w:rPr>
        <w:t xml:space="preserve">often </w:t>
      </w:r>
      <w:r w:rsidR="000519A6">
        <w:rPr>
          <w:noProof/>
        </w:rPr>
        <w:t>exceed what leadership alone can realistically achieve</w:t>
      </w:r>
      <w:r w:rsidR="00CB1AD6">
        <w:rPr>
          <w:noProof/>
        </w:rPr>
        <w:t xml:space="preserve">. </w:t>
      </w:r>
      <w:r w:rsidR="000519A6">
        <w:rPr>
          <w:noProof/>
        </w:rPr>
        <w:t xml:space="preserve"> This highlights the need for strategic </w:t>
      </w:r>
      <w:r w:rsidR="00514BFC">
        <w:rPr>
          <w:noProof/>
        </w:rPr>
        <w:t xml:space="preserve">realism in assessing leadership effectiveness and cautions against attributing responsibility for organised crime harms to leadership </w:t>
      </w:r>
      <w:r w:rsidR="000D7CCC">
        <w:rPr>
          <w:noProof/>
        </w:rPr>
        <w:t xml:space="preserve">approaches in isolation </w:t>
      </w:r>
      <w:r w:rsidR="00460BDC">
        <w:rPr>
          <w:noProof/>
        </w:rPr>
        <w:t>from wider structural conditions</w:t>
      </w:r>
      <w:r w:rsidR="00BF06E1">
        <w:rPr>
          <w:noProof/>
        </w:rPr>
        <w:t>.</w:t>
      </w:r>
    </w:p>
    <w:p w14:paraId="4C107D06" w14:textId="326B7D23" w:rsidR="00842BB9" w:rsidRPr="008B13A5" w:rsidRDefault="00FC0630" w:rsidP="008B13A5">
      <w:pPr>
        <w:pStyle w:val="Heading1"/>
        <w:rPr>
          <w:sz w:val="32"/>
          <w:szCs w:val="32"/>
        </w:rPr>
      </w:pPr>
      <w:bookmarkStart w:id="8" w:name="_Toc225415640"/>
      <w:bookmarkStart w:id="9" w:name="_Toc227406748"/>
      <w:r w:rsidRPr="008B13A5">
        <w:rPr>
          <w:sz w:val="32"/>
          <w:szCs w:val="32"/>
        </w:rPr>
        <w:t>Conclusion</w:t>
      </w:r>
      <w:bookmarkEnd w:id="8"/>
      <w:bookmarkEnd w:id="9"/>
    </w:p>
    <w:p w14:paraId="1247A765" w14:textId="77777777" w:rsidR="00A179CB" w:rsidRDefault="00A179CB" w:rsidP="00A179CB"/>
    <w:p w14:paraId="724FBFF5" w14:textId="0817A9EA" w:rsidR="00A179CB" w:rsidRDefault="00A179CB" w:rsidP="008D4EF2">
      <w:pPr>
        <w:spacing w:line="480" w:lineRule="auto"/>
      </w:pPr>
      <w:r>
        <w:t xml:space="preserve">This </w:t>
      </w:r>
      <w:r w:rsidR="00490174">
        <w:t xml:space="preserve">literature review has examined </w:t>
      </w:r>
      <w:r>
        <w:t xml:space="preserve">SOC </w:t>
      </w:r>
      <w:r w:rsidR="0071562E">
        <w:t xml:space="preserve">and firearms enabled violence </w:t>
      </w:r>
      <w:r w:rsidR="00C342B1">
        <w:t>as complex</w:t>
      </w:r>
      <w:r w:rsidR="00885115">
        <w:t xml:space="preserve">, </w:t>
      </w:r>
      <w:r w:rsidR="0071562E">
        <w:t>high-harm ph</w:t>
      </w:r>
      <w:r w:rsidR="00885115">
        <w:t>enomen</w:t>
      </w:r>
      <w:r w:rsidR="0071562E">
        <w:t xml:space="preserve">a </w:t>
      </w:r>
      <w:r w:rsidR="001451A2">
        <w:t xml:space="preserve">shaped by social, </w:t>
      </w:r>
      <w:r w:rsidR="00885115">
        <w:t xml:space="preserve">structural </w:t>
      </w:r>
      <w:r w:rsidR="001451A2">
        <w:t xml:space="preserve">and </w:t>
      </w:r>
      <w:r w:rsidR="005A1C7A">
        <w:t xml:space="preserve">systemic </w:t>
      </w:r>
      <w:r w:rsidR="00B105B8">
        <w:t xml:space="preserve">factors rather than isolated patterns of criminal behaviour. Across the literature, organised crime </w:t>
      </w:r>
      <w:r w:rsidR="007C6462">
        <w:t xml:space="preserve">is consistently understood as adaptive and relational, embedded within community contexts </w:t>
      </w:r>
      <w:r w:rsidR="004E2E75">
        <w:t xml:space="preserve">characterised by inequality, vulnerability and uneven legitimacy. Firearms-enabled violence emerges within this body of work </w:t>
      </w:r>
      <w:r w:rsidR="00297D31">
        <w:t xml:space="preserve">not as a standalone policing challenge, but as an intensified manifestation of organised crime </w:t>
      </w:r>
      <w:r w:rsidR="00543A24">
        <w:t>dynamics</w:t>
      </w:r>
      <w:r w:rsidR="00F2568D">
        <w:t>.</w:t>
      </w:r>
      <w:r w:rsidR="00543A24">
        <w:t xml:space="preserve"> </w:t>
      </w:r>
    </w:p>
    <w:p w14:paraId="6AA62BB2" w14:textId="7BFAE736" w:rsidR="00DE4331" w:rsidRPr="00DE4331" w:rsidRDefault="00DE4331" w:rsidP="00DE4331">
      <w:pPr>
        <w:pStyle w:val="NormalWeb"/>
        <w:spacing w:line="480" w:lineRule="auto"/>
        <w:rPr>
          <w:rFonts w:ascii="Arial" w:hAnsi="Arial" w:cs="Arial"/>
        </w:rPr>
      </w:pPr>
      <w:r w:rsidRPr="00DE4331">
        <w:rPr>
          <w:rFonts w:ascii="Arial" w:hAnsi="Arial" w:cs="Arial"/>
        </w:rPr>
        <w:lastRenderedPageBreak/>
        <w:t>The review demonstrates that while enforcement remains a necessary component of SOC responses, the literature increasingly cautions against approaches that prioritise short</w:t>
      </w:r>
      <w:r w:rsidRPr="00DE4331">
        <w:rPr>
          <w:rFonts w:ascii="Arial" w:hAnsi="Arial" w:cs="Arial"/>
        </w:rPr>
        <w:noBreakHyphen/>
        <w:t>term disruption without sustained attention to legitimacy, partnership governance and safeguarding. Research on structural inequality</w:t>
      </w:r>
      <w:r w:rsidR="000D7377">
        <w:rPr>
          <w:rFonts w:ascii="Arial" w:hAnsi="Arial" w:cs="Arial"/>
        </w:rPr>
        <w:t xml:space="preserve">, </w:t>
      </w:r>
      <w:r w:rsidRPr="00DE4331">
        <w:rPr>
          <w:rFonts w:ascii="Arial" w:hAnsi="Arial" w:cs="Arial"/>
        </w:rPr>
        <w:t xml:space="preserve">legitimacy </w:t>
      </w:r>
      <w:r w:rsidR="000F513B">
        <w:rPr>
          <w:rFonts w:ascii="Arial" w:hAnsi="Arial" w:cs="Arial"/>
        </w:rPr>
        <w:t xml:space="preserve">and partnership highlights </w:t>
      </w:r>
      <w:r w:rsidRPr="00DE4331">
        <w:rPr>
          <w:rFonts w:ascii="Arial" w:hAnsi="Arial" w:cs="Arial"/>
        </w:rPr>
        <w:t xml:space="preserve">the constrained contexts within which policing operates, </w:t>
      </w:r>
      <w:r w:rsidR="00B83102">
        <w:rPr>
          <w:rFonts w:ascii="Arial" w:hAnsi="Arial" w:cs="Arial"/>
        </w:rPr>
        <w:t xml:space="preserve">with evidence of long-term impact remaining uneven. </w:t>
      </w:r>
      <w:r w:rsidRPr="00DE4331">
        <w:rPr>
          <w:rFonts w:ascii="Arial" w:hAnsi="Arial" w:cs="Arial"/>
        </w:rPr>
        <w:t>Similarly, partnership</w:t>
      </w:r>
      <w:r w:rsidRPr="00DE4331">
        <w:rPr>
          <w:rFonts w:ascii="Arial" w:hAnsi="Arial" w:cs="Arial"/>
        </w:rPr>
        <w:noBreakHyphen/>
        <w:t>based and public</w:t>
      </w:r>
      <w:r w:rsidRPr="00DE4331">
        <w:rPr>
          <w:rFonts w:ascii="Arial" w:hAnsi="Arial" w:cs="Arial"/>
        </w:rPr>
        <w:noBreakHyphen/>
        <w:t>health</w:t>
      </w:r>
      <w:r w:rsidRPr="00DE4331">
        <w:rPr>
          <w:rFonts w:ascii="Arial" w:hAnsi="Arial" w:cs="Arial"/>
        </w:rPr>
        <w:noBreakHyphen/>
        <w:t>informed approaches are widely promoted as solutions to complex crime, yet the evidence base evaluating their long</w:t>
      </w:r>
      <w:r w:rsidRPr="00DE4331">
        <w:rPr>
          <w:rFonts w:ascii="Arial" w:hAnsi="Arial" w:cs="Arial"/>
        </w:rPr>
        <w:noBreakHyphen/>
        <w:t>term impact remains uneven, with success often inferred through process measures rather than demonstrable harm reduction.</w:t>
      </w:r>
    </w:p>
    <w:p w14:paraId="03E73C96" w14:textId="77777777" w:rsidR="00DE4331" w:rsidRPr="00DE4331" w:rsidRDefault="00DE4331" w:rsidP="00DE4331">
      <w:pPr>
        <w:pStyle w:val="NormalWeb"/>
        <w:spacing w:line="480" w:lineRule="auto"/>
        <w:rPr>
          <w:rFonts w:ascii="Arial" w:hAnsi="Arial" w:cs="Arial"/>
        </w:rPr>
      </w:pPr>
      <w:r w:rsidRPr="00DE4331">
        <w:rPr>
          <w:rFonts w:ascii="Arial" w:hAnsi="Arial" w:cs="Arial"/>
        </w:rPr>
        <w:t>County lines exploitation further illustrates the intersection between organised crime and vulnerability, challenging traditional distinctions between victimhood and offending. While conceptual and policy developments such as contextual safeguarding offer important reframing of exploitation, questions remain regarding consistency of implementation and sustainability of impact. Across these themes, the literature reveals persistent tensions between conceptual ambition, policy aspiration and empirical validation.</w:t>
      </w:r>
    </w:p>
    <w:p w14:paraId="590BEFB4" w14:textId="77777777" w:rsidR="00DE4331" w:rsidRPr="00DE4331" w:rsidRDefault="00DE4331" w:rsidP="00DE4331">
      <w:pPr>
        <w:pStyle w:val="NormalWeb"/>
        <w:spacing w:line="480" w:lineRule="auto"/>
        <w:rPr>
          <w:rFonts w:ascii="Arial" w:hAnsi="Arial" w:cs="Arial"/>
        </w:rPr>
      </w:pPr>
      <w:r w:rsidRPr="00DE4331">
        <w:rPr>
          <w:rFonts w:ascii="Arial" w:hAnsi="Arial" w:cs="Arial"/>
        </w:rPr>
        <w:t>Leadership is positioned within the literature as an enabling factor shaping how policing systems respond to SOC and firearms</w:t>
      </w:r>
      <w:r w:rsidRPr="00DE4331">
        <w:rPr>
          <w:rFonts w:ascii="Arial" w:hAnsi="Arial" w:cs="Arial"/>
        </w:rPr>
        <w:noBreakHyphen/>
        <w:t>enabled violence rather than as a determinant of outcomes in isolation. Expectations placed upon leadership to deliver transformative change frequently exceed what can realistically be achieved within politically constrained, resource</w:t>
      </w:r>
      <w:r w:rsidRPr="00DE4331">
        <w:rPr>
          <w:rFonts w:ascii="Arial" w:hAnsi="Arial" w:cs="Arial"/>
        </w:rPr>
        <w:noBreakHyphen/>
        <w:t>limited and fragmented governance environments. This reinforces the need for strategic realism in assessing both accountability and effectiveness.</w:t>
      </w:r>
    </w:p>
    <w:p w14:paraId="39F7A27C" w14:textId="77777777" w:rsidR="00DE4331" w:rsidRPr="00DE4331" w:rsidRDefault="00DE4331" w:rsidP="00DE4331">
      <w:pPr>
        <w:pStyle w:val="NormalWeb"/>
        <w:spacing w:line="480" w:lineRule="auto"/>
        <w:rPr>
          <w:rFonts w:ascii="Arial" w:hAnsi="Arial" w:cs="Arial"/>
        </w:rPr>
      </w:pPr>
      <w:r w:rsidRPr="00DE4331">
        <w:rPr>
          <w:rFonts w:ascii="Arial" w:hAnsi="Arial" w:cs="Arial"/>
        </w:rPr>
        <w:lastRenderedPageBreak/>
        <w:t>Overall, the literature suggests that firearms</w:t>
      </w:r>
      <w:r w:rsidRPr="00DE4331">
        <w:rPr>
          <w:rFonts w:ascii="Arial" w:hAnsi="Arial" w:cs="Arial"/>
        </w:rPr>
        <w:noBreakHyphen/>
        <w:t>enabled violence should be understood as an enduring symptom of broader organised crime systems rather than as a discrete policing failure. Responses to SOC are therefore best conceptualised as long</w:t>
      </w:r>
      <w:r w:rsidRPr="00DE4331">
        <w:rPr>
          <w:rFonts w:ascii="Arial" w:hAnsi="Arial" w:cs="Arial"/>
        </w:rPr>
        <w:noBreakHyphen/>
        <w:t>term, system</w:t>
      </w:r>
      <w:r w:rsidRPr="00DE4331">
        <w:rPr>
          <w:rFonts w:ascii="Arial" w:hAnsi="Arial" w:cs="Arial"/>
        </w:rPr>
        <w:noBreakHyphen/>
        <w:t>wide challenges requiring sustained coordination, legitimacy</w:t>
      </w:r>
      <w:r w:rsidRPr="00DE4331">
        <w:rPr>
          <w:rFonts w:ascii="Arial" w:hAnsi="Arial" w:cs="Arial"/>
        </w:rPr>
        <w:noBreakHyphen/>
        <w:t>building and harm</w:t>
      </w:r>
      <w:r w:rsidRPr="00DE4331">
        <w:rPr>
          <w:rFonts w:ascii="Arial" w:hAnsi="Arial" w:cs="Arial"/>
        </w:rPr>
        <w:noBreakHyphen/>
        <w:t>focused evaluation. This review provides a critical foundation for examining firearms</w:t>
      </w:r>
      <w:r w:rsidRPr="00DE4331">
        <w:rPr>
          <w:rFonts w:ascii="Arial" w:hAnsi="Arial" w:cs="Arial"/>
        </w:rPr>
        <w:noBreakHyphen/>
        <w:t>enabled violence as a manifestation of these wider dynamics, which is explored further in the accompanying presentation.</w:t>
      </w:r>
    </w:p>
    <w:p w14:paraId="2FE5828A" w14:textId="77777777" w:rsidR="00543A24" w:rsidRDefault="00543A24" w:rsidP="008D4EF2">
      <w:pPr>
        <w:spacing w:line="480" w:lineRule="auto"/>
      </w:pPr>
    </w:p>
    <w:p w14:paraId="7D80691A" w14:textId="77777777" w:rsidR="00E73B4C" w:rsidRDefault="00E73B4C" w:rsidP="008D4EF2">
      <w:pPr>
        <w:spacing w:line="480" w:lineRule="auto"/>
      </w:pPr>
    </w:p>
    <w:p w14:paraId="660D5BBA" w14:textId="77777777" w:rsidR="00E73B4C" w:rsidRDefault="00E73B4C" w:rsidP="008D4EF2">
      <w:pPr>
        <w:spacing w:line="480" w:lineRule="auto"/>
      </w:pPr>
    </w:p>
    <w:p w14:paraId="6AA3C0CA" w14:textId="77777777" w:rsidR="00E73B4C" w:rsidRDefault="00E73B4C" w:rsidP="008D4EF2">
      <w:pPr>
        <w:spacing w:line="480" w:lineRule="auto"/>
      </w:pPr>
    </w:p>
    <w:p w14:paraId="451AA0C9" w14:textId="77777777" w:rsidR="00E73B4C" w:rsidRDefault="00E73B4C" w:rsidP="008D4EF2">
      <w:pPr>
        <w:spacing w:line="480" w:lineRule="auto"/>
      </w:pPr>
    </w:p>
    <w:p w14:paraId="249BC1DB" w14:textId="77777777" w:rsidR="00E73B4C" w:rsidRDefault="00E73B4C" w:rsidP="008D4EF2">
      <w:pPr>
        <w:spacing w:line="480" w:lineRule="auto"/>
      </w:pPr>
    </w:p>
    <w:p w14:paraId="7847F77D" w14:textId="77777777" w:rsidR="00E73B4C" w:rsidRDefault="00E73B4C" w:rsidP="008D4EF2">
      <w:pPr>
        <w:spacing w:line="480" w:lineRule="auto"/>
      </w:pPr>
    </w:p>
    <w:p w14:paraId="053B02F1" w14:textId="77777777" w:rsidR="00E73B4C" w:rsidRDefault="00E73B4C" w:rsidP="008D4EF2">
      <w:pPr>
        <w:spacing w:line="480" w:lineRule="auto"/>
      </w:pPr>
    </w:p>
    <w:p w14:paraId="662B0B5E" w14:textId="77777777" w:rsidR="00E73B4C" w:rsidRDefault="00E73B4C" w:rsidP="008D4EF2">
      <w:pPr>
        <w:spacing w:line="480" w:lineRule="auto"/>
      </w:pPr>
    </w:p>
    <w:p w14:paraId="2851A6B8" w14:textId="77777777" w:rsidR="00E73B4C" w:rsidRDefault="00E73B4C" w:rsidP="008D4EF2">
      <w:pPr>
        <w:spacing w:line="480" w:lineRule="auto"/>
      </w:pPr>
    </w:p>
    <w:p w14:paraId="4253DF93" w14:textId="77777777" w:rsidR="00E73B4C" w:rsidRDefault="00E73B4C" w:rsidP="008D4EF2">
      <w:pPr>
        <w:spacing w:line="480" w:lineRule="auto"/>
      </w:pPr>
    </w:p>
    <w:p w14:paraId="0431F55F" w14:textId="77777777" w:rsidR="00E73B4C" w:rsidRDefault="00E73B4C" w:rsidP="008D4EF2">
      <w:pPr>
        <w:spacing w:line="480" w:lineRule="auto"/>
      </w:pPr>
    </w:p>
    <w:p w14:paraId="6D3398B3" w14:textId="77777777" w:rsidR="00E73B4C" w:rsidRDefault="00E73B4C" w:rsidP="008D4EF2">
      <w:pPr>
        <w:spacing w:line="480" w:lineRule="auto"/>
      </w:pPr>
    </w:p>
    <w:p w14:paraId="1A0C4D55" w14:textId="77777777" w:rsidR="00E73B4C" w:rsidRDefault="00E73B4C" w:rsidP="008D4EF2">
      <w:pPr>
        <w:spacing w:line="480" w:lineRule="auto"/>
      </w:pPr>
    </w:p>
    <w:bookmarkStart w:id="10" w:name="_Toc227406749" w:displacedByCustomXml="next"/>
    <w:sdt>
      <w:sdtPr>
        <w:rPr>
          <w:rFonts w:ascii="Arial" w:eastAsiaTheme="minorHAnsi" w:hAnsi="Arial" w:cstheme="minorBidi"/>
          <w:color w:val="auto"/>
          <w:sz w:val="24"/>
          <w:szCs w:val="22"/>
        </w:rPr>
        <w:id w:val="-651058001"/>
        <w:docPartObj>
          <w:docPartGallery w:val="Bibliographies"/>
          <w:docPartUnique/>
        </w:docPartObj>
      </w:sdtPr>
      <w:sdtContent>
        <w:p w14:paraId="79B97D7A" w14:textId="14DC9052" w:rsidR="00D05AAD" w:rsidRDefault="00D05AAD">
          <w:pPr>
            <w:pStyle w:val="Heading1"/>
          </w:pPr>
          <w:r>
            <w:t>References</w:t>
          </w:r>
          <w:bookmarkEnd w:id="10"/>
        </w:p>
        <w:sdt>
          <w:sdtPr>
            <w:id w:val="-573587230"/>
            <w:bibliography/>
          </w:sdtPr>
          <w:sdtContent>
            <w:p w14:paraId="1E784084" w14:textId="1D455583" w:rsidR="00D05AAD" w:rsidRDefault="00D05AAD" w:rsidP="00D05AAD">
              <w:pPr>
                <w:pStyle w:val="Bibliography"/>
                <w:rPr>
                  <w:noProof/>
                </w:rPr>
              </w:pPr>
              <w:r>
                <w:fldChar w:fldCharType="begin"/>
              </w:r>
              <w:r>
                <w:instrText xml:space="preserve"> BIBLIOGRAPHY </w:instrText>
              </w:r>
              <w:r>
                <w:fldChar w:fldCharType="separate"/>
              </w:r>
              <w:r>
                <w:rPr>
                  <w:noProof/>
                </w:rPr>
                <w:t xml:space="preserve">Allnock, D. &amp; Miller, P., 2013. </w:t>
              </w:r>
              <w:r>
                <w:rPr>
                  <w:i/>
                  <w:iCs/>
                  <w:noProof/>
                </w:rPr>
                <w:t xml:space="preserve">No One Noticed, No One Heard: A Study of Disclosures of Childhood Abuse. </w:t>
              </w:r>
              <w:r>
                <w:rPr>
                  <w:noProof/>
                </w:rPr>
                <w:t>London: NSPCC.</w:t>
              </w:r>
            </w:p>
            <w:p w14:paraId="02B9128E" w14:textId="77777777" w:rsidR="00D05AAD" w:rsidRDefault="00D05AAD" w:rsidP="00D05AAD">
              <w:pPr>
                <w:pStyle w:val="Bibliography"/>
                <w:rPr>
                  <w:noProof/>
                </w:rPr>
              </w:pPr>
              <w:r>
                <w:rPr>
                  <w:noProof/>
                </w:rPr>
                <w:t xml:space="preserve">Beckett, H., Holmes, D., Firmin, C. &amp; Pearce, J., 2017. Not getting with the programme: Why victims of child sexual exploitation are not engaging with interventions. </w:t>
              </w:r>
              <w:r>
                <w:rPr>
                  <w:i/>
                  <w:iCs/>
                  <w:noProof/>
                </w:rPr>
                <w:t xml:space="preserve">Children and Youth Services Review, </w:t>
              </w:r>
              <w:r>
                <w:rPr>
                  <w:noProof/>
                </w:rPr>
                <w:t>Volume 74, pp. 44-52.</w:t>
              </w:r>
            </w:p>
            <w:p w14:paraId="11098E5B" w14:textId="77777777" w:rsidR="00D05AAD" w:rsidRDefault="00D05AAD" w:rsidP="00D05AAD">
              <w:pPr>
                <w:pStyle w:val="Bibliography"/>
                <w:rPr>
                  <w:noProof/>
                </w:rPr>
              </w:pPr>
              <w:r>
                <w:rPr>
                  <w:noProof/>
                </w:rPr>
                <w:t xml:space="preserve">Bottoms, A. &amp; Tankebe, J., 2012. Beyond procedural justice: A dialogic approach to legitimacy. </w:t>
              </w:r>
              <w:r>
                <w:rPr>
                  <w:i/>
                  <w:iCs/>
                  <w:noProof/>
                </w:rPr>
                <w:t xml:space="preserve">Journal of Criminal Law and Criminology, </w:t>
              </w:r>
              <w:r>
                <w:rPr>
                  <w:noProof/>
                </w:rPr>
                <w:t>102(1), pp. 119-170.</w:t>
              </w:r>
            </w:p>
            <w:p w14:paraId="3E9637E2" w14:textId="77777777" w:rsidR="00D05AAD" w:rsidRDefault="00D05AAD" w:rsidP="00D05AAD">
              <w:pPr>
                <w:pStyle w:val="Bibliography"/>
                <w:rPr>
                  <w:noProof/>
                </w:rPr>
              </w:pPr>
              <w:r>
                <w:rPr>
                  <w:noProof/>
                </w:rPr>
                <w:t xml:space="preserve">Brothers, S., 2015. Rebalancing public-nonprofit partnerships: Innovation and accountability in community safety. </w:t>
              </w:r>
              <w:r>
                <w:rPr>
                  <w:i/>
                  <w:iCs/>
                  <w:noProof/>
                </w:rPr>
                <w:t xml:space="preserve">Nonprofit Policy Forum, </w:t>
              </w:r>
              <w:r>
                <w:rPr>
                  <w:noProof/>
                </w:rPr>
                <w:t>6(2), pp. 203-226.</w:t>
              </w:r>
            </w:p>
            <w:p w14:paraId="7BFCAEF2" w14:textId="0D400E75" w:rsidR="00D05AAD" w:rsidRDefault="00D05AAD" w:rsidP="00D05AAD">
              <w:pPr>
                <w:pStyle w:val="Bibliography"/>
                <w:rPr>
                  <w:noProof/>
                </w:rPr>
              </w:pPr>
              <w:r>
                <w:rPr>
                  <w:noProof/>
                </w:rPr>
                <w:t xml:space="preserve">Butts, J., Roman, C. &amp; Bostwick, L., 2015. Cure Violence: A public health model to reduce violence. </w:t>
              </w:r>
              <w:r>
                <w:rPr>
                  <w:i/>
                  <w:iCs/>
                  <w:noProof/>
                </w:rPr>
                <w:t>Annua</w:t>
              </w:r>
              <w:r w:rsidR="00112F58">
                <w:rPr>
                  <w:i/>
                  <w:iCs/>
                  <w:noProof/>
                </w:rPr>
                <w:t>l</w:t>
              </w:r>
              <w:r>
                <w:rPr>
                  <w:i/>
                  <w:iCs/>
                  <w:noProof/>
                </w:rPr>
                <w:t xml:space="preserve"> Review of Public Health, </w:t>
              </w:r>
              <w:r>
                <w:rPr>
                  <w:noProof/>
                </w:rPr>
                <w:t>Volume 36, pp. 39-53.</w:t>
              </w:r>
            </w:p>
            <w:p w14:paraId="27D07B78" w14:textId="77777777" w:rsidR="00D05AAD" w:rsidRDefault="00D05AAD" w:rsidP="00D05AAD">
              <w:pPr>
                <w:pStyle w:val="Bibliography"/>
                <w:rPr>
                  <w:noProof/>
                </w:rPr>
              </w:pPr>
              <w:r>
                <w:rPr>
                  <w:noProof/>
                </w:rPr>
                <w:t xml:space="preserve">Chanan, G. &amp; Miller , C., 2013. </w:t>
              </w:r>
              <w:r>
                <w:rPr>
                  <w:i/>
                  <w:iCs/>
                  <w:noProof/>
                </w:rPr>
                <w:t xml:space="preserve">Rethinking Community Practice: Developing Transformative Neighbourhoods. </w:t>
              </w:r>
              <w:r>
                <w:rPr>
                  <w:noProof/>
                </w:rPr>
                <w:t>Bristol: Policy Press.</w:t>
              </w:r>
            </w:p>
            <w:p w14:paraId="35051BBA" w14:textId="77777777" w:rsidR="00D05AAD" w:rsidRDefault="00D05AAD" w:rsidP="00D05AAD">
              <w:pPr>
                <w:pStyle w:val="Bibliography"/>
                <w:rPr>
                  <w:noProof/>
                </w:rPr>
              </w:pPr>
              <w:r>
                <w:rPr>
                  <w:noProof/>
                </w:rPr>
                <w:t xml:space="preserve">Crawford, A., 1997. </w:t>
              </w:r>
              <w:r>
                <w:rPr>
                  <w:i/>
                  <w:iCs/>
                  <w:noProof/>
                </w:rPr>
                <w:t xml:space="preserve">The Local Governance of Crime: Appeals to Community and Partnerships. </w:t>
              </w:r>
              <w:r>
                <w:rPr>
                  <w:noProof/>
                </w:rPr>
                <w:t>Oxford: Oxford University Press.</w:t>
              </w:r>
            </w:p>
            <w:p w14:paraId="2005881D" w14:textId="77777777" w:rsidR="00D05AAD" w:rsidRDefault="00D05AAD" w:rsidP="00D05AAD">
              <w:pPr>
                <w:pStyle w:val="Bibliography"/>
                <w:rPr>
                  <w:noProof/>
                </w:rPr>
              </w:pPr>
              <w:r>
                <w:rPr>
                  <w:noProof/>
                </w:rPr>
                <w:t xml:space="preserve">Densley, A. &amp; Pyrooz, D., 2019. </w:t>
              </w:r>
              <w:r>
                <w:rPr>
                  <w:i/>
                  <w:iCs/>
                  <w:noProof/>
                </w:rPr>
                <w:t xml:space="preserve">The Handbook of Gangs. </w:t>
              </w:r>
              <w:r>
                <w:rPr>
                  <w:noProof/>
                </w:rPr>
                <w:t>New York: Routledge.</w:t>
              </w:r>
            </w:p>
            <w:p w14:paraId="0F437656" w14:textId="77777777" w:rsidR="00D05AAD" w:rsidRDefault="00D05AAD" w:rsidP="00D05AAD">
              <w:pPr>
                <w:pStyle w:val="Bibliography"/>
                <w:rPr>
                  <w:noProof/>
                </w:rPr>
              </w:pPr>
              <w:r>
                <w:rPr>
                  <w:noProof/>
                </w:rPr>
                <w:t xml:space="preserve">Firmin, C., 2020. </w:t>
              </w:r>
              <w:r>
                <w:rPr>
                  <w:i/>
                  <w:iCs/>
                  <w:noProof/>
                </w:rPr>
                <w:t xml:space="preserve">Contextual Safeguarding and Child Protection: Rewriting the Rules. </w:t>
              </w:r>
              <w:r>
                <w:rPr>
                  <w:noProof/>
                </w:rPr>
                <w:t>Bristol: Policy Press.</w:t>
              </w:r>
            </w:p>
            <w:p w14:paraId="2A1F84C1" w14:textId="77777777" w:rsidR="00D05AAD" w:rsidRDefault="00D05AAD" w:rsidP="00D05AAD">
              <w:pPr>
                <w:pStyle w:val="Bibliography"/>
                <w:rPr>
                  <w:noProof/>
                </w:rPr>
              </w:pPr>
              <w:r>
                <w:rPr>
                  <w:noProof/>
                </w:rPr>
                <w:t xml:space="preserve">Grant, L. &amp; Adamson, S., 2017. Cyber-enabled crime and the future of policing. </w:t>
              </w:r>
              <w:r>
                <w:rPr>
                  <w:i/>
                  <w:iCs/>
                  <w:noProof/>
                </w:rPr>
                <w:t xml:space="preserve">Policing: A Journal of Policy and Practice, </w:t>
              </w:r>
              <w:r>
                <w:rPr>
                  <w:noProof/>
                </w:rPr>
                <w:t>11(3), pp. 256-268.</w:t>
              </w:r>
            </w:p>
            <w:p w14:paraId="1634ACD8" w14:textId="58EF2E20" w:rsidR="00D05AAD" w:rsidRDefault="00D05AAD" w:rsidP="00D05AAD">
              <w:pPr>
                <w:pStyle w:val="Bibliography"/>
                <w:rPr>
                  <w:noProof/>
                </w:rPr>
              </w:pPr>
              <w:r>
                <w:rPr>
                  <w:noProof/>
                </w:rPr>
                <w:t xml:space="preserve">Hobbs, D., 2013. </w:t>
              </w:r>
              <w:r>
                <w:rPr>
                  <w:i/>
                  <w:iCs/>
                  <w:noProof/>
                </w:rPr>
                <w:t>Lush Life: Constructing Organised Crime in the UK.</w:t>
              </w:r>
              <w:r w:rsidR="00BB121F">
                <w:rPr>
                  <w:i/>
                  <w:iCs/>
                  <w:noProof/>
                </w:rPr>
                <w:t xml:space="preserve"> </w:t>
              </w:r>
              <w:r>
                <w:rPr>
                  <w:noProof/>
                </w:rPr>
                <w:t>Oxford: Oxford University Press.</w:t>
              </w:r>
            </w:p>
            <w:p w14:paraId="7DD78DF1" w14:textId="77777777" w:rsidR="00D05AAD" w:rsidRDefault="00D05AAD" w:rsidP="00D05AAD">
              <w:pPr>
                <w:pStyle w:val="Bibliography"/>
                <w:rPr>
                  <w:noProof/>
                </w:rPr>
              </w:pPr>
              <w:r>
                <w:rPr>
                  <w:noProof/>
                </w:rPr>
                <w:t xml:space="preserve">Holland, A. et al., 2022. Analysis of the UK Government's 10-year Drugs Strategy - a resource for practitioners and policymakers. </w:t>
              </w:r>
              <w:r>
                <w:rPr>
                  <w:i/>
                  <w:iCs/>
                  <w:noProof/>
                </w:rPr>
                <w:t xml:space="preserve">Journal of Public Health, </w:t>
              </w:r>
              <w:r>
                <w:rPr>
                  <w:noProof/>
                </w:rPr>
                <w:t>45(2), pp. 215-224.</w:t>
              </w:r>
            </w:p>
            <w:p w14:paraId="516D4E96" w14:textId="77777777" w:rsidR="00D05AAD" w:rsidRDefault="00D05AAD" w:rsidP="00D05AAD">
              <w:pPr>
                <w:pStyle w:val="Bibliography"/>
                <w:rPr>
                  <w:noProof/>
                </w:rPr>
              </w:pPr>
              <w:r>
                <w:rPr>
                  <w:noProof/>
                </w:rPr>
                <w:t xml:space="preserve">Hughes, G., 2007. </w:t>
              </w:r>
              <w:r>
                <w:rPr>
                  <w:i/>
                  <w:iCs/>
                  <w:noProof/>
                </w:rPr>
                <w:t xml:space="preserve">The Politics of Crime and Community. </w:t>
              </w:r>
              <w:r>
                <w:rPr>
                  <w:noProof/>
                </w:rPr>
                <w:t>Basingstoke: Palgrave Macmillan.</w:t>
              </w:r>
            </w:p>
            <w:p w14:paraId="696CAA07" w14:textId="77777777" w:rsidR="00D05AAD" w:rsidRDefault="00D05AAD" w:rsidP="00D05AAD">
              <w:pPr>
                <w:pStyle w:val="Bibliography"/>
                <w:rPr>
                  <w:noProof/>
                </w:rPr>
              </w:pPr>
              <w:r>
                <w:rPr>
                  <w:noProof/>
                </w:rPr>
                <w:t xml:space="preserve">James, O., Mullins, D. &amp; Bovaird, T., 2012. Inter-organisational relationships in public services: Collaboration and partnership. </w:t>
              </w:r>
              <w:r>
                <w:rPr>
                  <w:i/>
                  <w:iCs/>
                  <w:noProof/>
                </w:rPr>
                <w:t xml:space="preserve">Public Management Review, </w:t>
              </w:r>
              <w:r>
                <w:rPr>
                  <w:noProof/>
                </w:rPr>
                <w:t>14(6), pp. 833-842.</w:t>
              </w:r>
            </w:p>
            <w:p w14:paraId="5B38630C" w14:textId="77777777" w:rsidR="00D05AAD" w:rsidRDefault="00D05AAD" w:rsidP="00D05AAD">
              <w:pPr>
                <w:pStyle w:val="Bibliography"/>
                <w:rPr>
                  <w:noProof/>
                </w:rPr>
              </w:pPr>
              <w:r>
                <w:rPr>
                  <w:noProof/>
                </w:rPr>
                <w:t xml:space="preserve">Loader, I. &amp; Mulcahy, A., 2003. </w:t>
              </w:r>
              <w:r>
                <w:rPr>
                  <w:i/>
                  <w:iCs/>
                  <w:noProof/>
                </w:rPr>
                <w:t xml:space="preserve">Policing and the Condition of England: Memory, Politics and Culture. </w:t>
              </w:r>
              <w:r>
                <w:rPr>
                  <w:noProof/>
                </w:rPr>
                <w:t>Oxford: Oxford University Press.</w:t>
              </w:r>
            </w:p>
            <w:p w14:paraId="1D3CB674" w14:textId="77777777" w:rsidR="00D05AAD" w:rsidRDefault="00D05AAD" w:rsidP="00D05AAD">
              <w:pPr>
                <w:pStyle w:val="Bibliography"/>
                <w:rPr>
                  <w:noProof/>
                </w:rPr>
              </w:pPr>
              <w:r>
                <w:rPr>
                  <w:noProof/>
                </w:rPr>
                <w:t xml:space="preserve">McLean, R., Deuchar, R., Harding, S. &amp; Densley, J., 2019. Putting the "street" in gang: Place, space and territoriality. </w:t>
              </w:r>
              <w:r>
                <w:rPr>
                  <w:i/>
                  <w:iCs/>
                  <w:noProof/>
                </w:rPr>
                <w:t xml:space="preserve">British Journal of Criminology, </w:t>
              </w:r>
              <w:r>
                <w:rPr>
                  <w:noProof/>
                </w:rPr>
                <w:t>59(1), pp. 1-19.</w:t>
              </w:r>
            </w:p>
            <w:p w14:paraId="3D30339E" w14:textId="77777777" w:rsidR="00D05AAD" w:rsidRDefault="00D05AAD" w:rsidP="00D05AAD">
              <w:pPr>
                <w:pStyle w:val="Bibliography"/>
                <w:rPr>
                  <w:noProof/>
                </w:rPr>
              </w:pPr>
              <w:r>
                <w:rPr>
                  <w:noProof/>
                </w:rPr>
                <w:lastRenderedPageBreak/>
                <w:t xml:space="preserve">McLean, R., Robinson, G., Densley, J. &amp; Deuchar, R., 2019. Criminal exploitation of children by county lines drug networks. </w:t>
              </w:r>
              <w:r>
                <w:rPr>
                  <w:i/>
                  <w:iCs/>
                  <w:noProof/>
                </w:rPr>
                <w:t xml:space="preserve">The Howard Journal of Crime and Justice, </w:t>
              </w:r>
              <w:r>
                <w:rPr>
                  <w:noProof/>
                </w:rPr>
                <w:t>58(2), pp. 155-175.</w:t>
              </w:r>
            </w:p>
            <w:p w14:paraId="0A8E302C" w14:textId="15A7704F" w:rsidR="00D05AAD" w:rsidRDefault="00D05AAD" w:rsidP="00D05AAD">
              <w:pPr>
                <w:pStyle w:val="Bibliography"/>
                <w:rPr>
                  <w:noProof/>
                </w:rPr>
              </w:pPr>
              <w:r>
                <w:rPr>
                  <w:noProof/>
                </w:rPr>
                <w:t xml:space="preserve">National Crime Agency, 2023. </w:t>
              </w:r>
              <w:r>
                <w:rPr>
                  <w:i/>
                  <w:iCs/>
                  <w:noProof/>
                </w:rPr>
                <w:t xml:space="preserve">National Strategic Assessment of Serious and Organised Crime, </w:t>
              </w:r>
              <w:r>
                <w:rPr>
                  <w:noProof/>
                </w:rPr>
                <w:t>London: NCA.</w:t>
              </w:r>
            </w:p>
            <w:p w14:paraId="0BDAC2E2" w14:textId="77777777" w:rsidR="00D05AAD" w:rsidRDefault="00D05AAD" w:rsidP="00D05AAD">
              <w:pPr>
                <w:pStyle w:val="Bibliography"/>
                <w:rPr>
                  <w:noProof/>
                </w:rPr>
              </w:pPr>
              <w:r>
                <w:rPr>
                  <w:noProof/>
                </w:rPr>
                <w:t xml:space="preserve">Reiner, R., 2010. </w:t>
              </w:r>
              <w:r>
                <w:rPr>
                  <w:i/>
                  <w:iCs/>
                  <w:noProof/>
                </w:rPr>
                <w:t xml:space="preserve">The Politics of the Police. </w:t>
              </w:r>
              <w:r>
                <w:rPr>
                  <w:noProof/>
                </w:rPr>
                <w:t>4th ed. Oxford: Oxford University Press.</w:t>
              </w:r>
            </w:p>
            <w:p w14:paraId="19471DA4" w14:textId="77777777" w:rsidR="00D05AAD" w:rsidRDefault="00D05AAD" w:rsidP="00D05AAD">
              <w:pPr>
                <w:pStyle w:val="Bibliography"/>
                <w:rPr>
                  <w:noProof/>
                </w:rPr>
              </w:pPr>
              <w:r>
                <w:rPr>
                  <w:noProof/>
                </w:rPr>
                <w:t xml:space="preserve">Skogan, W. G., 2008. Why reforms fail. </w:t>
              </w:r>
              <w:r>
                <w:rPr>
                  <w:i/>
                  <w:iCs/>
                  <w:noProof/>
                </w:rPr>
                <w:t xml:space="preserve">Policing and Society, </w:t>
              </w:r>
              <w:r>
                <w:rPr>
                  <w:noProof/>
                </w:rPr>
                <w:t>18(1), pp. 23-24.</w:t>
              </w:r>
            </w:p>
            <w:p w14:paraId="5848E8DB" w14:textId="77777777" w:rsidR="00D05AAD" w:rsidRDefault="00D05AAD" w:rsidP="00D05AAD">
              <w:pPr>
                <w:pStyle w:val="Bibliography"/>
                <w:rPr>
                  <w:noProof/>
                </w:rPr>
              </w:pPr>
              <w:r>
                <w:rPr>
                  <w:noProof/>
                </w:rPr>
                <w:t xml:space="preserve">Squires, P., 2014. </w:t>
              </w:r>
              <w:r>
                <w:rPr>
                  <w:i/>
                  <w:iCs/>
                  <w:noProof/>
                </w:rPr>
                <w:t xml:space="preserve">Gun Crime in Global Contexts. </w:t>
              </w:r>
              <w:r>
                <w:rPr>
                  <w:noProof/>
                </w:rPr>
                <w:t>London: Routledge.</w:t>
              </w:r>
            </w:p>
            <w:p w14:paraId="7E1727AC" w14:textId="77777777" w:rsidR="00D05AAD" w:rsidRDefault="00D05AAD" w:rsidP="00D05AAD">
              <w:pPr>
                <w:pStyle w:val="Bibliography"/>
                <w:rPr>
                  <w:noProof/>
                </w:rPr>
              </w:pPr>
              <w:r>
                <w:rPr>
                  <w:noProof/>
                </w:rPr>
                <w:t xml:space="preserve">Tyler, T., 2006. </w:t>
              </w:r>
              <w:r>
                <w:rPr>
                  <w:i/>
                  <w:iCs/>
                  <w:noProof/>
                </w:rPr>
                <w:t xml:space="preserve">Why People Obey the Law. </w:t>
              </w:r>
              <w:r>
                <w:rPr>
                  <w:noProof/>
                </w:rPr>
                <w:t>Princeton: Princeton University Press.</w:t>
              </w:r>
            </w:p>
            <w:p w14:paraId="6A3250FA" w14:textId="77777777" w:rsidR="00D05AAD" w:rsidRDefault="00D05AAD" w:rsidP="00D05AAD">
              <w:pPr>
                <w:pStyle w:val="Bibliography"/>
                <w:rPr>
                  <w:noProof/>
                </w:rPr>
              </w:pPr>
              <w:r>
                <w:rPr>
                  <w:noProof/>
                </w:rPr>
                <w:t xml:space="preserve">Van Puyvelde, D. &amp; Brantly, A., 2019. Cyber governance and the evolution of organised crime. </w:t>
              </w:r>
              <w:r>
                <w:rPr>
                  <w:i/>
                  <w:iCs/>
                  <w:noProof/>
                </w:rPr>
                <w:t xml:space="preserve">Journal of Cyber Policy, </w:t>
              </w:r>
              <w:r>
                <w:rPr>
                  <w:noProof/>
                </w:rPr>
                <w:t>4(1), pp. 1-17.</w:t>
              </w:r>
            </w:p>
            <w:p w14:paraId="27596455" w14:textId="0B7A2B8F" w:rsidR="00D05AAD" w:rsidRDefault="00D05AAD" w:rsidP="00D05AAD">
              <w:pPr>
                <w:pStyle w:val="Bibliography"/>
                <w:rPr>
                  <w:noProof/>
                </w:rPr>
              </w:pPr>
              <w:r>
                <w:rPr>
                  <w:noProof/>
                </w:rPr>
                <w:t xml:space="preserve">Von Lampe, K., 2016. </w:t>
              </w:r>
              <w:r>
                <w:rPr>
                  <w:i/>
                  <w:iCs/>
                  <w:noProof/>
                </w:rPr>
                <w:t xml:space="preserve">Organized Crime: Analyzing illegal activities, Criminal Structures, and Extra-Legal Governance. </w:t>
              </w:r>
              <w:r>
                <w:rPr>
                  <w:noProof/>
                </w:rPr>
                <w:t>2nd ed.</w:t>
              </w:r>
              <w:r w:rsidR="001E353C">
                <w:rPr>
                  <w:noProof/>
                </w:rPr>
                <w:t xml:space="preserve"> </w:t>
              </w:r>
              <w:r>
                <w:rPr>
                  <w:noProof/>
                </w:rPr>
                <w:t>London: SAGE.</w:t>
              </w:r>
            </w:p>
            <w:p w14:paraId="2B6ADEBB" w14:textId="77777777" w:rsidR="00D05AAD" w:rsidRDefault="00D05AAD" w:rsidP="00D05AAD">
              <w:pPr>
                <w:pStyle w:val="Bibliography"/>
                <w:rPr>
                  <w:noProof/>
                </w:rPr>
              </w:pPr>
              <w:r>
                <w:rPr>
                  <w:noProof/>
                </w:rPr>
                <w:t xml:space="preserve">Wall, D., 2007. </w:t>
              </w:r>
              <w:r>
                <w:rPr>
                  <w:i/>
                  <w:iCs/>
                  <w:noProof/>
                </w:rPr>
                <w:t xml:space="preserve">Cybercrime: The Transformation of Crime in the Information Age. </w:t>
              </w:r>
              <w:r>
                <w:rPr>
                  <w:noProof/>
                </w:rPr>
                <w:t>Cambridge: Polity Press.</w:t>
              </w:r>
            </w:p>
            <w:p w14:paraId="3DEF7B35" w14:textId="77777777" w:rsidR="00D05AAD" w:rsidRDefault="00D05AAD" w:rsidP="00D05AAD">
              <w:pPr>
                <w:pStyle w:val="Bibliography"/>
                <w:rPr>
                  <w:noProof/>
                </w:rPr>
              </w:pPr>
              <w:r>
                <w:rPr>
                  <w:noProof/>
                </w:rPr>
                <w:t xml:space="preserve">Windle, J. &amp; Briggs, D., 2015. It's like working away for three weeks: The harms associated with young people's involvement in drug distribution networks in England. </w:t>
              </w:r>
              <w:r>
                <w:rPr>
                  <w:i/>
                  <w:iCs/>
                  <w:noProof/>
                </w:rPr>
                <w:t xml:space="preserve">International Journal of Drug Policy, </w:t>
              </w:r>
              <w:r>
                <w:rPr>
                  <w:noProof/>
                </w:rPr>
                <w:t>26(4), pp. 365-372.</w:t>
              </w:r>
            </w:p>
            <w:p w14:paraId="5C0F9ABE" w14:textId="65875BE0" w:rsidR="00D05AAD" w:rsidRDefault="00D05AAD" w:rsidP="00D05AAD">
              <w:r>
                <w:rPr>
                  <w:b/>
                  <w:bCs/>
                  <w:noProof/>
                </w:rPr>
                <w:fldChar w:fldCharType="end"/>
              </w:r>
            </w:p>
          </w:sdtContent>
        </w:sdt>
      </w:sdtContent>
    </w:sdt>
    <w:p w14:paraId="4D96A6C1" w14:textId="77777777" w:rsidR="00E73B4C" w:rsidRDefault="00E73B4C" w:rsidP="008D4EF2">
      <w:pPr>
        <w:spacing w:line="480" w:lineRule="auto"/>
      </w:pPr>
    </w:p>
    <w:sectPr w:rsidR="00E73B4C" w:rsidSect="00842BB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6014A6" w14:textId="77777777" w:rsidR="000F3CA3" w:rsidRDefault="000F3CA3" w:rsidP="008B13A5">
      <w:pPr>
        <w:spacing w:after="0" w:line="240" w:lineRule="auto"/>
      </w:pPr>
      <w:r>
        <w:separator/>
      </w:r>
    </w:p>
  </w:endnote>
  <w:endnote w:type="continuationSeparator" w:id="0">
    <w:p w14:paraId="1D01555A" w14:textId="77777777" w:rsidR="000F3CA3" w:rsidRDefault="000F3CA3" w:rsidP="008B13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D20F7E" w14:textId="77777777" w:rsidR="000F3CA3" w:rsidRDefault="000F3CA3" w:rsidP="008B13A5">
      <w:pPr>
        <w:spacing w:after="0" w:line="240" w:lineRule="auto"/>
      </w:pPr>
      <w:r>
        <w:separator/>
      </w:r>
    </w:p>
  </w:footnote>
  <w:footnote w:type="continuationSeparator" w:id="0">
    <w:p w14:paraId="7DAB710C" w14:textId="77777777" w:rsidR="000F3CA3" w:rsidRDefault="000F3CA3" w:rsidP="008B13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333CF2"/>
    <w:multiLevelType w:val="hybridMultilevel"/>
    <w:tmpl w:val="6046E332"/>
    <w:lvl w:ilvl="0" w:tplc="7A14E68A">
      <w:start w:val="1"/>
      <w:numFmt w:val="decimal"/>
      <w:lvlText w:val="%1."/>
      <w:lvlJc w:val="left"/>
      <w:pPr>
        <w:ind w:left="720" w:hanging="360"/>
      </w:pPr>
      <w:rPr>
        <w:rFonts w:ascii="Arial" w:hAnsi="Arial" w:cs="Times New Roman" w:hint="default"/>
      </w:rPr>
    </w:lvl>
    <w:lvl w:ilvl="1" w:tplc="C9069AE8">
      <w:start w:val="1"/>
      <w:numFmt w:val="lowerLetter"/>
      <w:lvlText w:val="%2."/>
      <w:lvlJc w:val="left"/>
      <w:pPr>
        <w:ind w:left="1440" w:hanging="360"/>
      </w:pPr>
    </w:lvl>
    <w:lvl w:ilvl="2" w:tplc="595A23E8">
      <w:start w:val="1"/>
      <w:numFmt w:val="lowerRoman"/>
      <w:lvlText w:val="%3."/>
      <w:lvlJc w:val="right"/>
      <w:pPr>
        <w:ind w:left="2160" w:hanging="180"/>
      </w:pPr>
    </w:lvl>
    <w:lvl w:ilvl="3" w:tplc="F82C3D7C">
      <w:start w:val="1"/>
      <w:numFmt w:val="decimal"/>
      <w:lvlText w:val="%4."/>
      <w:lvlJc w:val="left"/>
      <w:pPr>
        <w:ind w:left="2880" w:hanging="360"/>
      </w:pPr>
    </w:lvl>
    <w:lvl w:ilvl="4" w:tplc="097E7D5A">
      <w:start w:val="1"/>
      <w:numFmt w:val="lowerLetter"/>
      <w:lvlText w:val="%5."/>
      <w:lvlJc w:val="left"/>
      <w:pPr>
        <w:ind w:left="3600" w:hanging="360"/>
      </w:pPr>
    </w:lvl>
    <w:lvl w:ilvl="5" w:tplc="65AC0300">
      <w:start w:val="1"/>
      <w:numFmt w:val="lowerRoman"/>
      <w:lvlText w:val="%6."/>
      <w:lvlJc w:val="right"/>
      <w:pPr>
        <w:ind w:left="4320" w:hanging="180"/>
      </w:pPr>
    </w:lvl>
    <w:lvl w:ilvl="6" w:tplc="946A5592">
      <w:start w:val="1"/>
      <w:numFmt w:val="decimal"/>
      <w:lvlText w:val="%7."/>
      <w:lvlJc w:val="left"/>
      <w:pPr>
        <w:ind w:left="5040" w:hanging="360"/>
      </w:pPr>
    </w:lvl>
    <w:lvl w:ilvl="7" w:tplc="455A0D76">
      <w:start w:val="1"/>
      <w:numFmt w:val="lowerLetter"/>
      <w:lvlText w:val="%8."/>
      <w:lvlJc w:val="left"/>
      <w:pPr>
        <w:ind w:left="5760" w:hanging="360"/>
      </w:pPr>
    </w:lvl>
    <w:lvl w:ilvl="8" w:tplc="C99E32FE">
      <w:start w:val="1"/>
      <w:numFmt w:val="lowerRoman"/>
      <w:lvlText w:val="%9."/>
      <w:lvlJc w:val="right"/>
      <w:pPr>
        <w:ind w:left="6480" w:hanging="180"/>
      </w:pPr>
    </w:lvl>
  </w:abstractNum>
  <w:abstractNum w:abstractNumId="1" w15:restartNumberingAfterBreak="0">
    <w:nsid w:val="1BCB009D"/>
    <w:multiLevelType w:val="hybridMultilevel"/>
    <w:tmpl w:val="43E88D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08D3275"/>
    <w:multiLevelType w:val="hybridMultilevel"/>
    <w:tmpl w:val="5FD604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49680484">
    <w:abstractNumId w:val="2"/>
  </w:num>
  <w:num w:numId="2" w16cid:durableId="1798838474">
    <w:abstractNumId w:val="1"/>
  </w:num>
  <w:num w:numId="3" w16cid:durableId="5952161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BB9"/>
    <w:rsid w:val="000009E3"/>
    <w:rsid w:val="000014AD"/>
    <w:rsid w:val="00002EE6"/>
    <w:rsid w:val="000041F2"/>
    <w:rsid w:val="00005035"/>
    <w:rsid w:val="000061BB"/>
    <w:rsid w:val="00006644"/>
    <w:rsid w:val="00007560"/>
    <w:rsid w:val="00010EBF"/>
    <w:rsid w:val="000125DE"/>
    <w:rsid w:val="00013E20"/>
    <w:rsid w:val="000141E6"/>
    <w:rsid w:val="00014395"/>
    <w:rsid w:val="00020F73"/>
    <w:rsid w:val="00021A52"/>
    <w:rsid w:val="000238EF"/>
    <w:rsid w:val="00023CC6"/>
    <w:rsid w:val="00024371"/>
    <w:rsid w:val="0002463D"/>
    <w:rsid w:val="000305E5"/>
    <w:rsid w:val="0003185F"/>
    <w:rsid w:val="00036EDC"/>
    <w:rsid w:val="00037F33"/>
    <w:rsid w:val="00041F28"/>
    <w:rsid w:val="00044BED"/>
    <w:rsid w:val="000519A6"/>
    <w:rsid w:val="000603AA"/>
    <w:rsid w:val="00064520"/>
    <w:rsid w:val="000663C8"/>
    <w:rsid w:val="000721DC"/>
    <w:rsid w:val="000735B4"/>
    <w:rsid w:val="00074E59"/>
    <w:rsid w:val="00082386"/>
    <w:rsid w:val="000845DC"/>
    <w:rsid w:val="00086157"/>
    <w:rsid w:val="00086AF8"/>
    <w:rsid w:val="00086D18"/>
    <w:rsid w:val="00092778"/>
    <w:rsid w:val="00094366"/>
    <w:rsid w:val="00094485"/>
    <w:rsid w:val="00095625"/>
    <w:rsid w:val="000A2552"/>
    <w:rsid w:val="000A52A9"/>
    <w:rsid w:val="000A6CDE"/>
    <w:rsid w:val="000A6D65"/>
    <w:rsid w:val="000A6F90"/>
    <w:rsid w:val="000B02D6"/>
    <w:rsid w:val="000B07AB"/>
    <w:rsid w:val="000B26C9"/>
    <w:rsid w:val="000B4927"/>
    <w:rsid w:val="000B67BB"/>
    <w:rsid w:val="000C0CBF"/>
    <w:rsid w:val="000C3B12"/>
    <w:rsid w:val="000C6A55"/>
    <w:rsid w:val="000C7230"/>
    <w:rsid w:val="000D1957"/>
    <w:rsid w:val="000D379B"/>
    <w:rsid w:val="000D496A"/>
    <w:rsid w:val="000D62B8"/>
    <w:rsid w:val="000D667F"/>
    <w:rsid w:val="000D6D29"/>
    <w:rsid w:val="000D7377"/>
    <w:rsid w:val="000D7CCC"/>
    <w:rsid w:val="000E095B"/>
    <w:rsid w:val="000E29F8"/>
    <w:rsid w:val="000E2BD8"/>
    <w:rsid w:val="000E4D98"/>
    <w:rsid w:val="000E6CA3"/>
    <w:rsid w:val="000F1126"/>
    <w:rsid w:val="000F2612"/>
    <w:rsid w:val="000F3CA3"/>
    <w:rsid w:val="000F47A7"/>
    <w:rsid w:val="000F513B"/>
    <w:rsid w:val="00101A2E"/>
    <w:rsid w:val="00103661"/>
    <w:rsid w:val="00104158"/>
    <w:rsid w:val="00107388"/>
    <w:rsid w:val="001118CB"/>
    <w:rsid w:val="00111B2C"/>
    <w:rsid w:val="00112163"/>
    <w:rsid w:val="00112F58"/>
    <w:rsid w:val="001139F0"/>
    <w:rsid w:val="00114B81"/>
    <w:rsid w:val="00114CAE"/>
    <w:rsid w:val="00115545"/>
    <w:rsid w:val="0011593B"/>
    <w:rsid w:val="00115997"/>
    <w:rsid w:val="00116ABF"/>
    <w:rsid w:val="00117674"/>
    <w:rsid w:val="001207CB"/>
    <w:rsid w:val="00120C0A"/>
    <w:rsid w:val="0013085E"/>
    <w:rsid w:val="00130961"/>
    <w:rsid w:val="00130AE4"/>
    <w:rsid w:val="00131107"/>
    <w:rsid w:val="0013157C"/>
    <w:rsid w:val="001315DD"/>
    <w:rsid w:val="001324EF"/>
    <w:rsid w:val="00132E06"/>
    <w:rsid w:val="00133508"/>
    <w:rsid w:val="00133AFE"/>
    <w:rsid w:val="00134005"/>
    <w:rsid w:val="00134D04"/>
    <w:rsid w:val="0014065A"/>
    <w:rsid w:val="00141E5F"/>
    <w:rsid w:val="001421D3"/>
    <w:rsid w:val="00142C69"/>
    <w:rsid w:val="00143ECB"/>
    <w:rsid w:val="001451A2"/>
    <w:rsid w:val="0014750E"/>
    <w:rsid w:val="00150E78"/>
    <w:rsid w:val="001527B6"/>
    <w:rsid w:val="001536F3"/>
    <w:rsid w:val="00155294"/>
    <w:rsid w:val="00162C13"/>
    <w:rsid w:val="001676B2"/>
    <w:rsid w:val="0017047C"/>
    <w:rsid w:val="001715F1"/>
    <w:rsid w:val="001727E5"/>
    <w:rsid w:val="00174F2C"/>
    <w:rsid w:val="0018467F"/>
    <w:rsid w:val="00187CFB"/>
    <w:rsid w:val="00194B35"/>
    <w:rsid w:val="00195C19"/>
    <w:rsid w:val="001968F7"/>
    <w:rsid w:val="001971A2"/>
    <w:rsid w:val="001A00AA"/>
    <w:rsid w:val="001A0358"/>
    <w:rsid w:val="001A0993"/>
    <w:rsid w:val="001A254D"/>
    <w:rsid w:val="001A2F7F"/>
    <w:rsid w:val="001A406D"/>
    <w:rsid w:val="001A5674"/>
    <w:rsid w:val="001A5F2D"/>
    <w:rsid w:val="001A5FAA"/>
    <w:rsid w:val="001B1E37"/>
    <w:rsid w:val="001B286D"/>
    <w:rsid w:val="001B515D"/>
    <w:rsid w:val="001B59D7"/>
    <w:rsid w:val="001C005D"/>
    <w:rsid w:val="001C1C94"/>
    <w:rsid w:val="001C4EF3"/>
    <w:rsid w:val="001C5527"/>
    <w:rsid w:val="001C5BEC"/>
    <w:rsid w:val="001C647A"/>
    <w:rsid w:val="001D345A"/>
    <w:rsid w:val="001E353C"/>
    <w:rsid w:val="001E38B7"/>
    <w:rsid w:val="001E5614"/>
    <w:rsid w:val="001E574C"/>
    <w:rsid w:val="001F1FA9"/>
    <w:rsid w:val="001F4125"/>
    <w:rsid w:val="00203899"/>
    <w:rsid w:val="00203A85"/>
    <w:rsid w:val="0020410E"/>
    <w:rsid w:val="0020543E"/>
    <w:rsid w:val="00205733"/>
    <w:rsid w:val="002108D5"/>
    <w:rsid w:val="002116FF"/>
    <w:rsid w:val="00211C52"/>
    <w:rsid w:val="00214FA3"/>
    <w:rsid w:val="002153AC"/>
    <w:rsid w:val="00217648"/>
    <w:rsid w:val="00221547"/>
    <w:rsid w:val="0022353E"/>
    <w:rsid w:val="00223595"/>
    <w:rsid w:val="00226060"/>
    <w:rsid w:val="00226D9D"/>
    <w:rsid w:val="00227313"/>
    <w:rsid w:val="00227657"/>
    <w:rsid w:val="00231697"/>
    <w:rsid w:val="00233569"/>
    <w:rsid w:val="00237966"/>
    <w:rsid w:val="00240274"/>
    <w:rsid w:val="00242E1A"/>
    <w:rsid w:val="002440F8"/>
    <w:rsid w:val="00247BBF"/>
    <w:rsid w:val="00250DE6"/>
    <w:rsid w:val="0025379A"/>
    <w:rsid w:val="00254492"/>
    <w:rsid w:val="00254BE8"/>
    <w:rsid w:val="002557B3"/>
    <w:rsid w:val="002569BC"/>
    <w:rsid w:val="00260869"/>
    <w:rsid w:val="00261243"/>
    <w:rsid w:val="002625C8"/>
    <w:rsid w:val="00262872"/>
    <w:rsid w:val="0026366D"/>
    <w:rsid w:val="00263CB6"/>
    <w:rsid w:val="00263DC4"/>
    <w:rsid w:val="002641A6"/>
    <w:rsid w:val="002668EE"/>
    <w:rsid w:val="00266BCC"/>
    <w:rsid w:val="0026791C"/>
    <w:rsid w:val="00270CEA"/>
    <w:rsid w:val="002756DA"/>
    <w:rsid w:val="00275BDA"/>
    <w:rsid w:val="002762B4"/>
    <w:rsid w:val="00276609"/>
    <w:rsid w:val="00276DAC"/>
    <w:rsid w:val="00284F7E"/>
    <w:rsid w:val="00285A14"/>
    <w:rsid w:val="00293764"/>
    <w:rsid w:val="00295017"/>
    <w:rsid w:val="00297C66"/>
    <w:rsid w:val="00297D31"/>
    <w:rsid w:val="002A0796"/>
    <w:rsid w:val="002A1BA1"/>
    <w:rsid w:val="002A454A"/>
    <w:rsid w:val="002A504E"/>
    <w:rsid w:val="002A613E"/>
    <w:rsid w:val="002A6628"/>
    <w:rsid w:val="002A6C4C"/>
    <w:rsid w:val="002B1162"/>
    <w:rsid w:val="002B23BB"/>
    <w:rsid w:val="002B23F8"/>
    <w:rsid w:val="002B2F81"/>
    <w:rsid w:val="002B4BA7"/>
    <w:rsid w:val="002B76CE"/>
    <w:rsid w:val="002B7E9D"/>
    <w:rsid w:val="002C14E6"/>
    <w:rsid w:val="002C2C3B"/>
    <w:rsid w:val="002C3875"/>
    <w:rsid w:val="002C3D99"/>
    <w:rsid w:val="002C6231"/>
    <w:rsid w:val="002C6262"/>
    <w:rsid w:val="002C6428"/>
    <w:rsid w:val="002D263B"/>
    <w:rsid w:val="002D4C60"/>
    <w:rsid w:val="002D5294"/>
    <w:rsid w:val="002D5915"/>
    <w:rsid w:val="002D6D8E"/>
    <w:rsid w:val="002D7609"/>
    <w:rsid w:val="002D77AA"/>
    <w:rsid w:val="002E52CF"/>
    <w:rsid w:val="002E68C5"/>
    <w:rsid w:val="002F3AAE"/>
    <w:rsid w:val="002F7EDC"/>
    <w:rsid w:val="00311BF7"/>
    <w:rsid w:val="00312572"/>
    <w:rsid w:val="003128A3"/>
    <w:rsid w:val="00314DDA"/>
    <w:rsid w:val="0031512B"/>
    <w:rsid w:val="003173A0"/>
    <w:rsid w:val="003214E6"/>
    <w:rsid w:val="003228D0"/>
    <w:rsid w:val="0032646F"/>
    <w:rsid w:val="00332468"/>
    <w:rsid w:val="0033262D"/>
    <w:rsid w:val="00332634"/>
    <w:rsid w:val="003347DE"/>
    <w:rsid w:val="00335861"/>
    <w:rsid w:val="003358F7"/>
    <w:rsid w:val="00335B18"/>
    <w:rsid w:val="003373BD"/>
    <w:rsid w:val="00337A6A"/>
    <w:rsid w:val="0034228E"/>
    <w:rsid w:val="003452EF"/>
    <w:rsid w:val="00346BC0"/>
    <w:rsid w:val="0034720C"/>
    <w:rsid w:val="003474A4"/>
    <w:rsid w:val="00353E93"/>
    <w:rsid w:val="00354E3F"/>
    <w:rsid w:val="00354FB2"/>
    <w:rsid w:val="003559D2"/>
    <w:rsid w:val="00355E7C"/>
    <w:rsid w:val="00357B1E"/>
    <w:rsid w:val="00361B9C"/>
    <w:rsid w:val="0036282C"/>
    <w:rsid w:val="003628F8"/>
    <w:rsid w:val="003667F5"/>
    <w:rsid w:val="003735A8"/>
    <w:rsid w:val="00375FD9"/>
    <w:rsid w:val="00376D36"/>
    <w:rsid w:val="0038258C"/>
    <w:rsid w:val="00384201"/>
    <w:rsid w:val="00385364"/>
    <w:rsid w:val="00385A71"/>
    <w:rsid w:val="003877A9"/>
    <w:rsid w:val="00390375"/>
    <w:rsid w:val="00390416"/>
    <w:rsid w:val="00390617"/>
    <w:rsid w:val="003A1B2C"/>
    <w:rsid w:val="003A7F36"/>
    <w:rsid w:val="003B057F"/>
    <w:rsid w:val="003B4F73"/>
    <w:rsid w:val="003B56AA"/>
    <w:rsid w:val="003B5E9F"/>
    <w:rsid w:val="003B77EF"/>
    <w:rsid w:val="003C07BB"/>
    <w:rsid w:val="003C08BD"/>
    <w:rsid w:val="003C296A"/>
    <w:rsid w:val="003D01DE"/>
    <w:rsid w:val="003D61F6"/>
    <w:rsid w:val="003E152B"/>
    <w:rsid w:val="003E24B4"/>
    <w:rsid w:val="003E2A28"/>
    <w:rsid w:val="003E3BF3"/>
    <w:rsid w:val="003E4BB2"/>
    <w:rsid w:val="003E6365"/>
    <w:rsid w:val="003E65EB"/>
    <w:rsid w:val="003F0927"/>
    <w:rsid w:val="003F1D6D"/>
    <w:rsid w:val="003F3660"/>
    <w:rsid w:val="003F78C3"/>
    <w:rsid w:val="004000EA"/>
    <w:rsid w:val="00400567"/>
    <w:rsid w:val="004011AF"/>
    <w:rsid w:val="00404A98"/>
    <w:rsid w:val="00411B83"/>
    <w:rsid w:val="00411ECD"/>
    <w:rsid w:val="00412421"/>
    <w:rsid w:val="004127C0"/>
    <w:rsid w:val="00417211"/>
    <w:rsid w:val="00420955"/>
    <w:rsid w:val="00422F62"/>
    <w:rsid w:val="00432654"/>
    <w:rsid w:val="00432E4A"/>
    <w:rsid w:val="00432FFE"/>
    <w:rsid w:val="0043391F"/>
    <w:rsid w:val="00440481"/>
    <w:rsid w:val="004415C8"/>
    <w:rsid w:val="004418FE"/>
    <w:rsid w:val="004425A0"/>
    <w:rsid w:val="00443B74"/>
    <w:rsid w:val="00443DDB"/>
    <w:rsid w:val="00451C0C"/>
    <w:rsid w:val="00453CE6"/>
    <w:rsid w:val="0045490C"/>
    <w:rsid w:val="00456BE1"/>
    <w:rsid w:val="004572CD"/>
    <w:rsid w:val="00457D9D"/>
    <w:rsid w:val="0046069B"/>
    <w:rsid w:val="00460BDC"/>
    <w:rsid w:val="00465BD3"/>
    <w:rsid w:val="00465DA9"/>
    <w:rsid w:val="004670EF"/>
    <w:rsid w:val="0047020B"/>
    <w:rsid w:val="00470681"/>
    <w:rsid w:val="00473EAA"/>
    <w:rsid w:val="004753F4"/>
    <w:rsid w:val="0047575C"/>
    <w:rsid w:val="0047589D"/>
    <w:rsid w:val="004762B1"/>
    <w:rsid w:val="0047786C"/>
    <w:rsid w:val="0048071B"/>
    <w:rsid w:val="00481025"/>
    <w:rsid w:val="00483F3E"/>
    <w:rsid w:val="004843B7"/>
    <w:rsid w:val="004844A7"/>
    <w:rsid w:val="00490174"/>
    <w:rsid w:val="00490EC4"/>
    <w:rsid w:val="00491F29"/>
    <w:rsid w:val="004928D0"/>
    <w:rsid w:val="004947DA"/>
    <w:rsid w:val="00494CCA"/>
    <w:rsid w:val="00496A60"/>
    <w:rsid w:val="00496AD5"/>
    <w:rsid w:val="004A00CC"/>
    <w:rsid w:val="004A0342"/>
    <w:rsid w:val="004A14B3"/>
    <w:rsid w:val="004A2B79"/>
    <w:rsid w:val="004A2D0C"/>
    <w:rsid w:val="004A4AFC"/>
    <w:rsid w:val="004B02E6"/>
    <w:rsid w:val="004B03B6"/>
    <w:rsid w:val="004B078D"/>
    <w:rsid w:val="004B0914"/>
    <w:rsid w:val="004B0A37"/>
    <w:rsid w:val="004B158A"/>
    <w:rsid w:val="004B30C8"/>
    <w:rsid w:val="004B6B5F"/>
    <w:rsid w:val="004B7BE5"/>
    <w:rsid w:val="004B7C81"/>
    <w:rsid w:val="004C0247"/>
    <w:rsid w:val="004C39EA"/>
    <w:rsid w:val="004C3E53"/>
    <w:rsid w:val="004C4759"/>
    <w:rsid w:val="004C5063"/>
    <w:rsid w:val="004D0C1C"/>
    <w:rsid w:val="004D36D4"/>
    <w:rsid w:val="004D3C53"/>
    <w:rsid w:val="004E211C"/>
    <w:rsid w:val="004E2876"/>
    <w:rsid w:val="004E2C11"/>
    <w:rsid w:val="004E2C54"/>
    <w:rsid w:val="004E2E75"/>
    <w:rsid w:val="004E327F"/>
    <w:rsid w:val="004E4157"/>
    <w:rsid w:val="004E63CC"/>
    <w:rsid w:val="004E6BA1"/>
    <w:rsid w:val="004E7BC5"/>
    <w:rsid w:val="004F05BC"/>
    <w:rsid w:val="004F131F"/>
    <w:rsid w:val="004F3FB2"/>
    <w:rsid w:val="004F628F"/>
    <w:rsid w:val="005014AE"/>
    <w:rsid w:val="0050311E"/>
    <w:rsid w:val="00503D1D"/>
    <w:rsid w:val="00506AF1"/>
    <w:rsid w:val="00506E0E"/>
    <w:rsid w:val="00507081"/>
    <w:rsid w:val="0051083E"/>
    <w:rsid w:val="00511C3A"/>
    <w:rsid w:val="00511D55"/>
    <w:rsid w:val="00513098"/>
    <w:rsid w:val="00514BFC"/>
    <w:rsid w:val="00515193"/>
    <w:rsid w:val="005163D0"/>
    <w:rsid w:val="00517437"/>
    <w:rsid w:val="0052094F"/>
    <w:rsid w:val="00521D1C"/>
    <w:rsid w:val="00522338"/>
    <w:rsid w:val="00523653"/>
    <w:rsid w:val="00523FFE"/>
    <w:rsid w:val="00526FBF"/>
    <w:rsid w:val="0052726B"/>
    <w:rsid w:val="0052763B"/>
    <w:rsid w:val="00532F9A"/>
    <w:rsid w:val="00533DD1"/>
    <w:rsid w:val="0053436F"/>
    <w:rsid w:val="00540B68"/>
    <w:rsid w:val="00543292"/>
    <w:rsid w:val="00543A24"/>
    <w:rsid w:val="005468D4"/>
    <w:rsid w:val="00547B54"/>
    <w:rsid w:val="005505E8"/>
    <w:rsid w:val="00552694"/>
    <w:rsid w:val="00553332"/>
    <w:rsid w:val="00553395"/>
    <w:rsid w:val="00553D9E"/>
    <w:rsid w:val="00557DF4"/>
    <w:rsid w:val="0056044A"/>
    <w:rsid w:val="005612B7"/>
    <w:rsid w:val="005647C3"/>
    <w:rsid w:val="00567DB6"/>
    <w:rsid w:val="0057019C"/>
    <w:rsid w:val="005723E5"/>
    <w:rsid w:val="00574139"/>
    <w:rsid w:val="00574916"/>
    <w:rsid w:val="005755FE"/>
    <w:rsid w:val="005759C3"/>
    <w:rsid w:val="00575D26"/>
    <w:rsid w:val="00575F52"/>
    <w:rsid w:val="00576443"/>
    <w:rsid w:val="00576789"/>
    <w:rsid w:val="005777B3"/>
    <w:rsid w:val="00583B4C"/>
    <w:rsid w:val="005850F7"/>
    <w:rsid w:val="00590BA5"/>
    <w:rsid w:val="00590DA8"/>
    <w:rsid w:val="00590EA7"/>
    <w:rsid w:val="00590ED6"/>
    <w:rsid w:val="005933D8"/>
    <w:rsid w:val="0059464F"/>
    <w:rsid w:val="00594B8D"/>
    <w:rsid w:val="00594CE7"/>
    <w:rsid w:val="00594EF1"/>
    <w:rsid w:val="00594FC9"/>
    <w:rsid w:val="005960B7"/>
    <w:rsid w:val="005A091D"/>
    <w:rsid w:val="005A0A0E"/>
    <w:rsid w:val="005A0B52"/>
    <w:rsid w:val="005A0C12"/>
    <w:rsid w:val="005A1C7A"/>
    <w:rsid w:val="005A1D09"/>
    <w:rsid w:val="005A3C5E"/>
    <w:rsid w:val="005A593B"/>
    <w:rsid w:val="005A5AD6"/>
    <w:rsid w:val="005A607B"/>
    <w:rsid w:val="005A7A93"/>
    <w:rsid w:val="005B1623"/>
    <w:rsid w:val="005B1985"/>
    <w:rsid w:val="005B29D4"/>
    <w:rsid w:val="005B2E17"/>
    <w:rsid w:val="005B5C19"/>
    <w:rsid w:val="005C241E"/>
    <w:rsid w:val="005C27FC"/>
    <w:rsid w:val="005C2A6B"/>
    <w:rsid w:val="005C3C0D"/>
    <w:rsid w:val="005D086B"/>
    <w:rsid w:val="005D398D"/>
    <w:rsid w:val="005D41ED"/>
    <w:rsid w:val="005D4D17"/>
    <w:rsid w:val="005D4FF7"/>
    <w:rsid w:val="005D5217"/>
    <w:rsid w:val="005D5A7D"/>
    <w:rsid w:val="005D6CCB"/>
    <w:rsid w:val="005E1099"/>
    <w:rsid w:val="005E148E"/>
    <w:rsid w:val="005E3C9D"/>
    <w:rsid w:val="005E5754"/>
    <w:rsid w:val="005E66AE"/>
    <w:rsid w:val="005E6C59"/>
    <w:rsid w:val="005E70C3"/>
    <w:rsid w:val="005F1F04"/>
    <w:rsid w:val="005F2000"/>
    <w:rsid w:val="005F2C3A"/>
    <w:rsid w:val="005F2F30"/>
    <w:rsid w:val="005F4B5D"/>
    <w:rsid w:val="005F5730"/>
    <w:rsid w:val="005F6AF6"/>
    <w:rsid w:val="00601E65"/>
    <w:rsid w:val="00602ABD"/>
    <w:rsid w:val="00603DD6"/>
    <w:rsid w:val="00603ECA"/>
    <w:rsid w:val="00603FB3"/>
    <w:rsid w:val="0060460C"/>
    <w:rsid w:val="0060581A"/>
    <w:rsid w:val="006070B6"/>
    <w:rsid w:val="006078FC"/>
    <w:rsid w:val="00607FC4"/>
    <w:rsid w:val="00610900"/>
    <w:rsid w:val="00610AEB"/>
    <w:rsid w:val="006137AA"/>
    <w:rsid w:val="0061773D"/>
    <w:rsid w:val="00617B74"/>
    <w:rsid w:val="006209AF"/>
    <w:rsid w:val="006227D7"/>
    <w:rsid w:val="00624D23"/>
    <w:rsid w:val="00625E60"/>
    <w:rsid w:val="006272A5"/>
    <w:rsid w:val="00635561"/>
    <w:rsid w:val="00637068"/>
    <w:rsid w:val="00640AFE"/>
    <w:rsid w:val="00640F95"/>
    <w:rsid w:val="0064354E"/>
    <w:rsid w:val="00644284"/>
    <w:rsid w:val="006473B9"/>
    <w:rsid w:val="00653D7C"/>
    <w:rsid w:val="00654270"/>
    <w:rsid w:val="00654907"/>
    <w:rsid w:val="0065545B"/>
    <w:rsid w:val="006556E4"/>
    <w:rsid w:val="00660876"/>
    <w:rsid w:val="00664974"/>
    <w:rsid w:val="0067129C"/>
    <w:rsid w:val="00672E16"/>
    <w:rsid w:val="0067339E"/>
    <w:rsid w:val="00674109"/>
    <w:rsid w:val="0067474A"/>
    <w:rsid w:val="0067633F"/>
    <w:rsid w:val="0067673D"/>
    <w:rsid w:val="00681E41"/>
    <w:rsid w:val="006827B2"/>
    <w:rsid w:val="006828A3"/>
    <w:rsid w:val="00687058"/>
    <w:rsid w:val="006871E9"/>
    <w:rsid w:val="00692044"/>
    <w:rsid w:val="0069596D"/>
    <w:rsid w:val="00695E05"/>
    <w:rsid w:val="00697F34"/>
    <w:rsid w:val="006A0CE5"/>
    <w:rsid w:val="006A1D9D"/>
    <w:rsid w:val="006A33EB"/>
    <w:rsid w:val="006B0C9A"/>
    <w:rsid w:val="006B18B6"/>
    <w:rsid w:val="006B40A7"/>
    <w:rsid w:val="006B540B"/>
    <w:rsid w:val="006C04FA"/>
    <w:rsid w:val="006C0505"/>
    <w:rsid w:val="006C257B"/>
    <w:rsid w:val="006C3A0C"/>
    <w:rsid w:val="006C47DF"/>
    <w:rsid w:val="006C4AD3"/>
    <w:rsid w:val="006C672F"/>
    <w:rsid w:val="006D21F2"/>
    <w:rsid w:val="006D2C17"/>
    <w:rsid w:val="006D3034"/>
    <w:rsid w:val="006D6A12"/>
    <w:rsid w:val="006D6E9E"/>
    <w:rsid w:val="006D7223"/>
    <w:rsid w:val="006D745C"/>
    <w:rsid w:val="006E2016"/>
    <w:rsid w:val="006E714F"/>
    <w:rsid w:val="006F2BA5"/>
    <w:rsid w:val="006F6A95"/>
    <w:rsid w:val="007023C8"/>
    <w:rsid w:val="007023E3"/>
    <w:rsid w:val="00702CB3"/>
    <w:rsid w:val="00703162"/>
    <w:rsid w:val="00706601"/>
    <w:rsid w:val="007106FF"/>
    <w:rsid w:val="00710EAD"/>
    <w:rsid w:val="00711722"/>
    <w:rsid w:val="007149C2"/>
    <w:rsid w:val="0071562E"/>
    <w:rsid w:val="00720E60"/>
    <w:rsid w:val="007238BE"/>
    <w:rsid w:val="007257DF"/>
    <w:rsid w:val="00727E2B"/>
    <w:rsid w:val="00731FBD"/>
    <w:rsid w:val="00733819"/>
    <w:rsid w:val="00736539"/>
    <w:rsid w:val="00741EE4"/>
    <w:rsid w:val="00744143"/>
    <w:rsid w:val="0074577B"/>
    <w:rsid w:val="007473F5"/>
    <w:rsid w:val="00747A46"/>
    <w:rsid w:val="00750DC4"/>
    <w:rsid w:val="00757169"/>
    <w:rsid w:val="00762139"/>
    <w:rsid w:val="00770033"/>
    <w:rsid w:val="007717EC"/>
    <w:rsid w:val="007721E9"/>
    <w:rsid w:val="007724FA"/>
    <w:rsid w:val="007758EC"/>
    <w:rsid w:val="00775D37"/>
    <w:rsid w:val="007769FC"/>
    <w:rsid w:val="0077717B"/>
    <w:rsid w:val="00781448"/>
    <w:rsid w:val="00783501"/>
    <w:rsid w:val="00784E82"/>
    <w:rsid w:val="00790625"/>
    <w:rsid w:val="00791111"/>
    <w:rsid w:val="0079163E"/>
    <w:rsid w:val="00791BAD"/>
    <w:rsid w:val="00794C5C"/>
    <w:rsid w:val="007A0FB8"/>
    <w:rsid w:val="007A2484"/>
    <w:rsid w:val="007A6B28"/>
    <w:rsid w:val="007A6D7B"/>
    <w:rsid w:val="007B5458"/>
    <w:rsid w:val="007C35AF"/>
    <w:rsid w:val="007C39E9"/>
    <w:rsid w:val="007C5187"/>
    <w:rsid w:val="007C5203"/>
    <w:rsid w:val="007C634A"/>
    <w:rsid w:val="007C6462"/>
    <w:rsid w:val="007D22C8"/>
    <w:rsid w:val="007E0417"/>
    <w:rsid w:val="007E1F2A"/>
    <w:rsid w:val="007E352D"/>
    <w:rsid w:val="007E3956"/>
    <w:rsid w:val="007E51DC"/>
    <w:rsid w:val="007E5AB5"/>
    <w:rsid w:val="007E767B"/>
    <w:rsid w:val="007E794B"/>
    <w:rsid w:val="007F1C11"/>
    <w:rsid w:val="007F319B"/>
    <w:rsid w:val="007F3B65"/>
    <w:rsid w:val="007F4A74"/>
    <w:rsid w:val="007F4A80"/>
    <w:rsid w:val="007F4B83"/>
    <w:rsid w:val="007F624C"/>
    <w:rsid w:val="007F6751"/>
    <w:rsid w:val="00800FA0"/>
    <w:rsid w:val="0080579C"/>
    <w:rsid w:val="00805E7A"/>
    <w:rsid w:val="00806304"/>
    <w:rsid w:val="00806507"/>
    <w:rsid w:val="00810865"/>
    <w:rsid w:val="00813F47"/>
    <w:rsid w:val="008152C1"/>
    <w:rsid w:val="008153B1"/>
    <w:rsid w:val="00816524"/>
    <w:rsid w:val="008172CA"/>
    <w:rsid w:val="00817D88"/>
    <w:rsid w:val="00821210"/>
    <w:rsid w:val="00823CF0"/>
    <w:rsid w:val="00823F7D"/>
    <w:rsid w:val="008263E5"/>
    <w:rsid w:val="00827F8D"/>
    <w:rsid w:val="0083051F"/>
    <w:rsid w:val="00833F18"/>
    <w:rsid w:val="00835AE5"/>
    <w:rsid w:val="00836A51"/>
    <w:rsid w:val="00836BFD"/>
    <w:rsid w:val="0083765D"/>
    <w:rsid w:val="00840656"/>
    <w:rsid w:val="00840797"/>
    <w:rsid w:val="00842BB9"/>
    <w:rsid w:val="00843A02"/>
    <w:rsid w:val="008450B9"/>
    <w:rsid w:val="00847923"/>
    <w:rsid w:val="00850B6F"/>
    <w:rsid w:val="00852120"/>
    <w:rsid w:val="00853CF0"/>
    <w:rsid w:val="008578CB"/>
    <w:rsid w:val="00866B42"/>
    <w:rsid w:val="00871B05"/>
    <w:rsid w:val="008735BE"/>
    <w:rsid w:val="0087393A"/>
    <w:rsid w:val="008762E4"/>
    <w:rsid w:val="00876CEE"/>
    <w:rsid w:val="008805B4"/>
    <w:rsid w:val="00885115"/>
    <w:rsid w:val="00885A75"/>
    <w:rsid w:val="00887DBF"/>
    <w:rsid w:val="0089006D"/>
    <w:rsid w:val="00890610"/>
    <w:rsid w:val="00892299"/>
    <w:rsid w:val="00894F94"/>
    <w:rsid w:val="008A043F"/>
    <w:rsid w:val="008A0628"/>
    <w:rsid w:val="008A0641"/>
    <w:rsid w:val="008A075C"/>
    <w:rsid w:val="008A0C76"/>
    <w:rsid w:val="008A2309"/>
    <w:rsid w:val="008A32BA"/>
    <w:rsid w:val="008A3D3A"/>
    <w:rsid w:val="008A6990"/>
    <w:rsid w:val="008A6DE7"/>
    <w:rsid w:val="008B0248"/>
    <w:rsid w:val="008B075A"/>
    <w:rsid w:val="008B0A66"/>
    <w:rsid w:val="008B13A5"/>
    <w:rsid w:val="008B2307"/>
    <w:rsid w:val="008B27E5"/>
    <w:rsid w:val="008B64CD"/>
    <w:rsid w:val="008B6F4E"/>
    <w:rsid w:val="008C1E0B"/>
    <w:rsid w:val="008C2161"/>
    <w:rsid w:val="008C2D6D"/>
    <w:rsid w:val="008C6BEA"/>
    <w:rsid w:val="008C7843"/>
    <w:rsid w:val="008C7BC8"/>
    <w:rsid w:val="008D047E"/>
    <w:rsid w:val="008D04D1"/>
    <w:rsid w:val="008D43AA"/>
    <w:rsid w:val="008D4EF2"/>
    <w:rsid w:val="008D693E"/>
    <w:rsid w:val="008D6A4E"/>
    <w:rsid w:val="008D6F5B"/>
    <w:rsid w:val="008E298A"/>
    <w:rsid w:val="008E33FB"/>
    <w:rsid w:val="008E3FC2"/>
    <w:rsid w:val="008E6494"/>
    <w:rsid w:val="008E7C92"/>
    <w:rsid w:val="008F0D96"/>
    <w:rsid w:val="008F1156"/>
    <w:rsid w:val="008F37D0"/>
    <w:rsid w:val="008F5063"/>
    <w:rsid w:val="008F5B1C"/>
    <w:rsid w:val="008F5CCE"/>
    <w:rsid w:val="008F6A23"/>
    <w:rsid w:val="009049BD"/>
    <w:rsid w:val="009061A8"/>
    <w:rsid w:val="009066D8"/>
    <w:rsid w:val="00913965"/>
    <w:rsid w:val="00914B00"/>
    <w:rsid w:val="009245B1"/>
    <w:rsid w:val="00926649"/>
    <w:rsid w:val="0092780E"/>
    <w:rsid w:val="00930355"/>
    <w:rsid w:val="009306D4"/>
    <w:rsid w:val="00934AC8"/>
    <w:rsid w:val="00937094"/>
    <w:rsid w:val="0094461D"/>
    <w:rsid w:val="00944F0A"/>
    <w:rsid w:val="00946AFE"/>
    <w:rsid w:val="00951F7A"/>
    <w:rsid w:val="0095283E"/>
    <w:rsid w:val="00953972"/>
    <w:rsid w:val="00954526"/>
    <w:rsid w:val="00954DE5"/>
    <w:rsid w:val="0095607E"/>
    <w:rsid w:val="00957AB4"/>
    <w:rsid w:val="009604C6"/>
    <w:rsid w:val="009609CE"/>
    <w:rsid w:val="00963A2C"/>
    <w:rsid w:val="00963F75"/>
    <w:rsid w:val="00964134"/>
    <w:rsid w:val="009700E7"/>
    <w:rsid w:val="00973DA5"/>
    <w:rsid w:val="009757B2"/>
    <w:rsid w:val="00976E4F"/>
    <w:rsid w:val="0098056D"/>
    <w:rsid w:val="009844CD"/>
    <w:rsid w:val="00985725"/>
    <w:rsid w:val="00986CD6"/>
    <w:rsid w:val="00992DA5"/>
    <w:rsid w:val="009932AC"/>
    <w:rsid w:val="009951E1"/>
    <w:rsid w:val="00995FC9"/>
    <w:rsid w:val="00996DB9"/>
    <w:rsid w:val="009A3F4D"/>
    <w:rsid w:val="009A474D"/>
    <w:rsid w:val="009A4A83"/>
    <w:rsid w:val="009A51DA"/>
    <w:rsid w:val="009A6E19"/>
    <w:rsid w:val="009A7206"/>
    <w:rsid w:val="009A78D2"/>
    <w:rsid w:val="009B11B6"/>
    <w:rsid w:val="009B11C8"/>
    <w:rsid w:val="009B32A8"/>
    <w:rsid w:val="009B3A65"/>
    <w:rsid w:val="009B3E10"/>
    <w:rsid w:val="009B62DB"/>
    <w:rsid w:val="009B7428"/>
    <w:rsid w:val="009B75AD"/>
    <w:rsid w:val="009C021C"/>
    <w:rsid w:val="009C09E2"/>
    <w:rsid w:val="009C405B"/>
    <w:rsid w:val="009C43C3"/>
    <w:rsid w:val="009C4B41"/>
    <w:rsid w:val="009C7E26"/>
    <w:rsid w:val="009C7FA5"/>
    <w:rsid w:val="009D01B0"/>
    <w:rsid w:val="009D1540"/>
    <w:rsid w:val="009D2182"/>
    <w:rsid w:val="009D270B"/>
    <w:rsid w:val="009D4055"/>
    <w:rsid w:val="009D5395"/>
    <w:rsid w:val="009D5660"/>
    <w:rsid w:val="009D7155"/>
    <w:rsid w:val="009D7410"/>
    <w:rsid w:val="009D7903"/>
    <w:rsid w:val="009E03A3"/>
    <w:rsid w:val="009E228A"/>
    <w:rsid w:val="009E3627"/>
    <w:rsid w:val="009E3EC8"/>
    <w:rsid w:val="009E44B1"/>
    <w:rsid w:val="009E46DB"/>
    <w:rsid w:val="009F0B34"/>
    <w:rsid w:val="009F7924"/>
    <w:rsid w:val="00A0309D"/>
    <w:rsid w:val="00A031A5"/>
    <w:rsid w:val="00A03E05"/>
    <w:rsid w:val="00A05F57"/>
    <w:rsid w:val="00A06903"/>
    <w:rsid w:val="00A0701A"/>
    <w:rsid w:val="00A07EB0"/>
    <w:rsid w:val="00A1566C"/>
    <w:rsid w:val="00A15D7E"/>
    <w:rsid w:val="00A15EA8"/>
    <w:rsid w:val="00A16AA9"/>
    <w:rsid w:val="00A179CB"/>
    <w:rsid w:val="00A17E1A"/>
    <w:rsid w:val="00A22CE6"/>
    <w:rsid w:val="00A23272"/>
    <w:rsid w:val="00A234CE"/>
    <w:rsid w:val="00A26A04"/>
    <w:rsid w:val="00A3007B"/>
    <w:rsid w:val="00A32C37"/>
    <w:rsid w:val="00A34C55"/>
    <w:rsid w:val="00A36BBE"/>
    <w:rsid w:val="00A40927"/>
    <w:rsid w:val="00A430F1"/>
    <w:rsid w:val="00A47036"/>
    <w:rsid w:val="00A55061"/>
    <w:rsid w:val="00A55C2A"/>
    <w:rsid w:val="00A55FB2"/>
    <w:rsid w:val="00A619BC"/>
    <w:rsid w:val="00A61AD4"/>
    <w:rsid w:val="00A61F18"/>
    <w:rsid w:val="00A62005"/>
    <w:rsid w:val="00A626CA"/>
    <w:rsid w:val="00A637B5"/>
    <w:rsid w:val="00A63A22"/>
    <w:rsid w:val="00A65294"/>
    <w:rsid w:val="00A653C3"/>
    <w:rsid w:val="00A6547F"/>
    <w:rsid w:val="00A65858"/>
    <w:rsid w:val="00A65EE5"/>
    <w:rsid w:val="00A7069B"/>
    <w:rsid w:val="00A71E1F"/>
    <w:rsid w:val="00A720F4"/>
    <w:rsid w:val="00A72154"/>
    <w:rsid w:val="00A7334A"/>
    <w:rsid w:val="00A77A30"/>
    <w:rsid w:val="00A80DF3"/>
    <w:rsid w:val="00A82BA6"/>
    <w:rsid w:val="00A83B39"/>
    <w:rsid w:val="00A858F8"/>
    <w:rsid w:val="00A8607C"/>
    <w:rsid w:val="00A9135D"/>
    <w:rsid w:val="00A9236A"/>
    <w:rsid w:val="00A94AF7"/>
    <w:rsid w:val="00A94F93"/>
    <w:rsid w:val="00A954C2"/>
    <w:rsid w:val="00A95DBE"/>
    <w:rsid w:val="00A95E22"/>
    <w:rsid w:val="00A96A62"/>
    <w:rsid w:val="00A96B92"/>
    <w:rsid w:val="00A976D5"/>
    <w:rsid w:val="00AA02DE"/>
    <w:rsid w:val="00AA0B56"/>
    <w:rsid w:val="00AA1192"/>
    <w:rsid w:val="00AA2C7D"/>
    <w:rsid w:val="00AB1E12"/>
    <w:rsid w:val="00AB3A38"/>
    <w:rsid w:val="00AB4293"/>
    <w:rsid w:val="00AB606D"/>
    <w:rsid w:val="00AC482E"/>
    <w:rsid w:val="00AD2FB3"/>
    <w:rsid w:val="00AD5EF5"/>
    <w:rsid w:val="00AD67EE"/>
    <w:rsid w:val="00AE0CC3"/>
    <w:rsid w:val="00AE14E7"/>
    <w:rsid w:val="00AE328E"/>
    <w:rsid w:val="00AE76E7"/>
    <w:rsid w:val="00AF101B"/>
    <w:rsid w:val="00AF1702"/>
    <w:rsid w:val="00AF3085"/>
    <w:rsid w:val="00AF4227"/>
    <w:rsid w:val="00AF5116"/>
    <w:rsid w:val="00AF6886"/>
    <w:rsid w:val="00AF6C2C"/>
    <w:rsid w:val="00AF7D41"/>
    <w:rsid w:val="00B015BD"/>
    <w:rsid w:val="00B105B8"/>
    <w:rsid w:val="00B1118E"/>
    <w:rsid w:val="00B1188D"/>
    <w:rsid w:val="00B11C2C"/>
    <w:rsid w:val="00B13F1A"/>
    <w:rsid w:val="00B15CAA"/>
    <w:rsid w:val="00B20ACD"/>
    <w:rsid w:val="00B21996"/>
    <w:rsid w:val="00B234EA"/>
    <w:rsid w:val="00B24359"/>
    <w:rsid w:val="00B255C6"/>
    <w:rsid w:val="00B33E4C"/>
    <w:rsid w:val="00B34DDB"/>
    <w:rsid w:val="00B34F2B"/>
    <w:rsid w:val="00B36186"/>
    <w:rsid w:val="00B36E27"/>
    <w:rsid w:val="00B373BA"/>
    <w:rsid w:val="00B37DB1"/>
    <w:rsid w:val="00B47AD4"/>
    <w:rsid w:val="00B55614"/>
    <w:rsid w:val="00B5698F"/>
    <w:rsid w:val="00B571F6"/>
    <w:rsid w:val="00B6088E"/>
    <w:rsid w:val="00B61659"/>
    <w:rsid w:val="00B628F1"/>
    <w:rsid w:val="00B63C53"/>
    <w:rsid w:val="00B649E7"/>
    <w:rsid w:val="00B66077"/>
    <w:rsid w:val="00B6691C"/>
    <w:rsid w:val="00B67A90"/>
    <w:rsid w:val="00B70111"/>
    <w:rsid w:val="00B73229"/>
    <w:rsid w:val="00B738E4"/>
    <w:rsid w:val="00B749AD"/>
    <w:rsid w:val="00B75718"/>
    <w:rsid w:val="00B76F1A"/>
    <w:rsid w:val="00B777B0"/>
    <w:rsid w:val="00B8215B"/>
    <w:rsid w:val="00B82888"/>
    <w:rsid w:val="00B83102"/>
    <w:rsid w:val="00B839EE"/>
    <w:rsid w:val="00B847D1"/>
    <w:rsid w:val="00B84F93"/>
    <w:rsid w:val="00B9112F"/>
    <w:rsid w:val="00B925B6"/>
    <w:rsid w:val="00B927D7"/>
    <w:rsid w:val="00B9673A"/>
    <w:rsid w:val="00BA13B0"/>
    <w:rsid w:val="00BA34D0"/>
    <w:rsid w:val="00BA47F7"/>
    <w:rsid w:val="00BA4CCC"/>
    <w:rsid w:val="00BA56A0"/>
    <w:rsid w:val="00BA6947"/>
    <w:rsid w:val="00BB121F"/>
    <w:rsid w:val="00BB35DC"/>
    <w:rsid w:val="00BB3D3E"/>
    <w:rsid w:val="00BB4996"/>
    <w:rsid w:val="00BB55F8"/>
    <w:rsid w:val="00BC0BDF"/>
    <w:rsid w:val="00BC0FA4"/>
    <w:rsid w:val="00BC3055"/>
    <w:rsid w:val="00BC3DBC"/>
    <w:rsid w:val="00BC4716"/>
    <w:rsid w:val="00BC562C"/>
    <w:rsid w:val="00BD0B9E"/>
    <w:rsid w:val="00BD6000"/>
    <w:rsid w:val="00BD66E3"/>
    <w:rsid w:val="00BD69AF"/>
    <w:rsid w:val="00BD6B12"/>
    <w:rsid w:val="00BD6F23"/>
    <w:rsid w:val="00BE054D"/>
    <w:rsid w:val="00BE134D"/>
    <w:rsid w:val="00BE1D3B"/>
    <w:rsid w:val="00BE1EB3"/>
    <w:rsid w:val="00BE330A"/>
    <w:rsid w:val="00BE33FA"/>
    <w:rsid w:val="00BE3AC2"/>
    <w:rsid w:val="00BE5AF9"/>
    <w:rsid w:val="00BE65BA"/>
    <w:rsid w:val="00BE697F"/>
    <w:rsid w:val="00BE7100"/>
    <w:rsid w:val="00BF06E1"/>
    <w:rsid w:val="00BF1CC5"/>
    <w:rsid w:val="00BF525B"/>
    <w:rsid w:val="00BF57DC"/>
    <w:rsid w:val="00BF6697"/>
    <w:rsid w:val="00BF723C"/>
    <w:rsid w:val="00BF7C31"/>
    <w:rsid w:val="00C021CB"/>
    <w:rsid w:val="00C02B2C"/>
    <w:rsid w:val="00C04A23"/>
    <w:rsid w:val="00C05405"/>
    <w:rsid w:val="00C062C7"/>
    <w:rsid w:val="00C07970"/>
    <w:rsid w:val="00C07D13"/>
    <w:rsid w:val="00C1065A"/>
    <w:rsid w:val="00C14331"/>
    <w:rsid w:val="00C14888"/>
    <w:rsid w:val="00C16E63"/>
    <w:rsid w:val="00C1733D"/>
    <w:rsid w:val="00C21A9D"/>
    <w:rsid w:val="00C2735B"/>
    <w:rsid w:val="00C30E20"/>
    <w:rsid w:val="00C3161A"/>
    <w:rsid w:val="00C342B1"/>
    <w:rsid w:val="00C3645A"/>
    <w:rsid w:val="00C4015F"/>
    <w:rsid w:val="00C41FB4"/>
    <w:rsid w:val="00C42BB8"/>
    <w:rsid w:val="00C43B01"/>
    <w:rsid w:val="00C455B6"/>
    <w:rsid w:val="00C45ED9"/>
    <w:rsid w:val="00C462CD"/>
    <w:rsid w:val="00C46319"/>
    <w:rsid w:val="00C4673B"/>
    <w:rsid w:val="00C47DD3"/>
    <w:rsid w:val="00C506F2"/>
    <w:rsid w:val="00C5192A"/>
    <w:rsid w:val="00C52F05"/>
    <w:rsid w:val="00C5309F"/>
    <w:rsid w:val="00C547FE"/>
    <w:rsid w:val="00C54C6D"/>
    <w:rsid w:val="00C57935"/>
    <w:rsid w:val="00C60023"/>
    <w:rsid w:val="00C60982"/>
    <w:rsid w:val="00C60E30"/>
    <w:rsid w:val="00C61E7B"/>
    <w:rsid w:val="00C634DF"/>
    <w:rsid w:val="00C6577B"/>
    <w:rsid w:val="00C66B5A"/>
    <w:rsid w:val="00C66FD8"/>
    <w:rsid w:val="00C670D7"/>
    <w:rsid w:val="00C67D94"/>
    <w:rsid w:val="00C70362"/>
    <w:rsid w:val="00C727AE"/>
    <w:rsid w:val="00C74D93"/>
    <w:rsid w:val="00C760B1"/>
    <w:rsid w:val="00C76980"/>
    <w:rsid w:val="00C822F2"/>
    <w:rsid w:val="00C82D2A"/>
    <w:rsid w:val="00C844FE"/>
    <w:rsid w:val="00C85092"/>
    <w:rsid w:val="00C863BF"/>
    <w:rsid w:val="00C91927"/>
    <w:rsid w:val="00C92272"/>
    <w:rsid w:val="00C923E5"/>
    <w:rsid w:val="00C92F16"/>
    <w:rsid w:val="00C9636B"/>
    <w:rsid w:val="00CA02B1"/>
    <w:rsid w:val="00CA14A3"/>
    <w:rsid w:val="00CA2C0C"/>
    <w:rsid w:val="00CA2C4F"/>
    <w:rsid w:val="00CA4279"/>
    <w:rsid w:val="00CA4F44"/>
    <w:rsid w:val="00CA6BD1"/>
    <w:rsid w:val="00CA791B"/>
    <w:rsid w:val="00CB058C"/>
    <w:rsid w:val="00CB1AD6"/>
    <w:rsid w:val="00CB3AAE"/>
    <w:rsid w:val="00CB6297"/>
    <w:rsid w:val="00CC0987"/>
    <w:rsid w:val="00CC286B"/>
    <w:rsid w:val="00CC300A"/>
    <w:rsid w:val="00CC4AB2"/>
    <w:rsid w:val="00CC4FD9"/>
    <w:rsid w:val="00CC6345"/>
    <w:rsid w:val="00CD16E9"/>
    <w:rsid w:val="00CD1978"/>
    <w:rsid w:val="00CD3CDF"/>
    <w:rsid w:val="00CD547F"/>
    <w:rsid w:val="00CD7027"/>
    <w:rsid w:val="00CD725D"/>
    <w:rsid w:val="00CE105E"/>
    <w:rsid w:val="00CE14C0"/>
    <w:rsid w:val="00CE2056"/>
    <w:rsid w:val="00CE3143"/>
    <w:rsid w:val="00CE4AE9"/>
    <w:rsid w:val="00CE4D55"/>
    <w:rsid w:val="00CE5BFD"/>
    <w:rsid w:val="00CE724F"/>
    <w:rsid w:val="00CF1157"/>
    <w:rsid w:val="00CF153E"/>
    <w:rsid w:val="00CF4A78"/>
    <w:rsid w:val="00CF5D88"/>
    <w:rsid w:val="00CF6076"/>
    <w:rsid w:val="00CF609F"/>
    <w:rsid w:val="00CF6C77"/>
    <w:rsid w:val="00D013F6"/>
    <w:rsid w:val="00D01F03"/>
    <w:rsid w:val="00D03022"/>
    <w:rsid w:val="00D05AAD"/>
    <w:rsid w:val="00D06089"/>
    <w:rsid w:val="00D060C0"/>
    <w:rsid w:val="00D0619B"/>
    <w:rsid w:val="00D06EBE"/>
    <w:rsid w:val="00D113F7"/>
    <w:rsid w:val="00D12122"/>
    <w:rsid w:val="00D129DF"/>
    <w:rsid w:val="00D12B42"/>
    <w:rsid w:val="00D13EA8"/>
    <w:rsid w:val="00D153FB"/>
    <w:rsid w:val="00D16275"/>
    <w:rsid w:val="00D20542"/>
    <w:rsid w:val="00D20EC6"/>
    <w:rsid w:val="00D228DD"/>
    <w:rsid w:val="00D247BA"/>
    <w:rsid w:val="00D32E06"/>
    <w:rsid w:val="00D35D2C"/>
    <w:rsid w:val="00D404DC"/>
    <w:rsid w:val="00D4071D"/>
    <w:rsid w:val="00D414DC"/>
    <w:rsid w:val="00D41955"/>
    <w:rsid w:val="00D476F4"/>
    <w:rsid w:val="00D50AA8"/>
    <w:rsid w:val="00D51B71"/>
    <w:rsid w:val="00D5363A"/>
    <w:rsid w:val="00D55E25"/>
    <w:rsid w:val="00D56010"/>
    <w:rsid w:val="00D568CA"/>
    <w:rsid w:val="00D60DE8"/>
    <w:rsid w:val="00D61116"/>
    <w:rsid w:val="00D62FF7"/>
    <w:rsid w:val="00D64B78"/>
    <w:rsid w:val="00D665A2"/>
    <w:rsid w:val="00D6705D"/>
    <w:rsid w:val="00D7086C"/>
    <w:rsid w:val="00D7252E"/>
    <w:rsid w:val="00D74231"/>
    <w:rsid w:val="00D749AE"/>
    <w:rsid w:val="00D750EC"/>
    <w:rsid w:val="00D767B4"/>
    <w:rsid w:val="00D8108E"/>
    <w:rsid w:val="00D83DFB"/>
    <w:rsid w:val="00D84299"/>
    <w:rsid w:val="00D8788A"/>
    <w:rsid w:val="00D900B4"/>
    <w:rsid w:val="00D92B61"/>
    <w:rsid w:val="00D95663"/>
    <w:rsid w:val="00D9796E"/>
    <w:rsid w:val="00DA109A"/>
    <w:rsid w:val="00DA1BED"/>
    <w:rsid w:val="00DA33F8"/>
    <w:rsid w:val="00DA4FFE"/>
    <w:rsid w:val="00DA698F"/>
    <w:rsid w:val="00DB1267"/>
    <w:rsid w:val="00DB19E5"/>
    <w:rsid w:val="00DB25F3"/>
    <w:rsid w:val="00DB421D"/>
    <w:rsid w:val="00DC2B82"/>
    <w:rsid w:val="00DC316F"/>
    <w:rsid w:val="00DC3EA1"/>
    <w:rsid w:val="00DC55D5"/>
    <w:rsid w:val="00DC677E"/>
    <w:rsid w:val="00DD0078"/>
    <w:rsid w:val="00DD0BA2"/>
    <w:rsid w:val="00DD24D3"/>
    <w:rsid w:val="00DD3FFB"/>
    <w:rsid w:val="00DD67B1"/>
    <w:rsid w:val="00DD7022"/>
    <w:rsid w:val="00DE0D7A"/>
    <w:rsid w:val="00DE2B58"/>
    <w:rsid w:val="00DE4331"/>
    <w:rsid w:val="00DE4D68"/>
    <w:rsid w:val="00DE574A"/>
    <w:rsid w:val="00DE6A3D"/>
    <w:rsid w:val="00DE76DE"/>
    <w:rsid w:val="00DE7C18"/>
    <w:rsid w:val="00DF0190"/>
    <w:rsid w:val="00DF0F22"/>
    <w:rsid w:val="00DF16CE"/>
    <w:rsid w:val="00DF1A04"/>
    <w:rsid w:val="00DF1EAA"/>
    <w:rsid w:val="00DF2CE2"/>
    <w:rsid w:val="00DF3870"/>
    <w:rsid w:val="00DF6442"/>
    <w:rsid w:val="00DF6EAD"/>
    <w:rsid w:val="00E02D39"/>
    <w:rsid w:val="00E030F2"/>
    <w:rsid w:val="00E033DB"/>
    <w:rsid w:val="00E04FC4"/>
    <w:rsid w:val="00E06DE8"/>
    <w:rsid w:val="00E073BD"/>
    <w:rsid w:val="00E11A5C"/>
    <w:rsid w:val="00E12A28"/>
    <w:rsid w:val="00E12DBA"/>
    <w:rsid w:val="00E160C5"/>
    <w:rsid w:val="00E17877"/>
    <w:rsid w:val="00E2186F"/>
    <w:rsid w:val="00E23805"/>
    <w:rsid w:val="00E24093"/>
    <w:rsid w:val="00E25B01"/>
    <w:rsid w:val="00E308E7"/>
    <w:rsid w:val="00E30DAE"/>
    <w:rsid w:val="00E36D1C"/>
    <w:rsid w:val="00E37363"/>
    <w:rsid w:val="00E40E8B"/>
    <w:rsid w:val="00E43439"/>
    <w:rsid w:val="00E45977"/>
    <w:rsid w:val="00E47829"/>
    <w:rsid w:val="00E50D7A"/>
    <w:rsid w:val="00E525DB"/>
    <w:rsid w:val="00E557D2"/>
    <w:rsid w:val="00E57BDD"/>
    <w:rsid w:val="00E57C2E"/>
    <w:rsid w:val="00E57F8C"/>
    <w:rsid w:val="00E64223"/>
    <w:rsid w:val="00E64AA5"/>
    <w:rsid w:val="00E6625E"/>
    <w:rsid w:val="00E674A7"/>
    <w:rsid w:val="00E70271"/>
    <w:rsid w:val="00E71956"/>
    <w:rsid w:val="00E73B4C"/>
    <w:rsid w:val="00E75187"/>
    <w:rsid w:val="00E802A9"/>
    <w:rsid w:val="00E80301"/>
    <w:rsid w:val="00E84D31"/>
    <w:rsid w:val="00E86E6F"/>
    <w:rsid w:val="00E86ECA"/>
    <w:rsid w:val="00E8794E"/>
    <w:rsid w:val="00E92DC6"/>
    <w:rsid w:val="00E930F0"/>
    <w:rsid w:val="00E931D3"/>
    <w:rsid w:val="00E9339D"/>
    <w:rsid w:val="00E9367B"/>
    <w:rsid w:val="00E94F23"/>
    <w:rsid w:val="00E95320"/>
    <w:rsid w:val="00E97AB5"/>
    <w:rsid w:val="00EA06DE"/>
    <w:rsid w:val="00EA0F48"/>
    <w:rsid w:val="00EA642F"/>
    <w:rsid w:val="00EA6DED"/>
    <w:rsid w:val="00EA7BF6"/>
    <w:rsid w:val="00EA7C4A"/>
    <w:rsid w:val="00EB45EB"/>
    <w:rsid w:val="00EB49D0"/>
    <w:rsid w:val="00EB4BAA"/>
    <w:rsid w:val="00EB615C"/>
    <w:rsid w:val="00EB765D"/>
    <w:rsid w:val="00EC1748"/>
    <w:rsid w:val="00EC23E9"/>
    <w:rsid w:val="00EC5A76"/>
    <w:rsid w:val="00EC6C1E"/>
    <w:rsid w:val="00EC7207"/>
    <w:rsid w:val="00ED3768"/>
    <w:rsid w:val="00ED3A41"/>
    <w:rsid w:val="00EE0F68"/>
    <w:rsid w:val="00EE5F72"/>
    <w:rsid w:val="00EF23DC"/>
    <w:rsid w:val="00EF3F10"/>
    <w:rsid w:val="00EF4CF6"/>
    <w:rsid w:val="00EF5AE2"/>
    <w:rsid w:val="00EF6A79"/>
    <w:rsid w:val="00EF75B8"/>
    <w:rsid w:val="00F00192"/>
    <w:rsid w:val="00F00778"/>
    <w:rsid w:val="00F01691"/>
    <w:rsid w:val="00F018BC"/>
    <w:rsid w:val="00F02958"/>
    <w:rsid w:val="00F03201"/>
    <w:rsid w:val="00F03AA5"/>
    <w:rsid w:val="00F11ECA"/>
    <w:rsid w:val="00F12C76"/>
    <w:rsid w:val="00F12E32"/>
    <w:rsid w:val="00F15424"/>
    <w:rsid w:val="00F15A73"/>
    <w:rsid w:val="00F17A97"/>
    <w:rsid w:val="00F20E25"/>
    <w:rsid w:val="00F229D2"/>
    <w:rsid w:val="00F22FB7"/>
    <w:rsid w:val="00F230B9"/>
    <w:rsid w:val="00F2552D"/>
    <w:rsid w:val="00F2568D"/>
    <w:rsid w:val="00F27005"/>
    <w:rsid w:val="00F27220"/>
    <w:rsid w:val="00F30040"/>
    <w:rsid w:val="00F307E4"/>
    <w:rsid w:val="00F30CD6"/>
    <w:rsid w:val="00F32ED1"/>
    <w:rsid w:val="00F334A0"/>
    <w:rsid w:val="00F34E15"/>
    <w:rsid w:val="00F40008"/>
    <w:rsid w:val="00F401FD"/>
    <w:rsid w:val="00F41A6C"/>
    <w:rsid w:val="00F41DE3"/>
    <w:rsid w:val="00F42396"/>
    <w:rsid w:val="00F42C40"/>
    <w:rsid w:val="00F43293"/>
    <w:rsid w:val="00F435BB"/>
    <w:rsid w:val="00F43F81"/>
    <w:rsid w:val="00F45B9F"/>
    <w:rsid w:val="00F46B89"/>
    <w:rsid w:val="00F502F6"/>
    <w:rsid w:val="00F509EF"/>
    <w:rsid w:val="00F51A3C"/>
    <w:rsid w:val="00F52B2A"/>
    <w:rsid w:val="00F53B20"/>
    <w:rsid w:val="00F550CD"/>
    <w:rsid w:val="00F55E58"/>
    <w:rsid w:val="00F60F76"/>
    <w:rsid w:val="00F613B0"/>
    <w:rsid w:val="00F64B6C"/>
    <w:rsid w:val="00F653E8"/>
    <w:rsid w:val="00F66549"/>
    <w:rsid w:val="00F671B8"/>
    <w:rsid w:val="00F67A13"/>
    <w:rsid w:val="00F67A7E"/>
    <w:rsid w:val="00F70CA2"/>
    <w:rsid w:val="00F72632"/>
    <w:rsid w:val="00F72E4C"/>
    <w:rsid w:val="00F75252"/>
    <w:rsid w:val="00F768A1"/>
    <w:rsid w:val="00F77EEE"/>
    <w:rsid w:val="00F8020D"/>
    <w:rsid w:val="00F814A1"/>
    <w:rsid w:val="00F82576"/>
    <w:rsid w:val="00F83E98"/>
    <w:rsid w:val="00F84A31"/>
    <w:rsid w:val="00F85821"/>
    <w:rsid w:val="00F863C0"/>
    <w:rsid w:val="00F86E2E"/>
    <w:rsid w:val="00F923E1"/>
    <w:rsid w:val="00F93963"/>
    <w:rsid w:val="00F94398"/>
    <w:rsid w:val="00F969B9"/>
    <w:rsid w:val="00F969E7"/>
    <w:rsid w:val="00F97E55"/>
    <w:rsid w:val="00FA35C3"/>
    <w:rsid w:val="00FA392D"/>
    <w:rsid w:val="00FA71E8"/>
    <w:rsid w:val="00FA7A2C"/>
    <w:rsid w:val="00FB0D5B"/>
    <w:rsid w:val="00FB1247"/>
    <w:rsid w:val="00FB1507"/>
    <w:rsid w:val="00FB3FF3"/>
    <w:rsid w:val="00FB411D"/>
    <w:rsid w:val="00FB6657"/>
    <w:rsid w:val="00FC0630"/>
    <w:rsid w:val="00FC1CCA"/>
    <w:rsid w:val="00FC3F0A"/>
    <w:rsid w:val="00FC5C46"/>
    <w:rsid w:val="00FD1714"/>
    <w:rsid w:val="00FD50C3"/>
    <w:rsid w:val="00FE0965"/>
    <w:rsid w:val="00FE46BC"/>
    <w:rsid w:val="00FE4B78"/>
    <w:rsid w:val="00FE50E0"/>
    <w:rsid w:val="00FE7878"/>
    <w:rsid w:val="00FF0118"/>
    <w:rsid w:val="00FF0F2A"/>
    <w:rsid w:val="00FF10AF"/>
    <w:rsid w:val="00FF3BE3"/>
    <w:rsid w:val="00FF6B90"/>
    <w:rsid w:val="00FF6D1E"/>
    <w:rsid w:val="00FF7217"/>
    <w:rsid w:val="00FF73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B524E"/>
  <w15:chartTrackingRefBased/>
  <w15:docId w15:val="{A5D6E5E5-8BCC-4EC8-AC9C-E055B8F77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2BB9"/>
    <w:rPr>
      <w:rFonts w:ascii="Arial" w:hAnsi="Arial"/>
      <w:sz w:val="24"/>
    </w:rPr>
  </w:style>
  <w:style w:type="paragraph" w:styleId="Heading1">
    <w:name w:val="heading 1"/>
    <w:basedOn w:val="Normal"/>
    <w:next w:val="Normal"/>
    <w:link w:val="Heading1Char"/>
    <w:uiPriority w:val="9"/>
    <w:qFormat/>
    <w:rsid w:val="00842B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42B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2B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2B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2B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2B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2B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2B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2B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2B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42B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2B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2B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2B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2B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2B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2B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2BB9"/>
    <w:rPr>
      <w:rFonts w:eastAsiaTheme="majorEastAsia" w:cstheme="majorBidi"/>
      <w:color w:val="272727" w:themeColor="text1" w:themeTint="D8"/>
    </w:rPr>
  </w:style>
  <w:style w:type="paragraph" w:styleId="Title">
    <w:name w:val="Title"/>
    <w:basedOn w:val="Normal"/>
    <w:next w:val="Normal"/>
    <w:link w:val="TitleChar"/>
    <w:uiPriority w:val="10"/>
    <w:qFormat/>
    <w:rsid w:val="00842B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2B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2B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2B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2BB9"/>
    <w:pPr>
      <w:spacing w:before="160"/>
      <w:jc w:val="center"/>
    </w:pPr>
    <w:rPr>
      <w:i/>
      <w:iCs/>
      <w:color w:val="404040" w:themeColor="text1" w:themeTint="BF"/>
    </w:rPr>
  </w:style>
  <w:style w:type="character" w:customStyle="1" w:styleId="QuoteChar">
    <w:name w:val="Quote Char"/>
    <w:basedOn w:val="DefaultParagraphFont"/>
    <w:link w:val="Quote"/>
    <w:uiPriority w:val="29"/>
    <w:rsid w:val="00842BB9"/>
    <w:rPr>
      <w:i/>
      <w:iCs/>
      <w:color w:val="404040" w:themeColor="text1" w:themeTint="BF"/>
    </w:rPr>
  </w:style>
  <w:style w:type="paragraph" w:styleId="ListParagraph">
    <w:name w:val="List Paragraph"/>
    <w:basedOn w:val="Normal"/>
    <w:uiPriority w:val="34"/>
    <w:qFormat/>
    <w:rsid w:val="00842BB9"/>
    <w:pPr>
      <w:ind w:left="720"/>
      <w:contextualSpacing/>
    </w:pPr>
  </w:style>
  <w:style w:type="character" w:styleId="IntenseEmphasis">
    <w:name w:val="Intense Emphasis"/>
    <w:basedOn w:val="DefaultParagraphFont"/>
    <w:uiPriority w:val="21"/>
    <w:qFormat/>
    <w:rsid w:val="00842BB9"/>
    <w:rPr>
      <w:i/>
      <w:iCs/>
      <w:color w:val="0F4761" w:themeColor="accent1" w:themeShade="BF"/>
    </w:rPr>
  </w:style>
  <w:style w:type="paragraph" w:styleId="IntenseQuote">
    <w:name w:val="Intense Quote"/>
    <w:basedOn w:val="Normal"/>
    <w:next w:val="Normal"/>
    <w:link w:val="IntenseQuoteChar"/>
    <w:uiPriority w:val="30"/>
    <w:qFormat/>
    <w:rsid w:val="00842B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2BB9"/>
    <w:rPr>
      <w:i/>
      <w:iCs/>
      <w:color w:val="0F4761" w:themeColor="accent1" w:themeShade="BF"/>
    </w:rPr>
  </w:style>
  <w:style w:type="character" w:styleId="IntenseReference">
    <w:name w:val="Intense Reference"/>
    <w:basedOn w:val="DefaultParagraphFont"/>
    <w:uiPriority w:val="32"/>
    <w:qFormat/>
    <w:rsid w:val="00842BB9"/>
    <w:rPr>
      <w:b/>
      <w:bCs/>
      <w:smallCaps/>
      <w:color w:val="0F4761" w:themeColor="accent1" w:themeShade="BF"/>
      <w:spacing w:val="5"/>
    </w:rPr>
  </w:style>
  <w:style w:type="paragraph" w:styleId="NoSpacing">
    <w:name w:val="No Spacing"/>
    <w:link w:val="NoSpacingChar"/>
    <w:uiPriority w:val="1"/>
    <w:qFormat/>
    <w:rsid w:val="00842BB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42BB9"/>
    <w:rPr>
      <w:rFonts w:eastAsiaTheme="minorEastAsia"/>
      <w:kern w:val="0"/>
      <w:lang w:val="en-US"/>
      <w14:ligatures w14:val="none"/>
    </w:rPr>
  </w:style>
  <w:style w:type="paragraph" w:styleId="TOCHeading">
    <w:name w:val="TOC Heading"/>
    <w:basedOn w:val="Heading1"/>
    <w:next w:val="Normal"/>
    <w:uiPriority w:val="39"/>
    <w:unhideWhenUsed/>
    <w:qFormat/>
    <w:rsid w:val="00842BB9"/>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8B13A5"/>
    <w:pPr>
      <w:tabs>
        <w:tab w:val="right" w:leader="dot" w:pos="9016"/>
      </w:tabs>
      <w:spacing w:after="100" w:line="480" w:lineRule="auto"/>
    </w:pPr>
  </w:style>
  <w:style w:type="paragraph" w:styleId="TOC2">
    <w:name w:val="toc 2"/>
    <w:basedOn w:val="Normal"/>
    <w:next w:val="Normal"/>
    <w:autoRedefine/>
    <w:uiPriority w:val="39"/>
    <w:unhideWhenUsed/>
    <w:rsid w:val="00B75718"/>
    <w:pPr>
      <w:tabs>
        <w:tab w:val="left" w:pos="720"/>
        <w:tab w:val="right" w:leader="dot" w:pos="9016"/>
      </w:tabs>
      <w:spacing w:after="100" w:line="360" w:lineRule="auto"/>
      <w:ind w:left="238"/>
    </w:pPr>
  </w:style>
  <w:style w:type="character" w:styleId="Hyperlink">
    <w:name w:val="Hyperlink"/>
    <w:basedOn w:val="DefaultParagraphFont"/>
    <w:uiPriority w:val="99"/>
    <w:unhideWhenUsed/>
    <w:rsid w:val="00842BB9"/>
    <w:rPr>
      <w:color w:val="467886" w:themeColor="hyperlink"/>
      <w:u w:val="single"/>
    </w:rPr>
  </w:style>
  <w:style w:type="paragraph" w:styleId="NormalWeb">
    <w:name w:val="Normal (Web)"/>
    <w:basedOn w:val="Normal"/>
    <w:uiPriority w:val="99"/>
    <w:unhideWhenUsed/>
    <w:rsid w:val="00BD66E3"/>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 w:type="character" w:styleId="Strong">
    <w:name w:val="Strong"/>
    <w:basedOn w:val="DefaultParagraphFont"/>
    <w:uiPriority w:val="22"/>
    <w:qFormat/>
    <w:rsid w:val="000238EF"/>
    <w:rPr>
      <w:b/>
      <w:bCs/>
    </w:rPr>
  </w:style>
  <w:style w:type="paragraph" w:styleId="Header">
    <w:name w:val="header"/>
    <w:basedOn w:val="Normal"/>
    <w:link w:val="HeaderChar"/>
    <w:uiPriority w:val="99"/>
    <w:unhideWhenUsed/>
    <w:rsid w:val="008B13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3A5"/>
    <w:rPr>
      <w:rFonts w:ascii="Arial" w:hAnsi="Arial"/>
      <w:sz w:val="24"/>
    </w:rPr>
  </w:style>
  <w:style w:type="paragraph" w:styleId="Footer">
    <w:name w:val="footer"/>
    <w:basedOn w:val="Normal"/>
    <w:link w:val="FooterChar"/>
    <w:uiPriority w:val="99"/>
    <w:unhideWhenUsed/>
    <w:rsid w:val="008B13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3A5"/>
    <w:rPr>
      <w:rFonts w:ascii="Arial" w:hAnsi="Arial"/>
      <w:sz w:val="24"/>
    </w:rPr>
  </w:style>
  <w:style w:type="paragraph" w:styleId="Bibliography">
    <w:name w:val="Bibliography"/>
    <w:basedOn w:val="Normal"/>
    <w:next w:val="Normal"/>
    <w:uiPriority w:val="37"/>
    <w:unhideWhenUsed/>
    <w:rsid w:val="00D05A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28036">
      <w:bodyDiv w:val="1"/>
      <w:marLeft w:val="0"/>
      <w:marRight w:val="0"/>
      <w:marTop w:val="0"/>
      <w:marBottom w:val="0"/>
      <w:divBdr>
        <w:top w:val="none" w:sz="0" w:space="0" w:color="auto"/>
        <w:left w:val="none" w:sz="0" w:space="0" w:color="auto"/>
        <w:bottom w:val="none" w:sz="0" w:space="0" w:color="auto"/>
        <w:right w:val="none" w:sz="0" w:space="0" w:color="auto"/>
      </w:divBdr>
      <w:divsChild>
        <w:div w:id="1750495547">
          <w:marLeft w:val="0"/>
          <w:marRight w:val="0"/>
          <w:marTop w:val="0"/>
          <w:marBottom w:val="0"/>
          <w:divBdr>
            <w:top w:val="none" w:sz="0" w:space="0" w:color="auto"/>
            <w:left w:val="none" w:sz="0" w:space="0" w:color="auto"/>
            <w:bottom w:val="none" w:sz="0" w:space="0" w:color="auto"/>
            <w:right w:val="none" w:sz="0" w:space="0" w:color="auto"/>
          </w:divBdr>
        </w:div>
      </w:divsChild>
    </w:div>
    <w:div w:id="22370247">
      <w:bodyDiv w:val="1"/>
      <w:marLeft w:val="0"/>
      <w:marRight w:val="0"/>
      <w:marTop w:val="0"/>
      <w:marBottom w:val="0"/>
      <w:divBdr>
        <w:top w:val="none" w:sz="0" w:space="0" w:color="auto"/>
        <w:left w:val="none" w:sz="0" w:space="0" w:color="auto"/>
        <w:bottom w:val="none" w:sz="0" w:space="0" w:color="auto"/>
        <w:right w:val="none" w:sz="0" w:space="0" w:color="auto"/>
      </w:divBdr>
    </w:div>
    <w:div w:id="43675587">
      <w:bodyDiv w:val="1"/>
      <w:marLeft w:val="0"/>
      <w:marRight w:val="0"/>
      <w:marTop w:val="0"/>
      <w:marBottom w:val="0"/>
      <w:divBdr>
        <w:top w:val="none" w:sz="0" w:space="0" w:color="auto"/>
        <w:left w:val="none" w:sz="0" w:space="0" w:color="auto"/>
        <w:bottom w:val="none" w:sz="0" w:space="0" w:color="auto"/>
        <w:right w:val="none" w:sz="0" w:space="0" w:color="auto"/>
      </w:divBdr>
    </w:div>
    <w:div w:id="48696246">
      <w:bodyDiv w:val="1"/>
      <w:marLeft w:val="0"/>
      <w:marRight w:val="0"/>
      <w:marTop w:val="0"/>
      <w:marBottom w:val="0"/>
      <w:divBdr>
        <w:top w:val="none" w:sz="0" w:space="0" w:color="auto"/>
        <w:left w:val="none" w:sz="0" w:space="0" w:color="auto"/>
        <w:bottom w:val="none" w:sz="0" w:space="0" w:color="auto"/>
        <w:right w:val="none" w:sz="0" w:space="0" w:color="auto"/>
      </w:divBdr>
    </w:div>
    <w:div w:id="60830841">
      <w:bodyDiv w:val="1"/>
      <w:marLeft w:val="0"/>
      <w:marRight w:val="0"/>
      <w:marTop w:val="0"/>
      <w:marBottom w:val="0"/>
      <w:divBdr>
        <w:top w:val="none" w:sz="0" w:space="0" w:color="auto"/>
        <w:left w:val="none" w:sz="0" w:space="0" w:color="auto"/>
        <w:bottom w:val="none" w:sz="0" w:space="0" w:color="auto"/>
        <w:right w:val="none" w:sz="0" w:space="0" w:color="auto"/>
      </w:divBdr>
    </w:div>
    <w:div w:id="61876298">
      <w:bodyDiv w:val="1"/>
      <w:marLeft w:val="0"/>
      <w:marRight w:val="0"/>
      <w:marTop w:val="0"/>
      <w:marBottom w:val="0"/>
      <w:divBdr>
        <w:top w:val="none" w:sz="0" w:space="0" w:color="auto"/>
        <w:left w:val="none" w:sz="0" w:space="0" w:color="auto"/>
        <w:bottom w:val="none" w:sz="0" w:space="0" w:color="auto"/>
        <w:right w:val="none" w:sz="0" w:space="0" w:color="auto"/>
      </w:divBdr>
    </w:div>
    <w:div w:id="76053542">
      <w:bodyDiv w:val="1"/>
      <w:marLeft w:val="0"/>
      <w:marRight w:val="0"/>
      <w:marTop w:val="0"/>
      <w:marBottom w:val="0"/>
      <w:divBdr>
        <w:top w:val="none" w:sz="0" w:space="0" w:color="auto"/>
        <w:left w:val="none" w:sz="0" w:space="0" w:color="auto"/>
        <w:bottom w:val="none" w:sz="0" w:space="0" w:color="auto"/>
        <w:right w:val="none" w:sz="0" w:space="0" w:color="auto"/>
      </w:divBdr>
    </w:div>
    <w:div w:id="87120396">
      <w:bodyDiv w:val="1"/>
      <w:marLeft w:val="0"/>
      <w:marRight w:val="0"/>
      <w:marTop w:val="0"/>
      <w:marBottom w:val="0"/>
      <w:divBdr>
        <w:top w:val="none" w:sz="0" w:space="0" w:color="auto"/>
        <w:left w:val="none" w:sz="0" w:space="0" w:color="auto"/>
        <w:bottom w:val="none" w:sz="0" w:space="0" w:color="auto"/>
        <w:right w:val="none" w:sz="0" w:space="0" w:color="auto"/>
      </w:divBdr>
    </w:div>
    <w:div w:id="97794486">
      <w:bodyDiv w:val="1"/>
      <w:marLeft w:val="0"/>
      <w:marRight w:val="0"/>
      <w:marTop w:val="0"/>
      <w:marBottom w:val="0"/>
      <w:divBdr>
        <w:top w:val="none" w:sz="0" w:space="0" w:color="auto"/>
        <w:left w:val="none" w:sz="0" w:space="0" w:color="auto"/>
        <w:bottom w:val="none" w:sz="0" w:space="0" w:color="auto"/>
        <w:right w:val="none" w:sz="0" w:space="0" w:color="auto"/>
      </w:divBdr>
    </w:div>
    <w:div w:id="104085086">
      <w:bodyDiv w:val="1"/>
      <w:marLeft w:val="0"/>
      <w:marRight w:val="0"/>
      <w:marTop w:val="0"/>
      <w:marBottom w:val="0"/>
      <w:divBdr>
        <w:top w:val="none" w:sz="0" w:space="0" w:color="auto"/>
        <w:left w:val="none" w:sz="0" w:space="0" w:color="auto"/>
        <w:bottom w:val="none" w:sz="0" w:space="0" w:color="auto"/>
        <w:right w:val="none" w:sz="0" w:space="0" w:color="auto"/>
      </w:divBdr>
      <w:divsChild>
        <w:div w:id="85424320">
          <w:marLeft w:val="0"/>
          <w:marRight w:val="0"/>
          <w:marTop w:val="0"/>
          <w:marBottom w:val="0"/>
          <w:divBdr>
            <w:top w:val="none" w:sz="0" w:space="0" w:color="auto"/>
            <w:left w:val="none" w:sz="0" w:space="0" w:color="auto"/>
            <w:bottom w:val="none" w:sz="0" w:space="0" w:color="auto"/>
            <w:right w:val="none" w:sz="0" w:space="0" w:color="auto"/>
          </w:divBdr>
        </w:div>
      </w:divsChild>
    </w:div>
    <w:div w:id="106894345">
      <w:bodyDiv w:val="1"/>
      <w:marLeft w:val="0"/>
      <w:marRight w:val="0"/>
      <w:marTop w:val="0"/>
      <w:marBottom w:val="0"/>
      <w:divBdr>
        <w:top w:val="none" w:sz="0" w:space="0" w:color="auto"/>
        <w:left w:val="none" w:sz="0" w:space="0" w:color="auto"/>
        <w:bottom w:val="none" w:sz="0" w:space="0" w:color="auto"/>
        <w:right w:val="none" w:sz="0" w:space="0" w:color="auto"/>
      </w:divBdr>
    </w:div>
    <w:div w:id="110705317">
      <w:bodyDiv w:val="1"/>
      <w:marLeft w:val="0"/>
      <w:marRight w:val="0"/>
      <w:marTop w:val="0"/>
      <w:marBottom w:val="0"/>
      <w:divBdr>
        <w:top w:val="none" w:sz="0" w:space="0" w:color="auto"/>
        <w:left w:val="none" w:sz="0" w:space="0" w:color="auto"/>
        <w:bottom w:val="none" w:sz="0" w:space="0" w:color="auto"/>
        <w:right w:val="none" w:sz="0" w:space="0" w:color="auto"/>
      </w:divBdr>
    </w:div>
    <w:div w:id="120341116">
      <w:bodyDiv w:val="1"/>
      <w:marLeft w:val="0"/>
      <w:marRight w:val="0"/>
      <w:marTop w:val="0"/>
      <w:marBottom w:val="0"/>
      <w:divBdr>
        <w:top w:val="none" w:sz="0" w:space="0" w:color="auto"/>
        <w:left w:val="none" w:sz="0" w:space="0" w:color="auto"/>
        <w:bottom w:val="none" w:sz="0" w:space="0" w:color="auto"/>
        <w:right w:val="none" w:sz="0" w:space="0" w:color="auto"/>
      </w:divBdr>
    </w:div>
    <w:div w:id="128522940">
      <w:bodyDiv w:val="1"/>
      <w:marLeft w:val="0"/>
      <w:marRight w:val="0"/>
      <w:marTop w:val="0"/>
      <w:marBottom w:val="0"/>
      <w:divBdr>
        <w:top w:val="none" w:sz="0" w:space="0" w:color="auto"/>
        <w:left w:val="none" w:sz="0" w:space="0" w:color="auto"/>
        <w:bottom w:val="none" w:sz="0" w:space="0" w:color="auto"/>
        <w:right w:val="none" w:sz="0" w:space="0" w:color="auto"/>
      </w:divBdr>
    </w:div>
    <w:div w:id="153954022">
      <w:bodyDiv w:val="1"/>
      <w:marLeft w:val="0"/>
      <w:marRight w:val="0"/>
      <w:marTop w:val="0"/>
      <w:marBottom w:val="0"/>
      <w:divBdr>
        <w:top w:val="none" w:sz="0" w:space="0" w:color="auto"/>
        <w:left w:val="none" w:sz="0" w:space="0" w:color="auto"/>
        <w:bottom w:val="none" w:sz="0" w:space="0" w:color="auto"/>
        <w:right w:val="none" w:sz="0" w:space="0" w:color="auto"/>
      </w:divBdr>
    </w:div>
    <w:div w:id="158423643">
      <w:bodyDiv w:val="1"/>
      <w:marLeft w:val="0"/>
      <w:marRight w:val="0"/>
      <w:marTop w:val="0"/>
      <w:marBottom w:val="0"/>
      <w:divBdr>
        <w:top w:val="none" w:sz="0" w:space="0" w:color="auto"/>
        <w:left w:val="none" w:sz="0" w:space="0" w:color="auto"/>
        <w:bottom w:val="none" w:sz="0" w:space="0" w:color="auto"/>
        <w:right w:val="none" w:sz="0" w:space="0" w:color="auto"/>
      </w:divBdr>
    </w:div>
    <w:div w:id="160587247">
      <w:bodyDiv w:val="1"/>
      <w:marLeft w:val="0"/>
      <w:marRight w:val="0"/>
      <w:marTop w:val="0"/>
      <w:marBottom w:val="0"/>
      <w:divBdr>
        <w:top w:val="none" w:sz="0" w:space="0" w:color="auto"/>
        <w:left w:val="none" w:sz="0" w:space="0" w:color="auto"/>
        <w:bottom w:val="none" w:sz="0" w:space="0" w:color="auto"/>
        <w:right w:val="none" w:sz="0" w:space="0" w:color="auto"/>
      </w:divBdr>
    </w:div>
    <w:div w:id="168720462">
      <w:bodyDiv w:val="1"/>
      <w:marLeft w:val="0"/>
      <w:marRight w:val="0"/>
      <w:marTop w:val="0"/>
      <w:marBottom w:val="0"/>
      <w:divBdr>
        <w:top w:val="none" w:sz="0" w:space="0" w:color="auto"/>
        <w:left w:val="none" w:sz="0" w:space="0" w:color="auto"/>
        <w:bottom w:val="none" w:sz="0" w:space="0" w:color="auto"/>
        <w:right w:val="none" w:sz="0" w:space="0" w:color="auto"/>
      </w:divBdr>
    </w:div>
    <w:div w:id="172647905">
      <w:bodyDiv w:val="1"/>
      <w:marLeft w:val="0"/>
      <w:marRight w:val="0"/>
      <w:marTop w:val="0"/>
      <w:marBottom w:val="0"/>
      <w:divBdr>
        <w:top w:val="none" w:sz="0" w:space="0" w:color="auto"/>
        <w:left w:val="none" w:sz="0" w:space="0" w:color="auto"/>
        <w:bottom w:val="none" w:sz="0" w:space="0" w:color="auto"/>
        <w:right w:val="none" w:sz="0" w:space="0" w:color="auto"/>
      </w:divBdr>
    </w:div>
    <w:div w:id="182473521">
      <w:bodyDiv w:val="1"/>
      <w:marLeft w:val="0"/>
      <w:marRight w:val="0"/>
      <w:marTop w:val="0"/>
      <w:marBottom w:val="0"/>
      <w:divBdr>
        <w:top w:val="none" w:sz="0" w:space="0" w:color="auto"/>
        <w:left w:val="none" w:sz="0" w:space="0" w:color="auto"/>
        <w:bottom w:val="none" w:sz="0" w:space="0" w:color="auto"/>
        <w:right w:val="none" w:sz="0" w:space="0" w:color="auto"/>
      </w:divBdr>
    </w:div>
    <w:div w:id="192378225">
      <w:bodyDiv w:val="1"/>
      <w:marLeft w:val="0"/>
      <w:marRight w:val="0"/>
      <w:marTop w:val="0"/>
      <w:marBottom w:val="0"/>
      <w:divBdr>
        <w:top w:val="none" w:sz="0" w:space="0" w:color="auto"/>
        <w:left w:val="none" w:sz="0" w:space="0" w:color="auto"/>
        <w:bottom w:val="none" w:sz="0" w:space="0" w:color="auto"/>
        <w:right w:val="none" w:sz="0" w:space="0" w:color="auto"/>
      </w:divBdr>
      <w:divsChild>
        <w:div w:id="1954511440">
          <w:marLeft w:val="0"/>
          <w:marRight w:val="0"/>
          <w:marTop w:val="0"/>
          <w:marBottom w:val="0"/>
          <w:divBdr>
            <w:top w:val="none" w:sz="0" w:space="0" w:color="auto"/>
            <w:left w:val="none" w:sz="0" w:space="0" w:color="auto"/>
            <w:bottom w:val="none" w:sz="0" w:space="0" w:color="auto"/>
            <w:right w:val="none" w:sz="0" w:space="0" w:color="auto"/>
          </w:divBdr>
        </w:div>
      </w:divsChild>
    </w:div>
    <w:div w:id="200367430">
      <w:bodyDiv w:val="1"/>
      <w:marLeft w:val="0"/>
      <w:marRight w:val="0"/>
      <w:marTop w:val="0"/>
      <w:marBottom w:val="0"/>
      <w:divBdr>
        <w:top w:val="none" w:sz="0" w:space="0" w:color="auto"/>
        <w:left w:val="none" w:sz="0" w:space="0" w:color="auto"/>
        <w:bottom w:val="none" w:sz="0" w:space="0" w:color="auto"/>
        <w:right w:val="none" w:sz="0" w:space="0" w:color="auto"/>
      </w:divBdr>
    </w:div>
    <w:div w:id="200829711">
      <w:bodyDiv w:val="1"/>
      <w:marLeft w:val="0"/>
      <w:marRight w:val="0"/>
      <w:marTop w:val="0"/>
      <w:marBottom w:val="0"/>
      <w:divBdr>
        <w:top w:val="none" w:sz="0" w:space="0" w:color="auto"/>
        <w:left w:val="none" w:sz="0" w:space="0" w:color="auto"/>
        <w:bottom w:val="none" w:sz="0" w:space="0" w:color="auto"/>
        <w:right w:val="none" w:sz="0" w:space="0" w:color="auto"/>
      </w:divBdr>
    </w:div>
    <w:div w:id="205263262">
      <w:bodyDiv w:val="1"/>
      <w:marLeft w:val="0"/>
      <w:marRight w:val="0"/>
      <w:marTop w:val="0"/>
      <w:marBottom w:val="0"/>
      <w:divBdr>
        <w:top w:val="none" w:sz="0" w:space="0" w:color="auto"/>
        <w:left w:val="none" w:sz="0" w:space="0" w:color="auto"/>
        <w:bottom w:val="none" w:sz="0" w:space="0" w:color="auto"/>
        <w:right w:val="none" w:sz="0" w:space="0" w:color="auto"/>
      </w:divBdr>
    </w:div>
    <w:div w:id="213389495">
      <w:bodyDiv w:val="1"/>
      <w:marLeft w:val="0"/>
      <w:marRight w:val="0"/>
      <w:marTop w:val="0"/>
      <w:marBottom w:val="0"/>
      <w:divBdr>
        <w:top w:val="none" w:sz="0" w:space="0" w:color="auto"/>
        <w:left w:val="none" w:sz="0" w:space="0" w:color="auto"/>
        <w:bottom w:val="none" w:sz="0" w:space="0" w:color="auto"/>
        <w:right w:val="none" w:sz="0" w:space="0" w:color="auto"/>
      </w:divBdr>
    </w:div>
    <w:div w:id="215245896">
      <w:bodyDiv w:val="1"/>
      <w:marLeft w:val="0"/>
      <w:marRight w:val="0"/>
      <w:marTop w:val="0"/>
      <w:marBottom w:val="0"/>
      <w:divBdr>
        <w:top w:val="none" w:sz="0" w:space="0" w:color="auto"/>
        <w:left w:val="none" w:sz="0" w:space="0" w:color="auto"/>
        <w:bottom w:val="none" w:sz="0" w:space="0" w:color="auto"/>
        <w:right w:val="none" w:sz="0" w:space="0" w:color="auto"/>
      </w:divBdr>
      <w:divsChild>
        <w:div w:id="179704150">
          <w:marLeft w:val="0"/>
          <w:marRight w:val="0"/>
          <w:marTop w:val="0"/>
          <w:marBottom w:val="0"/>
          <w:divBdr>
            <w:top w:val="none" w:sz="0" w:space="0" w:color="auto"/>
            <w:left w:val="none" w:sz="0" w:space="0" w:color="auto"/>
            <w:bottom w:val="none" w:sz="0" w:space="0" w:color="auto"/>
            <w:right w:val="none" w:sz="0" w:space="0" w:color="auto"/>
          </w:divBdr>
        </w:div>
      </w:divsChild>
    </w:div>
    <w:div w:id="223151942">
      <w:bodyDiv w:val="1"/>
      <w:marLeft w:val="0"/>
      <w:marRight w:val="0"/>
      <w:marTop w:val="0"/>
      <w:marBottom w:val="0"/>
      <w:divBdr>
        <w:top w:val="none" w:sz="0" w:space="0" w:color="auto"/>
        <w:left w:val="none" w:sz="0" w:space="0" w:color="auto"/>
        <w:bottom w:val="none" w:sz="0" w:space="0" w:color="auto"/>
        <w:right w:val="none" w:sz="0" w:space="0" w:color="auto"/>
      </w:divBdr>
    </w:div>
    <w:div w:id="244346162">
      <w:bodyDiv w:val="1"/>
      <w:marLeft w:val="0"/>
      <w:marRight w:val="0"/>
      <w:marTop w:val="0"/>
      <w:marBottom w:val="0"/>
      <w:divBdr>
        <w:top w:val="none" w:sz="0" w:space="0" w:color="auto"/>
        <w:left w:val="none" w:sz="0" w:space="0" w:color="auto"/>
        <w:bottom w:val="none" w:sz="0" w:space="0" w:color="auto"/>
        <w:right w:val="none" w:sz="0" w:space="0" w:color="auto"/>
      </w:divBdr>
    </w:div>
    <w:div w:id="252933715">
      <w:bodyDiv w:val="1"/>
      <w:marLeft w:val="0"/>
      <w:marRight w:val="0"/>
      <w:marTop w:val="0"/>
      <w:marBottom w:val="0"/>
      <w:divBdr>
        <w:top w:val="none" w:sz="0" w:space="0" w:color="auto"/>
        <w:left w:val="none" w:sz="0" w:space="0" w:color="auto"/>
        <w:bottom w:val="none" w:sz="0" w:space="0" w:color="auto"/>
        <w:right w:val="none" w:sz="0" w:space="0" w:color="auto"/>
      </w:divBdr>
    </w:div>
    <w:div w:id="254483589">
      <w:bodyDiv w:val="1"/>
      <w:marLeft w:val="0"/>
      <w:marRight w:val="0"/>
      <w:marTop w:val="0"/>
      <w:marBottom w:val="0"/>
      <w:divBdr>
        <w:top w:val="none" w:sz="0" w:space="0" w:color="auto"/>
        <w:left w:val="none" w:sz="0" w:space="0" w:color="auto"/>
        <w:bottom w:val="none" w:sz="0" w:space="0" w:color="auto"/>
        <w:right w:val="none" w:sz="0" w:space="0" w:color="auto"/>
      </w:divBdr>
    </w:div>
    <w:div w:id="260258357">
      <w:bodyDiv w:val="1"/>
      <w:marLeft w:val="0"/>
      <w:marRight w:val="0"/>
      <w:marTop w:val="0"/>
      <w:marBottom w:val="0"/>
      <w:divBdr>
        <w:top w:val="none" w:sz="0" w:space="0" w:color="auto"/>
        <w:left w:val="none" w:sz="0" w:space="0" w:color="auto"/>
        <w:bottom w:val="none" w:sz="0" w:space="0" w:color="auto"/>
        <w:right w:val="none" w:sz="0" w:space="0" w:color="auto"/>
      </w:divBdr>
    </w:div>
    <w:div w:id="263608610">
      <w:bodyDiv w:val="1"/>
      <w:marLeft w:val="0"/>
      <w:marRight w:val="0"/>
      <w:marTop w:val="0"/>
      <w:marBottom w:val="0"/>
      <w:divBdr>
        <w:top w:val="none" w:sz="0" w:space="0" w:color="auto"/>
        <w:left w:val="none" w:sz="0" w:space="0" w:color="auto"/>
        <w:bottom w:val="none" w:sz="0" w:space="0" w:color="auto"/>
        <w:right w:val="none" w:sz="0" w:space="0" w:color="auto"/>
      </w:divBdr>
      <w:divsChild>
        <w:div w:id="1897157211">
          <w:marLeft w:val="0"/>
          <w:marRight w:val="0"/>
          <w:marTop w:val="0"/>
          <w:marBottom w:val="0"/>
          <w:divBdr>
            <w:top w:val="none" w:sz="0" w:space="0" w:color="auto"/>
            <w:left w:val="none" w:sz="0" w:space="0" w:color="auto"/>
            <w:bottom w:val="none" w:sz="0" w:space="0" w:color="auto"/>
            <w:right w:val="none" w:sz="0" w:space="0" w:color="auto"/>
          </w:divBdr>
        </w:div>
      </w:divsChild>
    </w:div>
    <w:div w:id="286089652">
      <w:bodyDiv w:val="1"/>
      <w:marLeft w:val="0"/>
      <w:marRight w:val="0"/>
      <w:marTop w:val="0"/>
      <w:marBottom w:val="0"/>
      <w:divBdr>
        <w:top w:val="none" w:sz="0" w:space="0" w:color="auto"/>
        <w:left w:val="none" w:sz="0" w:space="0" w:color="auto"/>
        <w:bottom w:val="none" w:sz="0" w:space="0" w:color="auto"/>
        <w:right w:val="none" w:sz="0" w:space="0" w:color="auto"/>
      </w:divBdr>
    </w:div>
    <w:div w:id="290140195">
      <w:bodyDiv w:val="1"/>
      <w:marLeft w:val="0"/>
      <w:marRight w:val="0"/>
      <w:marTop w:val="0"/>
      <w:marBottom w:val="0"/>
      <w:divBdr>
        <w:top w:val="none" w:sz="0" w:space="0" w:color="auto"/>
        <w:left w:val="none" w:sz="0" w:space="0" w:color="auto"/>
        <w:bottom w:val="none" w:sz="0" w:space="0" w:color="auto"/>
        <w:right w:val="none" w:sz="0" w:space="0" w:color="auto"/>
      </w:divBdr>
      <w:divsChild>
        <w:div w:id="1637953029">
          <w:marLeft w:val="0"/>
          <w:marRight w:val="0"/>
          <w:marTop w:val="0"/>
          <w:marBottom w:val="0"/>
          <w:divBdr>
            <w:top w:val="none" w:sz="0" w:space="0" w:color="auto"/>
            <w:left w:val="none" w:sz="0" w:space="0" w:color="auto"/>
            <w:bottom w:val="none" w:sz="0" w:space="0" w:color="auto"/>
            <w:right w:val="none" w:sz="0" w:space="0" w:color="auto"/>
          </w:divBdr>
        </w:div>
      </w:divsChild>
    </w:div>
    <w:div w:id="290600399">
      <w:bodyDiv w:val="1"/>
      <w:marLeft w:val="0"/>
      <w:marRight w:val="0"/>
      <w:marTop w:val="0"/>
      <w:marBottom w:val="0"/>
      <w:divBdr>
        <w:top w:val="none" w:sz="0" w:space="0" w:color="auto"/>
        <w:left w:val="none" w:sz="0" w:space="0" w:color="auto"/>
        <w:bottom w:val="none" w:sz="0" w:space="0" w:color="auto"/>
        <w:right w:val="none" w:sz="0" w:space="0" w:color="auto"/>
      </w:divBdr>
    </w:div>
    <w:div w:id="295260607">
      <w:bodyDiv w:val="1"/>
      <w:marLeft w:val="0"/>
      <w:marRight w:val="0"/>
      <w:marTop w:val="0"/>
      <w:marBottom w:val="0"/>
      <w:divBdr>
        <w:top w:val="none" w:sz="0" w:space="0" w:color="auto"/>
        <w:left w:val="none" w:sz="0" w:space="0" w:color="auto"/>
        <w:bottom w:val="none" w:sz="0" w:space="0" w:color="auto"/>
        <w:right w:val="none" w:sz="0" w:space="0" w:color="auto"/>
      </w:divBdr>
    </w:div>
    <w:div w:id="336464853">
      <w:bodyDiv w:val="1"/>
      <w:marLeft w:val="0"/>
      <w:marRight w:val="0"/>
      <w:marTop w:val="0"/>
      <w:marBottom w:val="0"/>
      <w:divBdr>
        <w:top w:val="none" w:sz="0" w:space="0" w:color="auto"/>
        <w:left w:val="none" w:sz="0" w:space="0" w:color="auto"/>
        <w:bottom w:val="none" w:sz="0" w:space="0" w:color="auto"/>
        <w:right w:val="none" w:sz="0" w:space="0" w:color="auto"/>
      </w:divBdr>
    </w:div>
    <w:div w:id="338850858">
      <w:bodyDiv w:val="1"/>
      <w:marLeft w:val="0"/>
      <w:marRight w:val="0"/>
      <w:marTop w:val="0"/>
      <w:marBottom w:val="0"/>
      <w:divBdr>
        <w:top w:val="none" w:sz="0" w:space="0" w:color="auto"/>
        <w:left w:val="none" w:sz="0" w:space="0" w:color="auto"/>
        <w:bottom w:val="none" w:sz="0" w:space="0" w:color="auto"/>
        <w:right w:val="none" w:sz="0" w:space="0" w:color="auto"/>
      </w:divBdr>
    </w:div>
    <w:div w:id="344985137">
      <w:bodyDiv w:val="1"/>
      <w:marLeft w:val="0"/>
      <w:marRight w:val="0"/>
      <w:marTop w:val="0"/>
      <w:marBottom w:val="0"/>
      <w:divBdr>
        <w:top w:val="none" w:sz="0" w:space="0" w:color="auto"/>
        <w:left w:val="none" w:sz="0" w:space="0" w:color="auto"/>
        <w:bottom w:val="none" w:sz="0" w:space="0" w:color="auto"/>
        <w:right w:val="none" w:sz="0" w:space="0" w:color="auto"/>
      </w:divBdr>
    </w:div>
    <w:div w:id="350183638">
      <w:bodyDiv w:val="1"/>
      <w:marLeft w:val="0"/>
      <w:marRight w:val="0"/>
      <w:marTop w:val="0"/>
      <w:marBottom w:val="0"/>
      <w:divBdr>
        <w:top w:val="none" w:sz="0" w:space="0" w:color="auto"/>
        <w:left w:val="none" w:sz="0" w:space="0" w:color="auto"/>
        <w:bottom w:val="none" w:sz="0" w:space="0" w:color="auto"/>
        <w:right w:val="none" w:sz="0" w:space="0" w:color="auto"/>
      </w:divBdr>
    </w:div>
    <w:div w:id="354960695">
      <w:bodyDiv w:val="1"/>
      <w:marLeft w:val="0"/>
      <w:marRight w:val="0"/>
      <w:marTop w:val="0"/>
      <w:marBottom w:val="0"/>
      <w:divBdr>
        <w:top w:val="none" w:sz="0" w:space="0" w:color="auto"/>
        <w:left w:val="none" w:sz="0" w:space="0" w:color="auto"/>
        <w:bottom w:val="none" w:sz="0" w:space="0" w:color="auto"/>
        <w:right w:val="none" w:sz="0" w:space="0" w:color="auto"/>
      </w:divBdr>
    </w:div>
    <w:div w:id="356200623">
      <w:bodyDiv w:val="1"/>
      <w:marLeft w:val="0"/>
      <w:marRight w:val="0"/>
      <w:marTop w:val="0"/>
      <w:marBottom w:val="0"/>
      <w:divBdr>
        <w:top w:val="none" w:sz="0" w:space="0" w:color="auto"/>
        <w:left w:val="none" w:sz="0" w:space="0" w:color="auto"/>
        <w:bottom w:val="none" w:sz="0" w:space="0" w:color="auto"/>
        <w:right w:val="none" w:sz="0" w:space="0" w:color="auto"/>
      </w:divBdr>
    </w:div>
    <w:div w:id="388113995">
      <w:bodyDiv w:val="1"/>
      <w:marLeft w:val="0"/>
      <w:marRight w:val="0"/>
      <w:marTop w:val="0"/>
      <w:marBottom w:val="0"/>
      <w:divBdr>
        <w:top w:val="none" w:sz="0" w:space="0" w:color="auto"/>
        <w:left w:val="none" w:sz="0" w:space="0" w:color="auto"/>
        <w:bottom w:val="none" w:sz="0" w:space="0" w:color="auto"/>
        <w:right w:val="none" w:sz="0" w:space="0" w:color="auto"/>
      </w:divBdr>
    </w:div>
    <w:div w:id="394284124">
      <w:bodyDiv w:val="1"/>
      <w:marLeft w:val="0"/>
      <w:marRight w:val="0"/>
      <w:marTop w:val="0"/>
      <w:marBottom w:val="0"/>
      <w:divBdr>
        <w:top w:val="none" w:sz="0" w:space="0" w:color="auto"/>
        <w:left w:val="none" w:sz="0" w:space="0" w:color="auto"/>
        <w:bottom w:val="none" w:sz="0" w:space="0" w:color="auto"/>
        <w:right w:val="none" w:sz="0" w:space="0" w:color="auto"/>
      </w:divBdr>
    </w:div>
    <w:div w:id="399909795">
      <w:bodyDiv w:val="1"/>
      <w:marLeft w:val="0"/>
      <w:marRight w:val="0"/>
      <w:marTop w:val="0"/>
      <w:marBottom w:val="0"/>
      <w:divBdr>
        <w:top w:val="none" w:sz="0" w:space="0" w:color="auto"/>
        <w:left w:val="none" w:sz="0" w:space="0" w:color="auto"/>
        <w:bottom w:val="none" w:sz="0" w:space="0" w:color="auto"/>
        <w:right w:val="none" w:sz="0" w:space="0" w:color="auto"/>
      </w:divBdr>
      <w:divsChild>
        <w:div w:id="1009452837">
          <w:marLeft w:val="0"/>
          <w:marRight w:val="0"/>
          <w:marTop w:val="0"/>
          <w:marBottom w:val="0"/>
          <w:divBdr>
            <w:top w:val="none" w:sz="0" w:space="0" w:color="auto"/>
            <w:left w:val="none" w:sz="0" w:space="0" w:color="auto"/>
            <w:bottom w:val="none" w:sz="0" w:space="0" w:color="auto"/>
            <w:right w:val="none" w:sz="0" w:space="0" w:color="auto"/>
          </w:divBdr>
        </w:div>
      </w:divsChild>
    </w:div>
    <w:div w:id="409814013">
      <w:bodyDiv w:val="1"/>
      <w:marLeft w:val="0"/>
      <w:marRight w:val="0"/>
      <w:marTop w:val="0"/>
      <w:marBottom w:val="0"/>
      <w:divBdr>
        <w:top w:val="none" w:sz="0" w:space="0" w:color="auto"/>
        <w:left w:val="none" w:sz="0" w:space="0" w:color="auto"/>
        <w:bottom w:val="none" w:sz="0" w:space="0" w:color="auto"/>
        <w:right w:val="none" w:sz="0" w:space="0" w:color="auto"/>
      </w:divBdr>
    </w:div>
    <w:div w:id="440615426">
      <w:bodyDiv w:val="1"/>
      <w:marLeft w:val="0"/>
      <w:marRight w:val="0"/>
      <w:marTop w:val="0"/>
      <w:marBottom w:val="0"/>
      <w:divBdr>
        <w:top w:val="none" w:sz="0" w:space="0" w:color="auto"/>
        <w:left w:val="none" w:sz="0" w:space="0" w:color="auto"/>
        <w:bottom w:val="none" w:sz="0" w:space="0" w:color="auto"/>
        <w:right w:val="none" w:sz="0" w:space="0" w:color="auto"/>
      </w:divBdr>
    </w:div>
    <w:div w:id="443311816">
      <w:bodyDiv w:val="1"/>
      <w:marLeft w:val="0"/>
      <w:marRight w:val="0"/>
      <w:marTop w:val="0"/>
      <w:marBottom w:val="0"/>
      <w:divBdr>
        <w:top w:val="none" w:sz="0" w:space="0" w:color="auto"/>
        <w:left w:val="none" w:sz="0" w:space="0" w:color="auto"/>
        <w:bottom w:val="none" w:sz="0" w:space="0" w:color="auto"/>
        <w:right w:val="none" w:sz="0" w:space="0" w:color="auto"/>
      </w:divBdr>
    </w:div>
    <w:div w:id="449863010">
      <w:bodyDiv w:val="1"/>
      <w:marLeft w:val="0"/>
      <w:marRight w:val="0"/>
      <w:marTop w:val="0"/>
      <w:marBottom w:val="0"/>
      <w:divBdr>
        <w:top w:val="none" w:sz="0" w:space="0" w:color="auto"/>
        <w:left w:val="none" w:sz="0" w:space="0" w:color="auto"/>
        <w:bottom w:val="none" w:sz="0" w:space="0" w:color="auto"/>
        <w:right w:val="none" w:sz="0" w:space="0" w:color="auto"/>
      </w:divBdr>
    </w:div>
    <w:div w:id="487867550">
      <w:bodyDiv w:val="1"/>
      <w:marLeft w:val="0"/>
      <w:marRight w:val="0"/>
      <w:marTop w:val="0"/>
      <w:marBottom w:val="0"/>
      <w:divBdr>
        <w:top w:val="none" w:sz="0" w:space="0" w:color="auto"/>
        <w:left w:val="none" w:sz="0" w:space="0" w:color="auto"/>
        <w:bottom w:val="none" w:sz="0" w:space="0" w:color="auto"/>
        <w:right w:val="none" w:sz="0" w:space="0" w:color="auto"/>
      </w:divBdr>
    </w:div>
    <w:div w:id="530263536">
      <w:bodyDiv w:val="1"/>
      <w:marLeft w:val="0"/>
      <w:marRight w:val="0"/>
      <w:marTop w:val="0"/>
      <w:marBottom w:val="0"/>
      <w:divBdr>
        <w:top w:val="none" w:sz="0" w:space="0" w:color="auto"/>
        <w:left w:val="none" w:sz="0" w:space="0" w:color="auto"/>
        <w:bottom w:val="none" w:sz="0" w:space="0" w:color="auto"/>
        <w:right w:val="none" w:sz="0" w:space="0" w:color="auto"/>
      </w:divBdr>
    </w:div>
    <w:div w:id="541867716">
      <w:bodyDiv w:val="1"/>
      <w:marLeft w:val="0"/>
      <w:marRight w:val="0"/>
      <w:marTop w:val="0"/>
      <w:marBottom w:val="0"/>
      <w:divBdr>
        <w:top w:val="none" w:sz="0" w:space="0" w:color="auto"/>
        <w:left w:val="none" w:sz="0" w:space="0" w:color="auto"/>
        <w:bottom w:val="none" w:sz="0" w:space="0" w:color="auto"/>
        <w:right w:val="none" w:sz="0" w:space="0" w:color="auto"/>
      </w:divBdr>
    </w:div>
    <w:div w:id="554437808">
      <w:bodyDiv w:val="1"/>
      <w:marLeft w:val="0"/>
      <w:marRight w:val="0"/>
      <w:marTop w:val="0"/>
      <w:marBottom w:val="0"/>
      <w:divBdr>
        <w:top w:val="none" w:sz="0" w:space="0" w:color="auto"/>
        <w:left w:val="none" w:sz="0" w:space="0" w:color="auto"/>
        <w:bottom w:val="none" w:sz="0" w:space="0" w:color="auto"/>
        <w:right w:val="none" w:sz="0" w:space="0" w:color="auto"/>
      </w:divBdr>
    </w:div>
    <w:div w:id="556210205">
      <w:bodyDiv w:val="1"/>
      <w:marLeft w:val="0"/>
      <w:marRight w:val="0"/>
      <w:marTop w:val="0"/>
      <w:marBottom w:val="0"/>
      <w:divBdr>
        <w:top w:val="none" w:sz="0" w:space="0" w:color="auto"/>
        <w:left w:val="none" w:sz="0" w:space="0" w:color="auto"/>
        <w:bottom w:val="none" w:sz="0" w:space="0" w:color="auto"/>
        <w:right w:val="none" w:sz="0" w:space="0" w:color="auto"/>
      </w:divBdr>
    </w:div>
    <w:div w:id="558252278">
      <w:bodyDiv w:val="1"/>
      <w:marLeft w:val="0"/>
      <w:marRight w:val="0"/>
      <w:marTop w:val="0"/>
      <w:marBottom w:val="0"/>
      <w:divBdr>
        <w:top w:val="none" w:sz="0" w:space="0" w:color="auto"/>
        <w:left w:val="none" w:sz="0" w:space="0" w:color="auto"/>
        <w:bottom w:val="none" w:sz="0" w:space="0" w:color="auto"/>
        <w:right w:val="none" w:sz="0" w:space="0" w:color="auto"/>
      </w:divBdr>
    </w:div>
    <w:div w:id="563375039">
      <w:bodyDiv w:val="1"/>
      <w:marLeft w:val="0"/>
      <w:marRight w:val="0"/>
      <w:marTop w:val="0"/>
      <w:marBottom w:val="0"/>
      <w:divBdr>
        <w:top w:val="none" w:sz="0" w:space="0" w:color="auto"/>
        <w:left w:val="none" w:sz="0" w:space="0" w:color="auto"/>
        <w:bottom w:val="none" w:sz="0" w:space="0" w:color="auto"/>
        <w:right w:val="none" w:sz="0" w:space="0" w:color="auto"/>
      </w:divBdr>
    </w:div>
    <w:div w:id="571307372">
      <w:bodyDiv w:val="1"/>
      <w:marLeft w:val="0"/>
      <w:marRight w:val="0"/>
      <w:marTop w:val="0"/>
      <w:marBottom w:val="0"/>
      <w:divBdr>
        <w:top w:val="none" w:sz="0" w:space="0" w:color="auto"/>
        <w:left w:val="none" w:sz="0" w:space="0" w:color="auto"/>
        <w:bottom w:val="none" w:sz="0" w:space="0" w:color="auto"/>
        <w:right w:val="none" w:sz="0" w:space="0" w:color="auto"/>
      </w:divBdr>
    </w:div>
    <w:div w:id="571618010">
      <w:bodyDiv w:val="1"/>
      <w:marLeft w:val="0"/>
      <w:marRight w:val="0"/>
      <w:marTop w:val="0"/>
      <w:marBottom w:val="0"/>
      <w:divBdr>
        <w:top w:val="none" w:sz="0" w:space="0" w:color="auto"/>
        <w:left w:val="none" w:sz="0" w:space="0" w:color="auto"/>
        <w:bottom w:val="none" w:sz="0" w:space="0" w:color="auto"/>
        <w:right w:val="none" w:sz="0" w:space="0" w:color="auto"/>
      </w:divBdr>
    </w:div>
    <w:div w:id="572660612">
      <w:bodyDiv w:val="1"/>
      <w:marLeft w:val="0"/>
      <w:marRight w:val="0"/>
      <w:marTop w:val="0"/>
      <w:marBottom w:val="0"/>
      <w:divBdr>
        <w:top w:val="none" w:sz="0" w:space="0" w:color="auto"/>
        <w:left w:val="none" w:sz="0" w:space="0" w:color="auto"/>
        <w:bottom w:val="none" w:sz="0" w:space="0" w:color="auto"/>
        <w:right w:val="none" w:sz="0" w:space="0" w:color="auto"/>
      </w:divBdr>
      <w:divsChild>
        <w:div w:id="1915431259">
          <w:marLeft w:val="0"/>
          <w:marRight w:val="0"/>
          <w:marTop w:val="0"/>
          <w:marBottom w:val="0"/>
          <w:divBdr>
            <w:top w:val="none" w:sz="0" w:space="0" w:color="auto"/>
            <w:left w:val="none" w:sz="0" w:space="0" w:color="auto"/>
            <w:bottom w:val="none" w:sz="0" w:space="0" w:color="auto"/>
            <w:right w:val="none" w:sz="0" w:space="0" w:color="auto"/>
          </w:divBdr>
        </w:div>
      </w:divsChild>
    </w:div>
    <w:div w:id="575938806">
      <w:bodyDiv w:val="1"/>
      <w:marLeft w:val="0"/>
      <w:marRight w:val="0"/>
      <w:marTop w:val="0"/>
      <w:marBottom w:val="0"/>
      <w:divBdr>
        <w:top w:val="none" w:sz="0" w:space="0" w:color="auto"/>
        <w:left w:val="none" w:sz="0" w:space="0" w:color="auto"/>
        <w:bottom w:val="none" w:sz="0" w:space="0" w:color="auto"/>
        <w:right w:val="none" w:sz="0" w:space="0" w:color="auto"/>
      </w:divBdr>
    </w:div>
    <w:div w:id="581992395">
      <w:bodyDiv w:val="1"/>
      <w:marLeft w:val="0"/>
      <w:marRight w:val="0"/>
      <w:marTop w:val="0"/>
      <w:marBottom w:val="0"/>
      <w:divBdr>
        <w:top w:val="none" w:sz="0" w:space="0" w:color="auto"/>
        <w:left w:val="none" w:sz="0" w:space="0" w:color="auto"/>
        <w:bottom w:val="none" w:sz="0" w:space="0" w:color="auto"/>
        <w:right w:val="none" w:sz="0" w:space="0" w:color="auto"/>
      </w:divBdr>
    </w:div>
    <w:div w:id="598677979">
      <w:bodyDiv w:val="1"/>
      <w:marLeft w:val="0"/>
      <w:marRight w:val="0"/>
      <w:marTop w:val="0"/>
      <w:marBottom w:val="0"/>
      <w:divBdr>
        <w:top w:val="none" w:sz="0" w:space="0" w:color="auto"/>
        <w:left w:val="none" w:sz="0" w:space="0" w:color="auto"/>
        <w:bottom w:val="none" w:sz="0" w:space="0" w:color="auto"/>
        <w:right w:val="none" w:sz="0" w:space="0" w:color="auto"/>
      </w:divBdr>
    </w:div>
    <w:div w:id="603221952">
      <w:bodyDiv w:val="1"/>
      <w:marLeft w:val="0"/>
      <w:marRight w:val="0"/>
      <w:marTop w:val="0"/>
      <w:marBottom w:val="0"/>
      <w:divBdr>
        <w:top w:val="none" w:sz="0" w:space="0" w:color="auto"/>
        <w:left w:val="none" w:sz="0" w:space="0" w:color="auto"/>
        <w:bottom w:val="none" w:sz="0" w:space="0" w:color="auto"/>
        <w:right w:val="none" w:sz="0" w:space="0" w:color="auto"/>
      </w:divBdr>
    </w:div>
    <w:div w:id="608247169">
      <w:bodyDiv w:val="1"/>
      <w:marLeft w:val="0"/>
      <w:marRight w:val="0"/>
      <w:marTop w:val="0"/>
      <w:marBottom w:val="0"/>
      <w:divBdr>
        <w:top w:val="none" w:sz="0" w:space="0" w:color="auto"/>
        <w:left w:val="none" w:sz="0" w:space="0" w:color="auto"/>
        <w:bottom w:val="none" w:sz="0" w:space="0" w:color="auto"/>
        <w:right w:val="none" w:sz="0" w:space="0" w:color="auto"/>
      </w:divBdr>
    </w:div>
    <w:div w:id="620452434">
      <w:bodyDiv w:val="1"/>
      <w:marLeft w:val="0"/>
      <w:marRight w:val="0"/>
      <w:marTop w:val="0"/>
      <w:marBottom w:val="0"/>
      <w:divBdr>
        <w:top w:val="none" w:sz="0" w:space="0" w:color="auto"/>
        <w:left w:val="none" w:sz="0" w:space="0" w:color="auto"/>
        <w:bottom w:val="none" w:sz="0" w:space="0" w:color="auto"/>
        <w:right w:val="none" w:sz="0" w:space="0" w:color="auto"/>
      </w:divBdr>
    </w:div>
    <w:div w:id="627668398">
      <w:bodyDiv w:val="1"/>
      <w:marLeft w:val="0"/>
      <w:marRight w:val="0"/>
      <w:marTop w:val="0"/>
      <w:marBottom w:val="0"/>
      <w:divBdr>
        <w:top w:val="none" w:sz="0" w:space="0" w:color="auto"/>
        <w:left w:val="none" w:sz="0" w:space="0" w:color="auto"/>
        <w:bottom w:val="none" w:sz="0" w:space="0" w:color="auto"/>
        <w:right w:val="none" w:sz="0" w:space="0" w:color="auto"/>
      </w:divBdr>
    </w:div>
    <w:div w:id="628971221">
      <w:bodyDiv w:val="1"/>
      <w:marLeft w:val="0"/>
      <w:marRight w:val="0"/>
      <w:marTop w:val="0"/>
      <w:marBottom w:val="0"/>
      <w:divBdr>
        <w:top w:val="none" w:sz="0" w:space="0" w:color="auto"/>
        <w:left w:val="none" w:sz="0" w:space="0" w:color="auto"/>
        <w:bottom w:val="none" w:sz="0" w:space="0" w:color="auto"/>
        <w:right w:val="none" w:sz="0" w:space="0" w:color="auto"/>
      </w:divBdr>
    </w:div>
    <w:div w:id="661155534">
      <w:bodyDiv w:val="1"/>
      <w:marLeft w:val="0"/>
      <w:marRight w:val="0"/>
      <w:marTop w:val="0"/>
      <w:marBottom w:val="0"/>
      <w:divBdr>
        <w:top w:val="none" w:sz="0" w:space="0" w:color="auto"/>
        <w:left w:val="none" w:sz="0" w:space="0" w:color="auto"/>
        <w:bottom w:val="none" w:sz="0" w:space="0" w:color="auto"/>
        <w:right w:val="none" w:sz="0" w:space="0" w:color="auto"/>
      </w:divBdr>
    </w:div>
    <w:div w:id="664165542">
      <w:bodyDiv w:val="1"/>
      <w:marLeft w:val="0"/>
      <w:marRight w:val="0"/>
      <w:marTop w:val="0"/>
      <w:marBottom w:val="0"/>
      <w:divBdr>
        <w:top w:val="none" w:sz="0" w:space="0" w:color="auto"/>
        <w:left w:val="none" w:sz="0" w:space="0" w:color="auto"/>
        <w:bottom w:val="none" w:sz="0" w:space="0" w:color="auto"/>
        <w:right w:val="none" w:sz="0" w:space="0" w:color="auto"/>
      </w:divBdr>
    </w:div>
    <w:div w:id="688069620">
      <w:bodyDiv w:val="1"/>
      <w:marLeft w:val="0"/>
      <w:marRight w:val="0"/>
      <w:marTop w:val="0"/>
      <w:marBottom w:val="0"/>
      <w:divBdr>
        <w:top w:val="none" w:sz="0" w:space="0" w:color="auto"/>
        <w:left w:val="none" w:sz="0" w:space="0" w:color="auto"/>
        <w:bottom w:val="none" w:sz="0" w:space="0" w:color="auto"/>
        <w:right w:val="none" w:sz="0" w:space="0" w:color="auto"/>
      </w:divBdr>
    </w:div>
    <w:div w:id="689600660">
      <w:bodyDiv w:val="1"/>
      <w:marLeft w:val="0"/>
      <w:marRight w:val="0"/>
      <w:marTop w:val="0"/>
      <w:marBottom w:val="0"/>
      <w:divBdr>
        <w:top w:val="none" w:sz="0" w:space="0" w:color="auto"/>
        <w:left w:val="none" w:sz="0" w:space="0" w:color="auto"/>
        <w:bottom w:val="none" w:sz="0" w:space="0" w:color="auto"/>
        <w:right w:val="none" w:sz="0" w:space="0" w:color="auto"/>
      </w:divBdr>
    </w:div>
    <w:div w:id="691305689">
      <w:bodyDiv w:val="1"/>
      <w:marLeft w:val="0"/>
      <w:marRight w:val="0"/>
      <w:marTop w:val="0"/>
      <w:marBottom w:val="0"/>
      <w:divBdr>
        <w:top w:val="none" w:sz="0" w:space="0" w:color="auto"/>
        <w:left w:val="none" w:sz="0" w:space="0" w:color="auto"/>
        <w:bottom w:val="none" w:sz="0" w:space="0" w:color="auto"/>
        <w:right w:val="none" w:sz="0" w:space="0" w:color="auto"/>
      </w:divBdr>
    </w:div>
    <w:div w:id="714350178">
      <w:bodyDiv w:val="1"/>
      <w:marLeft w:val="0"/>
      <w:marRight w:val="0"/>
      <w:marTop w:val="0"/>
      <w:marBottom w:val="0"/>
      <w:divBdr>
        <w:top w:val="none" w:sz="0" w:space="0" w:color="auto"/>
        <w:left w:val="none" w:sz="0" w:space="0" w:color="auto"/>
        <w:bottom w:val="none" w:sz="0" w:space="0" w:color="auto"/>
        <w:right w:val="none" w:sz="0" w:space="0" w:color="auto"/>
      </w:divBdr>
    </w:div>
    <w:div w:id="727072297">
      <w:bodyDiv w:val="1"/>
      <w:marLeft w:val="0"/>
      <w:marRight w:val="0"/>
      <w:marTop w:val="0"/>
      <w:marBottom w:val="0"/>
      <w:divBdr>
        <w:top w:val="none" w:sz="0" w:space="0" w:color="auto"/>
        <w:left w:val="none" w:sz="0" w:space="0" w:color="auto"/>
        <w:bottom w:val="none" w:sz="0" w:space="0" w:color="auto"/>
        <w:right w:val="none" w:sz="0" w:space="0" w:color="auto"/>
      </w:divBdr>
    </w:div>
    <w:div w:id="730230754">
      <w:bodyDiv w:val="1"/>
      <w:marLeft w:val="0"/>
      <w:marRight w:val="0"/>
      <w:marTop w:val="0"/>
      <w:marBottom w:val="0"/>
      <w:divBdr>
        <w:top w:val="none" w:sz="0" w:space="0" w:color="auto"/>
        <w:left w:val="none" w:sz="0" w:space="0" w:color="auto"/>
        <w:bottom w:val="none" w:sz="0" w:space="0" w:color="auto"/>
        <w:right w:val="none" w:sz="0" w:space="0" w:color="auto"/>
      </w:divBdr>
    </w:div>
    <w:div w:id="760956194">
      <w:bodyDiv w:val="1"/>
      <w:marLeft w:val="0"/>
      <w:marRight w:val="0"/>
      <w:marTop w:val="0"/>
      <w:marBottom w:val="0"/>
      <w:divBdr>
        <w:top w:val="none" w:sz="0" w:space="0" w:color="auto"/>
        <w:left w:val="none" w:sz="0" w:space="0" w:color="auto"/>
        <w:bottom w:val="none" w:sz="0" w:space="0" w:color="auto"/>
        <w:right w:val="none" w:sz="0" w:space="0" w:color="auto"/>
      </w:divBdr>
    </w:div>
    <w:div w:id="761948884">
      <w:bodyDiv w:val="1"/>
      <w:marLeft w:val="0"/>
      <w:marRight w:val="0"/>
      <w:marTop w:val="0"/>
      <w:marBottom w:val="0"/>
      <w:divBdr>
        <w:top w:val="none" w:sz="0" w:space="0" w:color="auto"/>
        <w:left w:val="none" w:sz="0" w:space="0" w:color="auto"/>
        <w:bottom w:val="none" w:sz="0" w:space="0" w:color="auto"/>
        <w:right w:val="none" w:sz="0" w:space="0" w:color="auto"/>
      </w:divBdr>
    </w:div>
    <w:div w:id="774860502">
      <w:bodyDiv w:val="1"/>
      <w:marLeft w:val="0"/>
      <w:marRight w:val="0"/>
      <w:marTop w:val="0"/>
      <w:marBottom w:val="0"/>
      <w:divBdr>
        <w:top w:val="none" w:sz="0" w:space="0" w:color="auto"/>
        <w:left w:val="none" w:sz="0" w:space="0" w:color="auto"/>
        <w:bottom w:val="none" w:sz="0" w:space="0" w:color="auto"/>
        <w:right w:val="none" w:sz="0" w:space="0" w:color="auto"/>
      </w:divBdr>
    </w:div>
    <w:div w:id="780493769">
      <w:bodyDiv w:val="1"/>
      <w:marLeft w:val="0"/>
      <w:marRight w:val="0"/>
      <w:marTop w:val="0"/>
      <w:marBottom w:val="0"/>
      <w:divBdr>
        <w:top w:val="none" w:sz="0" w:space="0" w:color="auto"/>
        <w:left w:val="none" w:sz="0" w:space="0" w:color="auto"/>
        <w:bottom w:val="none" w:sz="0" w:space="0" w:color="auto"/>
        <w:right w:val="none" w:sz="0" w:space="0" w:color="auto"/>
      </w:divBdr>
    </w:div>
    <w:div w:id="802238584">
      <w:bodyDiv w:val="1"/>
      <w:marLeft w:val="0"/>
      <w:marRight w:val="0"/>
      <w:marTop w:val="0"/>
      <w:marBottom w:val="0"/>
      <w:divBdr>
        <w:top w:val="none" w:sz="0" w:space="0" w:color="auto"/>
        <w:left w:val="none" w:sz="0" w:space="0" w:color="auto"/>
        <w:bottom w:val="none" w:sz="0" w:space="0" w:color="auto"/>
        <w:right w:val="none" w:sz="0" w:space="0" w:color="auto"/>
      </w:divBdr>
    </w:div>
    <w:div w:id="814103486">
      <w:bodyDiv w:val="1"/>
      <w:marLeft w:val="0"/>
      <w:marRight w:val="0"/>
      <w:marTop w:val="0"/>
      <w:marBottom w:val="0"/>
      <w:divBdr>
        <w:top w:val="none" w:sz="0" w:space="0" w:color="auto"/>
        <w:left w:val="none" w:sz="0" w:space="0" w:color="auto"/>
        <w:bottom w:val="none" w:sz="0" w:space="0" w:color="auto"/>
        <w:right w:val="none" w:sz="0" w:space="0" w:color="auto"/>
      </w:divBdr>
    </w:div>
    <w:div w:id="842936630">
      <w:bodyDiv w:val="1"/>
      <w:marLeft w:val="0"/>
      <w:marRight w:val="0"/>
      <w:marTop w:val="0"/>
      <w:marBottom w:val="0"/>
      <w:divBdr>
        <w:top w:val="none" w:sz="0" w:space="0" w:color="auto"/>
        <w:left w:val="none" w:sz="0" w:space="0" w:color="auto"/>
        <w:bottom w:val="none" w:sz="0" w:space="0" w:color="auto"/>
        <w:right w:val="none" w:sz="0" w:space="0" w:color="auto"/>
      </w:divBdr>
      <w:divsChild>
        <w:div w:id="1480031859">
          <w:marLeft w:val="0"/>
          <w:marRight w:val="0"/>
          <w:marTop w:val="0"/>
          <w:marBottom w:val="0"/>
          <w:divBdr>
            <w:top w:val="none" w:sz="0" w:space="0" w:color="auto"/>
            <w:left w:val="none" w:sz="0" w:space="0" w:color="auto"/>
            <w:bottom w:val="none" w:sz="0" w:space="0" w:color="auto"/>
            <w:right w:val="none" w:sz="0" w:space="0" w:color="auto"/>
          </w:divBdr>
        </w:div>
      </w:divsChild>
    </w:div>
    <w:div w:id="846018583">
      <w:bodyDiv w:val="1"/>
      <w:marLeft w:val="0"/>
      <w:marRight w:val="0"/>
      <w:marTop w:val="0"/>
      <w:marBottom w:val="0"/>
      <w:divBdr>
        <w:top w:val="none" w:sz="0" w:space="0" w:color="auto"/>
        <w:left w:val="none" w:sz="0" w:space="0" w:color="auto"/>
        <w:bottom w:val="none" w:sz="0" w:space="0" w:color="auto"/>
        <w:right w:val="none" w:sz="0" w:space="0" w:color="auto"/>
      </w:divBdr>
    </w:div>
    <w:div w:id="849296925">
      <w:bodyDiv w:val="1"/>
      <w:marLeft w:val="0"/>
      <w:marRight w:val="0"/>
      <w:marTop w:val="0"/>
      <w:marBottom w:val="0"/>
      <w:divBdr>
        <w:top w:val="none" w:sz="0" w:space="0" w:color="auto"/>
        <w:left w:val="none" w:sz="0" w:space="0" w:color="auto"/>
        <w:bottom w:val="none" w:sz="0" w:space="0" w:color="auto"/>
        <w:right w:val="none" w:sz="0" w:space="0" w:color="auto"/>
      </w:divBdr>
    </w:div>
    <w:div w:id="868185425">
      <w:bodyDiv w:val="1"/>
      <w:marLeft w:val="0"/>
      <w:marRight w:val="0"/>
      <w:marTop w:val="0"/>
      <w:marBottom w:val="0"/>
      <w:divBdr>
        <w:top w:val="none" w:sz="0" w:space="0" w:color="auto"/>
        <w:left w:val="none" w:sz="0" w:space="0" w:color="auto"/>
        <w:bottom w:val="none" w:sz="0" w:space="0" w:color="auto"/>
        <w:right w:val="none" w:sz="0" w:space="0" w:color="auto"/>
      </w:divBdr>
    </w:div>
    <w:div w:id="885795895">
      <w:bodyDiv w:val="1"/>
      <w:marLeft w:val="0"/>
      <w:marRight w:val="0"/>
      <w:marTop w:val="0"/>
      <w:marBottom w:val="0"/>
      <w:divBdr>
        <w:top w:val="none" w:sz="0" w:space="0" w:color="auto"/>
        <w:left w:val="none" w:sz="0" w:space="0" w:color="auto"/>
        <w:bottom w:val="none" w:sz="0" w:space="0" w:color="auto"/>
        <w:right w:val="none" w:sz="0" w:space="0" w:color="auto"/>
      </w:divBdr>
    </w:div>
    <w:div w:id="917710407">
      <w:bodyDiv w:val="1"/>
      <w:marLeft w:val="0"/>
      <w:marRight w:val="0"/>
      <w:marTop w:val="0"/>
      <w:marBottom w:val="0"/>
      <w:divBdr>
        <w:top w:val="none" w:sz="0" w:space="0" w:color="auto"/>
        <w:left w:val="none" w:sz="0" w:space="0" w:color="auto"/>
        <w:bottom w:val="none" w:sz="0" w:space="0" w:color="auto"/>
        <w:right w:val="none" w:sz="0" w:space="0" w:color="auto"/>
      </w:divBdr>
    </w:div>
    <w:div w:id="926384040">
      <w:bodyDiv w:val="1"/>
      <w:marLeft w:val="0"/>
      <w:marRight w:val="0"/>
      <w:marTop w:val="0"/>
      <w:marBottom w:val="0"/>
      <w:divBdr>
        <w:top w:val="none" w:sz="0" w:space="0" w:color="auto"/>
        <w:left w:val="none" w:sz="0" w:space="0" w:color="auto"/>
        <w:bottom w:val="none" w:sz="0" w:space="0" w:color="auto"/>
        <w:right w:val="none" w:sz="0" w:space="0" w:color="auto"/>
      </w:divBdr>
    </w:div>
    <w:div w:id="932394100">
      <w:bodyDiv w:val="1"/>
      <w:marLeft w:val="0"/>
      <w:marRight w:val="0"/>
      <w:marTop w:val="0"/>
      <w:marBottom w:val="0"/>
      <w:divBdr>
        <w:top w:val="none" w:sz="0" w:space="0" w:color="auto"/>
        <w:left w:val="none" w:sz="0" w:space="0" w:color="auto"/>
        <w:bottom w:val="none" w:sz="0" w:space="0" w:color="auto"/>
        <w:right w:val="none" w:sz="0" w:space="0" w:color="auto"/>
      </w:divBdr>
    </w:div>
    <w:div w:id="941762278">
      <w:bodyDiv w:val="1"/>
      <w:marLeft w:val="0"/>
      <w:marRight w:val="0"/>
      <w:marTop w:val="0"/>
      <w:marBottom w:val="0"/>
      <w:divBdr>
        <w:top w:val="none" w:sz="0" w:space="0" w:color="auto"/>
        <w:left w:val="none" w:sz="0" w:space="0" w:color="auto"/>
        <w:bottom w:val="none" w:sz="0" w:space="0" w:color="auto"/>
        <w:right w:val="none" w:sz="0" w:space="0" w:color="auto"/>
      </w:divBdr>
    </w:div>
    <w:div w:id="954796880">
      <w:bodyDiv w:val="1"/>
      <w:marLeft w:val="0"/>
      <w:marRight w:val="0"/>
      <w:marTop w:val="0"/>
      <w:marBottom w:val="0"/>
      <w:divBdr>
        <w:top w:val="none" w:sz="0" w:space="0" w:color="auto"/>
        <w:left w:val="none" w:sz="0" w:space="0" w:color="auto"/>
        <w:bottom w:val="none" w:sz="0" w:space="0" w:color="auto"/>
        <w:right w:val="none" w:sz="0" w:space="0" w:color="auto"/>
      </w:divBdr>
    </w:div>
    <w:div w:id="1028263306">
      <w:bodyDiv w:val="1"/>
      <w:marLeft w:val="0"/>
      <w:marRight w:val="0"/>
      <w:marTop w:val="0"/>
      <w:marBottom w:val="0"/>
      <w:divBdr>
        <w:top w:val="none" w:sz="0" w:space="0" w:color="auto"/>
        <w:left w:val="none" w:sz="0" w:space="0" w:color="auto"/>
        <w:bottom w:val="none" w:sz="0" w:space="0" w:color="auto"/>
        <w:right w:val="none" w:sz="0" w:space="0" w:color="auto"/>
      </w:divBdr>
    </w:div>
    <w:div w:id="1031490238">
      <w:bodyDiv w:val="1"/>
      <w:marLeft w:val="0"/>
      <w:marRight w:val="0"/>
      <w:marTop w:val="0"/>
      <w:marBottom w:val="0"/>
      <w:divBdr>
        <w:top w:val="none" w:sz="0" w:space="0" w:color="auto"/>
        <w:left w:val="none" w:sz="0" w:space="0" w:color="auto"/>
        <w:bottom w:val="none" w:sz="0" w:space="0" w:color="auto"/>
        <w:right w:val="none" w:sz="0" w:space="0" w:color="auto"/>
      </w:divBdr>
    </w:div>
    <w:div w:id="1042167471">
      <w:bodyDiv w:val="1"/>
      <w:marLeft w:val="0"/>
      <w:marRight w:val="0"/>
      <w:marTop w:val="0"/>
      <w:marBottom w:val="0"/>
      <w:divBdr>
        <w:top w:val="none" w:sz="0" w:space="0" w:color="auto"/>
        <w:left w:val="none" w:sz="0" w:space="0" w:color="auto"/>
        <w:bottom w:val="none" w:sz="0" w:space="0" w:color="auto"/>
        <w:right w:val="none" w:sz="0" w:space="0" w:color="auto"/>
      </w:divBdr>
    </w:div>
    <w:div w:id="1042708482">
      <w:bodyDiv w:val="1"/>
      <w:marLeft w:val="0"/>
      <w:marRight w:val="0"/>
      <w:marTop w:val="0"/>
      <w:marBottom w:val="0"/>
      <w:divBdr>
        <w:top w:val="none" w:sz="0" w:space="0" w:color="auto"/>
        <w:left w:val="none" w:sz="0" w:space="0" w:color="auto"/>
        <w:bottom w:val="none" w:sz="0" w:space="0" w:color="auto"/>
        <w:right w:val="none" w:sz="0" w:space="0" w:color="auto"/>
      </w:divBdr>
    </w:div>
    <w:div w:id="1046566665">
      <w:bodyDiv w:val="1"/>
      <w:marLeft w:val="0"/>
      <w:marRight w:val="0"/>
      <w:marTop w:val="0"/>
      <w:marBottom w:val="0"/>
      <w:divBdr>
        <w:top w:val="none" w:sz="0" w:space="0" w:color="auto"/>
        <w:left w:val="none" w:sz="0" w:space="0" w:color="auto"/>
        <w:bottom w:val="none" w:sz="0" w:space="0" w:color="auto"/>
        <w:right w:val="none" w:sz="0" w:space="0" w:color="auto"/>
      </w:divBdr>
    </w:div>
    <w:div w:id="1059742067">
      <w:bodyDiv w:val="1"/>
      <w:marLeft w:val="0"/>
      <w:marRight w:val="0"/>
      <w:marTop w:val="0"/>
      <w:marBottom w:val="0"/>
      <w:divBdr>
        <w:top w:val="none" w:sz="0" w:space="0" w:color="auto"/>
        <w:left w:val="none" w:sz="0" w:space="0" w:color="auto"/>
        <w:bottom w:val="none" w:sz="0" w:space="0" w:color="auto"/>
        <w:right w:val="none" w:sz="0" w:space="0" w:color="auto"/>
      </w:divBdr>
    </w:div>
    <w:div w:id="1137455978">
      <w:bodyDiv w:val="1"/>
      <w:marLeft w:val="0"/>
      <w:marRight w:val="0"/>
      <w:marTop w:val="0"/>
      <w:marBottom w:val="0"/>
      <w:divBdr>
        <w:top w:val="none" w:sz="0" w:space="0" w:color="auto"/>
        <w:left w:val="none" w:sz="0" w:space="0" w:color="auto"/>
        <w:bottom w:val="none" w:sz="0" w:space="0" w:color="auto"/>
        <w:right w:val="none" w:sz="0" w:space="0" w:color="auto"/>
      </w:divBdr>
    </w:div>
    <w:div w:id="1142776200">
      <w:bodyDiv w:val="1"/>
      <w:marLeft w:val="0"/>
      <w:marRight w:val="0"/>
      <w:marTop w:val="0"/>
      <w:marBottom w:val="0"/>
      <w:divBdr>
        <w:top w:val="none" w:sz="0" w:space="0" w:color="auto"/>
        <w:left w:val="none" w:sz="0" w:space="0" w:color="auto"/>
        <w:bottom w:val="none" w:sz="0" w:space="0" w:color="auto"/>
        <w:right w:val="none" w:sz="0" w:space="0" w:color="auto"/>
      </w:divBdr>
      <w:divsChild>
        <w:div w:id="1203597662">
          <w:marLeft w:val="0"/>
          <w:marRight w:val="0"/>
          <w:marTop w:val="0"/>
          <w:marBottom w:val="0"/>
          <w:divBdr>
            <w:top w:val="none" w:sz="0" w:space="0" w:color="auto"/>
            <w:left w:val="none" w:sz="0" w:space="0" w:color="auto"/>
            <w:bottom w:val="none" w:sz="0" w:space="0" w:color="auto"/>
            <w:right w:val="none" w:sz="0" w:space="0" w:color="auto"/>
          </w:divBdr>
        </w:div>
      </w:divsChild>
    </w:div>
    <w:div w:id="1187600691">
      <w:bodyDiv w:val="1"/>
      <w:marLeft w:val="0"/>
      <w:marRight w:val="0"/>
      <w:marTop w:val="0"/>
      <w:marBottom w:val="0"/>
      <w:divBdr>
        <w:top w:val="none" w:sz="0" w:space="0" w:color="auto"/>
        <w:left w:val="none" w:sz="0" w:space="0" w:color="auto"/>
        <w:bottom w:val="none" w:sz="0" w:space="0" w:color="auto"/>
        <w:right w:val="none" w:sz="0" w:space="0" w:color="auto"/>
      </w:divBdr>
    </w:div>
    <w:div w:id="1193225204">
      <w:bodyDiv w:val="1"/>
      <w:marLeft w:val="0"/>
      <w:marRight w:val="0"/>
      <w:marTop w:val="0"/>
      <w:marBottom w:val="0"/>
      <w:divBdr>
        <w:top w:val="none" w:sz="0" w:space="0" w:color="auto"/>
        <w:left w:val="none" w:sz="0" w:space="0" w:color="auto"/>
        <w:bottom w:val="none" w:sz="0" w:space="0" w:color="auto"/>
        <w:right w:val="none" w:sz="0" w:space="0" w:color="auto"/>
      </w:divBdr>
    </w:div>
    <w:div w:id="1202550345">
      <w:bodyDiv w:val="1"/>
      <w:marLeft w:val="0"/>
      <w:marRight w:val="0"/>
      <w:marTop w:val="0"/>
      <w:marBottom w:val="0"/>
      <w:divBdr>
        <w:top w:val="none" w:sz="0" w:space="0" w:color="auto"/>
        <w:left w:val="none" w:sz="0" w:space="0" w:color="auto"/>
        <w:bottom w:val="none" w:sz="0" w:space="0" w:color="auto"/>
        <w:right w:val="none" w:sz="0" w:space="0" w:color="auto"/>
      </w:divBdr>
    </w:div>
    <w:div w:id="1203787437">
      <w:bodyDiv w:val="1"/>
      <w:marLeft w:val="0"/>
      <w:marRight w:val="0"/>
      <w:marTop w:val="0"/>
      <w:marBottom w:val="0"/>
      <w:divBdr>
        <w:top w:val="none" w:sz="0" w:space="0" w:color="auto"/>
        <w:left w:val="none" w:sz="0" w:space="0" w:color="auto"/>
        <w:bottom w:val="none" w:sz="0" w:space="0" w:color="auto"/>
        <w:right w:val="none" w:sz="0" w:space="0" w:color="auto"/>
      </w:divBdr>
    </w:div>
    <w:div w:id="1237786949">
      <w:bodyDiv w:val="1"/>
      <w:marLeft w:val="0"/>
      <w:marRight w:val="0"/>
      <w:marTop w:val="0"/>
      <w:marBottom w:val="0"/>
      <w:divBdr>
        <w:top w:val="none" w:sz="0" w:space="0" w:color="auto"/>
        <w:left w:val="none" w:sz="0" w:space="0" w:color="auto"/>
        <w:bottom w:val="none" w:sz="0" w:space="0" w:color="auto"/>
        <w:right w:val="none" w:sz="0" w:space="0" w:color="auto"/>
      </w:divBdr>
    </w:div>
    <w:div w:id="1270969943">
      <w:bodyDiv w:val="1"/>
      <w:marLeft w:val="0"/>
      <w:marRight w:val="0"/>
      <w:marTop w:val="0"/>
      <w:marBottom w:val="0"/>
      <w:divBdr>
        <w:top w:val="none" w:sz="0" w:space="0" w:color="auto"/>
        <w:left w:val="none" w:sz="0" w:space="0" w:color="auto"/>
        <w:bottom w:val="none" w:sz="0" w:space="0" w:color="auto"/>
        <w:right w:val="none" w:sz="0" w:space="0" w:color="auto"/>
      </w:divBdr>
    </w:div>
    <w:div w:id="1276644286">
      <w:bodyDiv w:val="1"/>
      <w:marLeft w:val="0"/>
      <w:marRight w:val="0"/>
      <w:marTop w:val="0"/>
      <w:marBottom w:val="0"/>
      <w:divBdr>
        <w:top w:val="none" w:sz="0" w:space="0" w:color="auto"/>
        <w:left w:val="none" w:sz="0" w:space="0" w:color="auto"/>
        <w:bottom w:val="none" w:sz="0" w:space="0" w:color="auto"/>
        <w:right w:val="none" w:sz="0" w:space="0" w:color="auto"/>
      </w:divBdr>
    </w:div>
    <w:div w:id="1287463212">
      <w:bodyDiv w:val="1"/>
      <w:marLeft w:val="0"/>
      <w:marRight w:val="0"/>
      <w:marTop w:val="0"/>
      <w:marBottom w:val="0"/>
      <w:divBdr>
        <w:top w:val="none" w:sz="0" w:space="0" w:color="auto"/>
        <w:left w:val="none" w:sz="0" w:space="0" w:color="auto"/>
        <w:bottom w:val="none" w:sz="0" w:space="0" w:color="auto"/>
        <w:right w:val="none" w:sz="0" w:space="0" w:color="auto"/>
      </w:divBdr>
    </w:div>
    <w:div w:id="1303581777">
      <w:bodyDiv w:val="1"/>
      <w:marLeft w:val="0"/>
      <w:marRight w:val="0"/>
      <w:marTop w:val="0"/>
      <w:marBottom w:val="0"/>
      <w:divBdr>
        <w:top w:val="none" w:sz="0" w:space="0" w:color="auto"/>
        <w:left w:val="none" w:sz="0" w:space="0" w:color="auto"/>
        <w:bottom w:val="none" w:sz="0" w:space="0" w:color="auto"/>
        <w:right w:val="none" w:sz="0" w:space="0" w:color="auto"/>
      </w:divBdr>
    </w:div>
    <w:div w:id="1332492620">
      <w:bodyDiv w:val="1"/>
      <w:marLeft w:val="0"/>
      <w:marRight w:val="0"/>
      <w:marTop w:val="0"/>
      <w:marBottom w:val="0"/>
      <w:divBdr>
        <w:top w:val="none" w:sz="0" w:space="0" w:color="auto"/>
        <w:left w:val="none" w:sz="0" w:space="0" w:color="auto"/>
        <w:bottom w:val="none" w:sz="0" w:space="0" w:color="auto"/>
        <w:right w:val="none" w:sz="0" w:space="0" w:color="auto"/>
      </w:divBdr>
    </w:div>
    <w:div w:id="1334146416">
      <w:bodyDiv w:val="1"/>
      <w:marLeft w:val="0"/>
      <w:marRight w:val="0"/>
      <w:marTop w:val="0"/>
      <w:marBottom w:val="0"/>
      <w:divBdr>
        <w:top w:val="none" w:sz="0" w:space="0" w:color="auto"/>
        <w:left w:val="none" w:sz="0" w:space="0" w:color="auto"/>
        <w:bottom w:val="none" w:sz="0" w:space="0" w:color="auto"/>
        <w:right w:val="none" w:sz="0" w:space="0" w:color="auto"/>
      </w:divBdr>
    </w:div>
    <w:div w:id="1337686373">
      <w:bodyDiv w:val="1"/>
      <w:marLeft w:val="0"/>
      <w:marRight w:val="0"/>
      <w:marTop w:val="0"/>
      <w:marBottom w:val="0"/>
      <w:divBdr>
        <w:top w:val="none" w:sz="0" w:space="0" w:color="auto"/>
        <w:left w:val="none" w:sz="0" w:space="0" w:color="auto"/>
        <w:bottom w:val="none" w:sz="0" w:space="0" w:color="auto"/>
        <w:right w:val="none" w:sz="0" w:space="0" w:color="auto"/>
      </w:divBdr>
    </w:div>
    <w:div w:id="1338338787">
      <w:bodyDiv w:val="1"/>
      <w:marLeft w:val="0"/>
      <w:marRight w:val="0"/>
      <w:marTop w:val="0"/>
      <w:marBottom w:val="0"/>
      <w:divBdr>
        <w:top w:val="none" w:sz="0" w:space="0" w:color="auto"/>
        <w:left w:val="none" w:sz="0" w:space="0" w:color="auto"/>
        <w:bottom w:val="none" w:sz="0" w:space="0" w:color="auto"/>
        <w:right w:val="none" w:sz="0" w:space="0" w:color="auto"/>
      </w:divBdr>
    </w:div>
    <w:div w:id="1343625706">
      <w:bodyDiv w:val="1"/>
      <w:marLeft w:val="0"/>
      <w:marRight w:val="0"/>
      <w:marTop w:val="0"/>
      <w:marBottom w:val="0"/>
      <w:divBdr>
        <w:top w:val="none" w:sz="0" w:space="0" w:color="auto"/>
        <w:left w:val="none" w:sz="0" w:space="0" w:color="auto"/>
        <w:bottom w:val="none" w:sz="0" w:space="0" w:color="auto"/>
        <w:right w:val="none" w:sz="0" w:space="0" w:color="auto"/>
      </w:divBdr>
    </w:div>
    <w:div w:id="1351182322">
      <w:bodyDiv w:val="1"/>
      <w:marLeft w:val="0"/>
      <w:marRight w:val="0"/>
      <w:marTop w:val="0"/>
      <w:marBottom w:val="0"/>
      <w:divBdr>
        <w:top w:val="none" w:sz="0" w:space="0" w:color="auto"/>
        <w:left w:val="none" w:sz="0" w:space="0" w:color="auto"/>
        <w:bottom w:val="none" w:sz="0" w:space="0" w:color="auto"/>
        <w:right w:val="none" w:sz="0" w:space="0" w:color="auto"/>
      </w:divBdr>
    </w:div>
    <w:div w:id="1354109564">
      <w:bodyDiv w:val="1"/>
      <w:marLeft w:val="0"/>
      <w:marRight w:val="0"/>
      <w:marTop w:val="0"/>
      <w:marBottom w:val="0"/>
      <w:divBdr>
        <w:top w:val="none" w:sz="0" w:space="0" w:color="auto"/>
        <w:left w:val="none" w:sz="0" w:space="0" w:color="auto"/>
        <w:bottom w:val="none" w:sz="0" w:space="0" w:color="auto"/>
        <w:right w:val="none" w:sz="0" w:space="0" w:color="auto"/>
      </w:divBdr>
    </w:div>
    <w:div w:id="1362394949">
      <w:bodyDiv w:val="1"/>
      <w:marLeft w:val="0"/>
      <w:marRight w:val="0"/>
      <w:marTop w:val="0"/>
      <w:marBottom w:val="0"/>
      <w:divBdr>
        <w:top w:val="none" w:sz="0" w:space="0" w:color="auto"/>
        <w:left w:val="none" w:sz="0" w:space="0" w:color="auto"/>
        <w:bottom w:val="none" w:sz="0" w:space="0" w:color="auto"/>
        <w:right w:val="none" w:sz="0" w:space="0" w:color="auto"/>
      </w:divBdr>
      <w:divsChild>
        <w:div w:id="71201048">
          <w:marLeft w:val="0"/>
          <w:marRight w:val="0"/>
          <w:marTop w:val="0"/>
          <w:marBottom w:val="0"/>
          <w:divBdr>
            <w:top w:val="none" w:sz="0" w:space="0" w:color="auto"/>
            <w:left w:val="none" w:sz="0" w:space="0" w:color="auto"/>
            <w:bottom w:val="none" w:sz="0" w:space="0" w:color="auto"/>
            <w:right w:val="none" w:sz="0" w:space="0" w:color="auto"/>
          </w:divBdr>
        </w:div>
      </w:divsChild>
    </w:div>
    <w:div w:id="1366060591">
      <w:bodyDiv w:val="1"/>
      <w:marLeft w:val="0"/>
      <w:marRight w:val="0"/>
      <w:marTop w:val="0"/>
      <w:marBottom w:val="0"/>
      <w:divBdr>
        <w:top w:val="none" w:sz="0" w:space="0" w:color="auto"/>
        <w:left w:val="none" w:sz="0" w:space="0" w:color="auto"/>
        <w:bottom w:val="none" w:sz="0" w:space="0" w:color="auto"/>
        <w:right w:val="none" w:sz="0" w:space="0" w:color="auto"/>
      </w:divBdr>
      <w:divsChild>
        <w:div w:id="1645936735">
          <w:marLeft w:val="0"/>
          <w:marRight w:val="0"/>
          <w:marTop w:val="0"/>
          <w:marBottom w:val="0"/>
          <w:divBdr>
            <w:top w:val="none" w:sz="0" w:space="0" w:color="auto"/>
            <w:left w:val="none" w:sz="0" w:space="0" w:color="auto"/>
            <w:bottom w:val="none" w:sz="0" w:space="0" w:color="auto"/>
            <w:right w:val="none" w:sz="0" w:space="0" w:color="auto"/>
          </w:divBdr>
        </w:div>
      </w:divsChild>
    </w:div>
    <w:div w:id="1369375772">
      <w:bodyDiv w:val="1"/>
      <w:marLeft w:val="0"/>
      <w:marRight w:val="0"/>
      <w:marTop w:val="0"/>
      <w:marBottom w:val="0"/>
      <w:divBdr>
        <w:top w:val="none" w:sz="0" w:space="0" w:color="auto"/>
        <w:left w:val="none" w:sz="0" w:space="0" w:color="auto"/>
        <w:bottom w:val="none" w:sz="0" w:space="0" w:color="auto"/>
        <w:right w:val="none" w:sz="0" w:space="0" w:color="auto"/>
      </w:divBdr>
    </w:div>
    <w:div w:id="1394037358">
      <w:bodyDiv w:val="1"/>
      <w:marLeft w:val="0"/>
      <w:marRight w:val="0"/>
      <w:marTop w:val="0"/>
      <w:marBottom w:val="0"/>
      <w:divBdr>
        <w:top w:val="none" w:sz="0" w:space="0" w:color="auto"/>
        <w:left w:val="none" w:sz="0" w:space="0" w:color="auto"/>
        <w:bottom w:val="none" w:sz="0" w:space="0" w:color="auto"/>
        <w:right w:val="none" w:sz="0" w:space="0" w:color="auto"/>
      </w:divBdr>
    </w:div>
    <w:div w:id="1410880182">
      <w:bodyDiv w:val="1"/>
      <w:marLeft w:val="0"/>
      <w:marRight w:val="0"/>
      <w:marTop w:val="0"/>
      <w:marBottom w:val="0"/>
      <w:divBdr>
        <w:top w:val="none" w:sz="0" w:space="0" w:color="auto"/>
        <w:left w:val="none" w:sz="0" w:space="0" w:color="auto"/>
        <w:bottom w:val="none" w:sz="0" w:space="0" w:color="auto"/>
        <w:right w:val="none" w:sz="0" w:space="0" w:color="auto"/>
      </w:divBdr>
    </w:div>
    <w:div w:id="1433286542">
      <w:bodyDiv w:val="1"/>
      <w:marLeft w:val="0"/>
      <w:marRight w:val="0"/>
      <w:marTop w:val="0"/>
      <w:marBottom w:val="0"/>
      <w:divBdr>
        <w:top w:val="none" w:sz="0" w:space="0" w:color="auto"/>
        <w:left w:val="none" w:sz="0" w:space="0" w:color="auto"/>
        <w:bottom w:val="none" w:sz="0" w:space="0" w:color="auto"/>
        <w:right w:val="none" w:sz="0" w:space="0" w:color="auto"/>
      </w:divBdr>
    </w:div>
    <w:div w:id="1438678011">
      <w:bodyDiv w:val="1"/>
      <w:marLeft w:val="0"/>
      <w:marRight w:val="0"/>
      <w:marTop w:val="0"/>
      <w:marBottom w:val="0"/>
      <w:divBdr>
        <w:top w:val="none" w:sz="0" w:space="0" w:color="auto"/>
        <w:left w:val="none" w:sz="0" w:space="0" w:color="auto"/>
        <w:bottom w:val="none" w:sz="0" w:space="0" w:color="auto"/>
        <w:right w:val="none" w:sz="0" w:space="0" w:color="auto"/>
      </w:divBdr>
    </w:div>
    <w:div w:id="1440637214">
      <w:bodyDiv w:val="1"/>
      <w:marLeft w:val="0"/>
      <w:marRight w:val="0"/>
      <w:marTop w:val="0"/>
      <w:marBottom w:val="0"/>
      <w:divBdr>
        <w:top w:val="none" w:sz="0" w:space="0" w:color="auto"/>
        <w:left w:val="none" w:sz="0" w:space="0" w:color="auto"/>
        <w:bottom w:val="none" w:sz="0" w:space="0" w:color="auto"/>
        <w:right w:val="none" w:sz="0" w:space="0" w:color="auto"/>
      </w:divBdr>
    </w:div>
    <w:div w:id="1441103811">
      <w:bodyDiv w:val="1"/>
      <w:marLeft w:val="0"/>
      <w:marRight w:val="0"/>
      <w:marTop w:val="0"/>
      <w:marBottom w:val="0"/>
      <w:divBdr>
        <w:top w:val="none" w:sz="0" w:space="0" w:color="auto"/>
        <w:left w:val="none" w:sz="0" w:space="0" w:color="auto"/>
        <w:bottom w:val="none" w:sz="0" w:space="0" w:color="auto"/>
        <w:right w:val="none" w:sz="0" w:space="0" w:color="auto"/>
      </w:divBdr>
    </w:div>
    <w:div w:id="1448814392">
      <w:bodyDiv w:val="1"/>
      <w:marLeft w:val="0"/>
      <w:marRight w:val="0"/>
      <w:marTop w:val="0"/>
      <w:marBottom w:val="0"/>
      <w:divBdr>
        <w:top w:val="none" w:sz="0" w:space="0" w:color="auto"/>
        <w:left w:val="none" w:sz="0" w:space="0" w:color="auto"/>
        <w:bottom w:val="none" w:sz="0" w:space="0" w:color="auto"/>
        <w:right w:val="none" w:sz="0" w:space="0" w:color="auto"/>
      </w:divBdr>
    </w:div>
    <w:div w:id="1460609873">
      <w:bodyDiv w:val="1"/>
      <w:marLeft w:val="0"/>
      <w:marRight w:val="0"/>
      <w:marTop w:val="0"/>
      <w:marBottom w:val="0"/>
      <w:divBdr>
        <w:top w:val="none" w:sz="0" w:space="0" w:color="auto"/>
        <w:left w:val="none" w:sz="0" w:space="0" w:color="auto"/>
        <w:bottom w:val="none" w:sz="0" w:space="0" w:color="auto"/>
        <w:right w:val="none" w:sz="0" w:space="0" w:color="auto"/>
      </w:divBdr>
    </w:div>
    <w:div w:id="1469979308">
      <w:bodyDiv w:val="1"/>
      <w:marLeft w:val="0"/>
      <w:marRight w:val="0"/>
      <w:marTop w:val="0"/>
      <w:marBottom w:val="0"/>
      <w:divBdr>
        <w:top w:val="none" w:sz="0" w:space="0" w:color="auto"/>
        <w:left w:val="none" w:sz="0" w:space="0" w:color="auto"/>
        <w:bottom w:val="none" w:sz="0" w:space="0" w:color="auto"/>
        <w:right w:val="none" w:sz="0" w:space="0" w:color="auto"/>
      </w:divBdr>
    </w:div>
    <w:div w:id="1473407061">
      <w:bodyDiv w:val="1"/>
      <w:marLeft w:val="0"/>
      <w:marRight w:val="0"/>
      <w:marTop w:val="0"/>
      <w:marBottom w:val="0"/>
      <w:divBdr>
        <w:top w:val="none" w:sz="0" w:space="0" w:color="auto"/>
        <w:left w:val="none" w:sz="0" w:space="0" w:color="auto"/>
        <w:bottom w:val="none" w:sz="0" w:space="0" w:color="auto"/>
        <w:right w:val="none" w:sz="0" w:space="0" w:color="auto"/>
      </w:divBdr>
    </w:div>
    <w:div w:id="1479607628">
      <w:bodyDiv w:val="1"/>
      <w:marLeft w:val="0"/>
      <w:marRight w:val="0"/>
      <w:marTop w:val="0"/>
      <w:marBottom w:val="0"/>
      <w:divBdr>
        <w:top w:val="none" w:sz="0" w:space="0" w:color="auto"/>
        <w:left w:val="none" w:sz="0" w:space="0" w:color="auto"/>
        <w:bottom w:val="none" w:sz="0" w:space="0" w:color="auto"/>
        <w:right w:val="none" w:sz="0" w:space="0" w:color="auto"/>
      </w:divBdr>
    </w:div>
    <w:div w:id="1493989030">
      <w:bodyDiv w:val="1"/>
      <w:marLeft w:val="0"/>
      <w:marRight w:val="0"/>
      <w:marTop w:val="0"/>
      <w:marBottom w:val="0"/>
      <w:divBdr>
        <w:top w:val="none" w:sz="0" w:space="0" w:color="auto"/>
        <w:left w:val="none" w:sz="0" w:space="0" w:color="auto"/>
        <w:bottom w:val="none" w:sz="0" w:space="0" w:color="auto"/>
        <w:right w:val="none" w:sz="0" w:space="0" w:color="auto"/>
      </w:divBdr>
      <w:divsChild>
        <w:div w:id="244536658">
          <w:marLeft w:val="0"/>
          <w:marRight w:val="0"/>
          <w:marTop w:val="0"/>
          <w:marBottom w:val="0"/>
          <w:divBdr>
            <w:top w:val="none" w:sz="0" w:space="0" w:color="auto"/>
            <w:left w:val="none" w:sz="0" w:space="0" w:color="auto"/>
            <w:bottom w:val="none" w:sz="0" w:space="0" w:color="auto"/>
            <w:right w:val="none" w:sz="0" w:space="0" w:color="auto"/>
          </w:divBdr>
        </w:div>
      </w:divsChild>
    </w:div>
    <w:div w:id="1505708885">
      <w:bodyDiv w:val="1"/>
      <w:marLeft w:val="0"/>
      <w:marRight w:val="0"/>
      <w:marTop w:val="0"/>
      <w:marBottom w:val="0"/>
      <w:divBdr>
        <w:top w:val="none" w:sz="0" w:space="0" w:color="auto"/>
        <w:left w:val="none" w:sz="0" w:space="0" w:color="auto"/>
        <w:bottom w:val="none" w:sz="0" w:space="0" w:color="auto"/>
        <w:right w:val="none" w:sz="0" w:space="0" w:color="auto"/>
      </w:divBdr>
    </w:div>
    <w:div w:id="1507595664">
      <w:bodyDiv w:val="1"/>
      <w:marLeft w:val="0"/>
      <w:marRight w:val="0"/>
      <w:marTop w:val="0"/>
      <w:marBottom w:val="0"/>
      <w:divBdr>
        <w:top w:val="none" w:sz="0" w:space="0" w:color="auto"/>
        <w:left w:val="none" w:sz="0" w:space="0" w:color="auto"/>
        <w:bottom w:val="none" w:sz="0" w:space="0" w:color="auto"/>
        <w:right w:val="none" w:sz="0" w:space="0" w:color="auto"/>
      </w:divBdr>
    </w:div>
    <w:div w:id="1518734329">
      <w:bodyDiv w:val="1"/>
      <w:marLeft w:val="0"/>
      <w:marRight w:val="0"/>
      <w:marTop w:val="0"/>
      <w:marBottom w:val="0"/>
      <w:divBdr>
        <w:top w:val="none" w:sz="0" w:space="0" w:color="auto"/>
        <w:left w:val="none" w:sz="0" w:space="0" w:color="auto"/>
        <w:bottom w:val="none" w:sz="0" w:space="0" w:color="auto"/>
        <w:right w:val="none" w:sz="0" w:space="0" w:color="auto"/>
      </w:divBdr>
    </w:div>
    <w:div w:id="1527988355">
      <w:bodyDiv w:val="1"/>
      <w:marLeft w:val="0"/>
      <w:marRight w:val="0"/>
      <w:marTop w:val="0"/>
      <w:marBottom w:val="0"/>
      <w:divBdr>
        <w:top w:val="none" w:sz="0" w:space="0" w:color="auto"/>
        <w:left w:val="none" w:sz="0" w:space="0" w:color="auto"/>
        <w:bottom w:val="none" w:sz="0" w:space="0" w:color="auto"/>
        <w:right w:val="none" w:sz="0" w:space="0" w:color="auto"/>
      </w:divBdr>
    </w:div>
    <w:div w:id="1547713620">
      <w:bodyDiv w:val="1"/>
      <w:marLeft w:val="0"/>
      <w:marRight w:val="0"/>
      <w:marTop w:val="0"/>
      <w:marBottom w:val="0"/>
      <w:divBdr>
        <w:top w:val="none" w:sz="0" w:space="0" w:color="auto"/>
        <w:left w:val="none" w:sz="0" w:space="0" w:color="auto"/>
        <w:bottom w:val="none" w:sz="0" w:space="0" w:color="auto"/>
        <w:right w:val="none" w:sz="0" w:space="0" w:color="auto"/>
      </w:divBdr>
    </w:div>
    <w:div w:id="1557664445">
      <w:bodyDiv w:val="1"/>
      <w:marLeft w:val="0"/>
      <w:marRight w:val="0"/>
      <w:marTop w:val="0"/>
      <w:marBottom w:val="0"/>
      <w:divBdr>
        <w:top w:val="none" w:sz="0" w:space="0" w:color="auto"/>
        <w:left w:val="none" w:sz="0" w:space="0" w:color="auto"/>
        <w:bottom w:val="none" w:sz="0" w:space="0" w:color="auto"/>
        <w:right w:val="none" w:sz="0" w:space="0" w:color="auto"/>
      </w:divBdr>
    </w:div>
    <w:div w:id="1571886699">
      <w:bodyDiv w:val="1"/>
      <w:marLeft w:val="0"/>
      <w:marRight w:val="0"/>
      <w:marTop w:val="0"/>
      <w:marBottom w:val="0"/>
      <w:divBdr>
        <w:top w:val="none" w:sz="0" w:space="0" w:color="auto"/>
        <w:left w:val="none" w:sz="0" w:space="0" w:color="auto"/>
        <w:bottom w:val="none" w:sz="0" w:space="0" w:color="auto"/>
        <w:right w:val="none" w:sz="0" w:space="0" w:color="auto"/>
      </w:divBdr>
    </w:div>
    <w:div w:id="1582642319">
      <w:bodyDiv w:val="1"/>
      <w:marLeft w:val="0"/>
      <w:marRight w:val="0"/>
      <w:marTop w:val="0"/>
      <w:marBottom w:val="0"/>
      <w:divBdr>
        <w:top w:val="none" w:sz="0" w:space="0" w:color="auto"/>
        <w:left w:val="none" w:sz="0" w:space="0" w:color="auto"/>
        <w:bottom w:val="none" w:sz="0" w:space="0" w:color="auto"/>
        <w:right w:val="none" w:sz="0" w:space="0" w:color="auto"/>
      </w:divBdr>
    </w:div>
    <w:div w:id="1623608188">
      <w:bodyDiv w:val="1"/>
      <w:marLeft w:val="0"/>
      <w:marRight w:val="0"/>
      <w:marTop w:val="0"/>
      <w:marBottom w:val="0"/>
      <w:divBdr>
        <w:top w:val="none" w:sz="0" w:space="0" w:color="auto"/>
        <w:left w:val="none" w:sz="0" w:space="0" w:color="auto"/>
        <w:bottom w:val="none" w:sz="0" w:space="0" w:color="auto"/>
        <w:right w:val="none" w:sz="0" w:space="0" w:color="auto"/>
      </w:divBdr>
    </w:div>
    <w:div w:id="1625698102">
      <w:bodyDiv w:val="1"/>
      <w:marLeft w:val="0"/>
      <w:marRight w:val="0"/>
      <w:marTop w:val="0"/>
      <w:marBottom w:val="0"/>
      <w:divBdr>
        <w:top w:val="none" w:sz="0" w:space="0" w:color="auto"/>
        <w:left w:val="none" w:sz="0" w:space="0" w:color="auto"/>
        <w:bottom w:val="none" w:sz="0" w:space="0" w:color="auto"/>
        <w:right w:val="none" w:sz="0" w:space="0" w:color="auto"/>
      </w:divBdr>
    </w:div>
    <w:div w:id="1630667250">
      <w:bodyDiv w:val="1"/>
      <w:marLeft w:val="0"/>
      <w:marRight w:val="0"/>
      <w:marTop w:val="0"/>
      <w:marBottom w:val="0"/>
      <w:divBdr>
        <w:top w:val="none" w:sz="0" w:space="0" w:color="auto"/>
        <w:left w:val="none" w:sz="0" w:space="0" w:color="auto"/>
        <w:bottom w:val="none" w:sz="0" w:space="0" w:color="auto"/>
        <w:right w:val="none" w:sz="0" w:space="0" w:color="auto"/>
      </w:divBdr>
    </w:div>
    <w:div w:id="1648583338">
      <w:bodyDiv w:val="1"/>
      <w:marLeft w:val="0"/>
      <w:marRight w:val="0"/>
      <w:marTop w:val="0"/>
      <w:marBottom w:val="0"/>
      <w:divBdr>
        <w:top w:val="none" w:sz="0" w:space="0" w:color="auto"/>
        <w:left w:val="none" w:sz="0" w:space="0" w:color="auto"/>
        <w:bottom w:val="none" w:sz="0" w:space="0" w:color="auto"/>
        <w:right w:val="none" w:sz="0" w:space="0" w:color="auto"/>
      </w:divBdr>
    </w:div>
    <w:div w:id="1648705517">
      <w:bodyDiv w:val="1"/>
      <w:marLeft w:val="0"/>
      <w:marRight w:val="0"/>
      <w:marTop w:val="0"/>
      <w:marBottom w:val="0"/>
      <w:divBdr>
        <w:top w:val="none" w:sz="0" w:space="0" w:color="auto"/>
        <w:left w:val="none" w:sz="0" w:space="0" w:color="auto"/>
        <w:bottom w:val="none" w:sz="0" w:space="0" w:color="auto"/>
        <w:right w:val="none" w:sz="0" w:space="0" w:color="auto"/>
      </w:divBdr>
    </w:div>
    <w:div w:id="1686790305">
      <w:bodyDiv w:val="1"/>
      <w:marLeft w:val="0"/>
      <w:marRight w:val="0"/>
      <w:marTop w:val="0"/>
      <w:marBottom w:val="0"/>
      <w:divBdr>
        <w:top w:val="none" w:sz="0" w:space="0" w:color="auto"/>
        <w:left w:val="none" w:sz="0" w:space="0" w:color="auto"/>
        <w:bottom w:val="none" w:sz="0" w:space="0" w:color="auto"/>
        <w:right w:val="none" w:sz="0" w:space="0" w:color="auto"/>
      </w:divBdr>
    </w:div>
    <w:div w:id="1697928892">
      <w:bodyDiv w:val="1"/>
      <w:marLeft w:val="0"/>
      <w:marRight w:val="0"/>
      <w:marTop w:val="0"/>
      <w:marBottom w:val="0"/>
      <w:divBdr>
        <w:top w:val="none" w:sz="0" w:space="0" w:color="auto"/>
        <w:left w:val="none" w:sz="0" w:space="0" w:color="auto"/>
        <w:bottom w:val="none" w:sz="0" w:space="0" w:color="auto"/>
        <w:right w:val="none" w:sz="0" w:space="0" w:color="auto"/>
      </w:divBdr>
    </w:div>
    <w:div w:id="1698314055">
      <w:bodyDiv w:val="1"/>
      <w:marLeft w:val="0"/>
      <w:marRight w:val="0"/>
      <w:marTop w:val="0"/>
      <w:marBottom w:val="0"/>
      <w:divBdr>
        <w:top w:val="none" w:sz="0" w:space="0" w:color="auto"/>
        <w:left w:val="none" w:sz="0" w:space="0" w:color="auto"/>
        <w:bottom w:val="none" w:sz="0" w:space="0" w:color="auto"/>
        <w:right w:val="none" w:sz="0" w:space="0" w:color="auto"/>
      </w:divBdr>
    </w:div>
    <w:div w:id="1704550919">
      <w:bodyDiv w:val="1"/>
      <w:marLeft w:val="0"/>
      <w:marRight w:val="0"/>
      <w:marTop w:val="0"/>
      <w:marBottom w:val="0"/>
      <w:divBdr>
        <w:top w:val="none" w:sz="0" w:space="0" w:color="auto"/>
        <w:left w:val="none" w:sz="0" w:space="0" w:color="auto"/>
        <w:bottom w:val="none" w:sz="0" w:space="0" w:color="auto"/>
        <w:right w:val="none" w:sz="0" w:space="0" w:color="auto"/>
      </w:divBdr>
    </w:div>
    <w:div w:id="1715883765">
      <w:bodyDiv w:val="1"/>
      <w:marLeft w:val="0"/>
      <w:marRight w:val="0"/>
      <w:marTop w:val="0"/>
      <w:marBottom w:val="0"/>
      <w:divBdr>
        <w:top w:val="none" w:sz="0" w:space="0" w:color="auto"/>
        <w:left w:val="none" w:sz="0" w:space="0" w:color="auto"/>
        <w:bottom w:val="none" w:sz="0" w:space="0" w:color="auto"/>
        <w:right w:val="none" w:sz="0" w:space="0" w:color="auto"/>
      </w:divBdr>
    </w:div>
    <w:div w:id="1724022014">
      <w:bodyDiv w:val="1"/>
      <w:marLeft w:val="0"/>
      <w:marRight w:val="0"/>
      <w:marTop w:val="0"/>
      <w:marBottom w:val="0"/>
      <w:divBdr>
        <w:top w:val="none" w:sz="0" w:space="0" w:color="auto"/>
        <w:left w:val="none" w:sz="0" w:space="0" w:color="auto"/>
        <w:bottom w:val="none" w:sz="0" w:space="0" w:color="auto"/>
        <w:right w:val="none" w:sz="0" w:space="0" w:color="auto"/>
      </w:divBdr>
    </w:div>
    <w:div w:id="1729257811">
      <w:bodyDiv w:val="1"/>
      <w:marLeft w:val="0"/>
      <w:marRight w:val="0"/>
      <w:marTop w:val="0"/>
      <w:marBottom w:val="0"/>
      <w:divBdr>
        <w:top w:val="none" w:sz="0" w:space="0" w:color="auto"/>
        <w:left w:val="none" w:sz="0" w:space="0" w:color="auto"/>
        <w:bottom w:val="none" w:sz="0" w:space="0" w:color="auto"/>
        <w:right w:val="none" w:sz="0" w:space="0" w:color="auto"/>
      </w:divBdr>
    </w:div>
    <w:div w:id="1731221209">
      <w:bodyDiv w:val="1"/>
      <w:marLeft w:val="0"/>
      <w:marRight w:val="0"/>
      <w:marTop w:val="0"/>
      <w:marBottom w:val="0"/>
      <w:divBdr>
        <w:top w:val="none" w:sz="0" w:space="0" w:color="auto"/>
        <w:left w:val="none" w:sz="0" w:space="0" w:color="auto"/>
        <w:bottom w:val="none" w:sz="0" w:space="0" w:color="auto"/>
        <w:right w:val="none" w:sz="0" w:space="0" w:color="auto"/>
      </w:divBdr>
    </w:div>
    <w:div w:id="1746370035">
      <w:bodyDiv w:val="1"/>
      <w:marLeft w:val="0"/>
      <w:marRight w:val="0"/>
      <w:marTop w:val="0"/>
      <w:marBottom w:val="0"/>
      <w:divBdr>
        <w:top w:val="none" w:sz="0" w:space="0" w:color="auto"/>
        <w:left w:val="none" w:sz="0" w:space="0" w:color="auto"/>
        <w:bottom w:val="none" w:sz="0" w:space="0" w:color="auto"/>
        <w:right w:val="none" w:sz="0" w:space="0" w:color="auto"/>
      </w:divBdr>
      <w:divsChild>
        <w:div w:id="957950952">
          <w:marLeft w:val="0"/>
          <w:marRight w:val="0"/>
          <w:marTop w:val="0"/>
          <w:marBottom w:val="0"/>
          <w:divBdr>
            <w:top w:val="none" w:sz="0" w:space="0" w:color="auto"/>
            <w:left w:val="none" w:sz="0" w:space="0" w:color="auto"/>
            <w:bottom w:val="none" w:sz="0" w:space="0" w:color="auto"/>
            <w:right w:val="none" w:sz="0" w:space="0" w:color="auto"/>
          </w:divBdr>
        </w:div>
      </w:divsChild>
    </w:div>
    <w:div w:id="1760517852">
      <w:bodyDiv w:val="1"/>
      <w:marLeft w:val="0"/>
      <w:marRight w:val="0"/>
      <w:marTop w:val="0"/>
      <w:marBottom w:val="0"/>
      <w:divBdr>
        <w:top w:val="none" w:sz="0" w:space="0" w:color="auto"/>
        <w:left w:val="none" w:sz="0" w:space="0" w:color="auto"/>
        <w:bottom w:val="none" w:sz="0" w:space="0" w:color="auto"/>
        <w:right w:val="none" w:sz="0" w:space="0" w:color="auto"/>
      </w:divBdr>
    </w:div>
    <w:div w:id="1762334611">
      <w:bodyDiv w:val="1"/>
      <w:marLeft w:val="0"/>
      <w:marRight w:val="0"/>
      <w:marTop w:val="0"/>
      <w:marBottom w:val="0"/>
      <w:divBdr>
        <w:top w:val="none" w:sz="0" w:space="0" w:color="auto"/>
        <w:left w:val="none" w:sz="0" w:space="0" w:color="auto"/>
        <w:bottom w:val="none" w:sz="0" w:space="0" w:color="auto"/>
        <w:right w:val="none" w:sz="0" w:space="0" w:color="auto"/>
      </w:divBdr>
    </w:div>
    <w:div w:id="1778215151">
      <w:bodyDiv w:val="1"/>
      <w:marLeft w:val="0"/>
      <w:marRight w:val="0"/>
      <w:marTop w:val="0"/>
      <w:marBottom w:val="0"/>
      <w:divBdr>
        <w:top w:val="none" w:sz="0" w:space="0" w:color="auto"/>
        <w:left w:val="none" w:sz="0" w:space="0" w:color="auto"/>
        <w:bottom w:val="none" w:sz="0" w:space="0" w:color="auto"/>
        <w:right w:val="none" w:sz="0" w:space="0" w:color="auto"/>
      </w:divBdr>
    </w:div>
    <w:div w:id="1796749787">
      <w:bodyDiv w:val="1"/>
      <w:marLeft w:val="0"/>
      <w:marRight w:val="0"/>
      <w:marTop w:val="0"/>
      <w:marBottom w:val="0"/>
      <w:divBdr>
        <w:top w:val="none" w:sz="0" w:space="0" w:color="auto"/>
        <w:left w:val="none" w:sz="0" w:space="0" w:color="auto"/>
        <w:bottom w:val="none" w:sz="0" w:space="0" w:color="auto"/>
        <w:right w:val="none" w:sz="0" w:space="0" w:color="auto"/>
      </w:divBdr>
    </w:div>
    <w:div w:id="1809391740">
      <w:bodyDiv w:val="1"/>
      <w:marLeft w:val="0"/>
      <w:marRight w:val="0"/>
      <w:marTop w:val="0"/>
      <w:marBottom w:val="0"/>
      <w:divBdr>
        <w:top w:val="none" w:sz="0" w:space="0" w:color="auto"/>
        <w:left w:val="none" w:sz="0" w:space="0" w:color="auto"/>
        <w:bottom w:val="none" w:sz="0" w:space="0" w:color="auto"/>
        <w:right w:val="none" w:sz="0" w:space="0" w:color="auto"/>
      </w:divBdr>
    </w:div>
    <w:div w:id="1820995950">
      <w:bodyDiv w:val="1"/>
      <w:marLeft w:val="0"/>
      <w:marRight w:val="0"/>
      <w:marTop w:val="0"/>
      <w:marBottom w:val="0"/>
      <w:divBdr>
        <w:top w:val="none" w:sz="0" w:space="0" w:color="auto"/>
        <w:left w:val="none" w:sz="0" w:space="0" w:color="auto"/>
        <w:bottom w:val="none" w:sz="0" w:space="0" w:color="auto"/>
        <w:right w:val="none" w:sz="0" w:space="0" w:color="auto"/>
      </w:divBdr>
    </w:div>
    <w:div w:id="1829664399">
      <w:bodyDiv w:val="1"/>
      <w:marLeft w:val="0"/>
      <w:marRight w:val="0"/>
      <w:marTop w:val="0"/>
      <w:marBottom w:val="0"/>
      <w:divBdr>
        <w:top w:val="none" w:sz="0" w:space="0" w:color="auto"/>
        <w:left w:val="none" w:sz="0" w:space="0" w:color="auto"/>
        <w:bottom w:val="none" w:sz="0" w:space="0" w:color="auto"/>
        <w:right w:val="none" w:sz="0" w:space="0" w:color="auto"/>
      </w:divBdr>
    </w:div>
    <w:div w:id="1855535116">
      <w:bodyDiv w:val="1"/>
      <w:marLeft w:val="0"/>
      <w:marRight w:val="0"/>
      <w:marTop w:val="0"/>
      <w:marBottom w:val="0"/>
      <w:divBdr>
        <w:top w:val="none" w:sz="0" w:space="0" w:color="auto"/>
        <w:left w:val="none" w:sz="0" w:space="0" w:color="auto"/>
        <w:bottom w:val="none" w:sz="0" w:space="0" w:color="auto"/>
        <w:right w:val="none" w:sz="0" w:space="0" w:color="auto"/>
      </w:divBdr>
    </w:div>
    <w:div w:id="1862234742">
      <w:bodyDiv w:val="1"/>
      <w:marLeft w:val="0"/>
      <w:marRight w:val="0"/>
      <w:marTop w:val="0"/>
      <w:marBottom w:val="0"/>
      <w:divBdr>
        <w:top w:val="none" w:sz="0" w:space="0" w:color="auto"/>
        <w:left w:val="none" w:sz="0" w:space="0" w:color="auto"/>
        <w:bottom w:val="none" w:sz="0" w:space="0" w:color="auto"/>
        <w:right w:val="none" w:sz="0" w:space="0" w:color="auto"/>
      </w:divBdr>
    </w:div>
    <w:div w:id="1866821460">
      <w:bodyDiv w:val="1"/>
      <w:marLeft w:val="0"/>
      <w:marRight w:val="0"/>
      <w:marTop w:val="0"/>
      <w:marBottom w:val="0"/>
      <w:divBdr>
        <w:top w:val="none" w:sz="0" w:space="0" w:color="auto"/>
        <w:left w:val="none" w:sz="0" w:space="0" w:color="auto"/>
        <w:bottom w:val="none" w:sz="0" w:space="0" w:color="auto"/>
        <w:right w:val="none" w:sz="0" w:space="0" w:color="auto"/>
      </w:divBdr>
    </w:div>
    <w:div w:id="1878006982">
      <w:bodyDiv w:val="1"/>
      <w:marLeft w:val="0"/>
      <w:marRight w:val="0"/>
      <w:marTop w:val="0"/>
      <w:marBottom w:val="0"/>
      <w:divBdr>
        <w:top w:val="none" w:sz="0" w:space="0" w:color="auto"/>
        <w:left w:val="none" w:sz="0" w:space="0" w:color="auto"/>
        <w:bottom w:val="none" w:sz="0" w:space="0" w:color="auto"/>
        <w:right w:val="none" w:sz="0" w:space="0" w:color="auto"/>
      </w:divBdr>
    </w:div>
    <w:div w:id="1884825836">
      <w:bodyDiv w:val="1"/>
      <w:marLeft w:val="0"/>
      <w:marRight w:val="0"/>
      <w:marTop w:val="0"/>
      <w:marBottom w:val="0"/>
      <w:divBdr>
        <w:top w:val="none" w:sz="0" w:space="0" w:color="auto"/>
        <w:left w:val="none" w:sz="0" w:space="0" w:color="auto"/>
        <w:bottom w:val="none" w:sz="0" w:space="0" w:color="auto"/>
        <w:right w:val="none" w:sz="0" w:space="0" w:color="auto"/>
      </w:divBdr>
    </w:div>
    <w:div w:id="1895893358">
      <w:bodyDiv w:val="1"/>
      <w:marLeft w:val="0"/>
      <w:marRight w:val="0"/>
      <w:marTop w:val="0"/>
      <w:marBottom w:val="0"/>
      <w:divBdr>
        <w:top w:val="none" w:sz="0" w:space="0" w:color="auto"/>
        <w:left w:val="none" w:sz="0" w:space="0" w:color="auto"/>
        <w:bottom w:val="none" w:sz="0" w:space="0" w:color="auto"/>
        <w:right w:val="none" w:sz="0" w:space="0" w:color="auto"/>
      </w:divBdr>
    </w:div>
    <w:div w:id="1900087409">
      <w:bodyDiv w:val="1"/>
      <w:marLeft w:val="0"/>
      <w:marRight w:val="0"/>
      <w:marTop w:val="0"/>
      <w:marBottom w:val="0"/>
      <w:divBdr>
        <w:top w:val="none" w:sz="0" w:space="0" w:color="auto"/>
        <w:left w:val="none" w:sz="0" w:space="0" w:color="auto"/>
        <w:bottom w:val="none" w:sz="0" w:space="0" w:color="auto"/>
        <w:right w:val="none" w:sz="0" w:space="0" w:color="auto"/>
      </w:divBdr>
    </w:div>
    <w:div w:id="1924364963">
      <w:bodyDiv w:val="1"/>
      <w:marLeft w:val="0"/>
      <w:marRight w:val="0"/>
      <w:marTop w:val="0"/>
      <w:marBottom w:val="0"/>
      <w:divBdr>
        <w:top w:val="none" w:sz="0" w:space="0" w:color="auto"/>
        <w:left w:val="none" w:sz="0" w:space="0" w:color="auto"/>
        <w:bottom w:val="none" w:sz="0" w:space="0" w:color="auto"/>
        <w:right w:val="none" w:sz="0" w:space="0" w:color="auto"/>
      </w:divBdr>
    </w:div>
    <w:div w:id="1956596140">
      <w:bodyDiv w:val="1"/>
      <w:marLeft w:val="0"/>
      <w:marRight w:val="0"/>
      <w:marTop w:val="0"/>
      <w:marBottom w:val="0"/>
      <w:divBdr>
        <w:top w:val="none" w:sz="0" w:space="0" w:color="auto"/>
        <w:left w:val="none" w:sz="0" w:space="0" w:color="auto"/>
        <w:bottom w:val="none" w:sz="0" w:space="0" w:color="auto"/>
        <w:right w:val="none" w:sz="0" w:space="0" w:color="auto"/>
      </w:divBdr>
    </w:div>
    <w:div w:id="1984189974">
      <w:bodyDiv w:val="1"/>
      <w:marLeft w:val="0"/>
      <w:marRight w:val="0"/>
      <w:marTop w:val="0"/>
      <w:marBottom w:val="0"/>
      <w:divBdr>
        <w:top w:val="none" w:sz="0" w:space="0" w:color="auto"/>
        <w:left w:val="none" w:sz="0" w:space="0" w:color="auto"/>
        <w:bottom w:val="none" w:sz="0" w:space="0" w:color="auto"/>
        <w:right w:val="none" w:sz="0" w:space="0" w:color="auto"/>
      </w:divBdr>
    </w:div>
    <w:div w:id="1991667228">
      <w:bodyDiv w:val="1"/>
      <w:marLeft w:val="0"/>
      <w:marRight w:val="0"/>
      <w:marTop w:val="0"/>
      <w:marBottom w:val="0"/>
      <w:divBdr>
        <w:top w:val="none" w:sz="0" w:space="0" w:color="auto"/>
        <w:left w:val="none" w:sz="0" w:space="0" w:color="auto"/>
        <w:bottom w:val="none" w:sz="0" w:space="0" w:color="auto"/>
        <w:right w:val="none" w:sz="0" w:space="0" w:color="auto"/>
      </w:divBdr>
    </w:div>
    <w:div w:id="1999309006">
      <w:bodyDiv w:val="1"/>
      <w:marLeft w:val="0"/>
      <w:marRight w:val="0"/>
      <w:marTop w:val="0"/>
      <w:marBottom w:val="0"/>
      <w:divBdr>
        <w:top w:val="none" w:sz="0" w:space="0" w:color="auto"/>
        <w:left w:val="none" w:sz="0" w:space="0" w:color="auto"/>
        <w:bottom w:val="none" w:sz="0" w:space="0" w:color="auto"/>
        <w:right w:val="none" w:sz="0" w:space="0" w:color="auto"/>
      </w:divBdr>
    </w:div>
    <w:div w:id="2002657336">
      <w:bodyDiv w:val="1"/>
      <w:marLeft w:val="0"/>
      <w:marRight w:val="0"/>
      <w:marTop w:val="0"/>
      <w:marBottom w:val="0"/>
      <w:divBdr>
        <w:top w:val="none" w:sz="0" w:space="0" w:color="auto"/>
        <w:left w:val="none" w:sz="0" w:space="0" w:color="auto"/>
        <w:bottom w:val="none" w:sz="0" w:space="0" w:color="auto"/>
        <w:right w:val="none" w:sz="0" w:space="0" w:color="auto"/>
      </w:divBdr>
    </w:div>
    <w:div w:id="2013604103">
      <w:bodyDiv w:val="1"/>
      <w:marLeft w:val="0"/>
      <w:marRight w:val="0"/>
      <w:marTop w:val="0"/>
      <w:marBottom w:val="0"/>
      <w:divBdr>
        <w:top w:val="none" w:sz="0" w:space="0" w:color="auto"/>
        <w:left w:val="none" w:sz="0" w:space="0" w:color="auto"/>
        <w:bottom w:val="none" w:sz="0" w:space="0" w:color="auto"/>
        <w:right w:val="none" w:sz="0" w:space="0" w:color="auto"/>
      </w:divBdr>
    </w:div>
    <w:div w:id="2017731484">
      <w:bodyDiv w:val="1"/>
      <w:marLeft w:val="0"/>
      <w:marRight w:val="0"/>
      <w:marTop w:val="0"/>
      <w:marBottom w:val="0"/>
      <w:divBdr>
        <w:top w:val="none" w:sz="0" w:space="0" w:color="auto"/>
        <w:left w:val="none" w:sz="0" w:space="0" w:color="auto"/>
        <w:bottom w:val="none" w:sz="0" w:space="0" w:color="auto"/>
        <w:right w:val="none" w:sz="0" w:space="0" w:color="auto"/>
      </w:divBdr>
    </w:div>
    <w:div w:id="2051103972">
      <w:bodyDiv w:val="1"/>
      <w:marLeft w:val="0"/>
      <w:marRight w:val="0"/>
      <w:marTop w:val="0"/>
      <w:marBottom w:val="0"/>
      <w:divBdr>
        <w:top w:val="none" w:sz="0" w:space="0" w:color="auto"/>
        <w:left w:val="none" w:sz="0" w:space="0" w:color="auto"/>
        <w:bottom w:val="none" w:sz="0" w:space="0" w:color="auto"/>
        <w:right w:val="none" w:sz="0" w:space="0" w:color="auto"/>
      </w:divBdr>
    </w:div>
    <w:div w:id="2052146802">
      <w:bodyDiv w:val="1"/>
      <w:marLeft w:val="0"/>
      <w:marRight w:val="0"/>
      <w:marTop w:val="0"/>
      <w:marBottom w:val="0"/>
      <w:divBdr>
        <w:top w:val="none" w:sz="0" w:space="0" w:color="auto"/>
        <w:left w:val="none" w:sz="0" w:space="0" w:color="auto"/>
        <w:bottom w:val="none" w:sz="0" w:space="0" w:color="auto"/>
        <w:right w:val="none" w:sz="0" w:space="0" w:color="auto"/>
      </w:divBdr>
    </w:div>
    <w:div w:id="2057897236">
      <w:bodyDiv w:val="1"/>
      <w:marLeft w:val="0"/>
      <w:marRight w:val="0"/>
      <w:marTop w:val="0"/>
      <w:marBottom w:val="0"/>
      <w:divBdr>
        <w:top w:val="none" w:sz="0" w:space="0" w:color="auto"/>
        <w:left w:val="none" w:sz="0" w:space="0" w:color="auto"/>
        <w:bottom w:val="none" w:sz="0" w:space="0" w:color="auto"/>
        <w:right w:val="none" w:sz="0" w:space="0" w:color="auto"/>
      </w:divBdr>
    </w:div>
    <w:div w:id="2080902571">
      <w:bodyDiv w:val="1"/>
      <w:marLeft w:val="0"/>
      <w:marRight w:val="0"/>
      <w:marTop w:val="0"/>
      <w:marBottom w:val="0"/>
      <w:divBdr>
        <w:top w:val="none" w:sz="0" w:space="0" w:color="auto"/>
        <w:left w:val="none" w:sz="0" w:space="0" w:color="auto"/>
        <w:bottom w:val="none" w:sz="0" w:space="0" w:color="auto"/>
        <w:right w:val="none" w:sz="0" w:space="0" w:color="auto"/>
      </w:divBdr>
    </w:div>
    <w:div w:id="2095936579">
      <w:bodyDiv w:val="1"/>
      <w:marLeft w:val="0"/>
      <w:marRight w:val="0"/>
      <w:marTop w:val="0"/>
      <w:marBottom w:val="0"/>
      <w:divBdr>
        <w:top w:val="none" w:sz="0" w:space="0" w:color="auto"/>
        <w:left w:val="none" w:sz="0" w:space="0" w:color="auto"/>
        <w:bottom w:val="none" w:sz="0" w:space="0" w:color="auto"/>
        <w:right w:val="none" w:sz="0" w:space="0" w:color="auto"/>
      </w:divBdr>
    </w:div>
    <w:div w:id="2098360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Student 2421528</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Rob20</b:Tag>
    <b:SourceType>JournalArticle</b:SourceType>
    <b:Guid>{2A340C8B-E8A7-44BD-8709-E859944CBBA4}</b:Guid>
    <b:Title>County Lines: Criminal exploitation and policing responses</b:Title>
    <b:Year>2020</b:Year>
    <b:JournalName>Policing and Society</b:JournalName>
    <b:Pages>132-147</b:Pages>
    <b:Volume>30</b:Volume>
    <b:Issue>2</b:Issue>
    <b:Author>
      <b:Author>
        <b:NameList>
          <b:Person>
            <b:Last>Robinson</b:Last>
            <b:First>A</b:First>
          </b:Person>
          <b:Person>
            <b:Last>McLean</b:Last>
            <b:First>R</b:First>
          </b:Person>
          <b:Person>
            <b:Last>Densley</b:Last>
            <b:First>J</b:First>
          </b:Person>
        </b:NameList>
      </b:Author>
    </b:Author>
    <b:RefOrder>11</b:RefOrder>
  </b:Source>
  <b:Source>
    <b:Tag>Adl03</b:Tag>
    <b:SourceType>Book</b:SourceType>
    <b:Guid>{6D8BEFEA-1F98-49B3-A90D-25CDC114207D}</b:Guid>
    <b:Title>Police Leadership in the 21st Century</b:Title>
    <b:Year>2003</b:Year>
    <b:City>Winchester</b:City>
    <b:Publisher>Waterside Press</b:Publisher>
    <b:Author>
      <b:Author>
        <b:NameList>
          <b:Person>
            <b:Last>Adlam</b:Last>
            <b:First>R</b:First>
          </b:Person>
          <b:Person>
            <b:Last>Villiers</b:Last>
            <b:First>P</b:First>
          </b:Person>
        </b:NameList>
      </b:Author>
    </b:Author>
    <b:RefOrder>12</b:RefOrder>
  </b:Source>
  <b:Source>
    <b:Tag>Ash10</b:Tag>
    <b:SourceType>Book</b:SourceType>
    <b:Guid>{7C332CB3-A072-444B-BB34-4A2BBAEC09EA}</b:Guid>
    <b:Title>Public Service Improvement: Theories and Evidence</b:Title>
    <b:Year>2010</b:Year>
    <b:City>Oxford</b:City>
    <b:Publisher>Oxford University Press</b:Publisher>
    <b:Author>
      <b:Author>
        <b:NameList>
          <b:Person>
            <b:Last>Ashworth</b:Last>
            <b:First>R</b:First>
          </b:Person>
          <b:Person>
            <b:Last>Boyne</b:Last>
            <b:First>G</b:First>
          </b:Person>
          <b:Person>
            <b:Last>Entwistle</b:Last>
            <b:First>T</b:First>
          </b:Person>
        </b:NameList>
      </b:Author>
    </b:Author>
    <b:RefOrder>13</b:RefOrder>
  </b:Source>
  <b:Source>
    <b:Tag>Bot12</b:Tag>
    <b:SourceType>JournalArticle</b:SourceType>
    <b:Guid>{F4180FD0-1322-41D2-B9E5-E030C2A1F803}</b:Guid>
    <b:Title>Beyond procedural justice: A dialogic approach to legitimacy</b:Title>
    <b:Year>2012</b:Year>
    <b:JournalName>Journal of Criminal Law and Criminology</b:JournalName>
    <b:Pages>119-170</b:Pages>
    <b:Volume>102</b:Volume>
    <b:Issue>1</b:Issue>
    <b:Author>
      <b:Author>
        <b:NameList>
          <b:Person>
            <b:Last>Bottoms</b:Last>
            <b:First>A</b:First>
          </b:Person>
          <b:Person>
            <b:Last>Tankebe</b:Last>
            <b:First>J</b:First>
          </b:Person>
        </b:NameList>
      </b:Author>
    </b:Author>
    <b:RefOrder>2</b:RefOrder>
  </b:Source>
  <b:Source>
    <b:Tag>Bov12</b:Tag>
    <b:SourceType>JournalArticle</b:SourceType>
    <b:Guid>{E38DD686-FF4B-4A39-AFCC-E0CBB0B80CB2}</b:Guid>
    <b:Title>From engagement to co-production: The contribution of users and communities to outcomes and public value</b:Title>
    <b:JournalName>Voluntas</b:JournalName>
    <b:Year>2012</b:Year>
    <b:Pages>1119-1138</b:Pages>
    <b:Volume>23</b:Volume>
    <b:Issue>4</b:Issue>
    <b:Author>
      <b:Author>
        <b:NameList>
          <b:Person>
            <b:Last>Bovaird</b:Last>
            <b:First>T</b:First>
          </b:Person>
          <b:Person>
            <b:Last>Loeffler</b:Last>
            <b:First>E</b:First>
          </b:Person>
        </b:NameList>
      </b:Author>
    </b:Author>
    <b:RefOrder>14</b:RefOrder>
  </b:Source>
  <b:Source>
    <b:Tag>Bro15</b:Tag>
    <b:SourceType>JournalArticle</b:SourceType>
    <b:Guid>{5DA370A2-C559-44AD-A045-5ED975DB5BAD}</b:Guid>
    <b:Title>Rebalancing public-nonprofit partnerships: Innovation and accountability in community safety</b:Title>
    <b:JournalName>Nonprofit Policy Forum</b:JournalName>
    <b:Year>2015</b:Year>
    <b:Pages>203-226</b:Pages>
    <b:Volume>6</b:Volume>
    <b:Issue>2</b:Issue>
    <b:Author>
      <b:Author>
        <b:NameList>
          <b:Person>
            <b:Last>Brothers</b:Last>
            <b:First>S</b:First>
          </b:Person>
        </b:NameList>
      </b:Author>
    </b:Author>
    <b:RefOrder>15</b:RefOrder>
  </b:Source>
  <b:Source>
    <b:Tag>But15</b:Tag>
    <b:SourceType>JournalArticle</b:SourceType>
    <b:Guid>{CDE20747-978C-4C77-8ECF-50EC33F70FB5}</b:Guid>
    <b:Title>Cure Violence: A public health model to reduce violence</b:Title>
    <b:JournalName>Annuak Review of Public Health</b:JournalName>
    <b:Year>2015</b:Year>
    <b:Pages>39-53</b:Pages>
    <b:Volume>36</b:Volume>
    <b:Author>
      <b:Author>
        <b:NameList>
          <b:Person>
            <b:Last>Butts</b:Last>
            <b:First>J</b:First>
          </b:Person>
          <b:Person>
            <b:Last>Roman</b:Last>
            <b:First>C</b:First>
          </b:Person>
          <b:Person>
            <b:Last>Bostwick</b:Last>
            <b:First>L</b:First>
          </b:Person>
        </b:NameList>
      </b:Author>
    </b:Author>
    <b:RefOrder>16</b:RefOrder>
  </b:Source>
  <b:Source>
    <b:Tag>Cha13</b:Tag>
    <b:SourceType>Book</b:SourceType>
    <b:Guid>{D2BDEFB9-FBA1-4A28-921D-19C9B58F839A}</b:Guid>
    <b:Title>Rethinking Community Practice: Developing Transformative Neighbourhoods</b:Title>
    <b:Year>2013</b:Year>
    <b:City>Bristol</b:City>
    <b:Publisher>Policy Press</b:Publisher>
    <b:Author>
      <b:Author>
        <b:NameList>
          <b:Person>
            <b:Last>Chanan</b:Last>
            <b:First>G</b:First>
          </b:Person>
          <b:Person>
            <b:Last>Miller </b:Last>
            <b:First>C</b:First>
          </b:Person>
        </b:NameList>
      </b:Author>
    </b:Author>
    <b:RefOrder>17</b:RefOrder>
  </b:Source>
  <b:Source>
    <b:Tag>Col211</b:Tag>
    <b:SourceType>Report</b:SourceType>
    <b:Guid>{3D5121A3-4729-47D7-BCE9-2AC50E086EE7}</b:Guid>
    <b:Title>Leadership Review</b:Title>
    <b:Year>2021</b:Year>
    <b:City>Coventry</b:City>
    <b:Publisher>College of Policing</b:Publisher>
    <b:Author>
      <b:Author>
        <b:Corporate>College of Policing</b:Corporate>
      </b:Author>
    </b:Author>
    <b:RefOrder>18</b:RefOrder>
  </b:Source>
  <b:Source>
    <b:Tag>Cra97</b:Tag>
    <b:SourceType>Book</b:SourceType>
    <b:Guid>{D4D782E5-DF66-4EA5-9B6D-943DFDF31108}</b:Guid>
    <b:Title>The Local Governance of Crime: Appeals to Community and Partnerships</b:Title>
    <b:Year>1997</b:Year>
    <b:Publisher>Oxford University Press</b:Publisher>
    <b:City>Oxford</b:City>
    <b:Author>
      <b:Author>
        <b:NameList>
          <b:Person>
            <b:Last>Crawford</b:Last>
            <b:First>A</b:First>
          </b:Person>
        </b:NameList>
      </b:Author>
    </b:Author>
    <b:RefOrder>19</b:RefOrder>
  </b:Source>
  <b:Source>
    <b:Tag>Den19</b:Tag>
    <b:SourceType>Book</b:SourceType>
    <b:Guid>{4883635D-A169-4646-BB64-8EBF42427339}</b:Guid>
    <b:Title>The Handbook of Gangs</b:Title>
    <b:Year>2019</b:Year>
    <b:City>New York</b:City>
    <b:Publisher>Routledge</b:Publisher>
    <b:Author>
      <b:Author>
        <b:NameList>
          <b:Person>
            <b:Last>Densley</b:Last>
            <b:First>A</b:First>
          </b:Person>
          <b:Person>
            <b:Last>Pyrooz</b:Last>
            <b:First>D</b:First>
          </b:Person>
        </b:NameList>
      </b:Author>
    </b:Author>
    <b:RefOrder>20</b:RefOrder>
  </b:Source>
  <b:Source>
    <b:Tag>Fir20</b:Tag>
    <b:SourceType>Book</b:SourceType>
    <b:Guid>{6BE3BA67-5FD9-4F95-8DE0-414FFBBEFDAA}</b:Guid>
    <b:Title>Contextual Safeguarding and Child Protection: Rewriting the Rules</b:Title>
    <b:Year>2020</b:Year>
    <b:City>Bristol</b:City>
    <b:Publisher>Policy Press</b:Publisher>
    <b:Author>
      <b:Author>
        <b:NameList>
          <b:Person>
            <b:Last>Firmin</b:Last>
            <b:First>C</b:First>
          </b:Person>
        </b:NameList>
      </b:Author>
    </b:Author>
    <b:RefOrder>8</b:RefOrder>
  </b:Source>
  <b:Source>
    <b:Tag>Hob13</b:Tag>
    <b:SourceType>Book</b:SourceType>
    <b:Guid>{A5E524E0-48F6-41EC-BB89-5907E562F29A}</b:Guid>
    <b:Title>Lush Life: Constructing Organised Crime in the UK</b:Title>
    <b:Year>2013</b:Year>
    <b:City>Oxford</b:City>
    <b:Publisher>Oxford University Press</b:Publisher>
    <b:Author>
      <b:Author>
        <b:NameList>
          <b:Person>
            <b:Last>Hobbs</b:Last>
            <b:First>D</b:First>
          </b:Person>
        </b:NameList>
      </b:Author>
    </b:Author>
    <b:RefOrder>21</b:RefOrder>
  </b:Source>
  <b:Source>
    <b:Tag>Hug07</b:Tag>
    <b:SourceType>Book</b:SourceType>
    <b:Guid>{9B4CA159-768F-467C-ACB7-691A694FFD32}</b:Guid>
    <b:Title>The Politics of Crime and Community</b:Title>
    <b:Year>2007</b:Year>
    <b:City>Basingstoke</b:City>
    <b:Publisher>Palgrave Macmillan</b:Publisher>
    <b:Author>
      <b:Author>
        <b:NameList>
          <b:Person>
            <b:Last>Hughes</b:Last>
            <b:First>G</b:First>
          </b:Person>
        </b:NameList>
      </b:Author>
    </b:Author>
    <b:RefOrder>4</b:RefOrder>
  </b:Source>
  <b:Source>
    <b:Tag>Jam121</b:Tag>
    <b:SourceType>JournalArticle</b:SourceType>
    <b:Guid>{6A22AD89-C555-4A84-8C8C-AC8017517E21}</b:Guid>
    <b:Title>Inter-organisational relationships in public services: Collaboration and partnership</b:Title>
    <b:Year>2012</b:Year>
    <b:JournalName>Public Management Review</b:JournalName>
    <b:Pages>833-842</b:Pages>
    <b:Volume>14</b:Volume>
    <b:Issue>6</b:Issue>
    <b:Author>
      <b:Author>
        <b:NameList>
          <b:Person>
            <b:Last>James</b:Last>
            <b:First>O</b:First>
          </b:Person>
          <b:Person>
            <b:Last>Mullins</b:Last>
            <b:First>D</b:First>
          </b:Person>
          <b:Person>
            <b:Last>Bovaird</b:Last>
            <b:First>T</b:First>
          </b:Person>
        </b:NameList>
      </b:Author>
    </b:Author>
    <b:RefOrder>22</b:RefOrder>
  </b:Source>
  <b:Source>
    <b:Tag>Loa031</b:Tag>
    <b:SourceType>Book</b:SourceType>
    <b:Guid>{927E34B9-7E02-4204-84D9-2C2C367C4F96}</b:Guid>
    <b:Title>Policing and the Condition of England: Memory, Politics and Culture</b:Title>
    <b:Year>2003</b:Year>
    <b:City>Oxford</b:City>
    <b:Publisher>Oxford University Press</b:Publisher>
    <b:Author>
      <b:Author>
        <b:NameList>
          <b:Person>
            <b:Last>Loader</b:Last>
            <b:First>I</b:First>
          </b:Person>
          <b:Person>
            <b:Last>Mulcahy</b:Last>
            <b:First>A</b:First>
          </b:Person>
        </b:NameList>
      </b:Author>
    </b:Author>
    <b:RefOrder>3</b:RefOrder>
  </b:Source>
  <b:Source>
    <b:Tag>McL19</b:Tag>
    <b:SourceType>JournalArticle</b:SourceType>
    <b:Guid>{EBBFC8FD-B448-4572-85B5-E0D7B19FAB86}</b:Guid>
    <b:Title>Putting the "street" in gang: Place, space and territoriality</b:Title>
    <b:Year>2019</b:Year>
    <b:JournalName>British Journal of Criminology</b:JournalName>
    <b:Pages>1-19</b:Pages>
    <b:Volume>59</b:Volume>
    <b:Issue>1</b:Issue>
    <b:Author>
      <b:Author>
        <b:NameList>
          <b:Person>
            <b:Last>McLean</b:Last>
            <b:First>R</b:First>
          </b:Person>
          <b:Person>
            <b:Last>Deuchar</b:Last>
            <b:First>R</b:First>
          </b:Person>
          <b:Person>
            <b:Last>Harding</b:Last>
            <b:First>S</b:First>
          </b:Person>
          <b:Person>
            <b:Last>Densley</b:Last>
            <b:First>J</b:First>
          </b:Person>
        </b:NameList>
      </b:Author>
    </b:Author>
    <b:RefOrder>5</b:RefOrder>
  </b:Source>
  <b:Source>
    <b:Tag>Nat23</b:Tag>
    <b:SourceType>Report</b:SourceType>
    <b:Guid>{0E996104-CB64-4A34-9CE6-D160BD7F176A}</b:Guid>
    <b:Title>National Strategic Assessment of Serious and Organised Crime</b:Title>
    <b:Year>2023</b:Year>
    <b:Author>
      <b:Author>
        <b:Corporate>National Crime Agency</b:Corporate>
      </b:Author>
    </b:Author>
    <b:Publisher>NCA</b:Publisher>
    <b:City>London</b:City>
    <b:RefOrder>23</b:RefOrder>
  </b:Source>
  <b:Source>
    <b:Tag>Rei101</b:Tag>
    <b:SourceType>Book</b:SourceType>
    <b:Guid>{75FF3CDC-5314-4382-9767-224468D47135}</b:Guid>
    <b:Title>The Politics of the Police</b:Title>
    <b:Year>2010</b:Year>
    <b:Publisher>Oxford University Press</b:Publisher>
    <b:City>Oxford</b:City>
    <b:Edition>4th</b:Edition>
    <b:Author>
      <b:Author>
        <b:NameList>
          <b:Person>
            <b:Last>Reiner</b:Last>
            <b:First>R</b:First>
          </b:Person>
        </b:NameList>
      </b:Author>
    </b:Author>
    <b:RefOrder>10</b:RefOrder>
  </b:Source>
  <b:Source>
    <b:Tag>Sch101</b:Tag>
    <b:SourceType>JournalArticle</b:SourceType>
    <b:Guid>{12006AC7-CC6D-426F-98D1-10BDCF513C49}</b:Guid>
    <b:Title>Effective police leadership: Experiences and persepctives of law enforcement leaders</b:Title>
    <b:JournalName>Police Quarterly</b:JournalName>
    <b:Year>2010</b:Year>
    <b:Pages>22-45</b:Pages>
    <b:Volume>30</b:Volume>
    <b:Issue>2</b:Issue>
    <b:Author>
      <b:Author>
        <b:NameList>
          <b:Person>
            <b:Last>Schafer</b:Last>
            <b:First>J</b:First>
          </b:Person>
        </b:NameList>
      </b:Author>
    </b:Author>
    <b:RefOrder>24</b:RefOrder>
  </b:Source>
  <b:Source>
    <b:Tag>Squ14</b:Tag>
    <b:SourceType>Book</b:SourceType>
    <b:Guid>{3F4CF8F7-22FE-4355-8888-9E0B507AD140}</b:Guid>
    <b:Title>Gun Crime in Global Contexts</b:Title>
    <b:Year>2014</b:Year>
    <b:City>London</b:City>
    <b:Publisher>Routledge</b:Publisher>
    <b:Author>
      <b:Author>
        <b:NameList>
          <b:Person>
            <b:Last>Squires</b:Last>
            <b:First>P</b:First>
          </b:Person>
        </b:NameList>
      </b:Author>
    </b:Author>
    <b:RefOrder>1</b:RefOrder>
  </b:Source>
  <b:Source>
    <b:Tag>Tho09</b:Tag>
    <b:SourceType>Book</b:SourceType>
    <b:Guid>{EEF4C9FA-1AE0-4721-825C-3E71C46E6E1C}</b:Guid>
    <b:Title>People Skills</b:Title>
    <b:Year>2009</b:Year>
    <b:City>Basingstoke</b:City>
    <b:Publisher>Palgrave Macmillan</b:Publisher>
    <b:Edition>3rd</b:Edition>
    <b:Author>
      <b:Author>
        <b:NameList>
          <b:Person>
            <b:Last>Thompson</b:Last>
            <b:First>N</b:First>
          </b:Person>
        </b:NameList>
      </b:Author>
    </b:Author>
    <b:RefOrder>25</b:RefOrder>
  </b:Source>
  <b:Source>
    <b:Tag>Tyl06</b:Tag>
    <b:SourceType>Book</b:SourceType>
    <b:Guid>{5468552F-D048-43A5-8EB4-55432F6AEE6B}</b:Guid>
    <b:Title>Why People Obey the Law</b:Title>
    <b:Year>2006</b:Year>
    <b:City>Princeton</b:City>
    <b:Publisher>Princeton University Press</b:Publisher>
    <b:Author>
      <b:Author>
        <b:NameList>
          <b:Person>
            <b:Last>Tyler</b:Last>
            <b:First>T</b:First>
          </b:Person>
        </b:NameList>
      </b:Author>
    </b:Author>
    <b:RefOrder>26</b:RefOrder>
  </b:Source>
  <b:Source>
    <b:Tag>Van19</b:Tag>
    <b:SourceType>JournalArticle</b:SourceType>
    <b:Guid>{9C9805C8-0C9F-4880-9F14-9BC8B7A146BB}</b:Guid>
    <b:Title>Cyber governance and the evolution of organised crime</b:Title>
    <b:Year>2019</b:Year>
    <b:JournalName>Journal of Cyber Policy</b:JournalName>
    <b:Pages>1-17</b:Pages>
    <b:Volume>4</b:Volume>
    <b:Issue>1</b:Issue>
    <b:Author>
      <b:Author>
        <b:NameList>
          <b:Person>
            <b:Last>Van Puyvelde</b:Last>
            <b:First>D</b:First>
          </b:Person>
          <b:Person>
            <b:Last>Brantly</b:Last>
            <b:First>A</b:First>
          </b:Person>
        </b:NameList>
      </b:Author>
    </b:Author>
    <b:RefOrder>27</b:RefOrder>
  </b:Source>
  <b:Source>
    <b:Tag>Wal07</b:Tag>
    <b:SourceType>Book</b:SourceType>
    <b:Guid>{8BA68A2B-360D-43CB-B57A-A102F883FE69}</b:Guid>
    <b:Title>Cybercrime: The Transformation of Crime in the Information Age</b:Title>
    <b:Year>2007</b:Year>
    <b:City>Cambridge</b:City>
    <b:Publisher>Polity Press</b:Publisher>
    <b:Author>
      <b:Author>
        <b:NameList>
          <b:Person>
            <b:Last>Wall</b:Last>
            <b:First>D</b:First>
          </b:Person>
        </b:NameList>
      </b:Author>
    </b:Author>
    <b:RefOrder>28</b:RefOrder>
  </b:Source>
  <b:Source>
    <b:Tag>Gra17</b:Tag>
    <b:SourceType>JournalArticle</b:SourceType>
    <b:Guid>{6652AB9C-2B87-4CBA-8161-9C788C9D7B60}</b:Guid>
    <b:Title>Cyber-enabled crime and the future of policing</b:Title>
    <b:Year>2017</b:Year>
    <b:JournalName>Policing: A Journal of Policy and Practice</b:JournalName>
    <b:Pages>256-268</b:Pages>
    <b:Volume>11</b:Volume>
    <b:Issue>3</b:Issue>
    <b:Author>
      <b:Author>
        <b:NameList>
          <b:Person>
            <b:Last>Grant</b:Last>
            <b:First>L</b:First>
          </b:Person>
          <b:Person>
            <b:Last>Adamson</b:Last>
            <b:First>S</b:First>
          </b:Person>
        </b:NameList>
      </b:Author>
    </b:Author>
    <b:RefOrder>29</b:RefOrder>
  </b:Source>
  <b:Source>
    <b:Tag>Mer24</b:Tag>
    <b:SourceType>InternetSite</b:SourceType>
    <b:Guid>{A19722BF-C829-4CF2-A144-B23744618765}</b:Guid>
    <b:Title>ONS crime stats welcomed by Merseyside Police Chief Constable</b:Title>
    <b:Year>2024</b:Year>
    <b:Author>
      <b:Author>
        <b:Corporate>Merseyside Police</b:Corporate>
      </b:Author>
    </b:Author>
    <b:YearAccessed>2026</b:YearAccessed>
    <b:MonthAccessed>March</b:MonthAccessed>
    <b:DayAccessed>19</b:DayAccessed>
    <b:URL>https://www.merseyside.police.uk/news/merseyside/news/2024/july/ons-crime-stats-welcomed-by-merseyside-police-chief-constable</b:URL>
    <b:RefOrder>30</b:RefOrder>
  </b:Source>
  <b:Source>
    <b:Tag>Mer241</b:Tag>
    <b:SourceType>InternetSite</b:SourceType>
    <b:Guid>{5C9E9E11-1F05-4505-9671-F637FD45CE48}</b:Guid>
    <b:Author>
      <b:Author>
        <b:Corporate>Merseyside Police</b:Corporate>
      </b:Author>
    </b:Author>
    <b:Title>Merseyside unites behind new plan to drive forward the work to prevent serious violence</b:Title>
    <b:Year>2024</b:Year>
    <b:YearAccessed>2026</b:YearAccessed>
    <b:MonthAccessed>March</b:MonthAccessed>
    <b:DayAccessed>19</b:DayAccessed>
    <b:URL>https://www.merseyside.police.uk/news/merseyside/news/2024/march/halewood-man-jailed-for-22-years-for-sexual-offences-against-a-child/february/merseyside-unites-behind-new-plan-to-drive-forward-the-work-to-prevent-serious-violence/</b:URL>
    <b:RefOrder>31</b:RefOrder>
  </b:Source>
  <b:Source>
    <b:Tag>Liv25</b:Tag>
    <b:SourceType>InternetSite</b:SourceType>
    <b:Guid>{7B0ACE3D-3BD1-4C45-8B59-A90B0DB22DA3}</b:Guid>
    <b:Author>
      <b:Author>
        <b:Corporate>Liverpool City Council</b:Corporate>
      </b:Author>
    </b:Author>
    <b:Title>Indices of Deprivation 2025</b:Title>
    <b:Year>2025</b:Year>
    <b:YearAccessed>2026</b:YearAccessed>
    <b:MonthAccessed>March </b:MonthAccessed>
    <b:DayAccessed>19</b:DayAccessed>
    <b:URL>https://liverpool.gov.uk/council/key-statistics-and-data/indices-of-deprivation/</b:URL>
    <b:RefOrder>32</b:RefOrder>
  </b:Source>
  <b:Source>
    <b:Tag>Mer242</b:Tag>
    <b:SourceType>InternetSite</b:SourceType>
    <b:Guid>{C6764AF6-FC42-43E3-A472-849D9240CB56}</b:Guid>
    <b:Author>
      <b:Author>
        <b:Corporate>Merseyside Violence Reduction Partnership</b:Corporate>
      </b:Author>
    </b:Author>
    <b:Title>Strategic Needs Assessment 2023-24</b:Title>
    <b:Year>2024</b:Year>
    <b:YearAccessed>2026</b:YearAccessed>
    <b:MonthAccessed>March</b:MonthAccessed>
    <b:DayAccessed>19</b:DayAccessed>
    <b:URL>https://www.merseysidevrp.com/wp-content/uploads/2024/10/MVRP-Annual-Report-2023-24-final-version.pdf</b:URL>
    <b:RefOrder>33</b:RefOrder>
  </b:Source>
  <b:Source>
    <b:Tag>Mer26</b:Tag>
    <b:SourceType>InternetSite</b:SourceType>
    <b:Guid>{D6DEFD60-D990-41A8-B5E1-716C53C89751}</b:Guid>
    <b:Author>
      <b:Author>
        <b:Corporate>Merseyside Police</b:Corporate>
      </b:Author>
    </b:Author>
    <b:Title>237 people arrested and 27 drugs lines shut down during County Lines Intensification Week</b:Title>
    <b:Year>2026</b:Year>
    <b:YearAccessed>2026</b:YearAccessed>
    <b:MonthAccessed>March</b:MonthAccessed>
    <b:DayAccessed>19</b:DayAccessed>
    <b:URL>https://www.merseyside.police.uk/news/merseyside/news/2026/march-2026/237-people-arrested-and-17-drug-lines-shut-down-during-county-lines-intensification-week/</b:URL>
    <b:RefOrder>34</b:RefOrder>
  </b:Source>
  <b:Source>
    <b:Tag>Rit73</b:Tag>
    <b:SourceType>JournalArticle</b:SourceType>
    <b:Guid>{F2677406-D4E9-4181-9E58-A173C1181494}</b:Guid>
    <b:Title>Dilemmas in a general theory of planning</b:Title>
    <b:Year>1973</b:Year>
    <b:JournalName>Policy Sciences</b:JournalName>
    <b:Pages>155-169</b:Pages>
    <b:Volume>4</b:Volume>
    <b:Issue>2</b:Issue>
    <b:Author>
      <b:Author>
        <b:NameList>
          <b:Person>
            <b:Last>Rittel</b:Last>
            <b:First>H</b:First>
          </b:Person>
          <b:Person>
            <b:Last>Webber</b:Last>
            <b:First>M</b:First>
          </b:Person>
        </b:NameList>
      </b:Author>
    </b:Author>
    <b:RefOrder>35</b:RefOrder>
  </b:Source>
  <b:Source>
    <b:Tag>Cha02</b:Tag>
    <b:SourceType>Book</b:SourceType>
    <b:Guid>{06A467BC-E559-4C6F-A648-7397AC2C88B8}</b:Guid>
    <b:Title>System Failure: Why Governments Must Learn to Think Differently</b:Title>
    <b:Year>2002</b:Year>
    <b:City>London</b:City>
    <b:Publisher>Demos</b:Publisher>
    <b:Author>
      <b:Author>
        <b:NameList>
          <b:Person>
            <b:Last>Chapman</b:Last>
            <b:First>J</b:First>
          </b:Person>
        </b:NameList>
      </b:Author>
    </b:Author>
    <b:RefOrder>36</b:RefOrder>
  </b:Source>
  <b:Source>
    <b:Tag>UKG21</b:Tag>
    <b:SourceType>DocumentFromInternetSite</b:SourceType>
    <b:Guid>{2BCA2517-7703-40B9-8DBA-81282DD909A3}</b:Guid>
    <b:Title>From harm to hope: A 10 year drugs plan to cut crime and save lives</b:Title>
    <b:Year>2021</b:Year>
    <b:Author>
      <b:Author>
        <b:Corporate>UK Government</b:Corporate>
      </b:Author>
    </b:Author>
    <b:YearAccessed>2026</b:YearAccessed>
    <b:MonthAccessed>March</b:MonthAccessed>
    <b:DayAccessed>26</b:DayAccessed>
    <b:URL>https://www.gov.uk/government/publications/from-harm-to-hope-a-10-year-drugs-plan-to-cut-crime-and-save-lives</b:URL>
    <b:RefOrder>37</b:RefOrder>
  </b:Source>
  <b:Source>
    <b:Tag>Hol22</b:Tag>
    <b:SourceType>JournalArticle</b:SourceType>
    <b:Guid>{5A51C34D-A0E2-4201-9F27-4EEFC1B0F12A}</b:Guid>
    <b:Title>Analysis of the UK Government's 10-year Drugs Strategy - a resource for practitioners and policymakers</b:Title>
    <b:Year>2022</b:Year>
    <b:Author>
      <b:Author>
        <b:NameList>
          <b:Person>
            <b:Last>Holland</b:Last>
            <b:First>A</b:First>
          </b:Person>
          <b:Person>
            <b:Last>Stevens</b:Last>
            <b:First>A</b:First>
          </b:Person>
          <b:Person>
            <b:Last>Harris</b:Last>
            <b:First>M</b:First>
          </b:Person>
          <b:Person>
            <b:Last>Lewer</b:Last>
            <b:First>D</b:First>
          </b:Person>
          <b:Person>
            <b:Last>Sumnall</b:Last>
            <b:First>H</b:First>
          </b:Person>
          <b:Person>
            <b:Last>Stewart</b:Last>
            <b:First>D</b:First>
          </b:Person>
          <b:Person>
            <b:Last>Gilvarry</b:Last>
            <b:First>E</b:First>
          </b:Person>
          <b:Person>
            <b:Last>Wiseman</b:Last>
            <b:First>A</b:First>
          </b:Person>
          <b:Person>
            <b:Last>Howkins</b:Last>
            <b:First>J</b:First>
          </b:Person>
          <b:Person>
            <b:Last>McManus</b:Last>
            <b:First>J</b:First>
          </b:Person>
        </b:NameList>
      </b:Author>
    </b:Author>
    <b:JournalName>Journal of Public Health</b:JournalName>
    <b:Pages>215-224</b:Pages>
    <b:Volume>45</b:Volume>
    <b:Issue>2</b:Issue>
    <b:RefOrder>38</b:RefOrder>
  </b:Source>
  <b:Source>
    <b:Tag>All13</b:Tag>
    <b:SourceType>Book</b:SourceType>
    <b:Guid>{83EAF2B4-F27F-4085-B491-F15B870179F7}</b:Guid>
    <b:Title>No One Noticed, No One Heard: A Study of Disclosures of Childhood Abuse</b:Title>
    <b:Year>2013</b:Year>
    <b:City>London</b:City>
    <b:Publisher>NSPCC</b:Publisher>
    <b:Author>
      <b:Author>
        <b:NameList>
          <b:Person>
            <b:Last>Allnock</b:Last>
            <b:First>D</b:First>
          </b:Person>
          <b:Person>
            <b:Last>Miller</b:Last>
            <b:First>P</b:First>
          </b:Person>
        </b:NameList>
      </b:Author>
    </b:Author>
    <b:RefOrder>7</b:RefOrder>
  </b:Source>
  <b:Source>
    <b:Tag>Bec17</b:Tag>
    <b:SourceType>JournalArticle</b:SourceType>
    <b:Guid>{7629EFAD-60AE-4372-B2FF-CEFF02E6E33B}</b:Guid>
    <b:Title>Not getting with the programme: Why victims of child sexual exploitation are not engaging with interventions</b:Title>
    <b:Year>2017</b:Year>
    <b:JournalName>Children and Youth Services Review</b:JournalName>
    <b:Pages>44-52</b:Pages>
    <b:Volume>74</b:Volume>
    <b:Author>
      <b:Author>
        <b:NameList>
          <b:Person>
            <b:Last>Beckett</b:Last>
            <b:First>H</b:First>
          </b:Person>
          <b:Person>
            <b:Last>Holmes</b:Last>
            <b:First>D</b:First>
          </b:Person>
          <b:Person>
            <b:Last>Firmin</b:Last>
            <b:First>C</b:First>
          </b:Person>
          <b:Person>
            <b:Last>Pearce</b:Last>
            <b:First>J</b:First>
          </b:Person>
        </b:NameList>
      </b:Author>
    </b:Author>
    <b:RefOrder>39</b:RefOrder>
  </b:Source>
  <b:Source>
    <b:Tag>Bro18</b:Tag>
    <b:SourceType>JournalArticle</b:SourceType>
    <b:Guid>{F7D14E9E-863B-4A76-A107-83E40B159319}</b:Guid>
    <b:Title>Vulnerability and safeguarding: Policing and the challenge of protecting children from criminal exploitation</b:Title>
    <b:JournalName>Children and Youth Services</b:JournalName>
    <b:Year>2018</b:Year>
    <b:Pages>594-610</b:Pages>
    <b:Volume>28</b:Volume>
    <b:Issue>5</b:Issue>
    <b:Author>
      <b:Author>
        <b:NameList>
          <b:Person>
            <b:Last>Brown</b:Last>
            <b:First>S</b:First>
          </b:Person>
        </b:NameList>
      </b:Author>
    </b:Author>
    <b:RefOrder>40</b:RefOrder>
  </b:Source>
  <b:Source>
    <b:Tag>McL191</b:Tag>
    <b:SourceType>JournalArticle</b:SourceType>
    <b:Guid>{875268E2-BAF1-43FB-B36E-24E2897DA25E}</b:Guid>
    <b:Title>Criminal exploitation of children by county lines drug networks</b:Title>
    <b:JournalName>The Howard Journal of Crime and Justice</b:JournalName>
    <b:Year>2019</b:Year>
    <b:Pages>155-175</b:Pages>
    <b:Volume>58</b:Volume>
    <b:Issue>2</b:Issue>
    <b:Author>
      <b:Author>
        <b:NameList>
          <b:Person>
            <b:Last>McLean</b:Last>
            <b:First>R</b:First>
          </b:Person>
          <b:Person>
            <b:Last>Robinson</b:Last>
            <b:First>G</b:First>
          </b:Person>
          <b:Person>
            <b:Last>Densley</b:Last>
            <b:First>J</b:First>
          </b:Person>
          <b:Person>
            <b:Last>Deuchar</b:Last>
            <b:First>R</b:First>
          </b:Person>
        </b:NameList>
      </b:Author>
    </b:Author>
    <b:RefOrder>9</b:RefOrder>
  </b:Source>
  <b:Source>
    <b:Tag>Win15</b:Tag>
    <b:SourceType>JournalArticle</b:SourceType>
    <b:Guid>{B2AE8916-1642-4B99-A846-FEDFDF0CD7A9}</b:Guid>
    <b:Title>It's like working away for three weeks: The harms associated with young people's involvement in drug distribution networks in England</b:Title>
    <b:JournalName>International Journal of Drug Policy</b:JournalName>
    <b:Year>2015</b:Year>
    <b:Pages>365-372</b:Pages>
    <b:Volume>26</b:Volume>
    <b:Issue>4</b:Issue>
    <b:Author>
      <b:Author>
        <b:NameList>
          <b:Person>
            <b:Last>Windle</b:Last>
            <b:First>J</b:First>
          </b:Person>
          <b:Person>
            <b:Last>Briggs</b:Last>
            <b:First>D</b:First>
          </b:Person>
        </b:NameList>
      </b:Author>
    </b:Author>
    <b:RefOrder>6</b:RefOrder>
  </b:Source>
  <b:Source>
    <b:Tag>Von16</b:Tag>
    <b:SourceType>Book</b:SourceType>
    <b:Guid>{72DC0699-E8E5-4A15-8F7B-B6790DF2BC2A}</b:Guid>
    <b:Title>Organized Crime: Analyzing illegal activities, Criminal Structures, and Extra-Legal Governance</b:Title>
    <b:Year>2016</b:Year>
    <b:City>London</b:City>
    <b:Publisher>SAGE</b:Publisher>
    <b:Edition>2nd</b:Edition>
    <b:Author>
      <b:Author>
        <b:NameList>
          <b:Person>
            <b:Last>Von Lampe</b:Last>
            <b:First>K</b:First>
          </b:Person>
        </b:NameList>
      </b:Author>
    </b:Author>
    <b:RefOrder>41</b:RefOrder>
  </b:Source>
  <b:Source>
    <b:Tag>Sko08</b:Tag>
    <b:SourceType>JournalArticle</b:SourceType>
    <b:Guid>{65E7B9DA-E334-48F1-BE4A-FE364977DE6D}</b:Guid>
    <b:Title>Why reforms fail</b:Title>
    <b:Year>2008</b:Year>
    <b:JournalName>Policing and Society</b:JournalName>
    <b:Pages>23-24</b:Pages>
    <b:Volume>18</b:Volume>
    <b:Issue>1</b:Issue>
    <b:Author>
      <b:Author>
        <b:NameList>
          <b:Person>
            <b:Last>Skogan</b:Last>
            <b:Middle>G</b:Middle>
            <b:First>W</b:First>
          </b:Person>
        </b:NameList>
      </b:Author>
    </b:Author>
    <b:RefOrder>42</b:RefOrder>
  </b:Source>
  <b:Source>
    <b:Tag>Atk17</b:Tag>
    <b:SourceType>BookSection</b:SourceType>
    <b:Guid>{9375DC2C-8E66-485F-AD6B-963A2E9F4EC7}</b:Guid>
    <b:Title>Policy networks, policy learning and public governance</b:Title>
    <b:Year>2017</b:Year>
    <b:Pages>389-403</b:Pages>
    <b:BookTitle>The SAGE Administration</b:BookTitle>
    <b:City>London</b:City>
    <b:Publisher>SAGE Publications</b:Publisher>
    <b:Author>
      <b:Author>
        <b:NameList>
          <b:Person>
            <b:Last>Atkinson</b:Last>
            <b:Middle>M</b:Middle>
            <b:First>M</b:First>
          </b:Person>
          <b:Person>
            <b:Last>Coleman</b:Last>
            <b:Middle>D</b:Middle>
            <b:First>W</b:First>
          </b:Person>
        </b:NameList>
      </b:Author>
      <b:Editor>
        <b:NameList>
          <b:Person>
            <b:Last>Peters</b:Last>
            <b:Middle>G</b:Middle>
            <b:First>B</b:First>
          </b:Person>
          <b:Person>
            <b:Last>Pierre</b:Last>
            <b:First>Jon</b:First>
          </b:Person>
        </b:NameList>
      </b:Editor>
    </b:Author>
    <b:RefOrder>43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BBD83D5-1766-4C4F-AEB4-CF52FC17E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311</TotalTime>
  <Pages>17</Pages>
  <Words>4078</Words>
  <Characters>23246</Characters>
  <Application>Microsoft Office Word</Application>
  <DocSecurity>0</DocSecurity>
  <Lines>193</Lines>
  <Paragraphs>54</Paragraphs>
  <ScaleCrop>false</ScaleCrop>
  <Company/>
  <LinksUpToDate>false</LinksUpToDate>
  <CharactersWithSpaces>27270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Serious and Organised crime (soc) &amp; firearms-enabled violence</dc:title>
  <dc:subject/>
  <dc:creator>Tickle Ruth Elizabeth</dc:creator>
  <cp:keywords/>
  <dc:description/>
  <cp:lastModifiedBy>Tickle Ruth Elizabeth</cp:lastModifiedBy>
  <cp:revision>265</cp:revision>
  <dcterms:created xsi:type="dcterms:W3CDTF">2026-04-16T06:53:00Z</dcterms:created>
  <dcterms:modified xsi:type="dcterms:W3CDTF">2026-04-18T11:19:00Z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e7215e5-6892-44c5-bd87-118363e84c39_Enabled">
    <vt:lpwstr>true</vt:lpwstr>
  </property>
  <property fmtid="{D5CDD505-2E9C-101B-9397-08002B2CF9AE}" pid="3" name="MSIP_Label_fe7215e5-6892-44c5-bd87-118363e84c39_SetDate">
    <vt:lpwstr>2024-10-16T08:45:09Z</vt:lpwstr>
  </property>
  <property fmtid="{D5CDD505-2E9C-101B-9397-08002B2CF9AE}" pid="4" name="MSIP_Label_fe7215e5-6892-44c5-bd87-118363e84c39_Method">
    <vt:lpwstr>Standard</vt:lpwstr>
  </property>
  <property fmtid="{D5CDD505-2E9C-101B-9397-08002B2CF9AE}" pid="5" name="MSIP_Label_fe7215e5-6892-44c5-bd87-118363e84c39_Name">
    <vt:lpwstr>OFFICIAL</vt:lpwstr>
  </property>
  <property fmtid="{D5CDD505-2E9C-101B-9397-08002B2CF9AE}" pid="6" name="MSIP_Label_fe7215e5-6892-44c5-bd87-118363e84c39_SiteId">
    <vt:lpwstr>f3955ea2-4c5d-4e27-ab8d-f6f577fa122d</vt:lpwstr>
  </property>
  <property fmtid="{D5CDD505-2E9C-101B-9397-08002B2CF9AE}" pid="7" name="MSIP_Label_fe7215e5-6892-44c5-bd87-118363e84c39_ActionId">
    <vt:lpwstr>53ec0f50-b329-4293-9fb8-b3aba0da2071</vt:lpwstr>
  </property>
  <property fmtid="{D5CDD505-2E9C-101B-9397-08002B2CF9AE}" pid="8" name="MSIP_Label_fe7215e5-6892-44c5-bd87-118363e84c39_ContentBits">
    <vt:lpwstr>0</vt:lpwstr>
  </property>
</Properties>
</file>