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95179F" w14:textId="3D6C678D" w:rsidR="0019694C" w:rsidRPr="00E92296" w:rsidRDefault="0099504D" w:rsidP="00E92296">
      <w:pPr>
        <w:pStyle w:val="Image"/>
        <w:spacing w:line="360" w:lineRule="auto"/>
        <w:rPr>
          <w:rFonts w:ascii="Arial" w:hAnsi="Arial" w:cs="Arial"/>
          <w:lang w:val="en-GB"/>
        </w:rPr>
      </w:pPr>
      <w:r w:rsidRPr="00E92296">
        <w:rPr>
          <w:rFonts w:ascii="Arial" w:hAnsi="Arial" w:cs="Arial"/>
          <w:noProof/>
          <w:lang w:val="en-GB"/>
        </w:rPr>
        <mc:AlternateContent>
          <mc:Choice Requires="wpg">
            <w:drawing>
              <wp:inline distT="0" distB="0" distL="0" distR="0" wp14:anchorId="02CD6EE8" wp14:editId="7A9389EB">
                <wp:extent cx="5191125" cy="2895600"/>
                <wp:effectExtent l="171450" t="171450" r="200025" b="0"/>
                <wp:docPr id="3" name="Group 3"/>
                <wp:cNvGraphicFramePr/>
                <a:graphic xmlns:a="http://schemas.openxmlformats.org/drawingml/2006/main">
                  <a:graphicData uri="http://schemas.microsoft.com/office/word/2010/wordprocessingGroup">
                    <wpg:wgp>
                      <wpg:cNvGrpSpPr/>
                      <wpg:grpSpPr>
                        <a:xfrm>
                          <a:off x="0" y="0"/>
                          <a:ext cx="5191125" cy="2895600"/>
                          <a:chOff x="0" y="0"/>
                          <a:chExt cx="5419725" cy="3968115"/>
                        </a:xfrm>
                      </wpg:grpSpPr>
                      <pic:pic xmlns:pic="http://schemas.openxmlformats.org/drawingml/2006/picture">
                        <pic:nvPicPr>
                          <pic:cNvPr id="1" name="Picture 1"/>
                          <pic:cNvPicPr>
                            <a:picLocks noChangeAspect="1"/>
                          </pic:cNvPicPr>
                        </pic:nvPicPr>
                        <pic:blipFill>
                          <a:blip r:embed="rId7">
                            <a:extLst>
                              <a:ext uri="{837473B0-CC2E-450A-ABE3-18F120FF3D39}">
                                <a1611:picAttrSrcUrl xmlns:a1611="http://schemas.microsoft.com/office/drawing/2016/11/main" r:id="rId8"/>
                              </a:ext>
                            </a:extLst>
                          </a:blip>
                          <a:stretch>
                            <a:fillRect/>
                          </a:stretch>
                        </pic:blipFill>
                        <pic:spPr>
                          <a:xfrm>
                            <a:off x="0" y="0"/>
                            <a:ext cx="5419725" cy="359727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wps:wsp>
                        <wps:cNvPr id="2" name="Text Box 2"/>
                        <wps:cNvSpPr txBox="1"/>
                        <wps:spPr>
                          <a:xfrm>
                            <a:off x="0" y="3597275"/>
                            <a:ext cx="5419725" cy="370840"/>
                          </a:xfrm>
                          <a:prstGeom prst="rect">
                            <a:avLst/>
                          </a:prstGeom>
                          <a:solidFill>
                            <a:prstClr val="white"/>
                          </a:solidFill>
                          <a:ln>
                            <a:noFill/>
                          </a:ln>
                        </wps:spPr>
                        <wps:txbx>
                          <w:txbxContent>
                            <w:p w14:paraId="49EB2572" w14:textId="6410D27F" w:rsidR="0099504D" w:rsidRPr="0099504D" w:rsidRDefault="003C11F3" w:rsidP="0099504D">
                              <w:pPr>
                                <w:rPr>
                                  <w:sz w:val="18"/>
                                  <w:szCs w:val="18"/>
                                </w:rPr>
                              </w:pPr>
                              <w:hyperlink r:id="rId9" w:history="1">
                                <w:r w:rsidR="0099504D" w:rsidRPr="0099504D">
                                  <w:rPr>
                                    <w:rStyle w:val="Hyperlink"/>
                                    <w:sz w:val="18"/>
                                    <w:szCs w:val="18"/>
                                  </w:rPr>
                                  <w:t>This Photo</w:t>
                                </w:r>
                              </w:hyperlink>
                              <w:r w:rsidR="0099504D" w:rsidRPr="0099504D">
                                <w:rPr>
                                  <w:sz w:val="18"/>
                                  <w:szCs w:val="18"/>
                                </w:rPr>
                                <w:t xml:space="preserve"> by Unknown Author is licensed under </w:t>
                              </w:r>
                              <w:hyperlink r:id="rId10" w:history="1">
                                <w:r w:rsidR="0099504D" w:rsidRPr="0099504D">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2CD6EE8" id="Group 3" o:spid="_x0000_s1026" style="width:408.75pt;height:228pt;mso-position-horizontal-relative:char;mso-position-vertical-relative:line" coordsize="54197,39681"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4197;height:3597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" filled="t" fillcolor="#ededed" stroked="t" strokecolor="white" strokeweight="15pt">
                  <v:stroke endcap="round"/>
                  <v:imagedata r:id="rId11" o:title=""/>
                  <v:shadow on="t" color="black" opacity="26869f" origin="-.5,-.5" offset="0,0"/>
                  <v:path arrowok="t"/>
                </v:shape>
                <v:shapetype id="_x0000_t202" coordsize="21600,21600" o:spt="202" path="m,l,21600r21600,l21600,xe">
                  <v:stroke joinstyle="miter"/>
                  <v:path gradientshapeok="t" o:connecttype="rect"/>
                </v:shapetype>
                <v:shape id="Text Box 2" o:spid="_x0000_s1028" type="#_x0000_t202" style="position:absolute;top:35972;width:54197;height:370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" stroked="f">
                  <v:textbox>
                    <w:txbxContent>
                      <w:p w14:paraId="49EB2572" w14:textId="6410D27F" w:rsidR="0099504D" w:rsidRPr="0099504D" w:rsidRDefault="00097D9A" w:rsidP="0099504D">
                        <w:pPr>
                          <w:rPr>
                            <w:sz w:val="18"/>
                            <w:szCs w:val="18"/>
                          </w:rPr>
                        </w:pPr>
                        <w:hyperlink r:id="rId12" w:history="1">
                          <w:r w:rsidR="0099504D" w:rsidRPr="0099504D">
                            <w:rPr>
                              <w:rStyle w:val="Hyperlink"/>
                              <w:sz w:val="18"/>
                              <w:szCs w:val="18"/>
                            </w:rPr>
                            <w:t>This Photo</w:t>
                          </w:r>
                        </w:hyperlink>
                        <w:r w:rsidR="0099504D" w:rsidRPr="0099504D">
                          <w:rPr>
                            <w:sz w:val="18"/>
                            <w:szCs w:val="18"/>
                          </w:rPr>
                          <w:t xml:space="preserve"> by Unknown Author is licensed under </w:t>
                        </w:r>
                        <w:hyperlink r:id="rId13" w:history="1">
                          <w:r w:rsidR="0099504D" w:rsidRPr="0099504D">
                            <w:rPr>
                              <w:rStyle w:val="Hyperlink"/>
                              <w:sz w:val="18"/>
                              <w:szCs w:val="18"/>
                            </w:rPr>
                            <w:t>CC BY-SA</w:t>
                          </w:r>
                        </w:hyperlink>
                      </w:p>
                    </w:txbxContent>
                  </v:textbox>
                </v:shape>
                <w10:anchorlock/>
              </v:group>
            </w:pict>
          </mc:Fallback>
        </mc:AlternateContent>
      </w:r>
    </w:p>
    <w:p w14:paraId="6AB811BD" w14:textId="659DB872" w:rsidR="0019694C" w:rsidRPr="00E92296" w:rsidRDefault="00547F17" w:rsidP="00E92296">
      <w:pPr>
        <w:pStyle w:val="Title"/>
        <w:spacing w:line="360" w:lineRule="auto"/>
        <w:jc w:val="center"/>
        <w:rPr>
          <w:rFonts w:ascii="Arial" w:hAnsi="Arial" w:cs="Arial"/>
          <w:sz w:val="22"/>
          <w:szCs w:val="22"/>
          <w:lang w:val="en-GB"/>
        </w:rPr>
      </w:pPr>
      <w:r w:rsidRPr="00E92296">
        <w:rPr>
          <w:rFonts w:ascii="Arial" w:hAnsi="Arial" w:cs="Arial"/>
          <w:sz w:val="22"/>
          <w:szCs w:val="22"/>
          <w:lang w:val="en-GB" w:bidi="en-US"/>
        </w:rPr>
        <w:t>AstraZeneca-Economic performance and operations</w:t>
      </w:r>
    </w:p>
    <w:p w14:paraId="596268E8" w14:textId="77777777" w:rsidR="00BD431A" w:rsidRPr="00E92296" w:rsidRDefault="00BD431A" w:rsidP="00E92296">
      <w:pPr>
        <w:pStyle w:val="Subtitle"/>
        <w:spacing w:line="360" w:lineRule="auto"/>
        <w:jc w:val="center"/>
        <w:rPr>
          <w:rFonts w:ascii="Arial" w:hAnsi="Arial" w:cs="Arial"/>
          <w:sz w:val="22"/>
          <w:lang w:val="en-GB" w:bidi="en-US"/>
        </w:rPr>
      </w:pPr>
    </w:p>
    <w:p w14:paraId="7CAF0478" w14:textId="77777777" w:rsidR="00BD431A" w:rsidRPr="00E92296" w:rsidRDefault="00BD431A" w:rsidP="00E92296">
      <w:pPr>
        <w:pStyle w:val="Subtitle"/>
        <w:spacing w:line="360" w:lineRule="auto"/>
        <w:jc w:val="center"/>
        <w:rPr>
          <w:rFonts w:ascii="Arial" w:hAnsi="Arial" w:cs="Arial"/>
          <w:sz w:val="22"/>
          <w:lang w:val="en-GB" w:bidi="en-US"/>
        </w:rPr>
      </w:pPr>
    </w:p>
    <w:p w14:paraId="2632151A" w14:textId="77777777" w:rsidR="00BD431A" w:rsidRPr="00E92296" w:rsidRDefault="00BD431A" w:rsidP="00E92296">
      <w:pPr>
        <w:pStyle w:val="Subtitle"/>
        <w:spacing w:line="360" w:lineRule="auto"/>
        <w:jc w:val="center"/>
        <w:rPr>
          <w:rFonts w:ascii="Arial" w:hAnsi="Arial" w:cs="Arial"/>
          <w:sz w:val="22"/>
          <w:lang w:val="en-GB" w:bidi="en-US"/>
        </w:rPr>
      </w:pPr>
    </w:p>
    <w:p w14:paraId="328D7DD7" w14:textId="614B70C5" w:rsidR="0019694C" w:rsidRPr="00E92296" w:rsidRDefault="00BD431A" w:rsidP="00E92296">
      <w:pPr>
        <w:pStyle w:val="Subtitle"/>
        <w:spacing w:line="360" w:lineRule="auto"/>
        <w:jc w:val="center"/>
        <w:rPr>
          <w:rFonts w:ascii="Arial" w:hAnsi="Arial" w:cs="Arial"/>
          <w:sz w:val="22"/>
          <w:lang w:val="en-GB"/>
        </w:rPr>
      </w:pPr>
      <w:r w:rsidRPr="00E92296">
        <w:rPr>
          <w:rFonts w:ascii="Arial" w:hAnsi="Arial" w:cs="Arial"/>
          <w:sz w:val="22"/>
          <w:lang w:val="en-GB" w:bidi="en-US"/>
        </w:rPr>
        <w:t xml:space="preserve">Student Name: </w:t>
      </w:r>
      <w:r w:rsidR="00547F17" w:rsidRPr="00E92296">
        <w:rPr>
          <w:rFonts w:ascii="Arial" w:hAnsi="Arial" w:cs="Arial"/>
          <w:sz w:val="22"/>
          <w:lang w:val="en-GB" w:bidi="en-US"/>
        </w:rPr>
        <w:t>Andreea Elisabeta Magos</w:t>
      </w:r>
    </w:p>
    <w:p w14:paraId="79217672" w14:textId="04AE6A3A" w:rsidR="0019694C" w:rsidRPr="00E92296" w:rsidRDefault="00E814EC" w:rsidP="00E92296">
      <w:pPr>
        <w:pStyle w:val="Subtitle"/>
        <w:spacing w:line="360" w:lineRule="auto"/>
        <w:jc w:val="center"/>
        <w:rPr>
          <w:rFonts w:ascii="Arial" w:hAnsi="Arial" w:cs="Arial"/>
          <w:sz w:val="22"/>
          <w:lang w:val="en-GB"/>
        </w:rPr>
      </w:pPr>
      <w:r w:rsidRPr="00E92296">
        <w:rPr>
          <w:rFonts w:ascii="Arial" w:hAnsi="Arial" w:cs="Arial"/>
          <w:sz w:val="22"/>
          <w:lang w:val="en-GB" w:bidi="en-US"/>
        </w:rPr>
        <w:t>Course Name</w:t>
      </w:r>
      <w:r w:rsidR="00BD431A" w:rsidRPr="00E92296">
        <w:rPr>
          <w:rFonts w:ascii="Arial" w:hAnsi="Arial" w:cs="Arial"/>
          <w:sz w:val="22"/>
          <w:lang w:val="en-GB" w:bidi="en-US"/>
        </w:rPr>
        <w:t>: Management Economics</w:t>
      </w:r>
    </w:p>
    <w:p w14:paraId="13C9EF59" w14:textId="7E1EF51E" w:rsidR="0019694C" w:rsidRPr="00E92296" w:rsidRDefault="00E814EC" w:rsidP="00E92296">
      <w:pPr>
        <w:pStyle w:val="Subtitle"/>
        <w:spacing w:line="360" w:lineRule="auto"/>
        <w:jc w:val="center"/>
        <w:rPr>
          <w:rFonts w:ascii="Arial" w:hAnsi="Arial" w:cs="Arial"/>
          <w:sz w:val="22"/>
          <w:lang w:val="en-GB"/>
        </w:rPr>
      </w:pPr>
      <w:r w:rsidRPr="00E92296">
        <w:rPr>
          <w:rFonts w:ascii="Arial" w:hAnsi="Arial" w:cs="Arial"/>
          <w:sz w:val="22"/>
          <w:lang w:val="en-GB" w:bidi="en-US"/>
        </w:rPr>
        <w:t xml:space="preserve">Instructor </w:t>
      </w:r>
      <w:r w:rsidR="00BD431A" w:rsidRPr="00E92296">
        <w:rPr>
          <w:rFonts w:ascii="Arial" w:hAnsi="Arial" w:cs="Arial"/>
          <w:sz w:val="22"/>
          <w:lang w:val="en-GB" w:bidi="en-US"/>
        </w:rPr>
        <w:t>Name: David Jenkins</w:t>
      </w:r>
    </w:p>
    <w:p w14:paraId="437AA5E7" w14:textId="77777777" w:rsidR="0019694C" w:rsidRPr="00E92296" w:rsidRDefault="0019694C" w:rsidP="00E92296">
      <w:pPr>
        <w:spacing w:line="360" w:lineRule="auto"/>
        <w:rPr>
          <w:rFonts w:ascii="Arial" w:hAnsi="Arial" w:cs="Arial"/>
          <w:lang w:val="en-GB"/>
        </w:rPr>
        <w:sectPr w:rsidR="0019694C" w:rsidRPr="00E92296" w:rsidSect="00DD0074">
          <w:pgSz w:w="11906" w:h="16838" w:code="9"/>
          <w:pgMar w:top="1440" w:right="1440" w:bottom="1800" w:left="1440" w:header="720" w:footer="720" w:gutter="0"/>
          <w:pgNumType w:start="1"/>
          <w:cols w:space="720"/>
          <w:docGrid w:linePitch="360"/>
        </w:sectPr>
      </w:pPr>
    </w:p>
    <w:p w14:paraId="134BAB56" w14:textId="16096029" w:rsidR="0019694C" w:rsidRPr="00E92296" w:rsidRDefault="00BD431A" w:rsidP="00E92296">
      <w:pPr>
        <w:pStyle w:val="Heading1"/>
        <w:spacing w:line="360" w:lineRule="auto"/>
        <w:rPr>
          <w:rFonts w:ascii="Arial" w:hAnsi="Arial" w:cs="Arial"/>
          <w:sz w:val="22"/>
          <w:szCs w:val="22"/>
          <w:lang w:val="en-GB"/>
        </w:rPr>
      </w:pPr>
      <w:r w:rsidRPr="00E92296">
        <w:rPr>
          <w:rFonts w:ascii="Arial" w:hAnsi="Arial" w:cs="Arial"/>
          <w:sz w:val="22"/>
          <w:szCs w:val="22"/>
          <w:lang w:val="en-GB"/>
        </w:rPr>
        <w:lastRenderedPageBreak/>
        <w:t>Introduction</w:t>
      </w:r>
    </w:p>
    <w:p w14:paraId="378B0AA9" w14:textId="766C8E05" w:rsidR="003B07DA" w:rsidRPr="00E92296" w:rsidRDefault="00F539DB"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In a recent article posted on Investopedia, Adam Hayes argues that economics is a social science </w:t>
      </w:r>
      <w:r w:rsidR="00856F8E" w:rsidRPr="00E92296">
        <w:rPr>
          <w:rFonts w:ascii="Arial" w:hAnsi="Arial" w:cs="Arial"/>
          <w:color w:val="000000" w:themeColor="text1"/>
          <w:lang w:val="en-GB"/>
        </w:rPr>
        <w:t xml:space="preserve">which </w:t>
      </w:r>
      <w:r w:rsidRPr="00E92296">
        <w:rPr>
          <w:rFonts w:ascii="Arial" w:hAnsi="Arial" w:cs="Arial"/>
          <w:color w:val="000000" w:themeColor="text1"/>
          <w:lang w:val="en-GB"/>
        </w:rPr>
        <w:t>comprise the production, distribution and consumption of goods and services. It also studies</w:t>
      </w:r>
      <w:r w:rsidR="003B07DA" w:rsidRPr="00E92296">
        <w:rPr>
          <w:rFonts w:ascii="Arial" w:hAnsi="Arial" w:cs="Arial"/>
          <w:color w:val="000000" w:themeColor="text1"/>
          <w:lang w:val="en-GB"/>
        </w:rPr>
        <w:t xml:space="preserve"> the allocation of resources made by governments, </w:t>
      </w:r>
      <w:r w:rsidR="000A77E1" w:rsidRPr="00E92296">
        <w:rPr>
          <w:rFonts w:ascii="Arial" w:hAnsi="Arial" w:cs="Arial"/>
          <w:color w:val="000000" w:themeColor="text1"/>
          <w:lang w:val="en-GB"/>
        </w:rPr>
        <w:t>businesses,</w:t>
      </w:r>
      <w:r w:rsidR="003B07DA" w:rsidRPr="00E92296">
        <w:rPr>
          <w:rFonts w:ascii="Arial" w:hAnsi="Arial" w:cs="Arial"/>
          <w:color w:val="000000" w:themeColor="text1"/>
          <w:lang w:val="en-GB"/>
        </w:rPr>
        <w:t xml:space="preserve"> and individuals.</w:t>
      </w:r>
    </w:p>
    <w:p w14:paraId="763B7120" w14:textId="41EC3249" w:rsidR="000A77E1" w:rsidRPr="00E92296" w:rsidRDefault="000A77E1"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Economics can be </w:t>
      </w:r>
      <w:r w:rsidR="00856F8E" w:rsidRPr="00E92296">
        <w:rPr>
          <w:rFonts w:ascii="Arial" w:hAnsi="Arial" w:cs="Arial"/>
          <w:color w:val="000000" w:themeColor="text1"/>
          <w:lang w:val="en-GB"/>
        </w:rPr>
        <w:t>split in</w:t>
      </w:r>
      <w:r w:rsidR="00427D2E" w:rsidRPr="00E92296">
        <w:rPr>
          <w:rFonts w:ascii="Arial" w:hAnsi="Arial" w:cs="Arial"/>
          <w:color w:val="000000" w:themeColor="text1"/>
          <w:lang w:val="en-GB"/>
        </w:rPr>
        <w:t xml:space="preserve"> </w:t>
      </w:r>
      <w:r w:rsidR="00856F8E" w:rsidRPr="00E92296">
        <w:rPr>
          <w:rFonts w:ascii="Arial" w:hAnsi="Arial" w:cs="Arial"/>
          <w:color w:val="000000" w:themeColor="text1"/>
          <w:lang w:val="en-GB"/>
        </w:rPr>
        <w:t>two main branches</w:t>
      </w:r>
      <w:r w:rsidRPr="00E92296">
        <w:rPr>
          <w:rFonts w:ascii="Arial" w:hAnsi="Arial" w:cs="Arial"/>
          <w:color w:val="000000" w:themeColor="text1"/>
          <w:lang w:val="en-GB"/>
        </w:rPr>
        <w:t>:</w:t>
      </w:r>
    </w:p>
    <w:p w14:paraId="1B0FFB94" w14:textId="1B3841D1" w:rsidR="000A77E1" w:rsidRPr="00E92296" w:rsidRDefault="000A77E1"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-macroeconomics: it concentrates on the </w:t>
      </w:r>
      <w:r w:rsidR="00856F8E" w:rsidRPr="00E92296">
        <w:rPr>
          <w:rFonts w:ascii="Arial" w:hAnsi="Arial" w:cs="Arial"/>
          <w:color w:val="000000" w:themeColor="text1"/>
          <w:lang w:val="en-GB"/>
        </w:rPr>
        <w:t>economic activity of a business.</w:t>
      </w:r>
    </w:p>
    <w:p w14:paraId="5AC70BC1" w14:textId="7202414C" w:rsidR="000A77E1" w:rsidRPr="00E92296" w:rsidRDefault="000A77E1"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-microeconomics: focuses on individuals and small businesses.</w:t>
      </w:r>
    </w:p>
    <w:p w14:paraId="5B8FF7D2" w14:textId="5A1FA42B" w:rsidR="000A77E1" w:rsidRPr="00E92296" w:rsidRDefault="003C7702"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Hence this report aims to deliver the significance of the macroeconomic environment of a UK FTSE 100 company and research its operations for a </w:t>
      </w:r>
      <w:r w:rsidR="00A2399B" w:rsidRPr="00E92296">
        <w:rPr>
          <w:rFonts w:ascii="Arial" w:hAnsi="Arial" w:cs="Arial"/>
          <w:color w:val="000000" w:themeColor="text1"/>
          <w:lang w:val="en-GB"/>
        </w:rPr>
        <w:t>five-year</w:t>
      </w:r>
      <w:r w:rsidRPr="00E92296">
        <w:rPr>
          <w:rFonts w:ascii="Arial" w:hAnsi="Arial" w:cs="Arial"/>
          <w:color w:val="000000" w:themeColor="text1"/>
          <w:lang w:val="en-GB"/>
        </w:rPr>
        <w:t xml:space="preserve"> period in the UK and two other countries including </w:t>
      </w:r>
      <w:r w:rsidR="00A2399B" w:rsidRPr="00E92296">
        <w:rPr>
          <w:rFonts w:ascii="Arial" w:hAnsi="Arial" w:cs="Arial"/>
          <w:color w:val="000000" w:themeColor="text1"/>
          <w:lang w:val="en-GB"/>
        </w:rPr>
        <w:t>growth, inflation, currency</w:t>
      </w:r>
      <w:r w:rsidRPr="00E92296">
        <w:rPr>
          <w:rFonts w:ascii="Arial" w:hAnsi="Arial" w:cs="Arial"/>
          <w:color w:val="000000" w:themeColor="text1"/>
          <w:lang w:val="en-GB"/>
        </w:rPr>
        <w:t xml:space="preserve"> </w:t>
      </w:r>
      <w:r w:rsidR="00A2399B" w:rsidRPr="00E92296">
        <w:rPr>
          <w:rFonts w:ascii="Arial" w:hAnsi="Arial" w:cs="Arial"/>
          <w:color w:val="000000" w:themeColor="text1"/>
          <w:lang w:val="en-GB"/>
        </w:rPr>
        <w:t>fluctuation, interest</w:t>
      </w:r>
      <w:r w:rsidRPr="00E92296">
        <w:rPr>
          <w:rFonts w:ascii="Arial" w:hAnsi="Arial" w:cs="Arial"/>
          <w:color w:val="000000" w:themeColor="text1"/>
          <w:lang w:val="en-GB"/>
        </w:rPr>
        <w:t xml:space="preserve"> rates,</w:t>
      </w:r>
      <w:r w:rsidR="00A2399B" w:rsidRPr="00E92296">
        <w:rPr>
          <w:rFonts w:ascii="Arial" w:hAnsi="Arial" w:cs="Arial"/>
          <w:color w:val="000000" w:themeColor="text1"/>
          <w:lang w:val="en-GB"/>
        </w:rPr>
        <w:t xml:space="preserve"> unemployment, and current account balance. It will also </w:t>
      </w:r>
      <w:r w:rsidR="00D91E6C" w:rsidRPr="00E92296">
        <w:rPr>
          <w:rFonts w:ascii="Arial" w:hAnsi="Arial" w:cs="Arial"/>
          <w:color w:val="000000" w:themeColor="text1"/>
          <w:lang w:val="en-GB"/>
        </w:rPr>
        <w:t>highlight</w:t>
      </w:r>
      <w:r w:rsidR="00A2399B" w:rsidRPr="00E92296">
        <w:rPr>
          <w:rFonts w:ascii="Arial" w:hAnsi="Arial" w:cs="Arial"/>
          <w:color w:val="000000" w:themeColor="text1"/>
          <w:lang w:val="en-GB"/>
        </w:rPr>
        <w:t xml:space="preserve"> the company’s changes and overall performance. UK trade </w:t>
      </w:r>
      <w:r w:rsidR="00D834A5" w:rsidRPr="00E92296">
        <w:rPr>
          <w:rFonts w:ascii="Arial" w:hAnsi="Arial" w:cs="Arial"/>
          <w:color w:val="000000" w:themeColor="text1"/>
          <w:lang w:val="en-GB"/>
        </w:rPr>
        <w:t>policies, Brexit</w:t>
      </w:r>
      <w:r w:rsidR="00A2399B" w:rsidRPr="00E92296">
        <w:rPr>
          <w:rFonts w:ascii="Arial" w:hAnsi="Arial" w:cs="Arial"/>
          <w:color w:val="000000" w:themeColor="text1"/>
          <w:lang w:val="en-GB"/>
        </w:rPr>
        <w:t xml:space="preserve"> </w:t>
      </w:r>
      <w:r w:rsidR="00D834A5" w:rsidRPr="00E92296">
        <w:rPr>
          <w:rFonts w:ascii="Arial" w:hAnsi="Arial" w:cs="Arial"/>
          <w:color w:val="000000" w:themeColor="text1"/>
          <w:lang w:val="en-GB"/>
        </w:rPr>
        <w:t xml:space="preserve">and Covid-19 pandemic </w:t>
      </w:r>
      <w:r w:rsidR="00A2399B" w:rsidRPr="00E92296">
        <w:rPr>
          <w:rFonts w:ascii="Arial" w:hAnsi="Arial" w:cs="Arial"/>
          <w:color w:val="000000" w:themeColor="text1"/>
          <w:lang w:val="en-GB"/>
        </w:rPr>
        <w:t>impact will also be discussed.</w:t>
      </w:r>
    </w:p>
    <w:p w14:paraId="51F4B1BD" w14:textId="6D6D0616" w:rsidR="000D7702" w:rsidRPr="000D7702" w:rsidRDefault="00A84C34">
      <w:pPr>
        <w:divId w:val="1580288240"/>
        <w:rPr>
          <w:rFonts w:ascii="Times New Roman" w:eastAsia="Times New Roman" w:hAnsi="Times New Roman" w:cs="Times New Roman"/>
          <w:color w:val="auto"/>
          <w:sz w:val="24"/>
          <w:szCs w:val="24"/>
          <w:lang w:val="en-GB" w:eastAsia="en-GB"/>
        </w:rPr>
      </w:pPr>
      <w:r w:rsidRPr="00E92296">
        <w:rPr>
          <w:rFonts w:ascii="Arial" w:hAnsi="Arial" w:cs="Arial"/>
          <w:color w:val="000000" w:themeColor="text1"/>
          <w:lang w:val="en-GB"/>
        </w:rPr>
        <w:t xml:space="preserve">Thereby, the report considers AstraZeneca PLC as a representative company of a UK FTSE 100 </w:t>
      </w:r>
      <w:r w:rsidR="00BE36D2" w:rsidRPr="00E92296">
        <w:rPr>
          <w:rFonts w:ascii="Arial" w:hAnsi="Arial" w:cs="Arial"/>
          <w:color w:val="000000" w:themeColor="text1"/>
          <w:lang w:val="en-GB"/>
        </w:rPr>
        <w:t>company, fact that can be observed in the image below retrieved from Trading Economics website.</w:t>
      </w:r>
      <w:r w:rsidR="000D7702" w:rsidRPr="000D7702">
        <w:rPr>
          <w:rFonts w:ascii="Open Sans" w:eastAsia="Times New Roman" w:hAnsi="Open Sans" w:cs="Open Sans"/>
          <w:color w:val="000000"/>
          <w:sz w:val="20"/>
          <w:szCs w:val="20"/>
          <w:shd w:val="clear" w:color="auto" w:fill="FFFFFF"/>
          <w:lang w:val="en-GB" w:eastAsia="en-GB"/>
        </w:rPr>
        <w:t xml:space="preserve"> (Numerable, 2021)</w:t>
      </w:r>
    </w:p>
    <w:p w14:paraId="7564B43B" w14:textId="33538963" w:rsidR="00A84C34" w:rsidRPr="00E92296" w:rsidRDefault="00A84C34" w:rsidP="00E92296">
      <w:pPr>
        <w:spacing w:line="360" w:lineRule="auto"/>
        <w:rPr>
          <w:rFonts w:ascii="Arial" w:hAnsi="Arial" w:cs="Arial"/>
          <w:color w:val="000000" w:themeColor="text1"/>
          <w:lang w:val="en-GB"/>
        </w:rPr>
      </w:pPr>
    </w:p>
    <w:p w14:paraId="6C53BEA0" w14:textId="167F75B7" w:rsidR="00BE36D2" w:rsidRPr="00E92296" w:rsidRDefault="00BE36D2" w:rsidP="00E92296">
      <w:pPr>
        <w:spacing w:line="360" w:lineRule="auto"/>
        <w:rPr>
          <w:rFonts w:ascii="Arial" w:hAnsi="Arial" w:cs="Arial"/>
          <w:lang w:val="en-GB"/>
        </w:rPr>
      </w:pPr>
      <w:r w:rsidRPr="00E92296">
        <w:rPr>
          <w:rFonts w:ascii="Arial" w:hAnsi="Arial" w:cs="Arial"/>
          <w:noProof/>
          <w:lang w:val="en-GB"/>
        </w:rPr>
        <w:drawing>
          <wp:inline distT="0" distB="0" distL="0" distR="0" wp14:anchorId="32D3AE12" wp14:editId="5DF0834A">
            <wp:extent cx="5731510" cy="2041525"/>
            <wp:effectExtent l="0" t="0" r="254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4"/>
                    <a:stretch>
                      <a:fillRect/>
                    </a:stretch>
                  </pic:blipFill>
                  <pic:spPr>
                    <a:xfrm>
                      <a:off x="0" y="0"/>
                      <a:ext cx="5731510" cy="2041525"/>
                    </a:xfrm>
                    <a:prstGeom prst="rect">
                      <a:avLst/>
                    </a:prstGeom>
                  </pic:spPr>
                </pic:pic>
              </a:graphicData>
            </a:graphic>
          </wp:inline>
        </w:drawing>
      </w:r>
    </w:p>
    <w:p w14:paraId="3DB5E5BC" w14:textId="6EE9A072" w:rsidR="003C7702" w:rsidRPr="00E92296" w:rsidRDefault="003C7702" w:rsidP="00E92296">
      <w:pPr>
        <w:spacing w:line="360" w:lineRule="auto"/>
        <w:rPr>
          <w:rFonts w:ascii="Arial" w:hAnsi="Arial" w:cs="Arial"/>
          <w:lang w:val="en-GB"/>
        </w:rPr>
      </w:pPr>
    </w:p>
    <w:p w14:paraId="13BD2B34" w14:textId="43E1F99A" w:rsidR="00BE36D2" w:rsidRDefault="00E8051B" w:rsidP="00E92296">
      <w:pPr>
        <w:spacing w:line="360" w:lineRule="auto"/>
        <w:rPr>
          <w:rFonts w:ascii="Arial" w:hAnsi="Arial" w:cs="Arial"/>
          <w:lang w:val="en-GB"/>
        </w:rPr>
      </w:pPr>
      <w:r>
        <w:rPr>
          <w:rFonts w:ascii="Arial" w:hAnsi="Arial" w:cs="Arial"/>
          <w:lang w:val="en-GB"/>
        </w:rPr>
        <w:t xml:space="preserve"> </w:t>
      </w:r>
    </w:p>
    <w:p w14:paraId="4F316123" w14:textId="34684D8A" w:rsidR="00E8051B" w:rsidRDefault="00E8051B" w:rsidP="00E92296">
      <w:pPr>
        <w:spacing w:line="360" w:lineRule="auto"/>
        <w:rPr>
          <w:rFonts w:ascii="Arial" w:hAnsi="Arial" w:cs="Arial"/>
          <w:lang w:val="en-GB"/>
        </w:rPr>
      </w:pPr>
    </w:p>
    <w:p w14:paraId="20736819" w14:textId="77777777" w:rsidR="00E8051B" w:rsidRPr="00E92296" w:rsidRDefault="00E8051B" w:rsidP="00E92296">
      <w:pPr>
        <w:spacing w:line="360" w:lineRule="auto"/>
        <w:rPr>
          <w:rFonts w:ascii="Arial" w:hAnsi="Arial" w:cs="Arial"/>
          <w:lang w:val="en-GB"/>
        </w:rPr>
      </w:pPr>
    </w:p>
    <w:p w14:paraId="3C9FCD20" w14:textId="7F403592" w:rsidR="00BE36D2" w:rsidRPr="00E92296" w:rsidRDefault="00BE04AB" w:rsidP="00E92296">
      <w:pPr>
        <w:pStyle w:val="Heading1"/>
        <w:spacing w:line="360" w:lineRule="auto"/>
        <w:rPr>
          <w:rFonts w:ascii="Arial" w:hAnsi="Arial" w:cs="Arial"/>
          <w:sz w:val="22"/>
          <w:szCs w:val="22"/>
          <w:lang w:val="en-GB"/>
        </w:rPr>
      </w:pPr>
      <w:r w:rsidRPr="00E92296">
        <w:rPr>
          <w:rFonts w:ascii="Arial" w:hAnsi="Arial" w:cs="Arial"/>
          <w:sz w:val="22"/>
          <w:szCs w:val="22"/>
          <w:lang w:val="en-GB"/>
        </w:rPr>
        <w:lastRenderedPageBreak/>
        <w:t>AstraZeneca overview</w:t>
      </w:r>
    </w:p>
    <w:p w14:paraId="5AD7C187" w14:textId="77777777" w:rsidR="00800589" w:rsidRPr="00E92296" w:rsidRDefault="00800589" w:rsidP="00E92296">
      <w:pPr>
        <w:spacing w:line="360" w:lineRule="auto"/>
        <w:rPr>
          <w:rFonts w:ascii="Arial" w:hAnsi="Arial" w:cs="Arial"/>
          <w:lang w:val="en-GB"/>
        </w:rPr>
      </w:pPr>
    </w:p>
    <w:p w14:paraId="7C31DB35" w14:textId="351EB33C" w:rsidR="00BE04AB" w:rsidRPr="00E92296" w:rsidRDefault="005B20A2"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AstraZeneca is a worldwide biopharmaceutical organization that produces, and markets prescriptions utilized by </w:t>
      </w:r>
      <w:r w:rsidR="00012543" w:rsidRPr="00E92296">
        <w:rPr>
          <w:rFonts w:ascii="Arial" w:hAnsi="Arial" w:cs="Arial"/>
          <w:color w:val="000000" w:themeColor="text1"/>
          <w:lang w:val="en-GB"/>
        </w:rPr>
        <w:t>many</w:t>
      </w:r>
      <w:r w:rsidRPr="00E92296">
        <w:rPr>
          <w:rFonts w:ascii="Arial" w:hAnsi="Arial" w:cs="Arial"/>
          <w:color w:val="000000" w:themeColor="text1"/>
          <w:lang w:val="en-GB"/>
        </w:rPr>
        <w:t xml:space="preserve"> individuals all throughout the planet. The organizations motivation and qualities incorporate after science and putting patients first.</w:t>
      </w:r>
    </w:p>
    <w:p w14:paraId="5B28292E" w14:textId="431C08E6" w:rsidR="005B20A2" w:rsidRPr="00E92296" w:rsidRDefault="005B20A2"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With more than $24 billion in income in 2019 and 70,600 workers, the Cambridge based </w:t>
      </w:r>
      <w:r w:rsidR="00EB1198" w:rsidRPr="00E92296">
        <w:rPr>
          <w:rFonts w:ascii="Arial" w:hAnsi="Arial" w:cs="Arial"/>
          <w:color w:val="000000" w:themeColor="text1"/>
          <w:lang w:val="en-GB"/>
        </w:rPr>
        <w:t>drugmaker keeps on positioning among the biggest medication organizations on the planet. Shaped by consolidation o two organizations, Astra AB, and Zeneca Group Plc., in 1999, the organization had early accomplishment with Lidocaine, a pain numbing agent.</w:t>
      </w:r>
    </w:p>
    <w:p w14:paraId="3455FBFC" w14:textId="190DEC3A" w:rsidR="00161753" w:rsidRPr="00161753" w:rsidRDefault="00EB1198">
      <w:pPr>
        <w:divId w:val="459886567"/>
        <w:rPr>
          <w:rFonts w:ascii="Times New Roman" w:eastAsia="Times New Roman" w:hAnsi="Times New Roman" w:cs="Times New Roman"/>
          <w:color w:val="auto"/>
          <w:sz w:val="24"/>
          <w:szCs w:val="24"/>
          <w:lang w:val="en-GB" w:eastAsia="en-GB"/>
        </w:rPr>
      </w:pPr>
      <w:r w:rsidRPr="00E92296">
        <w:rPr>
          <w:rFonts w:ascii="Arial" w:hAnsi="Arial" w:cs="Arial"/>
          <w:color w:val="000000" w:themeColor="text1"/>
          <w:lang w:val="en-GB"/>
        </w:rPr>
        <w:t xml:space="preserve">As any other pharmaceutical company, throughout the </w:t>
      </w:r>
      <w:r w:rsidR="007A7DA7" w:rsidRPr="00E92296">
        <w:rPr>
          <w:rFonts w:ascii="Arial" w:hAnsi="Arial" w:cs="Arial"/>
          <w:color w:val="000000" w:themeColor="text1"/>
          <w:lang w:val="en-GB"/>
        </w:rPr>
        <w:t xml:space="preserve">years, AstraZeneca has experienced its portion of legitimate difficulty, paying more than $1 billion in government fines and lawful </w:t>
      </w:r>
      <w:r w:rsidR="00427D2E" w:rsidRPr="00E92296">
        <w:rPr>
          <w:rFonts w:ascii="Arial" w:hAnsi="Arial" w:cs="Arial"/>
          <w:color w:val="000000" w:themeColor="text1"/>
          <w:lang w:val="en-GB"/>
        </w:rPr>
        <w:t>settlements,</w:t>
      </w:r>
      <w:r w:rsidR="007A7DA7" w:rsidRPr="00E92296">
        <w:rPr>
          <w:rFonts w:ascii="Arial" w:hAnsi="Arial" w:cs="Arial"/>
          <w:color w:val="000000" w:themeColor="text1"/>
          <w:lang w:val="en-GB"/>
        </w:rPr>
        <w:t xml:space="preserve"> or ruining clinical preliminaries and </w:t>
      </w:r>
      <w:r w:rsidR="00427D2E" w:rsidRPr="00E92296">
        <w:rPr>
          <w:rFonts w:ascii="Arial" w:hAnsi="Arial" w:cs="Arial"/>
          <w:color w:val="000000" w:themeColor="text1"/>
          <w:lang w:val="en-GB"/>
        </w:rPr>
        <w:t>wrongfully advancing antipsychotics. It has likewise needed to manage a few claims documented by patients who argue that the pharmaceutical products made by AstraZeneca harmed them.</w:t>
      </w:r>
      <w:r w:rsidR="00161753" w:rsidRPr="00161753">
        <w:rPr>
          <w:rFonts w:ascii="Open Sans" w:eastAsia="Times New Roman" w:hAnsi="Open Sans" w:cs="Open Sans"/>
          <w:color w:val="000000"/>
          <w:sz w:val="20"/>
          <w:szCs w:val="20"/>
          <w:shd w:val="clear" w:color="auto" w:fill="FFFFFF"/>
          <w:lang w:val="en-GB" w:eastAsia="en-GB"/>
        </w:rPr>
        <w:t xml:space="preserve"> (AstraZeneca and AstraZeneca, 2021)</w:t>
      </w:r>
    </w:p>
    <w:p w14:paraId="258E3C2B" w14:textId="61B0BE99" w:rsidR="00EB1198" w:rsidRPr="00E92296" w:rsidRDefault="00EB1198" w:rsidP="00E92296">
      <w:pPr>
        <w:spacing w:line="360" w:lineRule="auto"/>
        <w:rPr>
          <w:rFonts w:ascii="Arial" w:hAnsi="Arial" w:cs="Arial"/>
          <w:color w:val="000000" w:themeColor="text1"/>
          <w:lang w:val="en-GB"/>
        </w:rPr>
      </w:pPr>
    </w:p>
    <w:p w14:paraId="4AFE7F9F" w14:textId="0B8F0FEF" w:rsidR="000E6CBA" w:rsidRPr="00E92296" w:rsidRDefault="000E6CBA" w:rsidP="00E92296">
      <w:pPr>
        <w:spacing w:line="360" w:lineRule="auto"/>
        <w:rPr>
          <w:rFonts w:ascii="Arial" w:hAnsi="Arial" w:cs="Arial"/>
          <w:lang w:val="en-GB"/>
        </w:rPr>
      </w:pPr>
    </w:p>
    <w:p w14:paraId="0B2BCCA7" w14:textId="2A56E714" w:rsidR="00A9314F" w:rsidRPr="00E92296" w:rsidRDefault="000E6CBA" w:rsidP="00E92296">
      <w:pPr>
        <w:pStyle w:val="Heading1"/>
        <w:spacing w:line="360" w:lineRule="auto"/>
        <w:rPr>
          <w:rFonts w:ascii="Arial" w:hAnsi="Arial" w:cs="Arial"/>
          <w:sz w:val="22"/>
          <w:szCs w:val="22"/>
          <w:lang w:val="en-GB"/>
        </w:rPr>
      </w:pPr>
      <w:r w:rsidRPr="00E92296">
        <w:rPr>
          <w:rFonts w:ascii="Arial" w:hAnsi="Arial" w:cs="Arial"/>
          <w:sz w:val="22"/>
          <w:szCs w:val="22"/>
          <w:lang w:val="en-GB"/>
        </w:rPr>
        <w:lastRenderedPageBreak/>
        <w:t xml:space="preserve">AstraZeneca </w:t>
      </w:r>
      <w:r w:rsidR="00082C90" w:rsidRPr="00E92296">
        <w:rPr>
          <w:rFonts w:ascii="Arial" w:hAnsi="Arial" w:cs="Arial"/>
          <w:sz w:val="22"/>
          <w:szCs w:val="22"/>
          <w:lang w:val="en-GB"/>
        </w:rPr>
        <w:t>background</w:t>
      </w:r>
    </w:p>
    <w:p w14:paraId="64B166FB" w14:textId="6CAF91E0" w:rsidR="00800589" w:rsidRPr="00E92296" w:rsidRDefault="00E73A9F" w:rsidP="00E92296">
      <w:pPr>
        <w:spacing w:after="0" w:line="360" w:lineRule="auto"/>
        <w:rPr>
          <w:rFonts w:ascii="Arial" w:eastAsia="Times New Roman" w:hAnsi="Arial" w:cs="Arial"/>
          <w:color w:val="201F1E"/>
          <w:shd w:val="clear" w:color="auto" w:fill="FFFFFF"/>
          <w:lang w:val="en-GB" w:eastAsia="en-GB"/>
        </w:rPr>
      </w:pPr>
      <w:r w:rsidRPr="00E92296">
        <w:rPr>
          <w:rFonts w:ascii="Arial" w:eastAsia="Times New Roman" w:hAnsi="Arial" w:cs="Arial"/>
          <w:noProof/>
          <w:color w:val="201F1E"/>
          <w:shd w:val="clear" w:color="auto" w:fill="FFFFFF"/>
          <w:lang w:val="en-GB" w:eastAsia="en-GB"/>
        </w:rPr>
        <w:drawing>
          <wp:inline distT="0" distB="0" distL="0" distR="0" wp14:anchorId="267C2434" wp14:editId="6B951FD7">
            <wp:extent cx="5731510" cy="3968750"/>
            <wp:effectExtent l="0" t="0" r="2540" b="0"/>
            <wp:docPr id="5" name="Picture 5"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chart, application&#10;&#10;Description automatically generated"/>
                    <pic:cNvPicPr/>
                  </pic:nvPicPr>
                  <pic:blipFill>
                    <a:blip r:embed="rId15"/>
                    <a:stretch>
                      <a:fillRect/>
                    </a:stretch>
                  </pic:blipFill>
                  <pic:spPr>
                    <a:xfrm>
                      <a:off x="0" y="0"/>
                      <a:ext cx="5731510" cy="3968750"/>
                    </a:xfrm>
                    <a:prstGeom prst="rect">
                      <a:avLst/>
                    </a:prstGeom>
                  </pic:spPr>
                </pic:pic>
              </a:graphicData>
            </a:graphic>
          </wp:inline>
        </w:drawing>
      </w:r>
    </w:p>
    <w:p w14:paraId="08E07C38" w14:textId="77777777" w:rsidR="00A9314F" w:rsidRPr="00E92296" w:rsidRDefault="00A9314F" w:rsidP="00E92296">
      <w:pPr>
        <w:spacing w:after="0" w:line="360" w:lineRule="auto"/>
        <w:rPr>
          <w:rFonts w:ascii="Arial" w:eastAsia="Times New Roman" w:hAnsi="Arial" w:cs="Arial"/>
          <w:color w:val="000000" w:themeColor="text1"/>
          <w:shd w:val="clear" w:color="auto" w:fill="FFFFFF"/>
          <w:lang w:val="en-GB" w:eastAsia="en-GB"/>
        </w:rPr>
      </w:pPr>
    </w:p>
    <w:p w14:paraId="4A80274C" w14:textId="77777777" w:rsidR="00A9314F" w:rsidRPr="00E92296" w:rsidRDefault="00A9314F" w:rsidP="00E92296">
      <w:pPr>
        <w:spacing w:after="0" w:line="360" w:lineRule="auto"/>
        <w:rPr>
          <w:rFonts w:ascii="Arial" w:eastAsia="Times New Roman" w:hAnsi="Arial" w:cs="Arial"/>
          <w:color w:val="000000" w:themeColor="text1"/>
          <w:shd w:val="clear" w:color="auto" w:fill="FFFFFF"/>
          <w:lang w:val="en-GB" w:eastAsia="en-GB"/>
        </w:rPr>
      </w:pPr>
    </w:p>
    <w:p w14:paraId="12B4A9FF" w14:textId="270A2026" w:rsidR="00800589" w:rsidRPr="00800589" w:rsidRDefault="00800589" w:rsidP="00E92296">
      <w:pPr>
        <w:spacing w:after="0" w:line="360" w:lineRule="auto"/>
        <w:rPr>
          <w:rFonts w:ascii="Arial" w:eastAsia="Times New Roman" w:hAnsi="Arial" w:cs="Arial"/>
          <w:color w:val="000000" w:themeColor="text1"/>
          <w:lang w:val="en-GB" w:eastAsia="en-GB"/>
        </w:rPr>
      </w:pPr>
      <w:r w:rsidRPr="00800589">
        <w:rPr>
          <w:rFonts w:ascii="Arial" w:eastAsia="Times New Roman" w:hAnsi="Arial" w:cs="Arial"/>
          <w:color w:val="000000" w:themeColor="text1"/>
          <w:shd w:val="clear" w:color="auto" w:fill="FFFFFF"/>
          <w:lang w:val="en-GB" w:eastAsia="en-GB"/>
        </w:rPr>
        <w:t>AstraZeneca (AZN) is an organization confronting intense contest and battling with rising obligation issues. The organization's normal CAGR throughout the previous 5 years excluding TTM is near (- 3.5%), while the business normal CAGR in the worldwide drug industry throughout the previous 5 years is around 17%. With extra vulnerabilities encompassing the result of the Brexit bargain, slacking development, and solid rivalry, AZN battling in carrying future fundamental worth to its financial backers.</w:t>
      </w:r>
    </w:p>
    <w:p w14:paraId="37EA4E24" w14:textId="77777777" w:rsidR="00800589" w:rsidRPr="00800589" w:rsidRDefault="00800589" w:rsidP="00E92296">
      <w:pPr>
        <w:shd w:val="clear" w:color="auto" w:fill="FFFFFF"/>
        <w:spacing w:after="0" w:line="360" w:lineRule="auto"/>
        <w:textAlignment w:val="baseline"/>
        <w:rPr>
          <w:rFonts w:ascii="Arial" w:eastAsia="Times New Roman" w:hAnsi="Arial" w:cs="Arial"/>
          <w:color w:val="000000" w:themeColor="text1"/>
          <w:lang w:val="en-GB" w:eastAsia="en-GB"/>
        </w:rPr>
      </w:pPr>
    </w:p>
    <w:p w14:paraId="4A0F20AD" w14:textId="18E2437E" w:rsidR="00480B69" w:rsidRPr="00480B69" w:rsidRDefault="00800589">
      <w:pPr>
        <w:divId w:val="1990089207"/>
        <w:rPr>
          <w:rFonts w:ascii="Times New Roman" w:eastAsia="Times New Roman" w:hAnsi="Times New Roman" w:cs="Times New Roman"/>
          <w:color w:val="auto"/>
          <w:sz w:val="24"/>
          <w:szCs w:val="24"/>
          <w:lang w:val="en-GB" w:eastAsia="en-GB"/>
        </w:rPr>
      </w:pPr>
      <w:r w:rsidRPr="00800589">
        <w:rPr>
          <w:rFonts w:ascii="Arial" w:eastAsia="Times New Roman" w:hAnsi="Arial" w:cs="Arial"/>
          <w:color w:val="000000" w:themeColor="text1"/>
          <w:lang w:val="en-GB" w:eastAsia="en-GB"/>
        </w:rPr>
        <w:t>As of late AstraZeneca's cellular breakdown in the lungs drug Tagrisso surpassed assumptions and aided fuel a positive income development. The change in AstraZeneca from enormous pharma to huge biotech could assist them with recapturing positions available, fuel a positive working edge development and take a major lump of the oncology market, however we ought to likewise consider the dangers in entering a profoundly aggressive and stringently directed oncology market.</w:t>
      </w:r>
      <w:r w:rsidR="00480B69" w:rsidRPr="00480B69">
        <w:rPr>
          <w:rFonts w:ascii="Open Sans" w:eastAsia="Times New Roman" w:hAnsi="Open Sans" w:cs="Open Sans"/>
          <w:color w:val="000000"/>
          <w:sz w:val="20"/>
          <w:szCs w:val="20"/>
          <w:shd w:val="clear" w:color="auto" w:fill="FFFFFF"/>
          <w:lang w:val="en-GB" w:eastAsia="en-GB"/>
        </w:rPr>
        <w:t xml:space="preserve"> (</w:t>
      </w:r>
      <w:proofErr w:type="spellStart"/>
      <w:r w:rsidR="00480B69" w:rsidRPr="00480B69">
        <w:rPr>
          <w:rFonts w:ascii="Open Sans" w:eastAsia="Times New Roman" w:hAnsi="Open Sans" w:cs="Open Sans"/>
          <w:color w:val="000000"/>
          <w:sz w:val="20"/>
          <w:szCs w:val="20"/>
          <w:shd w:val="clear" w:color="auto" w:fill="FFFFFF"/>
          <w:lang w:val="en-GB" w:eastAsia="en-GB"/>
        </w:rPr>
        <w:t>Stoyanov</w:t>
      </w:r>
      <w:proofErr w:type="spellEnd"/>
      <w:r w:rsidR="00480B69" w:rsidRPr="00480B69">
        <w:rPr>
          <w:rFonts w:ascii="Open Sans" w:eastAsia="Times New Roman" w:hAnsi="Open Sans" w:cs="Open Sans"/>
          <w:color w:val="000000"/>
          <w:sz w:val="20"/>
          <w:szCs w:val="20"/>
          <w:shd w:val="clear" w:color="auto" w:fill="FFFFFF"/>
          <w:lang w:val="en-GB" w:eastAsia="en-GB"/>
        </w:rPr>
        <w:t>, 2021)</w:t>
      </w:r>
    </w:p>
    <w:p w14:paraId="32C47EE4" w14:textId="41655D3F" w:rsidR="00800589" w:rsidRPr="00800589" w:rsidRDefault="00800589" w:rsidP="00E92296">
      <w:pPr>
        <w:shd w:val="clear" w:color="auto" w:fill="FFFFFF"/>
        <w:spacing w:after="0" w:line="360" w:lineRule="auto"/>
        <w:textAlignment w:val="baseline"/>
        <w:rPr>
          <w:rFonts w:ascii="Arial" w:eastAsia="Times New Roman" w:hAnsi="Arial" w:cs="Arial"/>
          <w:color w:val="000000" w:themeColor="text1"/>
          <w:lang w:val="en-GB" w:eastAsia="en-GB"/>
        </w:rPr>
      </w:pPr>
    </w:p>
    <w:p w14:paraId="3744B311" w14:textId="77777777" w:rsidR="00800589" w:rsidRPr="00800589" w:rsidRDefault="00800589" w:rsidP="00E92296">
      <w:pPr>
        <w:shd w:val="clear" w:color="auto" w:fill="FFFFFF"/>
        <w:spacing w:after="0" w:line="360" w:lineRule="auto"/>
        <w:textAlignment w:val="baseline"/>
        <w:rPr>
          <w:rFonts w:ascii="Arial" w:eastAsia="Times New Roman" w:hAnsi="Arial" w:cs="Arial"/>
          <w:color w:val="000000" w:themeColor="text1"/>
          <w:lang w:val="en-GB" w:eastAsia="en-GB"/>
        </w:rPr>
      </w:pPr>
    </w:p>
    <w:p w14:paraId="35627675" w14:textId="43368801" w:rsidR="00E52C5F" w:rsidRPr="00E92296" w:rsidRDefault="00800589" w:rsidP="00E92296">
      <w:pPr>
        <w:spacing w:line="360" w:lineRule="auto"/>
        <w:rPr>
          <w:rFonts w:ascii="Arial" w:hAnsi="Arial" w:cs="Arial"/>
          <w:color w:val="000000" w:themeColor="text1"/>
          <w:lang w:val="en-GB"/>
        </w:rPr>
      </w:pPr>
      <w:r w:rsidRPr="00E92296">
        <w:rPr>
          <w:rFonts w:ascii="Arial" w:eastAsia="Times New Roman" w:hAnsi="Arial" w:cs="Arial"/>
          <w:color w:val="000000" w:themeColor="text1"/>
          <w:shd w:val="clear" w:color="auto" w:fill="FFFFFF"/>
          <w:lang w:val="en-GB" w:eastAsia="en-GB"/>
        </w:rPr>
        <w:t xml:space="preserve">Thinking about this data, </w:t>
      </w:r>
      <w:r w:rsidR="00A9314F" w:rsidRPr="00E92296">
        <w:rPr>
          <w:rFonts w:ascii="Arial" w:eastAsia="Times New Roman" w:hAnsi="Arial" w:cs="Arial"/>
          <w:color w:val="000000" w:themeColor="text1"/>
          <w:shd w:val="clear" w:color="auto" w:fill="FFFFFF"/>
          <w:lang w:val="en-GB" w:eastAsia="en-GB"/>
        </w:rPr>
        <w:t>t</w:t>
      </w:r>
      <w:r w:rsidRPr="00E92296">
        <w:rPr>
          <w:rFonts w:ascii="Arial" w:eastAsia="Times New Roman" w:hAnsi="Arial" w:cs="Arial"/>
          <w:color w:val="000000" w:themeColor="text1"/>
          <w:shd w:val="clear" w:color="auto" w:fill="FFFFFF"/>
          <w:lang w:val="en-GB" w:eastAsia="en-GB"/>
        </w:rPr>
        <w:t xml:space="preserve">he organization </w:t>
      </w:r>
      <w:r w:rsidR="00A9314F" w:rsidRPr="00E92296">
        <w:rPr>
          <w:rFonts w:ascii="Arial" w:eastAsia="Times New Roman" w:hAnsi="Arial" w:cs="Arial"/>
          <w:color w:val="000000" w:themeColor="text1"/>
          <w:shd w:val="clear" w:color="auto" w:fill="FFFFFF"/>
          <w:lang w:val="en-GB" w:eastAsia="en-GB"/>
        </w:rPr>
        <w:t>will battle in</w:t>
      </w:r>
      <w:r w:rsidRPr="00E92296">
        <w:rPr>
          <w:rFonts w:ascii="Arial" w:eastAsia="Times New Roman" w:hAnsi="Arial" w:cs="Arial"/>
          <w:color w:val="000000" w:themeColor="text1"/>
          <w:shd w:val="clear" w:color="auto" w:fill="FFFFFF"/>
          <w:lang w:val="en-GB" w:eastAsia="en-GB"/>
        </w:rPr>
        <w:t xml:space="preserve"> keeping up with development and edges nearer to industry midpoints</w:t>
      </w:r>
      <w:r w:rsidR="00A9314F" w:rsidRPr="00E92296">
        <w:rPr>
          <w:rFonts w:ascii="Arial" w:eastAsia="Times New Roman" w:hAnsi="Arial" w:cs="Arial"/>
          <w:color w:val="000000" w:themeColor="text1"/>
          <w:shd w:val="clear" w:color="auto" w:fill="FFFFFF"/>
          <w:lang w:val="en-GB" w:eastAsia="en-GB"/>
        </w:rPr>
        <w:t>.</w:t>
      </w:r>
    </w:p>
    <w:p w14:paraId="723FCF7C" w14:textId="3F691D25" w:rsidR="00800589" w:rsidRPr="00E92296" w:rsidRDefault="00800589"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lastRenderedPageBreak/>
        <w:t>In 2013 it moved its central command to Cambridge UK and packed its research and development in three destinations: Gaithersburg, Maryland</w:t>
      </w:r>
      <w:r w:rsidR="00B4289A" w:rsidRPr="00E92296">
        <w:rPr>
          <w:rFonts w:ascii="Arial" w:hAnsi="Arial" w:cs="Arial"/>
          <w:color w:val="000000" w:themeColor="text1"/>
          <w:lang w:val="en-GB"/>
        </w:rPr>
        <w:t xml:space="preserve"> U.S. </w:t>
      </w:r>
      <w:r w:rsidRPr="00E92296">
        <w:rPr>
          <w:rFonts w:ascii="Arial" w:hAnsi="Arial" w:cs="Arial"/>
          <w:color w:val="000000" w:themeColor="text1"/>
          <w:lang w:val="en-GB"/>
        </w:rPr>
        <w:t>and Molndal, Sweden for research on conventional substance drugs. AstraZeneca has an arrangement of items for significant illness regions including disease cardiovascular, intestinal, contamination, neuroscience. respiratory and irritation. The organization has around $22,203 million in yearly (TTM) income and employs roughly 61,100 individuals. AstraZeneca gotten back to income development in the second from last quarter of 2018 and has as of late revealed an 8 percent ascend in item deals</w:t>
      </w:r>
      <w:r w:rsidR="00012543" w:rsidRPr="00E92296">
        <w:rPr>
          <w:rFonts w:ascii="Arial" w:hAnsi="Arial" w:cs="Arial"/>
          <w:noProof/>
          <w:color w:val="000000" w:themeColor="text1"/>
          <w:lang w:val="en-GB"/>
        </w:rPr>
        <w:drawing>
          <wp:inline distT="0" distB="0" distL="0" distR="0" wp14:anchorId="3E8FEF41" wp14:editId="32DA7026">
            <wp:extent cx="5420789" cy="2658745"/>
            <wp:effectExtent l="0" t="0" r="8890" b="8255"/>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6"/>
                    <a:stretch>
                      <a:fillRect/>
                    </a:stretch>
                  </pic:blipFill>
                  <pic:spPr>
                    <a:xfrm>
                      <a:off x="0" y="0"/>
                      <a:ext cx="5426572" cy="2661582"/>
                    </a:xfrm>
                    <a:prstGeom prst="rect">
                      <a:avLst/>
                    </a:prstGeom>
                  </pic:spPr>
                </pic:pic>
              </a:graphicData>
            </a:graphic>
          </wp:inline>
        </w:drawing>
      </w:r>
      <w:r w:rsidRPr="00E92296">
        <w:rPr>
          <w:rFonts w:ascii="Arial" w:hAnsi="Arial" w:cs="Arial"/>
          <w:color w:val="000000" w:themeColor="text1"/>
          <w:lang w:val="en-GB"/>
        </w:rPr>
        <w:t>.</w:t>
      </w:r>
    </w:p>
    <w:p w14:paraId="4D5A8F31" w14:textId="5107DE38" w:rsidR="00064A39" w:rsidRPr="00E92296" w:rsidRDefault="00064A39" w:rsidP="00E92296">
      <w:pPr>
        <w:spacing w:line="360" w:lineRule="auto"/>
        <w:rPr>
          <w:rFonts w:ascii="Arial" w:hAnsi="Arial" w:cs="Arial"/>
          <w:color w:val="000000" w:themeColor="text1"/>
          <w:lang w:val="en-GB"/>
        </w:rPr>
      </w:pPr>
    </w:p>
    <w:p w14:paraId="3A048DEF" w14:textId="64BB2452" w:rsidR="00064A39" w:rsidRPr="00E92296" w:rsidRDefault="00064A39"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In 2019 and ahead, AstraZeneca’s oncology segment to mainly drive revenue numbers. From the graph above we can clearly see that the company is focusing more and more on oncology as time progresses.</w:t>
      </w:r>
    </w:p>
    <w:p w14:paraId="7A6D3E98" w14:textId="77777777" w:rsidR="00064A39" w:rsidRPr="00E92296" w:rsidRDefault="00064A39" w:rsidP="00E92296">
      <w:pPr>
        <w:spacing w:line="360" w:lineRule="auto"/>
        <w:rPr>
          <w:rFonts w:ascii="Arial" w:hAnsi="Arial" w:cs="Arial"/>
          <w:color w:val="000000" w:themeColor="text1"/>
          <w:lang w:val="en-GB"/>
        </w:rPr>
      </w:pPr>
    </w:p>
    <w:p w14:paraId="2FC66625" w14:textId="18CB88F0" w:rsidR="00064A39" w:rsidRPr="00E92296" w:rsidRDefault="00064A39"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AstraZeneca expects to sustain sales growth through the year and although I expect tough competition in the oncology market since the market is getting bigger and tougher, I also presume that Tagrisso (oncology), Symbicort (asthma treatment) and Crestor (cardiovascular medication) will support sales growth throughout the year. Despite the expected sales growth, AstraZeneca's sales to capital ratio according to my calculations is 0.77x year to date which puts the company in a tough spot. This low sales to capital ratio usually mean that sales are not adequate to firm's working capital and that AstraZeneca's sales are being generated through the unreasonably excessive use of the accounts receivable and inventories, which might cause bad quality debts.</w:t>
      </w:r>
    </w:p>
    <w:p w14:paraId="00D1C0CE" w14:textId="77777777" w:rsidR="000642C8" w:rsidRPr="00E92296" w:rsidRDefault="000642C8"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lastRenderedPageBreak/>
        <w:t>In the diagram beneath, you can perceive how the organization's working measurements have performed all through the last years:</w:t>
      </w:r>
    </w:p>
    <w:p w14:paraId="33391F85" w14:textId="77777777" w:rsidR="000642C8" w:rsidRPr="00E92296" w:rsidRDefault="000642C8" w:rsidP="00E92296">
      <w:pPr>
        <w:spacing w:line="360" w:lineRule="auto"/>
        <w:rPr>
          <w:rFonts w:ascii="Arial" w:hAnsi="Arial" w:cs="Arial"/>
          <w:color w:val="000000" w:themeColor="text1"/>
          <w:lang w:val="en-GB"/>
        </w:rPr>
      </w:pPr>
    </w:p>
    <w:p w14:paraId="5351186F" w14:textId="09DE60ED" w:rsidR="00064A39" w:rsidRPr="00E92296" w:rsidRDefault="000642C8" w:rsidP="00E92296">
      <w:pPr>
        <w:spacing w:line="360" w:lineRule="auto"/>
        <w:rPr>
          <w:rFonts w:ascii="Arial" w:hAnsi="Arial" w:cs="Arial"/>
          <w:color w:val="000000" w:themeColor="text1"/>
          <w:lang w:val="en-GB"/>
        </w:rPr>
      </w:pPr>
      <w:r w:rsidRPr="00E92296">
        <w:rPr>
          <w:rFonts w:ascii="Arial" w:hAnsi="Arial" w:cs="Arial"/>
          <w:noProof/>
          <w:color w:val="000000" w:themeColor="text1"/>
          <w:lang w:val="en-GB"/>
        </w:rPr>
        <w:drawing>
          <wp:inline distT="0" distB="0" distL="0" distR="0" wp14:anchorId="7D17A65C" wp14:editId="60115999">
            <wp:extent cx="5731510" cy="2671445"/>
            <wp:effectExtent l="0" t="0" r="2540" b="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7"/>
                    <a:stretch>
                      <a:fillRect/>
                    </a:stretch>
                  </pic:blipFill>
                  <pic:spPr>
                    <a:xfrm>
                      <a:off x="0" y="0"/>
                      <a:ext cx="5731510" cy="2671445"/>
                    </a:xfrm>
                    <a:prstGeom prst="rect">
                      <a:avLst/>
                    </a:prstGeom>
                  </pic:spPr>
                </pic:pic>
              </a:graphicData>
            </a:graphic>
          </wp:inline>
        </w:drawing>
      </w:r>
    </w:p>
    <w:p w14:paraId="5EA693DB" w14:textId="77777777" w:rsidR="0092551B" w:rsidRPr="00E92296" w:rsidRDefault="0092551B"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Drug Industry </w:t>
      </w:r>
    </w:p>
    <w:p w14:paraId="12DD6688" w14:textId="2CCE46E5" w:rsidR="0011396B" w:rsidRPr="00E92296" w:rsidRDefault="0092551B"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Most of the large-scale factors in the pharma business like a maturing populace, states fixing drug permit recharges and reliable value pressures.</w:t>
      </w:r>
    </w:p>
    <w:p w14:paraId="41D509AD" w14:textId="68E62C78" w:rsidR="0092551B" w:rsidRPr="00E92296" w:rsidRDefault="0092551B" w:rsidP="00E92296">
      <w:pPr>
        <w:spacing w:line="360" w:lineRule="auto"/>
        <w:rPr>
          <w:rFonts w:ascii="Arial" w:hAnsi="Arial" w:cs="Arial"/>
          <w:color w:val="000000" w:themeColor="text1"/>
          <w:lang w:val="en-GB"/>
        </w:rPr>
      </w:pPr>
      <w:r w:rsidRPr="00E92296">
        <w:rPr>
          <w:rFonts w:ascii="Arial" w:hAnsi="Arial" w:cs="Arial"/>
          <w:noProof/>
          <w:color w:val="000000" w:themeColor="text1"/>
          <w:lang w:val="en-GB"/>
        </w:rPr>
        <w:drawing>
          <wp:inline distT="0" distB="0" distL="0" distR="0" wp14:anchorId="6144E690" wp14:editId="6D3F3783">
            <wp:extent cx="5731510" cy="2940685"/>
            <wp:effectExtent l="0" t="0" r="2540" b="0"/>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pic:nvPicPr>
                  <pic:blipFill>
                    <a:blip r:embed="rId18"/>
                    <a:stretch>
                      <a:fillRect/>
                    </a:stretch>
                  </pic:blipFill>
                  <pic:spPr>
                    <a:xfrm>
                      <a:off x="0" y="0"/>
                      <a:ext cx="5731510" cy="2940685"/>
                    </a:xfrm>
                    <a:prstGeom prst="rect">
                      <a:avLst/>
                    </a:prstGeom>
                  </pic:spPr>
                </pic:pic>
              </a:graphicData>
            </a:graphic>
          </wp:inline>
        </w:drawing>
      </w:r>
    </w:p>
    <w:p w14:paraId="5F8F714F" w14:textId="1CFAD6A4" w:rsidR="00E73A9F" w:rsidRPr="00E92296" w:rsidRDefault="00E73A9F" w:rsidP="00E92296">
      <w:pPr>
        <w:spacing w:line="360" w:lineRule="auto"/>
        <w:rPr>
          <w:rFonts w:ascii="Arial" w:hAnsi="Arial" w:cs="Arial"/>
          <w:color w:val="000000" w:themeColor="text1"/>
          <w:lang w:val="en-GB"/>
        </w:rPr>
      </w:pPr>
    </w:p>
    <w:p w14:paraId="5E091D7B" w14:textId="0082893A" w:rsidR="00E73A9F" w:rsidRPr="00E92296" w:rsidRDefault="00E73A9F" w:rsidP="00E92296">
      <w:pPr>
        <w:spacing w:line="360" w:lineRule="auto"/>
        <w:rPr>
          <w:rFonts w:ascii="Arial" w:hAnsi="Arial" w:cs="Arial"/>
          <w:color w:val="000000" w:themeColor="text1"/>
          <w:lang w:val="en-GB"/>
        </w:rPr>
      </w:pPr>
    </w:p>
    <w:p w14:paraId="092D9A4F" w14:textId="7C81ABF0" w:rsidR="0092551B" w:rsidRPr="00E92296" w:rsidRDefault="0092551B"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lastRenderedPageBreak/>
        <w:t>Since the U.S. has driven the drug market development for a really long time a log jam could flag terrible news on a worldwide level. A QuintilesIMS report demonstrates that market development in the U.S. will ease back to single digits, somewhere in the range of 6% and 9%, through 2021. The lull is essentially ascribed to hepatitis and disease medicates that are relied upon to have less of an effect before very long. Net producer income development in the U.S. market is relied upon to be 2-3% in 2019, down from a high of 10.3% and 9.1% in 2014 and 2015, individually. In general receipt spending development is relied upon to bounce back in 2023 to 6.0% up from a low of 1.2% in 2017, albeit net producer income development is relied upon to be 1-2% lower than receipt development as of now</w:t>
      </w:r>
      <w:r w:rsidR="00726A3B" w:rsidRPr="00E92296">
        <w:rPr>
          <w:rFonts w:ascii="Arial" w:hAnsi="Arial" w:cs="Arial"/>
          <w:color w:val="000000" w:themeColor="text1"/>
          <w:lang w:val="en-GB"/>
        </w:rPr>
        <w:t>.</w:t>
      </w:r>
      <w:r w:rsidRPr="00E92296">
        <w:rPr>
          <w:rFonts w:ascii="Arial" w:hAnsi="Arial" w:cs="Arial"/>
          <w:color w:val="000000" w:themeColor="text1"/>
          <w:lang w:val="en-GB"/>
        </w:rPr>
        <w:t xml:space="preserve"> </w:t>
      </w:r>
    </w:p>
    <w:p w14:paraId="49011474" w14:textId="77777777" w:rsidR="00480B69" w:rsidRPr="00480B69" w:rsidRDefault="0092551B">
      <w:pPr>
        <w:divId w:val="994261232"/>
        <w:rPr>
          <w:rFonts w:ascii="Times New Roman" w:eastAsia="Times New Roman" w:hAnsi="Times New Roman" w:cs="Times New Roman"/>
          <w:color w:val="auto"/>
          <w:sz w:val="24"/>
          <w:szCs w:val="24"/>
          <w:lang w:val="en-GB" w:eastAsia="en-GB"/>
        </w:rPr>
      </w:pPr>
      <w:r w:rsidRPr="00E92296">
        <w:rPr>
          <w:rFonts w:ascii="Arial" w:hAnsi="Arial" w:cs="Arial"/>
          <w:color w:val="000000" w:themeColor="text1"/>
          <w:lang w:val="en-GB"/>
        </w:rPr>
        <w:t xml:space="preserve">Drug spending in China came to $137 billion of every 2018 driven to a limited extent by focal government changes to extend protection admittance to both country and metropolitan occupants, just as extensions and modernizations of the clinic framework and essential consideration administrations. Spending development has eased back in recent years from twofold digit development rates in 2014 and prior, to 4.5% in 2018 and is additionally expected at 3-6% throughout the following five years. </w:t>
      </w:r>
      <w:r w:rsidR="00480B69" w:rsidRPr="00480B69">
        <w:rPr>
          <w:rFonts w:ascii="Open Sans" w:eastAsia="Times New Roman" w:hAnsi="Open Sans" w:cs="Open Sans"/>
          <w:color w:val="000000"/>
          <w:sz w:val="20"/>
          <w:szCs w:val="20"/>
          <w:shd w:val="clear" w:color="auto" w:fill="FFFFFF"/>
          <w:lang w:val="en-GB" w:eastAsia="en-GB"/>
        </w:rPr>
        <w:t>(</w:t>
      </w:r>
      <w:proofErr w:type="spellStart"/>
      <w:r w:rsidR="00480B69" w:rsidRPr="00480B69">
        <w:rPr>
          <w:rFonts w:ascii="Open Sans" w:eastAsia="Times New Roman" w:hAnsi="Open Sans" w:cs="Open Sans"/>
          <w:color w:val="000000"/>
          <w:sz w:val="20"/>
          <w:szCs w:val="20"/>
          <w:shd w:val="clear" w:color="auto" w:fill="FFFFFF"/>
          <w:lang w:val="en-GB" w:eastAsia="en-GB"/>
        </w:rPr>
        <w:t>Stoyanov</w:t>
      </w:r>
      <w:proofErr w:type="spellEnd"/>
      <w:r w:rsidR="00480B69" w:rsidRPr="00480B69">
        <w:rPr>
          <w:rFonts w:ascii="Open Sans" w:eastAsia="Times New Roman" w:hAnsi="Open Sans" w:cs="Open Sans"/>
          <w:color w:val="000000"/>
          <w:sz w:val="20"/>
          <w:szCs w:val="20"/>
          <w:shd w:val="clear" w:color="auto" w:fill="FFFFFF"/>
          <w:lang w:val="en-GB" w:eastAsia="en-GB"/>
        </w:rPr>
        <w:t>, 2021)</w:t>
      </w:r>
    </w:p>
    <w:p w14:paraId="5E77EAD1" w14:textId="497A7E08" w:rsidR="0092551B" w:rsidRPr="00E92296" w:rsidRDefault="0092551B" w:rsidP="00E92296">
      <w:pPr>
        <w:spacing w:line="360" w:lineRule="auto"/>
        <w:rPr>
          <w:rFonts w:ascii="Arial" w:hAnsi="Arial" w:cs="Arial"/>
          <w:color w:val="000000" w:themeColor="text1"/>
          <w:lang w:val="en-GB"/>
        </w:rPr>
      </w:pPr>
    </w:p>
    <w:p w14:paraId="74F0126F" w14:textId="35CCD531" w:rsidR="003873BE" w:rsidRPr="00E92296" w:rsidRDefault="0092551B"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Medication spending in Japan added up to $86 billion of every 2018, nonetheless, spending on prescriptions is relied upon to decrease by - 3 to 0% through 2023, generally because of the impact of trade rates and the proceeded with take-up of generics. </w:t>
      </w:r>
      <w:r w:rsidR="00726A3B" w:rsidRPr="00E92296">
        <w:rPr>
          <w:rFonts w:ascii="Arial" w:hAnsi="Arial" w:cs="Arial"/>
          <w:color w:val="000000" w:themeColor="text1"/>
          <w:lang w:val="en-GB"/>
        </w:rPr>
        <w:t>The exhibit below concludes the global spending on pharmaceutical products.</w:t>
      </w:r>
    </w:p>
    <w:p w14:paraId="0E1B7CEA" w14:textId="7555CF58" w:rsidR="00726A3B" w:rsidRPr="00E92296" w:rsidRDefault="00726A3B" w:rsidP="00E92296">
      <w:pPr>
        <w:spacing w:line="360" w:lineRule="auto"/>
        <w:rPr>
          <w:rFonts w:ascii="Arial" w:hAnsi="Arial" w:cs="Arial"/>
          <w:color w:val="000000" w:themeColor="text1"/>
          <w:lang w:val="en-GB"/>
        </w:rPr>
      </w:pPr>
      <w:r w:rsidRPr="00E92296">
        <w:rPr>
          <w:rFonts w:ascii="Arial" w:hAnsi="Arial" w:cs="Arial"/>
          <w:noProof/>
          <w:color w:val="000000" w:themeColor="text1"/>
          <w:lang w:val="en-GB"/>
        </w:rPr>
        <w:drawing>
          <wp:inline distT="0" distB="0" distL="0" distR="0" wp14:anchorId="78005DFF" wp14:editId="11AEDDDA">
            <wp:extent cx="5731510" cy="3614420"/>
            <wp:effectExtent l="0" t="0" r="2540" b="5080"/>
            <wp:docPr id="9" name="Picture 9" descr="Graphical user interface, 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chat or text message&#10;&#10;Description automatically generated"/>
                    <pic:cNvPicPr/>
                  </pic:nvPicPr>
                  <pic:blipFill>
                    <a:blip r:embed="rId19"/>
                    <a:stretch>
                      <a:fillRect/>
                    </a:stretch>
                  </pic:blipFill>
                  <pic:spPr>
                    <a:xfrm>
                      <a:off x="0" y="0"/>
                      <a:ext cx="5731510" cy="3614420"/>
                    </a:xfrm>
                    <a:prstGeom prst="rect">
                      <a:avLst/>
                    </a:prstGeom>
                  </pic:spPr>
                </pic:pic>
              </a:graphicData>
            </a:graphic>
          </wp:inline>
        </w:drawing>
      </w:r>
    </w:p>
    <w:p w14:paraId="5E888068" w14:textId="350FEC83" w:rsidR="00726A3B" w:rsidRPr="00E92296" w:rsidRDefault="00726A3B" w:rsidP="00E92296">
      <w:pPr>
        <w:spacing w:line="360" w:lineRule="auto"/>
        <w:rPr>
          <w:rFonts w:ascii="Arial" w:hAnsi="Arial" w:cs="Arial"/>
          <w:color w:val="000000" w:themeColor="text1"/>
          <w:lang w:val="en-GB"/>
        </w:rPr>
      </w:pPr>
    </w:p>
    <w:p w14:paraId="53F85320" w14:textId="4A766B80" w:rsidR="009D690C" w:rsidRPr="00E92296" w:rsidRDefault="009D690C" w:rsidP="00E92296">
      <w:pPr>
        <w:spacing w:line="360" w:lineRule="auto"/>
        <w:rPr>
          <w:rFonts w:ascii="Arial" w:hAnsi="Arial" w:cs="Arial"/>
          <w:color w:val="000000" w:themeColor="text1"/>
          <w:lang w:val="en-GB"/>
        </w:rPr>
      </w:pPr>
    </w:p>
    <w:p w14:paraId="3C06F580" w14:textId="40267AD6" w:rsidR="009D690C" w:rsidRPr="00E92296" w:rsidRDefault="009D690C"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AZN recorded Q1 19 income of $5,491 million, addressing a yearly development of 6% for the quarter and furthermore a development in working edge to 20% chiefly because of expansion in other working pay, because of the effect of divestment of right to collaborations for the US. In the diagram underneath you can see a slight expansion in working edge from 2017 to 2019, fundamentally because of diminishes in Pinions. Net benefit has expanded from 17% in Q1 17 to around 22-25% in Q4 18 and Q1 19.</w:t>
      </w:r>
    </w:p>
    <w:p w14:paraId="1F43344B" w14:textId="6745778D" w:rsidR="009D690C" w:rsidRPr="00E92296" w:rsidRDefault="009D690C" w:rsidP="00E92296">
      <w:pPr>
        <w:spacing w:line="360" w:lineRule="auto"/>
        <w:rPr>
          <w:rFonts w:ascii="Arial" w:hAnsi="Arial" w:cs="Arial"/>
          <w:color w:val="000000" w:themeColor="text1"/>
          <w:lang w:val="en-GB"/>
        </w:rPr>
      </w:pPr>
      <w:r w:rsidRPr="00E92296">
        <w:rPr>
          <w:rFonts w:ascii="Arial" w:hAnsi="Arial" w:cs="Arial"/>
          <w:noProof/>
          <w:color w:val="000000" w:themeColor="text1"/>
          <w:lang w:val="en-GB"/>
        </w:rPr>
        <w:drawing>
          <wp:inline distT="0" distB="0" distL="0" distR="0" wp14:anchorId="7DA5C91A" wp14:editId="4AB0449F">
            <wp:extent cx="6267450" cy="227549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291162" cy="2284103"/>
                    </a:xfrm>
                    <a:prstGeom prst="rect">
                      <a:avLst/>
                    </a:prstGeom>
                    <a:noFill/>
                  </pic:spPr>
                </pic:pic>
              </a:graphicData>
            </a:graphic>
          </wp:inline>
        </w:drawing>
      </w:r>
    </w:p>
    <w:p w14:paraId="3C9C8C0C" w14:textId="01264BFC" w:rsidR="00F21E3F" w:rsidRPr="00E92296" w:rsidRDefault="00F21E3F"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As we can see from the pay explanation beneath, although income has expanded in the last TTM by 1.4% over the most recent three years we see an income decline by a normal of around (- 0.86%) each year. The sequential lessening in incomes over time is predominantly because of Crestor nonexclusive prescriptions in Europe and Japan and Crestor and Seroquel XR misfortunes of selectiveness in the US in 2017. </w:t>
      </w:r>
    </w:p>
    <w:p w14:paraId="6F085CB9" w14:textId="353DA5B0" w:rsidR="009D690C" w:rsidRPr="00E92296" w:rsidRDefault="00F21E3F"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For the years ahead I anticipate that the company should develop at a consistent pace of around 10% each year upheld by the developing income from oncology. Kindly note that the business normal worldwide income development for drug organizations is 17% this puts AstraZeneca beneath the business normal. This is chiefly because of the exceptionally aggressive oncology market and the vulnerabilities encompassing the Brexit bargain.</w:t>
      </w:r>
    </w:p>
    <w:p w14:paraId="190A320C" w14:textId="607E8BBD" w:rsidR="00F21E3F" w:rsidRPr="00E92296" w:rsidRDefault="00F21E3F" w:rsidP="00E92296">
      <w:pPr>
        <w:spacing w:line="360" w:lineRule="auto"/>
        <w:rPr>
          <w:rFonts w:ascii="Arial" w:hAnsi="Arial" w:cs="Arial"/>
          <w:color w:val="000000" w:themeColor="text1"/>
          <w:lang w:val="en-GB"/>
        </w:rPr>
      </w:pPr>
      <w:r w:rsidRPr="00E92296">
        <w:rPr>
          <w:rFonts w:ascii="Arial" w:hAnsi="Arial" w:cs="Arial"/>
          <w:noProof/>
          <w:color w:val="000000" w:themeColor="text1"/>
          <w:lang w:val="en-GB"/>
        </w:rPr>
        <w:lastRenderedPageBreak/>
        <w:drawing>
          <wp:inline distT="0" distB="0" distL="0" distR="0" wp14:anchorId="39F36B56" wp14:editId="23ED450B">
            <wp:extent cx="6193139" cy="2581275"/>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1"/>
                    <a:stretch>
                      <a:fillRect/>
                    </a:stretch>
                  </pic:blipFill>
                  <pic:spPr>
                    <a:xfrm>
                      <a:off x="0" y="0"/>
                      <a:ext cx="6200355" cy="2584282"/>
                    </a:xfrm>
                    <a:prstGeom prst="rect">
                      <a:avLst/>
                    </a:prstGeom>
                  </pic:spPr>
                </pic:pic>
              </a:graphicData>
            </a:graphic>
          </wp:inline>
        </w:drawing>
      </w:r>
    </w:p>
    <w:p w14:paraId="2A976122" w14:textId="77777777" w:rsidR="00C21286" w:rsidRPr="00E92296" w:rsidRDefault="00C21286"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Gross Edge </w:t>
      </w:r>
    </w:p>
    <w:p w14:paraId="2CD21E6A" w14:textId="6E96923F" w:rsidR="00C21286" w:rsidRPr="00E92296" w:rsidRDefault="00C21286"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Gross edge ahead has been conjecturing per the organization's Q4 18 income call own evaluations somewhere in the range of 79 and 80%. </w:t>
      </w:r>
    </w:p>
    <w:p w14:paraId="6944BC83" w14:textId="77777777" w:rsidR="00C21286" w:rsidRPr="00E92296" w:rsidRDefault="00C21286"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Working Edges </w:t>
      </w:r>
    </w:p>
    <w:p w14:paraId="77BDB5C5" w14:textId="0133575C" w:rsidR="00C21286" w:rsidRPr="00E92296" w:rsidRDefault="00C21286"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The fall in working edge is primarily because of the expanded interest in centre SG&amp;A which is the consequence of help for new medication and the organization's business in China. For 2019 the organization expects just a low single-digit expansion altogether working costs at consistent trade rates. </w:t>
      </w:r>
    </w:p>
    <w:p w14:paraId="1BF2F435" w14:textId="77777777" w:rsidR="00C21286" w:rsidRPr="00E92296" w:rsidRDefault="00C21286"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Impetuses </w:t>
      </w:r>
    </w:p>
    <w:p w14:paraId="6EB63B4A" w14:textId="740F48BF" w:rsidR="00C21286" w:rsidRPr="00E92296" w:rsidRDefault="00C21286"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A portion of the impetuses at the cost to diminish like questionable economic situations and rising medical services costs have effectively been shrouded in my past article on GSK, so I won't address them to not rehash the same thing. Impetuses in the </w:t>
      </w:r>
      <w:r w:rsidR="005A4BBB" w:rsidRPr="00E92296">
        <w:rPr>
          <w:rFonts w:ascii="Arial" w:hAnsi="Arial" w:cs="Arial"/>
          <w:color w:val="000000" w:themeColor="text1"/>
          <w:lang w:val="en-GB"/>
        </w:rPr>
        <w:t>following two</w:t>
      </w:r>
      <w:r w:rsidRPr="00E92296">
        <w:rPr>
          <w:rFonts w:ascii="Arial" w:hAnsi="Arial" w:cs="Arial"/>
          <w:color w:val="000000" w:themeColor="text1"/>
          <w:lang w:val="en-GB"/>
        </w:rPr>
        <w:t xml:space="preserve"> years at the cost to diminish include: </w:t>
      </w:r>
    </w:p>
    <w:p w14:paraId="600D67BD" w14:textId="77777777" w:rsidR="00C21286" w:rsidRPr="00E92296" w:rsidRDefault="00C21286" w:rsidP="00E92296">
      <w:pPr>
        <w:spacing w:line="360" w:lineRule="auto"/>
        <w:rPr>
          <w:rFonts w:ascii="Arial" w:hAnsi="Arial" w:cs="Arial"/>
          <w:lang w:val="en-GB"/>
        </w:rPr>
      </w:pPr>
    </w:p>
    <w:p w14:paraId="7D51A030" w14:textId="77777777" w:rsidR="00C21286" w:rsidRPr="00E92296" w:rsidRDefault="00C21286" w:rsidP="00E92296">
      <w:pPr>
        <w:pStyle w:val="Heading4"/>
        <w:spacing w:line="360" w:lineRule="auto"/>
        <w:rPr>
          <w:rFonts w:ascii="Arial" w:hAnsi="Arial" w:cs="Arial"/>
          <w:sz w:val="22"/>
          <w:lang w:val="en-GB"/>
        </w:rPr>
      </w:pPr>
      <w:r w:rsidRPr="00E92296">
        <w:rPr>
          <w:rFonts w:ascii="Arial" w:hAnsi="Arial" w:cs="Arial"/>
          <w:sz w:val="22"/>
          <w:lang w:val="en-GB"/>
        </w:rPr>
        <w:t xml:space="preserve">Expanded Rivalry </w:t>
      </w:r>
    </w:p>
    <w:p w14:paraId="3F7B4C2C" w14:textId="77777777" w:rsidR="00C21286" w:rsidRPr="00E92296" w:rsidRDefault="00C21286" w:rsidP="00E92296">
      <w:pPr>
        <w:spacing w:line="360" w:lineRule="auto"/>
        <w:rPr>
          <w:rFonts w:ascii="Arial" w:hAnsi="Arial" w:cs="Arial"/>
          <w:color w:val="000000" w:themeColor="text1"/>
          <w:lang w:val="en-GB"/>
        </w:rPr>
      </w:pPr>
    </w:p>
    <w:p w14:paraId="7825FBD6" w14:textId="0C8ACC72" w:rsidR="00C21286" w:rsidRPr="00E92296" w:rsidRDefault="00C21286"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In 2017 the FDA started a push to get cheaper conventional medications out to showcase quicker. When another brand name drug is endorsed, it's conceded a 180-day time of restrictiveness, during which time nonexclusive adaptations can't go to advertise. Yet, an excess of nonexclusive applications has extended that 180 days significantly longer. The </w:t>
      </w:r>
      <w:r w:rsidRPr="00E92296">
        <w:rPr>
          <w:rFonts w:ascii="Arial" w:hAnsi="Arial" w:cs="Arial"/>
          <w:color w:val="000000" w:themeColor="text1"/>
          <w:lang w:val="en-GB"/>
        </w:rPr>
        <w:lastRenderedPageBreak/>
        <w:t xml:space="preserve">FDA's re-established work to clear that excess and get nonexclusive applications through the endorsement interaction quicker will flood the market with less expensive adaptations of significant expense drugs. </w:t>
      </w:r>
    </w:p>
    <w:p w14:paraId="643B485C" w14:textId="77777777" w:rsidR="00C21286" w:rsidRPr="00E92296" w:rsidRDefault="00C21286" w:rsidP="00E92296">
      <w:pPr>
        <w:spacing w:line="360" w:lineRule="auto"/>
        <w:rPr>
          <w:rFonts w:ascii="Arial" w:hAnsi="Arial" w:cs="Arial"/>
          <w:color w:val="000000" w:themeColor="text1"/>
          <w:lang w:val="en-GB"/>
        </w:rPr>
      </w:pPr>
    </w:p>
    <w:p w14:paraId="5153E8EF" w14:textId="77777777" w:rsidR="00C21286" w:rsidRPr="00E92296" w:rsidRDefault="00C21286"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As of late, Congress passed GDUFA II, which implies that the FDA has 10 months to survey 90% of standard applications and eight months to audit 90% of need applications. Applications for drugs with three or less contenders are qualified for need audit if certain necessities are met; focused on items incorporate sole source sedates just as medications with a solitary producer in danger for drug deficiencies or value spikes. GDUFA II likewise made a cutthroat nonexclusive assignment program, which expands need audit and pre-application backing to applications for drugs with a solitary maker. </w:t>
      </w:r>
    </w:p>
    <w:p w14:paraId="1B1BE7CD" w14:textId="77777777" w:rsidR="00C21286" w:rsidRPr="00E92296" w:rsidRDefault="00C21286" w:rsidP="00E92296">
      <w:pPr>
        <w:spacing w:line="360" w:lineRule="auto"/>
        <w:rPr>
          <w:rFonts w:ascii="Arial" w:hAnsi="Arial" w:cs="Arial"/>
          <w:color w:val="000000" w:themeColor="text1"/>
          <w:lang w:val="en-GB"/>
        </w:rPr>
      </w:pPr>
    </w:p>
    <w:p w14:paraId="3376306C" w14:textId="77777777" w:rsidR="00427C41" w:rsidRPr="00427C41" w:rsidRDefault="00C21286">
      <w:pPr>
        <w:divId w:val="756630350"/>
        <w:rPr>
          <w:rFonts w:ascii="Times New Roman" w:eastAsia="Times New Roman" w:hAnsi="Times New Roman" w:cs="Times New Roman"/>
          <w:color w:val="auto"/>
          <w:sz w:val="24"/>
          <w:szCs w:val="24"/>
          <w:lang w:val="en-GB" w:eastAsia="en-GB"/>
        </w:rPr>
      </w:pPr>
      <w:r w:rsidRPr="00E92296">
        <w:rPr>
          <w:rFonts w:ascii="Arial" w:hAnsi="Arial" w:cs="Arial"/>
          <w:color w:val="000000" w:themeColor="text1"/>
          <w:lang w:val="en-GB"/>
        </w:rPr>
        <w:t xml:space="preserve">Since conventional medications produce rivalry and lessen </w:t>
      </w:r>
      <w:r w:rsidR="005A4BBB" w:rsidRPr="00E92296">
        <w:rPr>
          <w:rFonts w:ascii="Arial" w:hAnsi="Arial" w:cs="Arial"/>
          <w:color w:val="000000" w:themeColor="text1"/>
          <w:lang w:val="en-GB"/>
        </w:rPr>
        <w:t>medication</w:t>
      </w:r>
      <w:r w:rsidRPr="00E92296">
        <w:rPr>
          <w:rFonts w:ascii="Arial" w:hAnsi="Arial" w:cs="Arial"/>
          <w:color w:val="000000" w:themeColor="text1"/>
          <w:lang w:val="en-GB"/>
        </w:rPr>
        <w:t xml:space="preserve"> spending. FDA survey time for nonexclusive applications is a significant mark of what amount of time it requires for new conventional medications to arrive at the market and how rapidly payers and patients might understand investment funds. </w:t>
      </w:r>
      <w:r w:rsidR="00427C41" w:rsidRPr="00427C41">
        <w:rPr>
          <w:rFonts w:ascii="Open Sans" w:eastAsia="Times New Roman" w:hAnsi="Open Sans" w:cs="Open Sans"/>
          <w:color w:val="000000"/>
          <w:sz w:val="20"/>
          <w:szCs w:val="20"/>
          <w:shd w:val="clear" w:color="auto" w:fill="FFFFFF"/>
          <w:lang w:val="en-GB" w:eastAsia="en-GB"/>
        </w:rPr>
        <w:t>(Llamas, 2021)</w:t>
      </w:r>
    </w:p>
    <w:p w14:paraId="1898682F" w14:textId="582C7421" w:rsidR="00C21286" w:rsidRPr="00E92296" w:rsidRDefault="00C21286" w:rsidP="00E92296">
      <w:pPr>
        <w:spacing w:line="360" w:lineRule="auto"/>
        <w:rPr>
          <w:rFonts w:ascii="Arial" w:hAnsi="Arial" w:cs="Arial"/>
          <w:color w:val="000000" w:themeColor="text1"/>
          <w:lang w:val="en-GB"/>
        </w:rPr>
      </w:pPr>
    </w:p>
    <w:p w14:paraId="29E19C35" w14:textId="77777777" w:rsidR="00C21286" w:rsidRPr="00E92296" w:rsidRDefault="00C21286" w:rsidP="00E92296">
      <w:pPr>
        <w:spacing w:line="360" w:lineRule="auto"/>
        <w:rPr>
          <w:rFonts w:ascii="Arial" w:hAnsi="Arial" w:cs="Arial"/>
          <w:color w:val="000000" w:themeColor="text1"/>
          <w:lang w:val="en-GB"/>
        </w:rPr>
      </w:pPr>
    </w:p>
    <w:p w14:paraId="4F325B85" w14:textId="77777777" w:rsidR="00C21286" w:rsidRPr="00E92296" w:rsidRDefault="00C21286" w:rsidP="00E92296">
      <w:pPr>
        <w:pStyle w:val="Heading4"/>
        <w:spacing w:line="360" w:lineRule="auto"/>
        <w:rPr>
          <w:rFonts w:ascii="Arial" w:hAnsi="Arial" w:cs="Arial"/>
          <w:sz w:val="22"/>
          <w:lang w:val="en-GB"/>
        </w:rPr>
      </w:pPr>
      <w:r w:rsidRPr="00E92296">
        <w:rPr>
          <w:rFonts w:ascii="Arial" w:hAnsi="Arial" w:cs="Arial"/>
          <w:sz w:val="22"/>
          <w:lang w:val="en-GB"/>
        </w:rPr>
        <w:t xml:space="preserve">Brexit </w:t>
      </w:r>
    </w:p>
    <w:p w14:paraId="59EDD4FB" w14:textId="77777777" w:rsidR="00C21286" w:rsidRPr="00E92296" w:rsidRDefault="00C21286" w:rsidP="00E92296">
      <w:pPr>
        <w:spacing w:line="360" w:lineRule="auto"/>
        <w:rPr>
          <w:rFonts w:ascii="Arial" w:hAnsi="Arial" w:cs="Arial"/>
          <w:color w:val="000000" w:themeColor="text1"/>
          <w:lang w:val="en-GB"/>
        </w:rPr>
      </w:pPr>
    </w:p>
    <w:p w14:paraId="14108EF5" w14:textId="59EE2DE6" w:rsidR="00C21286" w:rsidRPr="00E92296" w:rsidRDefault="00C21286"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Brexit represents a major danger to drug examination and assembling in the UK, the business has said, conceivably driving up assembling costs and hindering future venture. AstraZeneca and different organizations have frozen all assembling speculations. England's </w:t>
      </w:r>
      <w:r w:rsidR="00F44D29" w:rsidRPr="00E92296">
        <w:rPr>
          <w:rFonts w:ascii="Arial" w:hAnsi="Arial" w:cs="Arial"/>
          <w:color w:val="000000" w:themeColor="text1"/>
          <w:lang w:val="en-GB"/>
        </w:rPr>
        <w:t>second greatest</w:t>
      </w:r>
      <w:r w:rsidRPr="00E92296">
        <w:rPr>
          <w:rFonts w:ascii="Arial" w:hAnsi="Arial" w:cs="Arial"/>
          <w:color w:val="000000" w:themeColor="text1"/>
          <w:lang w:val="en-GB"/>
        </w:rPr>
        <w:t xml:space="preserve"> drugmaker chose to end further ventures at its Macclesfield site in the late spring of 2017. Its executive, Leif Johansson, has said the UK needs to ensure it "doesn't turn into a disengaged island in the Atlantic Sea". </w:t>
      </w:r>
    </w:p>
    <w:p w14:paraId="4222C1ED" w14:textId="549BA67D" w:rsidR="009D690C" w:rsidRPr="00E92296" w:rsidRDefault="00C21286"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Leaving the EU without an arrangement for drugs would hazard an immensely harming impact on the area in the UK, as admittance to business sectors reduces, including £11.9 billion of products and more than 446 million possible patients and purchasers in the EU. It would likewise chance a harming impact on UK patients. With 73% of drug imports coming from the EU, admittance to drug items could be diminished, and as just 2.3% of the </w:t>
      </w:r>
      <w:r w:rsidRPr="00E92296">
        <w:rPr>
          <w:rFonts w:ascii="Arial" w:hAnsi="Arial" w:cs="Arial"/>
          <w:color w:val="000000" w:themeColor="text1"/>
          <w:lang w:val="en-GB"/>
        </w:rPr>
        <w:lastRenderedPageBreak/>
        <w:t>worldwide market contrasted with the EU27's over 22%, the UK might turn into a less alluring area to dispatch new meds.</w:t>
      </w:r>
    </w:p>
    <w:p w14:paraId="724EF78D" w14:textId="5A7BDCE0" w:rsidR="00D83252" w:rsidRPr="00E92296" w:rsidRDefault="00D83252" w:rsidP="00E92296">
      <w:pPr>
        <w:spacing w:line="360" w:lineRule="auto"/>
        <w:rPr>
          <w:rFonts w:ascii="Arial" w:hAnsi="Arial" w:cs="Arial"/>
          <w:color w:val="000000" w:themeColor="text1"/>
          <w:lang w:val="en-GB"/>
        </w:rPr>
      </w:pPr>
    </w:p>
    <w:p w14:paraId="727A05ED" w14:textId="4EE87CD3" w:rsidR="00D83252" w:rsidRPr="00E92296" w:rsidRDefault="00D83252" w:rsidP="00E92296">
      <w:pPr>
        <w:pStyle w:val="Heading1"/>
        <w:spacing w:line="360" w:lineRule="auto"/>
        <w:rPr>
          <w:rFonts w:ascii="Arial" w:hAnsi="Arial" w:cs="Arial"/>
          <w:sz w:val="22"/>
          <w:szCs w:val="22"/>
          <w:lang w:val="en-GB"/>
        </w:rPr>
      </w:pPr>
      <w:r w:rsidRPr="00E92296">
        <w:rPr>
          <w:rFonts w:ascii="Arial" w:hAnsi="Arial" w:cs="Arial"/>
          <w:sz w:val="22"/>
          <w:szCs w:val="22"/>
          <w:lang w:val="en-GB"/>
        </w:rPr>
        <w:t>Covid-19 pandemic and AstraZeneca vaccine</w:t>
      </w:r>
    </w:p>
    <w:p w14:paraId="48098251" w14:textId="2FD94B32" w:rsidR="00D83252" w:rsidRPr="00E92296" w:rsidRDefault="00D83252" w:rsidP="00E92296">
      <w:pPr>
        <w:spacing w:line="360" w:lineRule="auto"/>
        <w:rPr>
          <w:rFonts w:ascii="Arial" w:hAnsi="Arial" w:cs="Arial"/>
          <w:color w:val="000000" w:themeColor="text1"/>
          <w:lang w:val="en-GB"/>
        </w:rPr>
      </w:pPr>
    </w:p>
    <w:p w14:paraId="597901FD" w14:textId="361D9AE9" w:rsidR="00B9554B" w:rsidRPr="00E92296" w:rsidRDefault="00B9554B"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Perceiving the dire requirement for an immunization to overcome the infection, AZN united with the College of Oxford, uniting its elite aptitude in vaccinology with our worldwide turn of events and assembling abilities. They have sped up clinical turn of events and quickly assembled organizations and a worldwide inventory network that will uphold an expansive, convenient, and impartial stock of a protected and successful immunization all throughout the planet whenever supported, and at no benefit during the pandemic. Supplementing their immunizations approach, they additionally immediately assembled research endeavours to propel the advancement of a novel Covid killing long-acting neutralizer mix (LAAB) for the likely anticipation and treatment of Coronavirus. </w:t>
      </w:r>
    </w:p>
    <w:p w14:paraId="3E269AFA" w14:textId="330D53CC" w:rsidR="00D83252" w:rsidRPr="00E92296" w:rsidRDefault="00B9554B"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With the Coronavirus pandemic proceeding to guarantee large number of lives each day, AZN is moving rapidly with the clinical preliminaries while observing severe administrative guidelines, and great clinical practice and directed by strong free information wellbeing and checking sheets. Given the phenomenal worldwide effect of Coronavirus and the requirement for public data, AZN is focused on being straightforward with regards to this interaction. By reinforcing their flexibility, the company’s workers have kept up with force, drawing inspiration from their qualities to follow the science, make the best choice and put patients first. AZN needs stay to guarantee the proceeded with supply of our meds to patients and to protect the wellbeing and prosperity of every one of </w:t>
      </w:r>
      <w:r w:rsidR="002E46C3" w:rsidRPr="00E92296">
        <w:rPr>
          <w:rFonts w:ascii="Arial" w:hAnsi="Arial" w:cs="Arial"/>
          <w:color w:val="000000" w:themeColor="text1"/>
          <w:lang w:val="en-GB"/>
        </w:rPr>
        <w:t>their</w:t>
      </w:r>
      <w:r w:rsidRPr="00E92296">
        <w:rPr>
          <w:rFonts w:ascii="Arial" w:hAnsi="Arial" w:cs="Arial"/>
          <w:color w:val="000000" w:themeColor="text1"/>
          <w:lang w:val="en-GB"/>
        </w:rPr>
        <w:t xml:space="preserve"> workers and networks.</w:t>
      </w:r>
    </w:p>
    <w:p w14:paraId="14ED26C3" w14:textId="77777777" w:rsidR="00480B69" w:rsidRPr="00480B69" w:rsidRDefault="00D834A5">
      <w:pPr>
        <w:divId w:val="2017881083"/>
        <w:rPr>
          <w:rFonts w:ascii="Times New Roman" w:eastAsia="Times New Roman" w:hAnsi="Times New Roman" w:cs="Times New Roman"/>
          <w:color w:val="auto"/>
          <w:sz w:val="24"/>
          <w:szCs w:val="24"/>
          <w:lang w:val="en-GB" w:eastAsia="en-GB"/>
        </w:rPr>
      </w:pPr>
      <w:r w:rsidRPr="00E92296">
        <w:rPr>
          <w:rFonts w:ascii="Arial" w:hAnsi="Arial" w:cs="Arial"/>
          <w:color w:val="000000" w:themeColor="text1"/>
          <w:lang w:val="en-GB"/>
        </w:rPr>
        <w:t xml:space="preserve">AstraZeneca (AZN.L) said it would start to acquire an unassuming benefit from its Covid antibody as the world figures out how to live with the infection and the drugmaker is in consults with a few nations about new orders for conveyance one year from now. The Old English Swedish organization's second from last quarter results showed the antibody contributed one penny to centre profit per portion of $1.08, an ascent of 14%. All out item deals bounced 49% to $9.74 billion, as its antibody deals bested $1 billion. </w:t>
      </w:r>
      <w:r w:rsidR="00480B69" w:rsidRPr="00480B69">
        <w:rPr>
          <w:rFonts w:ascii="Open Sans" w:eastAsia="Times New Roman" w:hAnsi="Open Sans" w:cs="Open Sans"/>
          <w:color w:val="000000"/>
          <w:sz w:val="20"/>
          <w:szCs w:val="20"/>
          <w:shd w:val="clear" w:color="auto" w:fill="FFFFFF"/>
          <w:lang w:val="en-GB" w:eastAsia="en-GB"/>
        </w:rPr>
        <w:t>(</w:t>
      </w:r>
      <w:proofErr w:type="spellStart"/>
      <w:r w:rsidR="00480B69" w:rsidRPr="00480B69">
        <w:rPr>
          <w:rFonts w:ascii="Open Sans" w:eastAsia="Times New Roman" w:hAnsi="Open Sans" w:cs="Open Sans"/>
          <w:color w:val="000000"/>
          <w:sz w:val="20"/>
          <w:szCs w:val="20"/>
          <w:shd w:val="clear" w:color="auto" w:fill="FFFFFF"/>
          <w:lang w:val="en-GB" w:eastAsia="en-GB"/>
        </w:rPr>
        <w:t>Stoyanov</w:t>
      </w:r>
      <w:proofErr w:type="spellEnd"/>
      <w:r w:rsidR="00480B69" w:rsidRPr="00480B69">
        <w:rPr>
          <w:rFonts w:ascii="Open Sans" w:eastAsia="Times New Roman" w:hAnsi="Open Sans" w:cs="Open Sans"/>
          <w:color w:val="000000"/>
          <w:sz w:val="20"/>
          <w:szCs w:val="20"/>
          <w:shd w:val="clear" w:color="auto" w:fill="FFFFFF"/>
          <w:lang w:val="en-GB" w:eastAsia="en-GB"/>
        </w:rPr>
        <w:t>, 2021)</w:t>
      </w:r>
    </w:p>
    <w:p w14:paraId="5028ACD8" w14:textId="68F4B49E" w:rsidR="00D834A5" w:rsidRPr="00E92296" w:rsidRDefault="00D834A5" w:rsidP="00E92296">
      <w:pPr>
        <w:spacing w:line="360" w:lineRule="auto"/>
        <w:rPr>
          <w:rFonts w:ascii="Arial" w:hAnsi="Arial" w:cs="Arial"/>
          <w:color w:val="000000" w:themeColor="text1"/>
          <w:lang w:val="en-GB"/>
        </w:rPr>
      </w:pPr>
    </w:p>
    <w:p w14:paraId="7E78AD12" w14:textId="12EB6E2D" w:rsidR="00D834A5" w:rsidRPr="00E92296" w:rsidRDefault="00D834A5" w:rsidP="00E92296">
      <w:pPr>
        <w:pStyle w:val="Heading4"/>
        <w:spacing w:line="360" w:lineRule="auto"/>
        <w:rPr>
          <w:rFonts w:ascii="Arial" w:hAnsi="Arial" w:cs="Arial"/>
          <w:sz w:val="22"/>
          <w:lang w:val="en-GB"/>
        </w:rPr>
      </w:pPr>
      <w:r w:rsidRPr="00E92296">
        <w:rPr>
          <w:rFonts w:ascii="Arial" w:hAnsi="Arial" w:cs="Arial"/>
          <w:sz w:val="22"/>
          <w:lang w:val="en-GB"/>
        </w:rPr>
        <w:t xml:space="preserve">Benefit Misses the mark </w:t>
      </w:r>
    </w:p>
    <w:p w14:paraId="6CEE70F6" w14:textId="77777777" w:rsidR="005A4BBB" w:rsidRPr="00E92296" w:rsidRDefault="005A4BBB" w:rsidP="00E92296">
      <w:pPr>
        <w:spacing w:line="360" w:lineRule="auto"/>
        <w:rPr>
          <w:rFonts w:ascii="Arial" w:hAnsi="Arial" w:cs="Arial"/>
          <w:lang w:val="en-GB"/>
        </w:rPr>
      </w:pPr>
    </w:p>
    <w:p w14:paraId="3BB64A4A" w14:textId="77777777" w:rsidR="00D834A5" w:rsidRPr="00E92296" w:rsidRDefault="00D834A5"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lastRenderedPageBreak/>
        <w:t xml:space="preserve">Portions of the FTSE 100 (.FTSE) drugmaker were down 3.4% at around 91.22 pounds at 1209 GMT as generally second from last quarter benefit missed the mark regarding experts' assumptions. </w:t>
      </w:r>
    </w:p>
    <w:p w14:paraId="2AF26F43" w14:textId="77777777" w:rsidR="00D834A5" w:rsidRPr="00E92296" w:rsidRDefault="00D834A5"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AstraZeneca said a benefit support from the immunization in the final quarter would compensate for costs identified with its counter acting agent mixed drink for forestalling and treating Coronavirus, as it stayed with its profit conjecture for the year. </w:t>
      </w:r>
    </w:p>
    <w:p w14:paraId="21548DA1" w14:textId="246CF523" w:rsidR="002E46C3" w:rsidRPr="00E92296" w:rsidRDefault="00D834A5"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AstraZeneca's immunization has had a wild excursion, with its not-revenue driven technique and difficulties around adequacy information, supplies and connections to uncommon blood clumps, fuelling hypothesis on whether it would need to keep the business in the long haul. The drugmaker and its Indian assembling accomplice, Serum Establishment, have provided more than 1.5 billion antibody dosages as of the finish of September, contrasted and multiple billion from the adversary union of Pfizer (PFE.N) and BioNTech(22UAy.DE).</w:t>
      </w:r>
    </w:p>
    <w:p w14:paraId="05AC6C16" w14:textId="77777777" w:rsidR="009E6F3B" w:rsidRPr="00E92296" w:rsidRDefault="009E6F3B"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Other antibody producers including Pfizer and Moderna have been creating gains from their immunizations. </w:t>
      </w:r>
    </w:p>
    <w:p w14:paraId="23472361" w14:textId="1E49D338" w:rsidR="009E6F3B" w:rsidRPr="00E92296" w:rsidRDefault="009E6F3B"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t xml:space="preserve">A typical net revenue in the medications business is around 20%, yet Mr Soriot (CEO AstraZeneca) said AstraZeneca, which charges about $5 per went for the Coronavirus antibody at cost, would not be making as much benefit as that. </w:t>
      </w:r>
    </w:p>
    <w:p w14:paraId="604E0E0C" w14:textId="43D93C51" w:rsidR="00D83252" w:rsidRPr="00E92296" w:rsidRDefault="009E6F3B" w:rsidP="00E92296">
      <w:pPr>
        <w:spacing w:line="360" w:lineRule="auto"/>
        <w:rPr>
          <w:rFonts w:ascii="Arial" w:hAnsi="Arial" w:cs="Arial"/>
          <w:color w:val="000000" w:themeColor="text1"/>
          <w:lang w:val="en-GB"/>
        </w:rPr>
      </w:pPr>
      <w:r w:rsidRPr="00E92296">
        <w:rPr>
          <w:rFonts w:ascii="Arial" w:hAnsi="Arial" w:cs="Arial"/>
          <w:color w:val="000000" w:themeColor="text1"/>
          <w:lang w:val="en-GB"/>
        </w:rPr>
        <w:lastRenderedPageBreak/>
        <w:t xml:space="preserve">                               </w:t>
      </w:r>
      <w:r w:rsidRPr="00E92296">
        <w:rPr>
          <w:rFonts w:ascii="Arial" w:hAnsi="Arial" w:cs="Arial"/>
          <w:noProof/>
          <w:color w:val="000000" w:themeColor="text1"/>
          <w:lang w:val="en-GB"/>
        </w:rPr>
        <w:drawing>
          <wp:inline distT="0" distB="0" distL="0" distR="0" wp14:anchorId="13E1FCCD" wp14:editId="2F4DB5B3">
            <wp:extent cx="3465195" cy="4531706"/>
            <wp:effectExtent l="0" t="0" r="1905" b="2540"/>
            <wp:docPr id="12" name="Picture 12"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diagram&#10;&#10;Description automatically generated"/>
                    <pic:cNvPicPr/>
                  </pic:nvPicPr>
                  <pic:blipFill>
                    <a:blip r:embed="rId22"/>
                    <a:stretch>
                      <a:fillRect/>
                    </a:stretch>
                  </pic:blipFill>
                  <pic:spPr>
                    <a:xfrm>
                      <a:off x="0" y="0"/>
                      <a:ext cx="3474284" cy="4543593"/>
                    </a:xfrm>
                    <a:prstGeom prst="rect">
                      <a:avLst/>
                    </a:prstGeom>
                  </pic:spPr>
                </pic:pic>
              </a:graphicData>
            </a:graphic>
          </wp:inline>
        </w:drawing>
      </w:r>
    </w:p>
    <w:p w14:paraId="7CACF9E9" w14:textId="466ECAD9" w:rsidR="009E6F3B" w:rsidRPr="00E92296" w:rsidRDefault="00D67719" w:rsidP="00E92296">
      <w:pPr>
        <w:pStyle w:val="Heading1"/>
        <w:spacing w:line="360" w:lineRule="auto"/>
        <w:rPr>
          <w:rFonts w:ascii="Arial" w:hAnsi="Arial" w:cs="Arial"/>
          <w:lang w:val="en-GB"/>
        </w:rPr>
      </w:pPr>
      <w:r w:rsidRPr="00E92296">
        <w:rPr>
          <w:rFonts w:ascii="Arial" w:hAnsi="Arial" w:cs="Arial"/>
          <w:lang w:val="en-GB"/>
        </w:rPr>
        <w:t>Conclusion</w:t>
      </w:r>
    </w:p>
    <w:p w14:paraId="2D151239" w14:textId="1C68E4A8" w:rsidR="00D67719" w:rsidRPr="00E92296" w:rsidRDefault="00D67719" w:rsidP="00E92296">
      <w:pPr>
        <w:spacing w:line="360" w:lineRule="auto"/>
        <w:rPr>
          <w:rFonts w:ascii="Arial" w:hAnsi="Arial" w:cs="Arial"/>
          <w:lang w:val="en-GB"/>
        </w:rPr>
      </w:pPr>
    </w:p>
    <w:p w14:paraId="418CE8F9" w14:textId="77777777" w:rsidR="00E92296" w:rsidRPr="00E92296" w:rsidRDefault="00E92296" w:rsidP="00E92296">
      <w:pPr>
        <w:spacing w:after="0" w:line="360" w:lineRule="auto"/>
        <w:rPr>
          <w:rFonts w:ascii="Arial" w:eastAsia="Times New Roman" w:hAnsi="Arial" w:cs="Arial"/>
          <w:color w:val="auto"/>
          <w:sz w:val="24"/>
          <w:szCs w:val="24"/>
          <w:lang w:val="en-GB" w:eastAsia="en-GB"/>
        </w:rPr>
      </w:pPr>
      <w:r w:rsidRPr="00E92296">
        <w:rPr>
          <w:rFonts w:ascii="Arial" w:eastAsia="Times New Roman" w:hAnsi="Arial" w:cs="Arial"/>
          <w:color w:val="201F1E"/>
          <w:sz w:val="23"/>
          <w:szCs w:val="23"/>
          <w:shd w:val="clear" w:color="auto" w:fill="FFFFFF"/>
          <w:lang w:val="en-GB" w:eastAsia="en-GB"/>
        </w:rPr>
        <w:t>Drug industry has been reliably showing twofold digit development levels for the beyond quite a while. The development is joined by expanded spending on drug utilization. Studies show that the increment in drug utilization has been a lot higher than the expansion in costs or in spending on different parts of clinical consideration.</w:t>
      </w:r>
    </w:p>
    <w:p w14:paraId="55D2651C" w14:textId="77777777" w:rsidR="00E92296" w:rsidRPr="00E92296" w:rsidRDefault="00E92296" w:rsidP="00E92296">
      <w:pPr>
        <w:shd w:val="clear" w:color="auto" w:fill="FFFFFF"/>
        <w:spacing w:after="0" w:line="360" w:lineRule="auto"/>
        <w:textAlignment w:val="baseline"/>
        <w:rPr>
          <w:rFonts w:ascii="Arial" w:eastAsia="Times New Roman" w:hAnsi="Arial" w:cs="Arial"/>
          <w:color w:val="201F1E"/>
          <w:sz w:val="23"/>
          <w:szCs w:val="23"/>
          <w:lang w:val="en-GB" w:eastAsia="en-GB"/>
        </w:rPr>
      </w:pPr>
    </w:p>
    <w:p w14:paraId="7F18D399" w14:textId="52A3BD0B" w:rsidR="00D67719" w:rsidRDefault="00E92296" w:rsidP="00E92296">
      <w:pPr>
        <w:spacing w:line="360" w:lineRule="auto"/>
        <w:rPr>
          <w:rFonts w:ascii="Arial" w:eastAsia="Times New Roman" w:hAnsi="Arial" w:cs="Arial"/>
          <w:color w:val="201F1E"/>
          <w:sz w:val="23"/>
          <w:szCs w:val="23"/>
          <w:shd w:val="clear" w:color="auto" w:fill="FFFFFF"/>
          <w:lang w:val="en-GB" w:eastAsia="en-GB"/>
        </w:rPr>
      </w:pPr>
      <w:r w:rsidRPr="00E92296">
        <w:rPr>
          <w:rFonts w:ascii="Arial" w:eastAsia="Times New Roman" w:hAnsi="Arial" w:cs="Arial"/>
          <w:color w:val="201F1E"/>
          <w:sz w:val="23"/>
          <w:szCs w:val="23"/>
          <w:shd w:val="clear" w:color="auto" w:fill="FFFFFF"/>
          <w:lang w:val="en-GB" w:eastAsia="en-GB"/>
        </w:rPr>
        <w:t>New infections address one more arrangement of drivers of drug industry development. Associations react with new medications and have additionally been blamed for working together with specialists and shopper gatherings to make new sicknesses through a course of "infection mongering". Innovative work is the other significant driver of drug development. The social advantages of examination are over two times those of the private advantages to the association. Thusly, Research is affected by controls, guideline, secrecy, and patent laws.</w:t>
      </w:r>
    </w:p>
    <w:p w14:paraId="6E983439" w14:textId="601857C1" w:rsidR="00B55508" w:rsidRDefault="00B55508" w:rsidP="00E92296">
      <w:pPr>
        <w:spacing w:line="360" w:lineRule="auto"/>
        <w:rPr>
          <w:rFonts w:ascii="Arial" w:eastAsia="Times New Roman" w:hAnsi="Arial" w:cs="Arial"/>
          <w:color w:val="201F1E"/>
          <w:sz w:val="23"/>
          <w:szCs w:val="23"/>
          <w:shd w:val="clear" w:color="auto" w:fill="FFFFFF"/>
          <w:lang w:val="en-GB" w:eastAsia="en-GB"/>
        </w:rPr>
      </w:pPr>
    </w:p>
    <w:p w14:paraId="20EB7A6E" w14:textId="14806FDC" w:rsidR="00B55508" w:rsidRDefault="00B55508" w:rsidP="00B55508">
      <w:pPr>
        <w:pStyle w:val="Heading1"/>
        <w:rPr>
          <w:rFonts w:ascii="Arial" w:hAnsi="Arial" w:cs="Arial"/>
          <w:shd w:val="clear" w:color="auto" w:fill="FFFFFF"/>
          <w:lang w:val="en-GB" w:eastAsia="en-GB"/>
        </w:rPr>
      </w:pPr>
      <w:r w:rsidRPr="00B55508">
        <w:rPr>
          <w:rFonts w:ascii="Arial" w:hAnsi="Arial" w:cs="Arial"/>
          <w:shd w:val="clear" w:color="auto" w:fill="FFFFFF"/>
          <w:lang w:val="en-GB" w:eastAsia="en-GB"/>
        </w:rPr>
        <w:t>Reference list</w:t>
      </w:r>
    </w:p>
    <w:p w14:paraId="1E5014CE" w14:textId="77777777" w:rsidR="00B55508" w:rsidRPr="00B55508" w:rsidRDefault="00B55508" w:rsidP="00B55508">
      <w:pPr>
        <w:pStyle w:val="Heading1"/>
        <w:rPr>
          <w:rFonts w:ascii="Arial" w:hAnsi="Arial" w:cs="Arial"/>
          <w:shd w:val="clear" w:color="auto" w:fill="FFFFFF"/>
          <w:lang w:val="en-GB" w:eastAsia="en-GB"/>
        </w:rPr>
      </w:pPr>
    </w:p>
    <w:p w14:paraId="60F94262" w14:textId="2BE466F5" w:rsidR="0057473B" w:rsidRDefault="0057473B" w:rsidP="0057473B">
      <w:pPr>
        <w:spacing w:after="0" w:line="240" w:lineRule="auto"/>
        <w:divId w:val="1604023922"/>
        <w:rPr>
          <w:rFonts w:ascii="Open Sans" w:eastAsia="Times New Roman" w:hAnsi="Open Sans" w:cs="Open Sans"/>
          <w:color w:val="000000"/>
          <w:sz w:val="20"/>
          <w:szCs w:val="20"/>
          <w:shd w:val="clear" w:color="auto" w:fill="FFFFFF"/>
          <w:lang w:val="en-GB" w:eastAsia="en-GB"/>
        </w:rPr>
      </w:pPr>
      <w:r w:rsidRPr="0057473B">
        <w:rPr>
          <w:rFonts w:ascii="Open Sans" w:eastAsia="Times New Roman" w:hAnsi="Open Sans" w:cs="Open Sans"/>
          <w:color w:val="000000"/>
          <w:sz w:val="20"/>
          <w:szCs w:val="20"/>
          <w:shd w:val="clear" w:color="auto" w:fill="FFFFFF"/>
          <w:lang w:val="en-GB" w:eastAsia="en-GB"/>
        </w:rPr>
        <w:t>AstraZeneca, A. and AstraZeneca, A., 2021. </w:t>
      </w:r>
      <w:r w:rsidRPr="0057473B">
        <w:rPr>
          <w:rFonts w:ascii="Open Sans" w:eastAsia="Times New Roman" w:hAnsi="Open Sans" w:cs="Open Sans"/>
          <w:i/>
          <w:iCs/>
          <w:color w:val="000000"/>
          <w:sz w:val="20"/>
          <w:szCs w:val="20"/>
          <w:lang w:val="en-GB" w:eastAsia="en-GB"/>
        </w:rPr>
        <w:t>A history of AstraZeneca</w:t>
      </w:r>
      <w:r w:rsidRPr="0057473B">
        <w:rPr>
          <w:rFonts w:ascii="Open Sans" w:eastAsia="Times New Roman" w:hAnsi="Open Sans" w:cs="Open Sans"/>
          <w:color w:val="000000"/>
          <w:sz w:val="20"/>
          <w:szCs w:val="20"/>
          <w:shd w:val="clear" w:color="auto" w:fill="FFFFFF"/>
          <w:lang w:val="en-GB" w:eastAsia="en-GB"/>
        </w:rPr>
        <w:t>. [online] Pharmaphorum.com. Available at: &lt;https://pharmaphorum.com/views-analysis-sales-marketing/a_history_of-_astrazeneca/&gt; [Accessed 29 November 2021].</w:t>
      </w:r>
      <w:r w:rsidR="002B360F">
        <w:rPr>
          <w:rFonts w:ascii="Open Sans" w:eastAsia="Times New Roman" w:hAnsi="Open Sans" w:cs="Open Sans"/>
          <w:color w:val="000000"/>
          <w:sz w:val="20"/>
          <w:szCs w:val="20"/>
          <w:shd w:val="clear" w:color="auto" w:fill="FFFFFF"/>
          <w:lang w:val="en-GB" w:eastAsia="en-GB"/>
        </w:rPr>
        <w:t xml:space="preserve"> </w:t>
      </w:r>
    </w:p>
    <w:p w14:paraId="744E85D0" w14:textId="77777777" w:rsidR="002B360F" w:rsidRPr="0057473B" w:rsidRDefault="002B360F" w:rsidP="0057473B">
      <w:pPr>
        <w:spacing w:after="0" w:line="240" w:lineRule="auto"/>
        <w:divId w:val="1604023922"/>
        <w:rPr>
          <w:rFonts w:ascii="Times New Roman" w:eastAsia="Times New Roman" w:hAnsi="Times New Roman" w:cs="Times New Roman"/>
          <w:color w:val="auto"/>
          <w:sz w:val="24"/>
          <w:szCs w:val="24"/>
          <w:lang w:val="en-GB" w:eastAsia="en-GB"/>
        </w:rPr>
      </w:pPr>
    </w:p>
    <w:p w14:paraId="7742C887" w14:textId="66DC6086" w:rsidR="008B0D68" w:rsidRDefault="008B0D68" w:rsidP="008B0D68">
      <w:pPr>
        <w:spacing w:after="0" w:line="240" w:lineRule="auto"/>
        <w:divId w:val="1675836867"/>
        <w:rPr>
          <w:rFonts w:ascii="Open Sans" w:eastAsia="Times New Roman" w:hAnsi="Open Sans" w:cs="Open Sans"/>
          <w:color w:val="000000"/>
          <w:sz w:val="20"/>
          <w:szCs w:val="20"/>
          <w:shd w:val="clear" w:color="auto" w:fill="FFFFFF"/>
          <w:lang w:val="en-GB" w:eastAsia="en-GB"/>
        </w:rPr>
      </w:pPr>
      <w:r w:rsidRPr="008B0D68">
        <w:rPr>
          <w:rFonts w:ascii="Open Sans" w:eastAsia="Times New Roman" w:hAnsi="Open Sans" w:cs="Open Sans"/>
          <w:color w:val="000000"/>
          <w:sz w:val="20"/>
          <w:szCs w:val="20"/>
          <w:shd w:val="clear" w:color="auto" w:fill="FFFFFF"/>
          <w:lang w:val="en-GB" w:eastAsia="en-GB"/>
        </w:rPr>
        <w:t xml:space="preserve">(AstraZeneca: Transforming the Digital Supply Chain with </w:t>
      </w:r>
      <w:proofErr w:type="spellStart"/>
      <w:r w:rsidRPr="008B0D68">
        <w:rPr>
          <w:rFonts w:ascii="Open Sans" w:eastAsia="Times New Roman" w:hAnsi="Open Sans" w:cs="Open Sans"/>
          <w:color w:val="000000"/>
          <w:sz w:val="20"/>
          <w:szCs w:val="20"/>
          <w:shd w:val="clear" w:color="auto" w:fill="FFFFFF"/>
          <w:lang w:val="en-GB" w:eastAsia="en-GB"/>
        </w:rPr>
        <w:t>Veeva</w:t>
      </w:r>
      <w:proofErr w:type="spellEnd"/>
      <w:r w:rsidRPr="008B0D68">
        <w:rPr>
          <w:rFonts w:ascii="Open Sans" w:eastAsia="Times New Roman" w:hAnsi="Open Sans" w:cs="Open Sans"/>
          <w:color w:val="000000"/>
          <w:sz w:val="20"/>
          <w:szCs w:val="20"/>
          <w:shd w:val="clear" w:color="auto" w:fill="FFFFFF"/>
          <w:lang w:val="en-GB" w:eastAsia="en-GB"/>
        </w:rPr>
        <w:t xml:space="preserve"> | </w:t>
      </w:r>
      <w:proofErr w:type="spellStart"/>
      <w:r w:rsidRPr="008B0D68">
        <w:rPr>
          <w:rFonts w:ascii="Open Sans" w:eastAsia="Times New Roman" w:hAnsi="Open Sans" w:cs="Open Sans"/>
          <w:color w:val="000000"/>
          <w:sz w:val="20"/>
          <w:szCs w:val="20"/>
          <w:shd w:val="clear" w:color="auto" w:fill="FFFFFF"/>
          <w:lang w:val="en-GB" w:eastAsia="en-GB"/>
        </w:rPr>
        <w:t>Veeva</w:t>
      </w:r>
      <w:proofErr w:type="spellEnd"/>
      <w:r w:rsidRPr="008B0D68">
        <w:rPr>
          <w:rFonts w:ascii="Open Sans" w:eastAsia="Times New Roman" w:hAnsi="Open Sans" w:cs="Open Sans"/>
          <w:color w:val="000000"/>
          <w:sz w:val="20"/>
          <w:szCs w:val="20"/>
          <w:shd w:val="clear" w:color="auto" w:fill="FFFFFF"/>
          <w:lang w:val="en-GB" w:eastAsia="en-GB"/>
        </w:rPr>
        <w:t xml:space="preserve"> Systems EU, 2021)</w:t>
      </w:r>
      <w:r w:rsidR="001864B9">
        <w:rPr>
          <w:rFonts w:ascii="Open Sans" w:eastAsia="Times New Roman" w:hAnsi="Open Sans" w:cs="Open Sans"/>
          <w:color w:val="000000"/>
          <w:sz w:val="20"/>
          <w:szCs w:val="20"/>
          <w:shd w:val="clear" w:color="auto" w:fill="FFFFFF"/>
          <w:lang w:val="en-GB" w:eastAsia="en-GB"/>
        </w:rPr>
        <w:t xml:space="preserve"> </w:t>
      </w:r>
    </w:p>
    <w:p w14:paraId="649F0AA4" w14:textId="30EBAF64" w:rsidR="00AB24BE" w:rsidRDefault="00AB24BE" w:rsidP="00AB24BE">
      <w:pPr>
        <w:spacing w:after="0" w:line="240" w:lineRule="auto"/>
        <w:divId w:val="1318413150"/>
        <w:rPr>
          <w:rFonts w:ascii="Open Sans" w:eastAsia="Times New Roman" w:hAnsi="Open Sans" w:cs="Open Sans"/>
          <w:color w:val="000000"/>
          <w:sz w:val="20"/>
          <w:szCs w:val="20"/>
          <w:shd w:val="clear" w:color="auto" w:fill="FFFFFF"/>
          <w:lang w:val="en-GB" w:eastAsia="en-GB"/>
        </w:rPr>
      </w:pPr>
      <w:r w:rsidRPr="00AB24BE">
        <w:rPr>
          <w:rFonts w:ascii="Open Sans" w:eastAsia="Times New Roman" w:hAnsi="Open Sans" w:cs="Open Sans"/>
          <w:color w:val="000000"/>
          <w:sz w:val="20"/>
          <w:szCs w:val="20"/>
          <w:shd w:val="clear" w:color="auto" w:fill="FFFFFF"/>
          <w:lang w:val="en-GB" w:eastAsia="en-GB"/>
        </w:rPr>
        <w:t>App.numerable.io. 2021. </w:t>
      </w:r>
      <w:r w:rsidRPr="00AB24BE">
        <w:rPr>
          <w:rFonts w:ascii="Open Sans" w:eastAsia="Times New Roman" w:hAnsi="Open Sans" w:cs="Open Sans"/>
          <w:i/>
          <w:iCs/>
          <w:color w:val="000000"/>
          <w:sz w:val="20"/>
          <w:szCs w:val="20"/>
          <w:lang w:val="en-GB" w:eastAsia="en-GB"/>
        </w:rPr>
        <w:t>Numerable</w:t>
      </w:r>
      <w:r w:rsidRPr="00AB24BE">
        <w:rPr>
          <w:rFonts w:ascii="Open Sans" w:eastAsia="Times New Roman" w:hAnsi="Open Sans" w:cs="Open Sans"/>
          <w:color w:val="000000"/>
          <w:sz w:val="20"/>
          <w:szCs w:val="20"/>
          <w:shd w:val="clear" w:color="auto" w:fill="FFFFFF"/>
          <w:lang w:val="en-GB" w:eastAsia="en-GB"/>
        </w:rPr>
        <w:t>. [online] Available at: &lt;https://app.numerable.io/lse/?gclid=Cj0KCQiA-eeMBhCpARIsAAZfxZAQQMUbEY3ZiX4EyFrrCjLj1793irDPas0i2d7DILxcZIVCYP7QbhwaAmSTEALw_wcB&gt; [Accessed 29 November 2021].</w:t>
      </w:r>
      <w:r w:rsidR="006452CC">
        <w:rPr>
          <w:rFonts w:ascii="Open Sans" w:eastAsia="Times New Roman" w:hAnsi="Open Sans" w:cs="Open Sans"/>
          <w:color w:val="000000"/>
          <w:sz w:val="20"/>
          <w:szCs w:val="20"/>
          <w:shd w:val="clear" w:color="auto" w:fill="FFFFFF"/>
          <w:lang w:val="en-GB" w:eastAsia="en-GB"/>
        </w:rPr>
        <w:t xml:space="preserve"> </w:t>
      </w:r>
    </w:p>
    <w:p w14:paraId="0E706AB9" w14:textId="77777777" w:rsidR="003E7C52" w:rsidRDefault="003E7C52" w:rsidP="00AB24BE">
      <w:pPr>
        <w:spacing w:after="0" w:line="240" w:lineRule="auto"/>
        <w:divId w:val="1318413150"/>
        <w:rPr>
          <w:rFonts w:ascii="Open Sans" w:eastAsia="Times New Roman" w:hAnsi="Open Sans" w:cs="Open Sans"/>
          <w:color w:val="000000"/>
          <w:sz w:val="20"/>
          <w:szCs w:val="20"/>
          <w:shd w:val="clear" w:color="auto" w:fill="FFFFFF"/>
          <w:lang w:val="en-GB" w:eastAsia="en-GB"/>
        </w:rPr>
      </w:pPr>
    </w:p>
    <w:p w14:paraId="14ECABAC" w14:textId="77777777" w:rsidR="00271BBD" w:rsidRPr="00271BBD" w:rsidRDefault="00271BBD" w:rsidP="00271BBD">
      <w:pPr>
        <w:spacing w:after="0" w:line="240" w:lineRule="auto"/>
        <w:divId w:val="1295597624"/>
        <w:rPr>
          <w:rFonts w:ascii="Times New Roman" w:eastAsia="Times New Roman" w:hAnsi="Times New Roman" w:cs="Times New Roman"/>
          <w:color w:val="auto"/>
          <w:sz w:val="24"/>
          <w:szCs w:val="24"/>
          <w:lang w:val="en-GB" w:eastAsia="en-GB"/>
        </w:rPr>
      </w:pPr>
      <w:r w:rsidRPr="00271BBD">
        <w:rPr>
          <w:rFonts w:ascii="Arial" w:eastAsia="Times New Roman" w:hAnsi="Arial" w:cs="Arial"/>
          <w:color w:val="222222"/>
          <w:sz w:val="20"/>
          <w:szCs w:val="20"/>
          <w:shd w:val="clear" w:color="auto" w:fill="FFFFFF"/>
          <w:lang w:val="en-GB" w:eastAsia="en-GB"/>
        </w:rPr>
        <w:t>Analytics, F.E. and Portal, C., AstraZeneca PLC (AZN). </w:t>
      </w:r>
      <w:r w:rsidRPr="00271BBD">
        <w:rPr>
          <w:rFonts w:ascii="Arial" w:eastAsia="Times New Roman" w:hAnsi="Arial" w:cs="Arial"/>
          <w:i/>
          <w:iCs/>
          <w:color w:val="222222"/>
          <w:sz w:val="20"/>
          <w:szCs w:val="20"/>
          <w:lang w:val="en-GB" w:eastAsia="en-GB"/>
        </w:rPr>
        <w:t>Survival</w:t>
      </w:r>
      <w:r w:rsidRPr="00271BBD">
        <w:rPr>
          <w:rFonts w:ascii="Arial" w:eastAsia="Times New Roman" w:hAnsi="Arial" w:cs="Arial"/>
          <w:color w:val="222222"/>
          <w:sz w:val="20"/>
          <w:szCs w:val="20"/>
          <w:shd w:val="clear" w:color="auto" w:fill="FFFFFF"/>
          <w:lang w:val="en-GB" w:eastAsia="en-GB"/>
        </w:rPr>
        <w:t>, </w:t>
      </w:r>
      <w:r w:rsidRPr="00271BBD">
        <w:rPr>
          <w:rFonts w:ascii="Arial" w:eastAsia="Times New Roman" w:hAnsi="Arial" w:cs="Arial"/>
          <w:i/>
          <w:iCs/>
          <w:color w:val="222222"/>
          <w:sz w:val="20"/>
          <w:szCs w:val="20"/>
          <w:lang w:val="en-GB" w:eastAsia="en-GB"/>
        </w:rPr>
        <w:t>31</w:t>
      </w:r>
      <w:r w:rsidRPr="00271BBD">
        <w:rPr>
          <w:rFonts w:ascii="Arial" w:eastAsia="Times New Roman" w:hAnsi="Arial" w:cs="Arial"/>
          <w:color w:val="222222"/>
          <w:sz w:val="20"/>
          <w:szCs w:val="20"/>
          <w:shd w:val="clear" w:color="auto" w:fill="FFFFFF"/>
          <w:lang w:val="en-GB" w:eastAsia="en-GB"/>
        </w:rPr>
        <w:t>, pp.26-6.</w:t>
      </w:r>
    </w:p>
    <w:p w14:paraId="1BD5F052" w14:textId="77777777" w:rsidR="003E7C52" w:rsidRPr="00AB24BE" w:rsidRDefault="003E7C52" w:rsidP="00134A93">
      <w:pPr>
        <w:spacing w:after="0" w:line="240" w:lineRule="auto"/>
        <w:rPr>
          <w:rFonts w:ascii="Times New Roman" w:eastAsia="Times New Roman" w:hAnsi="Times New Roman" w:cs="Times New Roman"/>
          <w:color w:val="auto"/>
          <w:sz w:val="24"/>
          <w:szCs w:val="24"/>
          <w:lang w:val="en-GB" w:eastAsia="en-GB"/>
        </w:rPr>
      </w:pPr>
    </w:p>
    <w:p w14:paraId="79713042" w14:textId="77777777" w:rsidR="003E7C52" w:rsidRDefault="003E7C52" w:rsidP="00134A93">
      <w:pPr>
        <w:spacing w:after="0" w:line="240" w:lineRule="auto"/>
        <w:rPr>
          <w:rFonts w:ascii="Arial" w:eastAsia="Times New Roman" w:hAnsi="Arial" w:cs="Arial"/>
          <w:color w:val="222222"/>
          <w:sz w:val="20"/>
          <w:szCs w:val="20"/>
          <w:shd w:val="clear" w:color="auto" w:fill="FFFFFF"/>
          <w:lang w:val="en-GB" w:eastAsia="en-GB"/>
        </w:rPr>
      </w:pPr>
      <w:r w:rsidRPr="00E562C3">
        <w:rPr>
          <w:rFonts w:ascii="Arial" w:eastAsia="Times New Roman" w:hAnsi="Arial" w:cs="Arial"/>
          <w:color w:val="222222"/>
          <w:sz w:val="20"/>
          <w:szCs w:val="20"/>
          <w:shd w:val="clear" w:color="auto" w:fill="FFFFFF"/>
          <w:lang w:val="en-GB" w:eastAsia="en-GB"/>
        </w:rPr>
        <w:t xml:space="preserve">Birmingham, K., </w:t>
      </w:r>
      <w:proofErr w:type="spellStart"/>
      <w:r w:rsidRPr="00E562C3">
        <w:rPr>
          <w:rFonts w:ascii="Arial" w:eastAsia="Times New Roman" w:hAnsi="Arial" w:cs="Arial"/>
          <w:color w:val="222222"/>
          <w:sz w:val="20"/>
          <w:szCs w:val="20"/>
          <w:shd w:val="clear" w:color="auto" w:fill="FFFFFF"/>
          <w:lang w:val="en-GB" w:eastAsia="en-GB"/>
        </w:rPr>
        <w:t>Skelding</w:t>
      </w:r>
      <w:proofErr w:type="spellEnd"/>
      <w:r w:rsidRPr="00E562C3">
        <w:rPr>
          <w:rFonts w:ascii="Arial" w:eastAsia="Times New Roman" w:hAnsi="Arial" w:cs="Arial"/>
          <w:color w:val="222222"/>
          <w:sz w:val="20"/>
          <w:szCs w:val="20"/>
          <w:shd w:val="clear" w:color="auto" w:fill="FFFFFF"/>
          <w:lang w:val="en-GB" w:eastAsia="en-GB"/>
        </w:rPr>
        <w:t xml:space="preserve">, R., Kent, M., </w:t>
      </w:r>
      <w:proofErr w:type="spellStart"/>
      <w:r w:rsidRPr="00E562C3">
        <w:rPr>
          <w:rFonts w:ascii="Arial" w:eastAsia="Times New Roman" w:hAnsi="Arial" w:cs="Arial"/>
          <w:color w:val="222222"/>
          <w:sz w:val="20"/>
          <w:szCs w:val="20"/>
          <w:shd w:val="clear" w:color="auto" w:fill="FFFFFF"/>
          <w:lang w:val="en-GB" w:eastAsia="en-GB"/>
        </w:rPr>
        <w:t>Viña</w:t>
      </w:r>
      <w:proofErr w:type="spellEnd"/>
      <w:r w:rsidRPr="00E562C3">
        <w:rPr>
          <w:rFonts w:ascii="Arial" w:eastAsia="Times New Roman" w:hAnsi="Arial" w:cs="Arial"/>
          <w:color w:val="222222"/>
          <w:sz w:val="20"/>
          <w:szCs w:val="20"/>
          <w:shd w:val="clear" w:color="auto" w:fill="FFFFFF"/>
          <w:lang w:val="en-GB" w:eastAsia="en-GB"/>
        </w:rPr>
        <w:t xml:space="preserve">, G., Lund, J., </w:t>
      </w:r>
      <w:proofErr w:type="spellStart"/>
      <w:r w:rsidRPr="00E562C3">
        <w:rPr>
          <w:rFonts w:ascii="Arial" w:eastAsia="Times New Roman" w:hAnsi="Arial" w:cs="Arial"/>
          <w:color w:val="222222"/>
          <w:sz w:val="20"/>
          <w:szCs w:val="20"/>
          <w:shd w:val="clear" w:color="auto" w:fill="FFFFFF"/>
          <w:lang w:val="en-GB" w:eastAsia="en-GB"/>
        </w:rPr>
        <w:t>Meixell</w:t>
      </w:r>
      <w:proofErr w:type="spellEnd"/>
      <w:r w:rsidRPr="00E562C3">
        <w:rPr>
          <w:rFonts w:ascii="Arial" w:eastAsia="Times New Roman" w:hAnsi="Arial" w:cs="Arial"/>
          <w:color w:val="222222"/>
          <w:sz w:val="20"/>
          <w:szCs w:val="20"/>
          <w:shd w:val="clear" w:color="auto" w:fill="FFFFFF"/>
          <w:lang w:val="en-GB" w:eastAsia="en-GB"/>
        </w:rPr>
        <w:t xml:space="preserve">, M., Larsen, T.K., </w:t>
      </w:r>
      <w:proofErr w:type="spellStart"/>
      <w:r w:rsidRPr="00E562C3">
        <w:rPr>
          <w:rFonts w:ascii="Arial" w:eastAsia="Times New Roman" w:hAnsi="Arial" w:cs="Arial"/>
          <w:color w:val="222222"/>
          <w:sz w:val="20"/>
          <w:szCs w:val="20"/>
          <w:shd w:val="clear" w:color="auto" w:fill="FFFFFF"/>
          <w:lang w:val="en-GB" w:eastAsia="en-GB"/>
        </w:rPr>
        <w:t>Afolabi</w:t>
      </w:r>
      <w:proofErr w:type="spellEnd"/>
      <w:r w:rsidRPr="00E562C3">
        <w:rPr>
          <w:rFonts w:ascii="Arial" w:eastAsia="Times New Roman" w:hAnsi="Arial" w:cs="Arial"/>
          <w:color w:val="222222"/>
          <w:sz w:val="20"/>
          <w:szCs w:val="20"/>
          <w:shd w:val="clear" w:color="auto" w:fill="FFFFFF"/>
          <w:lang w:val="en-GB" w:eastAsia="en-GB"/>
        </w:rPr>
        <w:t>, J., Marks, C., Wheeler, H. and Chan, M., 2018. AstraZeneca PLC (AZN). </w:t>
      </w:r>
      <w:r w:rsidRPr="00E562C3">
        <w:rPr>
          <w:rFonts w:ascii="Arial" w:eastAsia="Times New Roman" w:hAnsi="Arial" w:cs="Arial"/>
          <w:i/>
          <w:iCs/>
          <w:color w:val="222222"/>
          <w:sz w:val="20"/>
          <w:szCs w:val="20"/>
          <w:lang w:val="en-GB" w:eastAsia="en-GB"/>
        </w:rPr>
        <w:t>Update</w:t>
      </w:r>
      <w:r w:rsidRPr="00E562C3">
        <w:rPr>
          <w:rFonts w:ascii="Arial" w:eastAsia="Times New Roman" w:hAnsi="Arial" w:cs="Arial"/>
          <w:color w:val="222222"/>
          <w:sz w:val="20"/>
          <w:szCs w:val="20"/>
          <w:shd w:val="clear" w:color="auto" w:fill="FFFFFF"/>
          <w:lang w:val="en-GB" w:eastAsia="en-GB"/>
        </w:rPr>
        <w:t>, </w:t>
      </w:r>
      <w:r w:rsidRPr="00E562C3">
        <w:rPr>
          <w:rFonts w:ascii="Arial" w:eastAsia="Times New Roman" w:hAnsi="Arial" w:cs="Arial"/>
          <w:i/>
          <w:iCs/>
          <w:color w:val="222222"/>
          <w:sz w:val="20"/>
          <w:szCs w:val="20"/>
          <w:lang w:val="en-GB" w:eastAsia="en-GB"/>
        </w:rPr>
        <w:t>7</w:t>
      </w:r>
      <w:r w:rsidRPr="00E562C3">
        <w:rPr>
          <w:rFonts w:ascii="Arial" w:eastAsia="Times New Roman" w:hAnsi="Arial" w:cs="Arial"/>
          <w:color w:val="222222"/>
          <w:sz w:val="20"/>
          <w:szCs w:val="20"/>
          <w:shd w:val="clear" w:color="auto" w:fill="FFFFFF"/>
          <w:lang w:val="en-GB" w:eastAsia="en-GB"/>
        </w:rPr>
        <w:t>, p.00.</w:t>
      </w:r>
    </w:p>
    <w:p w14:paraId="06555635" w14:textId="77777777" w:rsidR="003E7C52" w:rsidRPr="00E562C3" w:rsidRDefault="003E7C52" w:rsidP="00134A93">
      <w:pPr>
        <w:spacing w:after="0" w:line="240" w:lineRule="auto"/>
        <w:rPr>
          <w:rFonts w:ascii="Times New Roman" w:eastAsia="Times New Roman" w:hAnsi="Times New Roman" w:cs="Times New Roman"/>
          <w:color w:val="auto"/>
          <w:sz w:val="24"/>
          <w:szCs w:val="24"/>
          <w:lang w:val="en-GB" w:eastAsia="en-GB"/>
        </w:rPr>
      </w:pPr>
    </w:p>
    <w:p w14:paraId="5998B496" w14:textId="77777777" w:rsidR="003E7C52" w:rsidRDefault="003E7C52" w:rsidP="00134A93">
      <w:pPr>
        <w:spacing w:after="0" w:line="240" w:lineRule="auto"/>
        <w:rPr>
          <w:rFonts w:ascii="Open Sans" w:eastAsia="Times New Roman" w:hAnsi="Open Sans" w:cs="Open Sans"/>
          <w:color w:val="000000"/>
          <w:sz w:val="20"/>
          <w:szCs w:val="20"/>
          <w:shd w:val="clear" w:color="auto" w:fill="FFFFFF"/>
          <w:lang w:val="en-GB" w:eastAsia="en-GB"/>
        </w:rPr>
      </w:pPr>
      <w:proofErr w:type="spellStart"/>
      <w:r w:rsidRPr="00A0013B">
        <w:rPr>
          <w:rFonts w:ascii="Open Sans" w:eastAsia="Times New Roman" w:hAnsi="Open Sans" w:cs="Open Sans"/>
          <w:color w:val="000000"/>
          <w:sz w:val="20"/>
          <w:szCs w:val="20"/>
          <w:shd w:val="clear" w:color="auto" w:fill="FFFFFF"/>
          <w:lang w:val="en-GB" w:eastAsia="en-GB"/>
        </w:rPr>
        <w:t>Investopedia</w:t>
      </w:r>
      <w:proofErr w:type="spellEnd"/>
      <w:r w:rsidRPr="00A0013B">
        <w:rPr>
          <w:rFonts w:ascii="Open Sans" w:eastAsia="Times New Roman" w:hAnsi="Open Sans" w:cs="Open Sans"/>
          <w:color w:val="000000"/>
          <w:sz w:val="20"/>
          <w:szCs w:val="20"/>
          <w:shd w:val="clear" w:color="auto" w:fill="FFFFFF"/>
          <w:lang w:val="en-GB" w:eastAsia="en-GB"/>
        </w:rPr>
        <w:t>. 2021. </w:t>
      </w:r>
      <w:r w:rsidRPr="00A0013B">
        <w:rPr>
          <w:rFonts w:ascii="Open Sans" w:eastAsia="Times New Roman" w:hAnsi="Open Sans" w:cs="Open Sans"/>
          <w:i/>
          <w:iCs/>
          <w:color w:val="000000"/>
          <w:sz w:val="20"/>
          <w:szCs w:val="20"/>
          <w:lang w:val="en-GB" w:eastAsia="en-GB"/>
        </w:rPr>
        <w:t>Economics</w:t>
      </w:r>
      <w:r w:rsidRPr="00A0013B">
        <w:rPr>
          <w:rFonts w:ascii="Open Sans" w:eastAsia="Times New Roman" w:hAnsi="Open Sans" w:cs="Open Sans"/>
          <w:color w:val="000000"/>
          <w:sz w:val="20"/>
          <w:szCs w:val="20"/>
          <w:shd w:val="clear" w:color="auto" w:fill="FFFFFF"/>
          <w:lang w:val="en-GB" w:eastAsia="en-GB"/>
        </w:rPr>
        <w:t>. [online] Available at: &lt;https://www.investopedia.com/terms/e/economics.asp&gt; [Accessed 29 November 2021].</w:t>
      </w:r>
    </w:p>
    <w:p w14:paraId="5254C00C" w14:textId="77777777" w:rsidR="003E7C52" w:rsidRPr="00A0013B" w:rsidRDefault="003E7C52" w:rsidP="00134A93">
      <w:pPr>
        <w:spacing w:after="0" w:line="240" w:lineRule="auto"/>
        <w:rPr>
          <w:rFonts w:ascii="Times New Roman" w:eastAsia="Times New Roman" w:hAnsi="Times New Roman" w:cs="Times New Roman"/>
          <w:color w:val="auto"/>
          <w:sz w:val="24"/>
          <w:szCs w:val="24"/>
          <w:lang w:val="en-GB" w:eastAsia="en-GB"/>
        </w:rPr>
      </w:pPr>
    </w:p>
    <w:p w14:paraId="5070FC96" w14:textId="77777777" w:rsidR="001864B9" w:rsidRDefault="001864B9" w:rsidP="00134A93">
      <w:pPr>
        <w:spacing w:after="0" w:line="240" w:lineRule="auto"/>
        <w:rPr>
          <w:rFonts w:ascii="Open Sans" w:eastAsia="Times New Roman" w:hAnsi="Open Sans" w:cs="Open Sans"/>
          <w:color w:val="000000"/>
          <w:sz w:val="20"/>
          <w:szCs w:val="20"/>
          <w:shd w:val="clear" w:color="auto" w:fill="FFFFFF"/>
          <w:lang w:val="en-GB" w:eastAsia="en-GB"/>
        </w:rPr>
      </w:pPr>
      <w:r w:rsidRPr="00222C6C">
        <w:rPr>
          <w:rFonts w:ascii="Open Sans" w:eastAsia="Times New Roman" w:hAnsi="Open Sans" w:cs="Open Sans"/>
          <w:color w:val="000000"/>
          <w:sz w:val="20"/>
          <w:szCs w:val="20"/>
          <w:shd w:val="clear" w:color="auto" w:fill="FFFFFF"/>
          <w:lang w:val="en-GB" w:eastAsia="en-GB"/>
        </w:rPr>
        <w:t>Llamas, M., 2021. </w:t>
      </w:r>
      <w:r w:rsidRPr="00222C6C">
        <w:rPr>
          <w:rFonts w:ascii="Open Sans" w:eastAsia="Times New Roman" w:hAnsi="Open Sans" w:cs="Open Sans"/>
          <w:i/>
          <w:iCs/>
          <w:color w:val="000000"/>
          <w:sz w:val="20"/>
          <w:szCs w:val="20"/>
          <w:lang w:val="en-GB" w:eastAsia="en-GB"/>
        </w:rPr>
        <w:t>AstraZeneca - Review of Drug Manufacturer</w:t>
      </w:r>
      <w:r w:rsidRPr="00222C6C">
        <w:rPr>
          <w:rFonts w:ascii="Open Sans" w:eastAsia="Times New Roman" w:hAnsi="Open Sans" w:cs="Open Sans"/>
          <w:color w:val="000000"/>
          <w:sz w:val="20"/>
          <w:szCs w:val="20"/>
          <w:shd w:val="clear" w:color="auto" w:fill="FFFFFF"/>
          <w:lang w:val="en-GB" w:eastAsia="en-GB"/>
        </w:rPr>
        <w:t>. [online] Drugwatch.com. Available at: &lt;https://www.drugwatch.com/manufacturers/astrazeneca/&gt; [Accessed 29 November 2021</w:t>
      </w:r>
    </w:p>
    <w:p w14:paraId="1996E62E" w14:textId="77777777" w:rsidR="001864B9" w:rsidRPr="00222C6C" w:rsidRDefault="001864B9" w:rsidP="00134A93">
      <w:pPr>
        <w:spacing w:after="0" w:line="240" w:lineRule="auto"/>
        <w:rPr>
          <w:rFonts w:ascii="Times New Roman" w:eastAsia="Times New Roman" w:hAnsi="Times New Roman" w:cs="Times New Roman"/>
          <w:color w:val="auto"/>
          <w:sz w:val="24"/>
          <w:szCs w:val="24"/>
          <w:lang w:val="en-GB" w:eastAsia="en-GB"/>
        </w:rPr>
      </w:pPr>
      <w:r>
        <w:rPr>
          <w:rFonts w:ascii="Open Sans" w:eastAsia="Times New Roman" w:hAnsi="Open Sans" w:cs="Open Sans"/>
          <w:color w:val="000000"/>
          <w:sz w:val="20"/>
          <w:szCs w:val="20"/>
          <w:shd w:val="clear" w:color="auto" w:fill="FFFFFF"/>
          <w:lang w:val="en-GB" w:eastAsia="en-GB"/>
        </w:rPr>
        <w:t xml:space="preserve"> </w:t>
      </w:r>
    </w:p>
    <w:p w14:paraId="682F6A7B" w14:textId="77777777" w:rsidR="001864B9" w:rsidRPr="008B0D68" w:rsidRDefault="001864B9" w:rsidP="00134A93">
      <w:pPr>
        <w:spacing w:after="0" w:line="240" w:lineRule="auto"/>
        <w:rPr>
          <w:rFonts w:ascii="Times New Roman" w:eastAsia="Times New Roman" w:hAnsi="Times New Roman" w:cs="Times New Roman"/>
          <w:color w:val="auto"/>
          <w:sz w:val="24"/>
          <w:szCs w:val="24"/>
          <w:lang w:val="en-GB" w:eastAsia="en-GB"/>
        </w:rPr>
      </w:pPr>
    </w:p>
    <w:p w14:paraId="7E14E305" w14:textId="77777777" w:rsidR="001864B9" w:rsidRDefault="001864B9" w:rsidP="00134A93">
      <w:pPr>
        <w:spacing w:after="0" w:line="240" w:lineRule="auto"/>
        <w:rPr>
          <w:rFonts w:ascii="Open Sans" w:eastAsia="Times New Roman" w:hAnsi="Open Sans" w:cs="Open Sans"/>
          <w:color w:val="000000"/>
          <w:sz w:val="20"/>
          <w:szCs w:val="20"/>
          <w:shd w:val="clear" w:color="auto" w:fill="FFFFFF"/>
          <w:lang w:val="en-GB" w:eastAsia="en-GB"/>
        </w:rPr>
      </w:pPr>
      <w:proofErr w:type="spellStart"/>
      <w:r w:rsidRPr="007B6C7E">
        <w:rPr>
          <w:rFonts w:ascii="Open Sans" w:eastAsia="Times New Roman" w:hAnsi="Open Sans" w:cs="Open Sans"/>
          <w:color w:val="000000"/>
          <w:sz w:val="20"/>
          <w:szCs w:val="20"/>
          <w:shd w:val="clear" w:color="auto" w:fill="FFFFFF"/>
          <w:lang w:val="en-GB" w:eastAsia="en-GB"/>
        </w:rPr>
        <w:t>Stoyanov</w:t>
      </w:r>
      <w:proofErr w:type="spellEnd"/>
      <w:r w:rsidRPr="007B6C7E">
        <w:rPr>
          <w:rFonts w:ascii="Open Sans" w:eastAsia="Times New Roman" w:hAnsi="Open Sans" w:cs="Open Sans"/>
          <w:color w:val="000000"/>
          <w:sz w:val="20"/>
          <w:szCs w:val="20"/>
          <w:shd w:val="clear" w:color="auto" w:fill="FFFFFF"/>
          <w:lang w:val="en-GB" w:eastAsia="en-GB"/>
        </w:rPr>
        <w:t>, C., 2021. [online] Available at: &lt;https://www.google.com/amp/s/seekingalpha.com/amp/article/4260634-astrazeneca-let-buyer-beware&gt; [Accessed 29 November 2021].</w:t>
      </w:r>
    </w:p>
    <w:p w14:paraId="02563E11" w14:textId="77777777" w:rsidR="001864B9" w:rsidRPr="007B6C7E" w:rsidRDefault="001864B9" w:rsidP="00134A93">
      <w:pPr>
        <w:spacing w:after="0" w:line="240" w:lineRule="auto"/>
        <w:rPr>
          <w:rFonts w:ascii="Times New Roman" w:eastAsia="Times New Roman" w:hAnsi="Times New Roman" w:cs="Times New Roman"/>
          <w:color w:val="auto"/>
          <w:sz w:val="24"/>
          <w:szCs w:val="24"/>
          <w:lang w:val="en-GB" w:eastAsia="en-GB"/>
        </w:rPr>
      </w:pPr>
    </w:p>
    <w:p w14:paraId="635A2D2C" w14:textId="7CCAE73D" w:rsidR="00B55508" w:rsidRPr="00E92296" w:rsidRDefault="00B55508" w:rsidP="00B55508">
      <w:pPr>
        <w:pStyle w:val="Heading1"/>
        <w:rPr>
          <w:lang w:val="en-GB"/>
        </w:rPr>
      </w:pPr>
    </w:p>
    <w:sectPr w:rsidR="00B55508" w:rsidRPr="00E92296" w:rsidSect="009D1144">
      <w:footerReference w:type="default" r:id="rId23"/>
      <w:pgSz w:w="11906" w:h="16838" w:code="9"/>
      <w:pgMar w:top="1440" w:right="1440" w:bottom="1800" w:left="1440" w:header="720" w:footer="10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BD851" w14:textId="77777777" w:rsidR="00097D9A" w:rsidRDefault="00097D9A">
      <w:pPr>
        <w:spacing w:after="0" w:line="240" w:lineRule="auto"/>
      </w:pPr>
      <w:r>
        <w:separator/>
      </w:r>
    </w:p>
  </w:endnote>
  <w:endnote w:type="continuationSeparator" w:id="0">
    <w:p w14:paraId="7A40D538" w14:textId="77777777" w:rsidR="00097D9A" w:rsidRDefault="00097D9A">
      <w:pPr>
        <w:spacing w:after="0" w:line="240" w:lineRule="auto"/>
      </w:pPr>
      <w:r>
        <w:continuationSeparator/>
      </w:r>
    </w:p>
  </w:endnote>
  <w:endnote w:type="continuationNotice" w:id="1">
    <w:p w14:paraId="62D36A05" w14:textId="77777777" w:rsidR="00097D9A" w:rsidRDefault="00097D9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FZYaoTi">
    <w:altName w:val="方正姚体"/>
    <w:panose1 w:val="020B0604020202020204"/>
    <w:charset w:val="86"/>
    <w:family w:val="auto"/>
    <w:pitch w:val="variable"/>
    <w:sig w:usb0="00000003" w:usb1="080E0000" w:usb2="00000010" w:usb3="00000000" w:csb0="00040000" w:csb1="00000000"/>
  </w:font>
  <w:font w:name="STXinwei">
    <w:panose1 w:val="02010800040101010101"/>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10488" w14:textId="77777777" w:rsidR="0019694C" w:rsidRPr="00EF0A14" w:rsidRDefault="0066073E">
    <w:pPr>
      <w:pStyle w:val="Footer"/>
      <w:rPr>
        <w:lang w:val="en-GB"/>
      </w:rPr>
    </w:pPr>
    <w:r w:rsidRPr="00EF0A14">
      <w:rPr>
        <w:lang w:val="en-GB" w:bidi="en-US"/>
      </w:rPr>
      <w:t xml:space="preserve">Page </w:t>
    </w:r>
    <w:r w:rsidRPr="00EF0A14">
      <w:rPr>
        <w:lang w:val="en-GB" w:bidi="en-US"/>
      </w:rPr>
      <w:fldChar w:fldCharType="begin"/>
    </w:r>
    <w:r w:rsidRPr="00EF0A14">
      <w:rPr>
        <w:lang w:val="en-GB" w:bidi="en-US"/>
      </w:rPr>
      <w:instrText xml:space="preserve"> PAGE   \* MERGEFORMAT </w:instrText>
    </w:r>
    <w:r w:rsidRPr="00EF0A14">
      <w:rPr>
        <w:lang w:val="en-GB" w:bidi="en-US"/>
      </w:rPr>
      <w:fldChar w:fldCharType="separate"/>
    </w:r>
    <w:r w:rsidR="003263E5" w:rsidRPr="00EF0A14">
      <w:rPr>
        <w:noProof/>
        <w:lang w:val="en-GB" w:bidi="en-US"/>
      </w:rPr>
      <w:t>1</w:t>
    </w:r>
    <w:r w:rsidRPr="00EF0A14">
      <w:rPr>
        <w:noProof/>
        <w:lang w:val="en-GB" w:bidi="en-U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7F828A" w14:textId="77777777" w:rsidR="00097D9A" w:rsidRDefault="00097D9A">
      <w:pPr>
        <w:spacing w:after="0" w:line="240" w:lineRule="auto"/>
      </w:pPr>
      <w:r>
        <w:separator/>
      </w:r>
    </w:p>
  </w:footnote>
  <w:footnote w:type="continuationSeparator" w:id="0">
    <w:p w14:paraId="32EE2332" w14:textId="77777777" w:rsidR="00097D9A" w:rsidRDefault="00097D9A">
      <w:pPr>
        <w:spacing w:after="0" w:line="240" w:lineRule="auto"/>
      </w:pPr>
      <w:r>
        <w:continuationSeparator/>
      </w:r>
    </w:p>
  </w:footnote>
  <w:footnote w:type="continuationNotice" w:id="1">
    <w:p w14:paraId="5F153942" w14:textId="77777777" w:rsidR="00097D9A" w:rsidRDefault="00097D9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3DA82F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CD247140"/>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2C4CB93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6BE0DE7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CD12A702"/>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0750C0D8"/>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08EB114"/>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AE3CEA5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2A926F3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20A8332"/>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E98168E"/>
    <w:multiLevelType w:val="multilevel"/>
    <w:tmpl w:val="FFB2FDF6"/>
    <w:lvl w:ilvl="0">
      <w:start w:val="1"/>
      <w:numFmt w:val="decimal"/>
      <w:pStyle w:val="ListNumb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21D36168"/>
    <w:multiLevelType w:val="multilevel"/>
    <w:tmpl w:val="B97ED04A"/>
    <w:lvl w:ilvl="0">
      <w:start w:val="1"/>
      <w:numFmt w:val="bullet"/>
      <w:pStyle w:val="ListBullet"/>
      <w:lvlText w:val=""/>
      <w:lvlJc w:val="left"/>
      <w:pPr>
        <w:ind w:left="360" w:hanging="360"/>
      </w:pPr>
      <w:rPr>
        <w:rFonts w:ascii="Symbol" w:hAnsi="Symbol" w:hint="default"/>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 w:numId="11">
    <w:abstractNumId w:val="11"/>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94C"/>
    <w:rsid w:val="000055BD"/>
    <w:rsid w:val="00012543"/>
    <w:rsid w:val="000642C8"/>
    <w:rsid w:val="00064A39"/>
    <w:rsid w:val="00082C90"/>
    <w:rsid w:val="000962B2"/>
    <w:rsid w:val="00097D9A"/>
    <w:rsid w:val="000A77E1"/>
    <w:rsid w:val="000C4811"/>
    <w:rsid w:val="000D7702"/>
    <w:rsid w:val="000E1655"/>
    <w:rsid w:val="000E6CBA"/>
    <w:rsid w:val="000F313B"/>
    <w:rsid w:val="0011396B"/>
    <w:rsid w:val="00161753"/>
    <w:rsid w:val="001864B9"/>
    <w:rsid w:val="001968FD"/>
    <w:rsid w:val="0019694C"/>
    <w:rsid w:val="001C30F8"/>
    <w:rsid w:val="0021446D"/>
    <w:rsid w:val="00222C6C"/>
    <w:rsid w:val="00271BBD"/>
    <w:rsid w:val="002B360F"/>
    <w:rsid w:val="002E46C3"/>
    <w:rsid w:val="002F20ED"/>
    <w:rsid w:val="003263E5"/>
    <w:rsid w:val="00362B35"/>
    <w:rsid w:val="003873BE"/>
    <w:rsid w:val="00397C7F"/>
    <w:rsid w:val="003B07DA"/>
    <w:rsid w:val="003C7702"/>
    <w:rsid w:val="003E7C52"/>
    <w:rsid w:val="00424D64"/>
    <w:rsid w:val="00427C41"/>
    <w:rsid w:val="00427D2E"/>
    <w:rsid w:val="00480B69"/>
    <w:rsid w:val="00494054"/>
    <w:rsid w:val="004F4BB3"/>
    <w:rsid w:val="00547F17"/>
    <w:rsid w:val="0057473B"/>
    <w:rsid w:val="0059720B"/>
    <w:rsid w:val="005A4BBB"/>
    <w:rsid w:val="005B20A2"/>
    <w:rsid w:val="005D3F71"/>
    <w:rsid w:val="005E3B04"/>
    <w:rsid w:val="006452CC"/>
    <w:rsid w:val="00654D18"/>
    <w:rsid w:val="0066073E"/>
    <w:rsid w:val="006648E9"/>
    <w:rsid w:val="006E47A4"/>
    <w:rsid w:val="00726A3B"/>
    <w:rsid w:val="007A7DA7"/>
    <w:rsid w:val="007B6C7E"/>
    <w:rsid w:val="007B7B63"/>
    <w:rsid w:val="007D3218"/>
    <w:rsid w:val="007D54FD"/>
    <w:rsid w:val="00800589"/>
    <w:rsid w:val="00856F8E"/>
    <w:rsid w:val="008B0D68"/>
    <w:rsid w:val="0092551B"/>
    <w:rsid w:val="009574E2"/>
    <w:rsid w:val="009922D9"/>
    <w:rsid w:val="0099504D"/>
    <w:rsid w:val="009D1144"/>
    <w:rsid w:val="009D690C"/>
    <w:rsid w:val="009E6F3B"/>
    <w:rsid w:val="00A0013B"/>
    <w:rsid w:val="00A07E57"/>
    <w:rsid w:val="00A2399B"/>
    <w:rsid w:val="00A84C34"/>
    <w:rsid w:val="00A9314F"/>
    <w:rsid w:val="00AB24BE"/>
    <w:rsid w:val="00AB68FA"/>
    <w:rsid w:val="00AD71E3"/>
    <w:rsid w:val="00AD7936"/>
    <w:rsid w:val="00B4289A"/>
    <w:rsid w:val="00B55508"/>
    <w:rsid w:val="00B93CA4"/>
    <w:rsid w:val="00B9554B"/>
    <w:rsid w:val="00BC6484"/>
    <w:rsid w:val="00BD431A"/>
    <w:rsid w:val="00BE04AB"/>
    <w:rsid w:val="00BE2EE1"/>
    <w:rsid w:val="00BE36D2"/>
    <w:rsid w:val="00C21286"/>
    <w:rsid w:val="00C46386"/>
    <w:rsid w:val="00C541F9"/>
    <w:rsid w:val="00CA03B0"/>
    <w:rsid w:val="00D67719"/>
    <w:rsid w:val="00D83252"/>
    <w:rsid w:val="00D834A5"/>
    <w:rsid w:val="00D91E6C"/>
    <w:rsid w:val="00D9643B"/>
    <w:rsid w:val="00DD0074"/>
    <w:rsid w:val="00E52C5F"/>
    <w:rsid w:val="00E562C3"/>
    <w:rsid w:val="00E73A9F"/>
    <w:rsid w:val="00E8051B"/>
    <w:rsid w:val="00E814EC"/>
    <w:rsid w:val="00E92296"/>
    <w:rsid w:val="00EB1198"/>
    <w:rsid w:val="00EF0A14"/>
    <w:rsid w:val="00F068E2"/>
    <w:rsid w:val="00F21E3F"/>
    <w:rsid w:val="00F44D29"/>
    <w:rsid w:val="00F539DB"/>
    <w:rsid w:val="00FD568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6198E5C"/>
  <w15:chartTrackingRefBased/>
  <w15:docId w15:val="{1FA992D1-6028-4A11-B48A-ED54D969C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A5A5A" w:themeColor="text2" w:themeTint="BF"/>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7B63"/>
  </w:style>
  <w:style w:type="paragraph" w:styleId="Heading1">
    <w:name w:val="heading 1"/>
    <w:basedOn w:val="Normal"/>
    <w:link w:val="Heading1Char"/>
    <w:uiPriority w:val="9"/>
    <w:qFormat/>
    <w:pPr>
      <w:keepNext/>
      <w:keepLines/>
      <w:spacing w:after="0"/>
      <w:outlineLvl w:val="0"/>
    </w:pPr>
    <w:rPr>
      <w:rFonts w:asciiTheme="majorHAnsi" w:eastAsiaTheme="majorEastAsia" w:hAnsiTheme="majorHAnsi" w:cstheme="majorBidi"/>
      <w:b/>
      <w:color w:val="785263" w:themeColor="accent1"/>
      <w:sz w:val="40"/>
      <w:szCs w:val="32"/>
    </w:rPr>
  </w:style>
  <w:style w:type="paragraph" w:styleId="Heading2">
    <w:name w:val="heading 2"/>
    <w:basedOn w:val="Normal"/>
    <w:link w:val="Heading2Char"/>
    <w:uiPriority w:val="9"/>
    <w:unhideWhenUsed/>
    <w:qFormat/>
    <w:pPr>
      <w:keepNext/>
      <w:keepLines/>
      <w:spacing w:after="0"/>
      <w:outlineLvl w:val="1"/>
    </w:pPr>
    <w:rPr>
      <w:rFonts w:asciiTheme="majorHAnsi" w:eastAsiaTheme="majorEastAsia" w:hAnsiTheme="majorHAnsi" w:cstheme="majorBidi"/>
      <w:b/>
      <w:color w:val="785263" w:themeColor="accent1"/>
      <w:sz w:val="34"/>
      <w:szCs w:val="26"/>
    </w:rPr>
  </w:style>
  <w:style w:type="paragraph" w:styleId="Heading3">
    <w:name w:val="heading 3"/>
    <w:basedOn w:val="Normal"/>
    <w:link w:val="Heading3Char"/>
    <w:uiPriority w:val="9"/>
    <w:unhideWhenUsed/>
    <w:qFormat/>
    <w:pPr>
      <w:keepNext/>
      <w:keepLines/>
      <w:spacing w:after="0"/>
      <w:outlineLvl w:val="2"/>
    </w:pPr>
    <w:rPr>
      <w:rFonts w:asciiTheme="majorHAnsi" w:eastAsiaTheme="majorEastAsia" w:hAnsiTheme="majorHAnsi" w:cstheme="majorBidi"/>
      <w:b/>
      <w:color w:val="785263" w:themeColor="accent1"/>
      <w:sz w:val="30"/>
      <w:szCs w:val="24"/>
    </w:rPr>
  </w:style>
  <w:style w:type="paragraph" w:styleId="Heading4">
    <w:name w:val="heading 4"/>
    <w:basedOn w:val="Normal"/>
    <w:next w:val="Normal"/>
    <w:link w:val="Heading4Char"/>
    <w:uiPriority w:val="9"/>
    <w:unhideWhenUsed/>
    <w:qFormat/>
    <w:pPr>
      <w:keepNext/>
      <w:keepLines/>
      <w:spacing w:after="0"/>
      <w:outlineLvl w:val="3"/>
    </w:pPr>
    <w:rPr>
      <w:rFonts w:asciiTheme="majorHAnsi" w:eastAsiaTheme="majorEastAsia" w:hAnsiTheme="majorHAnsi" w:cstheme="majorBidi"/>
      <w:i/>
      <w:iCs/>
      <w:color w:val="785263" w:themeColor="accent1"/>
      <w:sz w:val="26"/>
    </w:rPr>
  </w:style>
  <w:style w:type="paragraph" w:styleId="Heading5">
    <w:name w:val="heading 5"/>
    <w:basedOn w:val="Normal"/>
    <w:next w:val="Normal"/>
    <w:link w:val="Heading5Char"/>
    <w:uiPriority w:val="9"/>
    <w:semiHidden/>
    <w:unhideWhenUsed/>
    <w:qFormat/>
    <w:rsid w:val="00AD71E3"/>
    <w:pPr>
      <w:keepNext/>
      <w:keepLines/>
      <w:spacing w:before="40" w:after="0"/>
      <w:outlineLvl w:val="4"/>
    </w:pPr>
    <w:rPr>
      <w:rFonts w:asciiTheme="majorHAnsi" w:eastAsiaTheme="majorEastAsia" w:hAnsiTheme="majorHAnsi" w:cstheme="majorBidi"/>
      <w:color w:val="593D4A" w:themeColor="accent1" w:themeShade="BF"/>
    </w:rPr>
  </w:style>
  <w:style w:type="paragraph" w:styleId="Heading6">
    <w:name w:val="heading 6"/>
    <w:basedOn w:val="Normal"/>
    <w:next w:val="Normal"/>
    <w:link w:val="Heading6Char"/>
    <w:uiPriority w:val="9"/>
    <w:semiHidden/>
    <w:unhideWhenUsed/>
    <w:qFormat/>
    <w:rsid w:val="00D9643B"/>
    <w:pPr>
      <w:keepNext/>
      <w:keepLines/>
      <w:spacing w:before="40" w:after="0"/>
      <w:outlineLvl w:val="5"/>
    </w:pPr>
    <w:rPr>
      <w:rFonts w:asciiTheme="majorHAnsi" w:eastAsiaTheme="majorEastAsia" w:hAnsiTheme="majorHAnsi" w:cstheme="majorBidi"/>
      <w:b/>
      <w:color w:val="3B2831" w:themeColor="accent1" w:themeShade="7F"/>
    </w:rPr>
  </w:style>
  <w:style w:type="paragraph" w:styleId="Heading7">
    <w:name w:val="heading 7"/>
    <w:basedOn w:val="Normal"/>
    <w:next w:val="Normal"/>
    <w:link w:val="Heading7Char"/>
    <w:uiPriority w:val="9"/>
    <w:semiHidden/>
    <w:unhideWhenUsed/>
    <w:qFormat/>
    <w:rsid w:val="00D9643B"/>
    <w:pPr>
      <w:keepNext/>
      <w:keepLines/>
      <w:spacing w:before="40" w:after="0"/>
      <w:outlineLvl w:val="6"/>
    </w:pPr>
    <w:rPr>
      <w:rFonts w:asciiTheme="majorHAnsi" w:eastAsiaTheme="majorEastAsia" w:hAnsiTheme="majorHAnsi" w:cstheme="majorBidi"/>
      <w:i/>
      <w:iCs/>
      <w:color w:val="593D4A" w:themeColor="accent1" w:themeShade="BF"/>
    </w:rPr>
  </w:style>
  <w:style w:type="paragraph" w:styleId="Heading8">
    <w:name w:val="heading 8"/>
    <w:basedOn w:val="Normal"/>
    <w:next w:val="Normal"/>
    <w:link w:val="Heading8Char"/>
    <w:uiPriority w:val="9"/>
    <w:semiHidden/>
    <w:unhideWhenUsed/>
    <w:qFormat/>
    <w:rsid w:val="00AD71E3"/>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AD71E3"/>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4"/>
    <w:qFormat/>
    <w:pPr>
      <w:spacing w:before="600" w:after="320" w:line="240" w:lineRule="auto"/>
      <w:contextualSpacing/>
    </w:pPr>
    <w:rPr>
      <w:rFonts w:asciiTheme="majorHAnsi" w:eastAsiaTheme="majorEastAsia" w:hAnsiTheme="majorHAnsi" w:cstheme="majorBidi"/>
      <w:b/>
      <w:color w:val="785263" w:themeColor="accent1"/>
      <w:kern w:val="28"/>
      <w:sz w:val="52"/>
      <w:szCs w:val="56"/>
    </w:rPr>
  </w:style>
  <w:style w:type="character" w:customStyle="1" w:styleId="TitleChar">
    <w:name w:val="Title Char"/>
    <w:basedOn w:val="DefaultParagraphFont"/>
    <w:link w:val="Title"/>
    <w:uiPriority w:val="4"/>
    <w:rPr>
      <w:rFonts w:asciiTheme="majorHAnsi" w:eastAsiaTheme="majorEastAsia" w:hAnsiTheme="majorHAnsi" w:cstheme="majorBidi"/>
      <w:b/>
      <w:color w:val="785263" w:themeColor="accent1"/>
      <w:kern w:val="28"/>
      <w:sz w:val="52"/>
      <w:szCs w:val="56"/>
    </w:rPr>
  </w:style>
  <w:style w:type="paragraph" w:styleId="Subtitle">
    <w:name w:val="Subtitle"/>
    <w:basedOn w:val="Normal"/>
    <w:link w:val="SubtitleChar"/>
    <w:uiPriority w:val="5"/>
    <w:qFormat/>
    <w:rsid w:val="001968FD"/>
    <w:pPr>
      <w:numPr>
        <w:ilvl w:val="1"/>
      </w:numPr>
      <w:spacing w:after="320" w:line="259" w:lineRule="auto"/>
    </w:pPr>
    <w:rPr>
      <w:rFonts w:eastAsiaTheme="minorEastAsia"/>
      <w:sz w:val="32"/>
    </w:rPr>
  </w:style>
  <w:style w:type="character" w:customStyle="1" w:styleId="SubtitleChar">
    <w:name w:val="Subtitle Char"/>
    <w:basedOn w:val="DefaultParagraphFont"/>
    <w:link w:val="Subtitle"/>
    <w:uiPriority w:val="5"/>
    <w:rsid w:val="001968FD"/>
    <w:rPr>
      <w:rFonts w:eastAsiaTheme="minorEastAsia"/>
      <w:sz w:val="32"/>
    </w:rPr>
  </w:style>
  <w:style w:type="character" w:customStyle="1" w:styleId="Heading1Char">
    <w:name w:val="Heading 1 Char"/>
    <w:basedOn w:val="DefaultParagraphFont"/>
    <w:link w:val="Heading1"/>
    <w:uiPriority w:val="9"/>
    <w:rsid w:val="007D3218"/>
    <w:rPr>
      <w:rFonts w:asciiTheme="majorHAnsi" w:eastAsiaTheme="majorEastAsia" w:hAnsiTheme="majorHAnsi" w:cstheme="majorBidi"/>
      <w:b/>
      <w:color w:val="785263" w:themeColor="accent1"/>
      <w:sz w:val="40"/>
      <w:szCs w:val="32"/>
    </w:rPr>
  </w:style>
  <w:style w:type="paragraph" w:styleId="Quote">
    <w:name w:val="Quote"/>
    <w:basedOn w:val="Normal"/>
    <w:next w:val="Normal"/>
    <w:link w:val="QuoteChar"/>
    <w:uiPriority w:val="13"/>
    <w:qFormat/>
    <w:pPr>
      <w:spacing w:before="240" w:after="240"/>
      <w:ind w:left="720"/>
    </w:pPr>
    <w:rPr>
      <w:b/>
      <w:iCs/>
      <w:color w:val="785263" w:themeColor="accent1"/>
    </w:rPr>
  </w:style>
  <w:style w:type="character" w:customStyle="1" w:styleId="QuoteChar">
    <w:name w:val="Quote Char"/>
    <w:basedOn w:val="DefaultParagraphFont"/>
    <w:link w:val="Quote"/>
    <w:uiPriority w:val="13"/>
    <w:rsid w:val="007B7B63"/>
    <w:rPr>
      <w:b/>
      <w:iCs/>
      <w:color w:val="785263" w:themeColor="accent1"/>
    </w:rPr>
  </w:style>
  <w:style w:type="character" w:customStyle="1" w:styleId="Heading2Char">
    <w:name w:val="Heading 2 Char"/>
    <w:basedOn w:val="DefaultParagraphFont"/>
    <w:link w:val="Heading2"/>
    <w:uiPriority w:val="9"/>
    <w:rsid w:val="007D3218"/>
    <w:rPr>
      <w:rFonts w:asciiTheme="majorHAnsi" w:eastAsiaTheme="majorEastAsia" w:hAnsiTheme="majorHAnsi" w:cstheme="majorBidi"/>
      <w:b/>
      <w:color w:val="785263" w:themeColor="accent1"/>
      <w:sz w:val="34"/>
      <w:szCs w:val="26"/>
    </w:rPr>
  </w:style>
  <w:style w:type="paragraph" w:styleId="Footer">
    <w:name w:val="footer"/>
    <w:basedOn w:val="Normal"/>
    <w:link w:val="FooterChar"/>
    <w:uiPriority w:val="99"/>
    <w:rsid w:val="00AD7936"/>
    <w:pPr>
      <w:spacing w:after="0" w:line="240" w:lineRule="auto"/>
      <w:jc w:val="right"/>
    </w:pPr>
    <w:rPr>
      <w:b/>
      <w:color w:val="616161" w:themeColor="accent2" w:themeShade="80"/>
    </w:rPr>
  </w:style>
  <w:style w:type="character" w:customStyle="1" w:styleId="FooterChar">
    <w:name w:val="Footer Char"/>
    <w:basedOn w:val="DefaultParagraphFont"/>
    <w:link w:val="Footer"/>
    <w:uiPriority w:val="99"/>
    <w:rsid w:val="007D54FD"/>
    <w:rPr>
      <w:b/>
      <w:color w:val="616161" w:themeColor="accent2" w:themeShade="80"/>
    </w:rPr>
  </w:style>
  <w:style w:type="paragraph" w:styleId="ListBullet">
    <w:name w:val="List Bullet"/>
    <w:basedOn w:val="Normal"/>
    <w:uiPriority w:val="11"/>
    <w:qFormat/>
    <w:rsid w:val="007B7B63"/>
    <w:pPr>
      <w:numPr>
        <w:numId w:val="11"/>
      </w:numPr>
      <w:spacing w:line="312" w:lineRule="auto"/>
    </w:pPr>
  </w:style>
  <w:style w:type="character" w:customStyle="1" w:styleId="Heading3Char">
    <w:name w:val="Heading 3 Char"/>
    <w:basedOn w:val="DefaultParagraphFont"/>
    <w:link w:val="Heading3"/>
    <w:uiPriority w:val="9"/>
    <w:rsid w:val="007D3218"/>
    <w:rPr>
      <w:rFonts w:asciiTheme="majorHAnsi" w:eastAsiaTheme="majorEastAsia" w:hAnsiTheme="majorHAnsi" w:cstheme="majorBidi"/>
      <w:b/>
      <w:color w:val="785263" w:themeColor="accent1"/>
      <w:sz w:val="30"/>
      <w:szCs w:val="24"/>
    </w:rPr>
  </w:style>
  <w:style w:type="paragraph" w:styleId="Header">
    <w:name w:val="header"/>
    <w:basedOn w:val="Normal"/>
    <w:link w:val="HeaderChar"/>
    <w:uiPriority w:val="99"/>
    <w:unhideWhenUsed/>
    <w:rsid w:val="00FD5689"/>
    <w:pPr>
      <w:spacing w:after="0" w:line="240" w:lineRule="auto"/>
    </w:pPr>
  </w:style>
  <w:style w:type="character" w:customStyle="1" w:styleId="HeaderChar">
    <w:name w:val="Header Char"/>
    <w:basedOn w:val="DefaultParagraphFont"/>
    <w:link w:val="Header"/>
    <w:uiPriority w:val="99"/>
    <w:rsid w:val="00FD5689"/>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785263" w:themeColor="accent1"/>
      <w:sz w:val="26"/>
    </w:rPr>
  </w:style>
  <w:style w:type="paragraph" w:styleId="ListNumber">
    <w:name w:val="List Number"/>
    <w:basedOn w:val="Normal"/>
    <w:uiPriority w:val="12"/>
    <w:qFormat/>
    <w:rsid w:val="007B7B63"/>
    <w:pPr>
      <w:numPr>
        <w:numId w:val="12"/>
      </w:numPr>
      <w:spacing w:line="312" w:lineRule="auto"/>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D71E3"/>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AD71E3"/>
    <w:rPr>
      <w:rFonts w:ascii="Segoe UI" w:hAnsi="Segoe UI" w:cs="Segoe UI"/>
      <w:szCs w:val="18"/>
    </w:rPr>
  </w:style>
  <w:style w:type="paragraph" w:styleId="Bibliography">
    <w:name w:val="Bibliography"/>
    <w:basedOn w:val="Normal"/>
    <w:next w:val="Normal"/>
    <w:uiPriority w:val="37"/>
    <w:semiHidden/>
    <w:unhideWhenUsed/>
    <w:rsid w:val="00AD71E3"/>
  </w:style>
  <w:style w:type="paragraph" w:styleId="BlockText">
    <w:name w:val="Block Text"/>
    <w:basedOn w:val="Normal"/>
    <w:uiPriority w:val="99"/>
    <w:semiHidden/>
    <w:unhideWhenUsed/>
    <w:rsid w:val="00AD71E3"/>
    <w:pPr>
      <w:pBdr>
        <w:top w:val="single" w:sz="2" w:space="10" w:color="785263" w:themeColor="accent1"/>
        <w:left w:val="single" w:sz="2" w:space="10" w:color="785263" w:themeColor="accent1"/>
        <w:bottom w:val="single" w:sz="2" w:space="10" w:color="785263" w:themeColor="accent1"/>
        <w:right w:val="single" w:sz="2" w:space="10" w:color="785263" w:themeColor="accent1"/>
      </w:pBdr>
      <w:ind w:left="1152" w:right="1152"/>
    </w:pPr>
    <w:rPr>
      <w:rFonts w:eastAsiaTheme="minorEastAsia"/>
      <w:i/>
      <w:iCs/>
      <w:color w:val="785263" w:themeColor="accent1"/>
    </w:rPr>
  </w:style>
  <w:style w:type="paragraph" w:styleId="BodyText">
    <w:name w:val="Body Text"/>
    <w:basedOn w:val="Normal"/>
    <w:link w:val="BodyTextChar"/>
    <w:uiPriority w:val="99"/>
    <w:semiHidden/>
    <w:unhideWhenUsed/>
    <w:rsid w:val="00AD71E3"/>
    <w:pPr>
      <w:spacing w:after="120"/>
    </w:pPr>
  </w:style>
  <w:style w:type="character" w:customStyle="1" w:styleId="BodyTextChar">
    <w:name w:val="Body Text Char"/>
    <w:basedOn w:val="DefaultParagraphFont"/>
    <w:link w:val="BodyText"/>
    <w:uiPriority w:val="99"/>
    <w:semiHidden/>
    <w:rsid w:val="00AD71E3"/>
  </w:style>
  <w:style w:type="paragraph" w:styleId="BodyText2">
    <w:name w:val="Body Text 2"/>
    <w:basedOn w:val="Normal"/>
    <w:link w:val="BodyText2Char"/>
    <w:uiPriority w:val="99"/>
    <w:semiHidden/>
    <w:unhideWhenUsed/>
    <w:rsid w:val="00AD71E3"/>
    <w:pPr>
      <w:spacing w:after="120" w:line="480" w:lineRule="auto"/>
    </w:pPr>
  </w:style>
  <w:style w:type="character" w:customStyle="1" w:styleId="BodyText2Char">
    <w:name w:val="Body Text 2 Char"/>
    <w:basedOn w:val="DefaultParagraphFont"/>
    <w:link w:val="BodyText2"/>
    <w:uiPriority w:val="99"/>
    <w:semiHidden/>
    <w:rsid w:val="00AD71E3"/>
  </w:style>
  <w:style w:type="paragraph" w:styleId="BodyText3">
    <w:name w:val="Body Text 3"/>
    <w:basedOn w:val="Normal"/>
    <w:link w:val="BodyText3Char"/>
    <w:uiPriority w:val="99"/>
    <w:semiHidden/>
    <w:unhideWhenUsed/>
    <w:rsid w:val="00AD71E3"/>
    <w:pPr>
      <w:spacing w:after="120"/>
    </w:pPr>
    <w:rPr>
      <w:szCs w:val="16"/>
    </w:rPr>
  </w:style>
  <w:style w:type="character" w:customStyle="1" w:styleId="BodyText3Char">
    <w:name w:val="Body Text 3 Char"/>
    <w:basedOn w:val="DefaultParagraphFont"/>
    <w:link w:val="BodyText3"/>
    <w:uiPriority w:val="99"/>
    <w:semiHidden/>
    <w:rsid w:val="00AD71E3"/>
    <w:rPr>
      <w:szCs w:val="16"/>
    </w:rPr>
  </w:style>
  <w:style w:type="paragraph" w:styleId="BodyTextFirstIndent">
    <w:name w:val="Body Text First Indent"/>
    <w:basedOn w:val="BodyText"/>
    <w:link w:val="BodyTextFirstIndentChar"/>
    <w:uiPriority w:val="99"/>
    <w:semiHidden/>
    <w:unhideWhenUsed/>
    <w:rsid w:val="00AD71E3"/>
    <w:pPr>
      <w:spacing w:after="200"/>
      <w:ind w:firstLine="360"/>
    </w:pPr>
  </w:style>
  <w:style w:type="character" w:customStyle="1" w:styleId="BodyTextFirstIndentChar">
    <w:name w:val="Body Text First Indent Char"/>
    <w:basedOn w:val="BodyTextChar"/>
    <w:link w:val="BodyTextFirstIndent"/>
    <w:uiPriority w:val="99"/>
    <w:semiHidden/>
    <w:rsid w:val="00AD71E3"/>
  </w:style>
  <w:style w:type="paragraph" w:styleId="BodyTextIndent">
    <w:name w:val="Body Text Indent"/>
    <w:basedOn w:val="Normal"/>
    <w:link w:val="BodyTextIndentChar"/>
    <w:uiPriority w:val="99"/>
    <w:semiHidden/>
    <w:unhideWhenUsed/>
    <w:rsid w:val="00AD71E3"/>
    <w:pPr>
      <w:spacing w:after="120"/>
      <w:ind w:left="360"/>
    </w:pPr>
  </w:style>
  <w:style w:type="character" w:customStyle="1" w:styleId="BodyTextIndentChar">
    <w:name w:val="Body Text Indent Char"/>
    <w:basedOn w:val="DefaultParagraphFont"/>
    <w:link w:val="BodyTextIndent"/>
    <w:uiPriority w:val="99"/>
    <w:semiHidden/>
    <w:rsid w:val="00AD71E3"/>
  </w:style>
  <w:style w:type="paragraph" w:styleId="BodyTextFirstIndent2">
    <w:name w:val="Body Text First Indent 2"/>
    <w:basedOn w:val="BodyTextIndent"/>
    <w:link w:val="BodyTextFirstIndent2Char"/>
    <w:uiPriority w:val="99"/>
    <w:semiHidden/>
    <w:unhideWhenUsed/>
    <w:rsid w:val="00AD71E3"/>
    <w:pPr>
      <w:spacing w:after="200"/>
      <w:ind w:firstLine="360"/>
    </w:pPr>
  </w:style>
  <w:style w:type="character" w:customStyle="1" w:styleId="BodyTextFirstIndent2Char">
    <w:name w:val="Body Text First Indent 2 Char"/>
    <w:basedOn w:val="BodyTextIndentChar"/>
    <w:link w:val="BodyTextFirstIndent2"/>
    <w:uiPriority w:val="99"/>
    <w:semiHidden/>
    <w:rsid w:val="00AD71E3"/>
  </w:style>
  <w:style w:type="paragraph" w:styleId="BodyTextIndent2">
    <w:name w:val="Body Text Indent 2"/>
    <w:basedOn w:val="Normal"/>
    <w:link w:val="BodyTextIndent2Char"/>
    <w:uiPriority w:val="99"/>
    <w:semiHidden/>
    <w:unhideWhenUsed/>
    <w:rsid w:val="00AD71E3"/>
    <w:pPr>
      <w:spacing w:after="120" w:line="480" w:lineRule="auto"/>
      <w:ind w:left="360"/>
    </w:pPr>
  </w:style>
  <w:style w:type="character" w:customStyle="1" w:styleId="BodyTextIndent2Char">
    <w:name w:val="Body Text Indent 2 Char"/>
    <w:basedOn w:val="DefaultParagraphFont"/>
    <w:link w:val="BodyTextIndent2"/>
    <w:uiPriority w:val="99"/>
    <w:semiHidden/>
    <w:rsid w:val="00AD71E3"/>
  </w:style>
  <w:style w:type="paragraph" w:styleId="BodyTextIndent3">
    <w:name w:val="Body Text Indent 3"/>
    <w:basedOn w:val="Normal"/>
    <w:link w:val="BodyTextIndent3Char"/>
    <w:uiPriority w:val="99"/>
    <w:semiHidden/>
    <w:unhideWhenUsed/>
    <w:rsid w:val="00AD71E3"/>
    <w:pPr>
      <w:spacing w:after="120"/>
      <w:ind w:left="360"/>
    </w:pPr>
    <w:rPr>
      <w:szCs w:val="16"/>
    </w:rPr>
  </w:style>
  <w:style w:type="character" w:customStyle="1" w:styleId="BodyTextIndent3Char">
    <w:name w:val="Body Text Indent 3 Char"/>
    <w:basedOn w:val="DefaultParagraphFont"/>
    <w:link w:val="BodyTextIndent3"/>
    <w:uiPriority w:val="99"/>
    <w:semiHidden/>
    <w:rsid w:val="00AD71E3"/>
    <w:rPr>
      <w:szCs w:val="16"/>
    </w:rPr>
  </w:style>
  <w:style w:type="character" w:styleId="BookTitle">
    <w:name w:val="Book Title"/>
    <w:basedOn w:val="DefaultParagraphFont"/>
    <w:uiPriority w:val="33"/>
    <w:semiHidden/>
    <w:unhideWhenUsed/>
    <w:qFormat/>
    <w:rsid w:val="00AD71E3"/>
    <w:rPr>
      <w:b/>
      <w:bCs/>
      <w:i/>
      <w:iCs/>
      <w:spacing w:val="5"/>
    </w:rPr>
  </w:style>
  <w:style w:type="paragraph" w:styleId="Caption">
    <w:name w:val="caption"/>
    <w:basedOn w:val="Normal"/>
    <w:next w:val="Normal"/>
    <w:uiPriority w:val="35"/>
    <w:semiHidden/>
    <w:unhideWhenUsed/>
    <w:qFormat/>
    <w:rsid w:val="00AD71E3"/>
    <w:pPr>
      <w:spacing w:line="240" w:lineRule="auto"/>
    </w:pPr>
    <w:rPr>
      <w:i/>
      <w:iCs/>
      <w:color w:val="242424" w:themeColor="text2"/>
      <w:szCs w:val="18"/>
    </w:rPr>
  </w:style>
  <w:style w:type="paragraph" w:styleId="Closing">
    <w:name w:val="Closing"/>
    <w:basedOn w:val="Normal"/>
    <w:link w:val="ClosingChar"/>
    <w:uiPriority w:val="99"/>
    <w:semiHidden/>
    <w:unhideWhenUsed/>
    <w:rsid w:val="00AD71E3"/>
    <w:pPr>
      <w:spacing w:after="0" w:line="240" w:lineRule="auto"/>
      <w:ind w:left="4320"/>
    </w:pPr>
  </w:style>
  <w:style w:type="character" w:customStyle="1" w:styleId="ClosingChar">
    <w:name w:val="Closing Char"/>
    <w:basedOn w:val="DefaultParagraphFont"/>
    <w:link w:val="Closing"/>
    <w:uiPriority w:val="99"/>
    <w:semiHidden/>
    <w:rsid w:val="00AD71E3"/>
  </w:style>
  <w:style w:type="table" w:styleId="ColourfulGrid">
    <w:name w:val="Colorful Grid"/>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6DADF" w:themeFill="accent1" w:themeFillTint="33"/>
    </w:tcPr>
    <w:tblStylePr w:type="firstRow">
      <w:rPr>
        <w:b/>
        <w:bCs/>
      </w:rPr>
      <w:tblPr/>
      <w:tcPr>
        <w:shd w:val="clear" w:color="auto" w:fill="CDB5C0" w:themeFill="accent1" w:themeFillTint="66"/>
      </w:tcPr>
    </w:tblStylePr>
    <w:tblStylePr w:type="lastRow">
      <w:rPr>
        <w:b/>
        <w:bCs/>
        <w:color w:val="000000" w:themeColor="text1"/>
      </w:rPr>
      <w:tblPr/>
      <w:tcPr>
        <w:shd w:val="clear" w:color="auto" w:fill="CDB5C0" w:themeFill="accent1" w:themeFillTint="66"/>
      </w:tcPr>
    </w:tblStylePr>
    <w:tblStylePr w:type="firstCol">
      <w:rPr>
        <w:color w:val="FFFFFF" w:themeColor="background1"/>
      </w:rPr>
      <w:tblPr/>
      <w:tcPr>
        <w:shd w:val="clear" w:color="auto" w:fill="593D4A" w:themeFill="accent1" w:themeFillShade="BF"/>
      </w:tcPr>
    </w:tblStylePr>
    <w:tblStylePr w:type="lastCol">
      <w:rPr>
        <w:color w:val="FFFFFF" w:themeColor="background1"/>
      </w:rPr>
      <w:tblPr/>
      <w:tcPr>
        <w:shd w:val="clear" w:color="auto" w:fill="593D4A" w:themeFill="accent1" w:themeFillShade="BF"/>
      </w:tc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ColourfulGridAccent2">
    <w:name w:val="Colorful Grid Accent 2"/>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3F3F3" w:themeFill="accent2" w:themeFillTint="33"/>
    </w:tcPr>
    <w:tblStylePr w:type="firstRow">
      <w:rPr>
        <w:b/>
        <w:bCs/>
      </w:rPr>
      <w:tblPr/>
      <w:tcPr>
        <w:shd w:val="clear" w:color="auto" w:fill="E7E7E7" w:themeFill="accent2" w:themeFillTint="66"/>
      </w:tcPr>
    </w:tblStylePr>
    <w:tblStylePr w:type="lastRow">
      <w:rPr>
        <w:b/>
        <w:bCs/>
        <w:color w:val="000000" w:themeColor="text1"/>
      </w:rPr>
      <w:tblPr/>
      <w:tcPr>
        <w:shd w:val="clear" w:color="auto" w:fill="E7E7E7" w:themeFill="accent2" w:themeFillTint="66"/>
      </w:tcPr>
    </w:tblStylePr>
    <w:tblStylePr w:type="firstCol">
      <w:rPr>
        <w:color w:val="FFFFFF" w:themeColor="background1"/>
      </w:rPr>
      <w:tblPr/>
      <w:tcPr>
        <w:shd w:val="clear" w:color="auto" w:fill="929292" w:themeFill="accent2" w:themeFillShade="BF"/>
      </w:tcPr>
    </w:tblStylePr>
    <w:tblStylePr w:type="lastCol">
      <w:rPr>
        <w:color w:val="FFFFFF" w:themeColor="background1"/>
      </w:rPr>
      <w:tblPr/>
      <w:tcPr>
        <w:shd w:val="clear" w:color="auto" w:fill="929292" w:themeFill="accent2" w:themeFillShade="BF"/>
      </w:tc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ColourfulGridAccent3">
    <w:name w:val="Colorful Grid Accent 3"/>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FE0CA" w:themeFill="accent3" w:themeFillTint="33"/>
    </w:tcPr>
    <w:tblStylePr w:type="firstRow">
      <w:rPr>
        <w:b/>
        <w:bCs/>
      </w:rPr>
      <w:tblPr/>
      <w:tcPr>
        <w:shd w:val="clear" w:color="auto" w:fill="FFC196" w:themeFill="accent3" w:themeFillTint="66"/>
      </w:tcPr>
    </w:tblStylePr>
    <w:tblStylePr w:type="lastRow">
      <w:rPr>
        <w:b/>
        <w:bCs/>
        <w:color w:val="000000" w:themeColor="text1"/>
      </w:rPr>
      <w:tblPr/>
      <w:tcPr>
        <w:shd w:val="clear" w:color="auto" w:fill="FFC196" w:themeFill="accent3" w:themeFillTint="66"/>
      </w:tcPr>
    </w:tblStylePr>
    <w:tblStylePr w:type="firstCol">
      <w:rPr>
        <w:color w:val="FFFFFF" w:themeColor="background1"/>
      </w:rPr>
      <w:tblPr/>
      <w:tcPr>
        <w:shd w:val="clear" w:color="auto" w:fill="BA4B00" w:themeFill="accent3" w:themeFillShade="BF"/>
      </w:tcPr>
    </w:tblStylePr>
    <w:tblStylePr w:type="lastCol">
      <w:rPr>
        <w:color w:val="FFFFFF" w:themeColor="background1"/>
      </w:rPr>
      <w:tblPr/>
      <w:tcPr>
        <w:shd w:val="clear" w:color="auto" w:fill="BA4B00" w:themeFill="accent3" w:themeFillShade="BF"/>
      </w:tc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ColourfulGridAccent4">
    <w:name w:val="Colorful Grid Accent 4"/>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7EDF9" w:themeFill="accent4" w:themeFillTint="33"/>
    </w:tcPr>
    <w:tblStylePr w:type="firstRow">
      <w:rPr>
        <w:b/>
        <w:bCs/>
      </w:rPr>
      <w:tblPr/>
      <w:tcPr>
        <w:shd w:val="clear" w:color="auto" w:fill="B0DCF3" w:themeFill="accent4" w:themeFillTint="66"/>
      </w:tcPr>
    </w:tblStylePr>
    <w:tblStylePr w:type="lastRow">
      <w:rPr>
        <w:b/>
        <w:bCs/>
        <w:color w:val="000000" w:themeColor="text1"/>
      </w:rPr>
      <w:tblPr/>
      <w:tcPr>
        <w:shd w:val="clear" w:color="auto" w:fill="B0DCF3" w:themeFill="accent4" w:themeFillTint="66"/>
      </w:tcPr>
    </w:tblStylePr>
    <w:tblStylePr w:type="firstCol">
      <w:rPr>
        <w:color w:val="FFFFFF" w:themeColor="background1"/>
      </w:rPr>
      <w:tblPr/>
      <w:tcPr>
        <w:shd w:val="clear" w:color="auto" w:fill="1A83BA" w:themeFill="accent4" w:themeFillShade="BF"/>
      </w:tcPr>
    </w:tblStylePr>
    <w:tblStylePr w:type="lastCol">
      <w:rPr>
        <w:color w:val="FFFFFF" w:themeColor="background1"/>
      </w:rPr>
      <w:tblPr/>
      <w:tcPr>
        <w:shd w:val="clear" w:color="auto" w:fill="1A83BA" w:themeFill="accent4" w:themeFillShade="BF"/>
      </w:tc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ColourfulGridAccent5">
    <w:name w:val="Colorful Grid Accent 5"/>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BEDF0" w:themeFill="accent5" w:themeFillTint="33"/>
    </w:tcPr>
    <w:tblStylePr w:type="firstRow">
      <w:rPr>
        <w:b/>
        <w:bCs/>
      </w:rPr>
      <w:tblPr/>
      <w:tcPr>
        <w:shd w:val="clear" w:color="auto" w:fill="D8DCE1" w:themeFill="accent5" w:themeFillTint="66"/>
      </w:tcPr>
    </w:tblStylePr>
    <w:tblStylePr w:type="lastRow">
      <w:rPr>
        <w:b/>
        <w:bCs/>
        <w:color w:val="000000" w:themeColor="text1"/>
      </w:rPr>
      <w:tblPr/>
      <w:tcPr>
        <w:shd w:val="clear" w:color="auto" w:fill="D8DCE1" w:themeFill="accent5" w:themeFillTint="66"/>
      </w:tcPr>
    </w:tblStylePr>
    <w:tblStylePr w:type="firstCol">
      <w:rPr>
        <w:color w:val="FFFFFF" w:themeColor="background1"/>
      </w:rPr>
      <w:tblPr/>
      <w:tcPr>
        <w:shd w:val="clear" w:color="auto" w:fill="6D7F91" w:themeFill="accent5" w:themeFillShade="BF"/>
      </w:tcPr>
    </w:tblStylePr>
    <w:tblStylePr w:type="lastCol">
      <w:rPr>
        <w:color w:val="FFFFFF" w:themeColor="background1"/>
      </w:rPr>
      <w:tblPr/>
      <w:tcPr>
        <w:shd w:val="clear" w:color="auto" w:fill="6D7F91" w:themeFill="accent5" w:themeFillShade="BF"/>
      </w:tc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ColourfulGridAccent6">
    <w:name w:val="Colorful Grid Accent 6"/>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urfulList">
    <w:name w:val="Colorful List"/>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2ECEF" w:themeFill="accent1"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D1D8" w:themeFill="accent1" w:themeFillTint="3F"/>
      </w:tcPr>
    </w:tblStylePr>
    <w:tblStylePr w:type="band1Horz">
      <w:tblPr/>
      <w:tcPr>
        <w:shd w:val="clear" w:color="auto" w:fill="E6DADF" w:themeFill="accent1" w:themeFillTint="33"/>
      </w:tcPr>
    </w:tblStylePr>
  </w:style>
  <w:style w:type="table" w:styleId="ColourfulListAccent2">
    <w:name w:val="Colorful List Accent 2"/>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9F9F9" w:themeFill="accent2"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0F0F0" w:themeFill="accent2" w:themeFillTint="3F"/>
      </w:tcPr>
    </w:tblStylePr>
    <w:tblStylePr w:type="band1Horz">
      <w:tblPr/>
      <w:tcPr>
        <w:shd w:val="clear" w:color="auto" w:fill="F3F3F3" w:themeFill="accent2" w:themeFillTint="33"/>
      </w:tcPr>
    </w:tblStylePr>
  </w:style>
  <w:style w:type="table" w:styleId="ColourfulListAccent3">
    <w:name w:val="Colorful List Accent 3"/>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FEFE5" w:themeFill="accent3" w:themeFillTint="19"/>
    </w:tcPr>
    <w:tblStylePr w:type="firstRow">
      <w:rPr>
        <w:b/>
        <w:bCs/>
        <w:color w:val="FFFFFF" w:themeColor="background1"/>
      </w:rPr>
      <w:tblPr/>
      <w:tcPr>
        <w:tcBorders>
          <w:bottom w:val="single" w:sz="12" w:space="0" w:color="FFFFFF" w:themeColor="background1"/>
        </w:tcBorders>
        <w:shd w:val="clear" w:color="auto" w:fill="1C8CC7" w:themeFill="accent4" w:themeFillShade="CC"/>
      </w:tcPr>
    </w:tblStylePr>
    <w:tblStylePr w:type="lastRow">
      <w:rPr>
        <w:b/>
        <w:bCs/>
        <w:color w:val="1C8CC7"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8BE" w:themeFill="accent3" w:themeFillTint="3F"/>
      </w:tcPr>
    </w:tblStylePr>
    <w:tblStylePr w:type="band1Horz">
      <w:tblPr/>
      <w:tcPr>
        <w:shd w:val="clear" w:color="auto" w:fill="FFE0CA" w:themeFill="accent3" w:themeFillTint="33"/>
      </w:tcPr>
    </w:tblStylePr>
  </w:style>
  <w:style w:type="table" w:styleId="ColourfulListAccent4">
    <w:name w:val="Colorful List Accent 4"/>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BF6FC" w:themeFill="accent4" w:themeFillTint="19"/>
    </w:tcPr>
    <w:tblStylePr w:type="firstRow">
      <w:rPr>
        <w:b/>
        <w:bCs/>
        <w:color w:val="FFFFFF" w:themeColor="background1"/>
      </w:rPr>
      <w:tblPr/>
      <w:tcPr>
        <w:tcBorders>
          <w:bottom w:val="single" w:sz="12" w:space="0" w:color="FFFFFF" w:themeColor="background1"/>
        </w:tcBorders>
        <w:shd w:val="clear" w:color="auto" w:fill="C75100" w:themeFill="accent3" w:themeFillShade="CC"/>
      </w:tcPr>
    </w:tblStylePr>
    <w:tblStylePr w:type="lastRow">
      <w:rPr>
        <w:b/>
        <w:bCs/>
        <w:color w:val="C7510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EE9F8" w:themeFill="accent4" w:themeFillTint="3F"/>
      </w:tcPr>
    </w:tblStylePr>
    <w:tblStylePr w:type="band1Horz">
      <w:tblPr/>
      <w:tcPr>
        <w:shd w:val="clear" w:color="auto" w:fill="D7EDF9" w:themeFill="accent4" w:themeFillTint="33"/>
      </w:tcPr>
    </w:tblStylePr>
  </w:style>
  <w:style w:type="table" w:styleId="ColourfulListAccent5">
    <w:name w:val="Colorful List Accent 5"/>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5F6F8" w:themeFill="accent5" w:themeFillTint="19"/>
    </w:tcPr>
    <w:tblStylePr w:type="firstRow">
      <w:rPr>
        <w:b/>
        <w:bCs/>
        <w:color w:val="FFFFFF" w:themeColor="background1"/>
      </w:rPr>
      <w:tblPr/>
      <w:tcPr>
        <w:tcBorders>
          <w:bottom w:val="single" w:sz="12" w:space="0" w:color="FFFFFF" w:themeColor="background1"/>
        </w:tcBorders>
        <w:shd w:val="clear" w:color="auto" w:fill="6E387B" w:themeFill="accent6" w:themeFillShade="CC"/>
      </w:tcPr>
    </w:tblStylePr>
    <w:tblStylePr w:type="lastRow">
      <w:rPr>
        <w:b/>
        <w:bCs/>
        <w:color w:val="6E387B"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E9ED" w:themeFill="accent5" w:themeFillTint="3F"/>
      </w:tcPr>
    </w:tblStylePr>
    <w:tblStylePr w:type="band1Horz">
      <w:tblPr/>
      <w:tcPr>
        <w:shd w:val="clear" w:color="auto" w:fill="EBEDF0" w:themeFill="accent5" w:themeFillTint="33"/>
      </w:tcPr>
    </w:tblStylePr>
  </w:style>
  <w:style w:type="table" w:styleId="ColourfulListAccent6">
    <w:name w:val="Colorful List Accent 6"/>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sz="12" w:space="0" w:color="FFFFFF" w:themeColor="background1"/>
        </w:tcBorders>
        <w:shd w:val="clear" w:color="auto" w:fill="778798" w:themeFill="accent5" w:themeFillShade="CC"/>
      </w:tcPr>
    </w:tblStylePr>
    <w:tblStylePr w:type="lastRow">
      <w:rPr>
        <w:b/>
        <w:bCs/>
        <w:color w:val="778798"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urfulShading">
    <w:name w:val="Colorful Shading"/>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785263" w:themeColor="accent1"/>
        <w:bottom w:val="single" w:sz="4" w:space="0" w:color="785263" w:themeColor="accent1"/>
        <w:right w:val="single" w:sz="4" w:space="0" w:color="785263" w:themeColor="accent1"/>
        <w:insideH w:val="single" w:sz="4" w:space="0" w:color="FFFFFF" w:themeColor="background1"/>
        <w:insideV w:val="single" w:sz="4" w:space="0" w:color="FFFFFF" w:themeColor="background1"/>
      </w:tblBorders>
    </w:tblPr>
    <w:tcPr>
      <w:shd w:val="clear" w:color="auto" w:fill="F2ECEF" w:themeFill="accent1"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7313B" w:themeFill="accent1" w:themeFillShade="99"/>
      </w:tcPr>
    </w:tblStylePr>
    <w:tblStylePr w:type="firstCol">
      <w:rPr>
        <w:color w:val="FFFFFF" w:themeColor="background1"/>
      </w:rPr>
      <w:tblPr/>
      <w:tcPr>
        <w:tcBorders>
          <w:top w:val="nil"/>
          <w:left w:val="nil"/>
          <w:bottom w:val="nil"/>
          <w:right w:val="nil"/>
          <w:insideH w:val="single" w:sz="4" w:space="0" w:color="47313B" w:themeColor="accent1" w:themeShade="99"/>
          <w:insideV w:val="nil"/>
        </w:tcBorders>
        <w:shd w:val="clear" w:color="auto" w:fill="47313B"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7313B" w:themeFill="accent1" w:themeFillShade="99"/>
      </w:tcPr>
    </w:tblStylePr>
    <w:tblStylePr w:type="band1Vert">
      <w:tblPr/>
      <w:tcPr>
        <w:shd w:val="clear" w:color="auto" w:fill="CDB5C0" w:themeFill="accent1" w:themeFillTint="66"/>
      </w:tcPr>
    </w:tblStylePr>
    <w:tblStylePr w:type="band1Horz">
      <w:tblPr/>
      <w:tcPr>
        <w:shd w:val="clear" w:color="auto" w:fill="C0A3B0"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C3C3C3" w:themeColor="accent2"/>
        <w:bottom w:val="single" w:sz="4" w:space="0" w:color="C3C3C3" w:themeColor="accent2"/>
        <w:right w:val="single" w:sz="4" w:space="0" w:color="C3C3C3" w:themeColor="accent2"/>
        <w:insideH w:val="single" w:sz="4" w:space="0" w:color="FFFFFF" w:themeColor="background1"/>
        <w:insideV w:val="single" w:sz="4" w:space="0" w:color="FFFFFF" w:themeColor="background1"/>
      </w:tblBorders>
    </w:tblPr>
    <w:tcPr>
      <w:shd w:val="clear" w:color="auto" w:fill="F9F9F9" w:themeFill="accent2"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57575" w:themeFill="accent2" w:themeFillShade="99"/>
      </w:tcPr>
    </w:tblStylePr>
    <w:tblStylePr w:type="firstCol">
      <w:rPr>
        <w:color w:val="FFFFFF" w:themeColor="background1"/>
      </w:rPr>
      <w:tblPr/>
      <w:tcPr>
        <w:tcBorders>
          <w:top w:val="nil"/>
          <w:left w:val="nil"/>
          <w:bottom w:val="nil"/>
          <w:right w:val="nil"/>
          <w:insideH w:val="single" w:sz="4" w:space="0" w:color="757575" w:themeColor="accent2" w:themeShade="99"/>
          <w:insideV w:val="nil"/>
        </w:tcBorders>
        <w:shd w:val="clear" w:color="auto" w:fill="75757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57575" w:themeFill="accent2" w:themeFillShade="99"/>
      </w:tcPr>
    </w:tblStylePr>
    <w:tblStylePr w:type="band1Vert">
      <w:tblPr/>
      <w:tcPr>
        <w:shd w:val="clear" w:color="auto" w:fill="E7E7E7" w:themeFill="accent2" w:themeFillTint="66"/>
      </w:tcPr>
    </w:tblStylePr>
    <w:tblStylePr w:type="band1Horz">
      <w:tblPr/>
      <w:tcPr>
        <w:shd w:val="clear" w:color="auto" w:fill="E1E1E1"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3AA9E3" w:themeColor="accent4"/>
        <w:left w:val="single" w:sz="4" w:space="0" w:color="F96600" w:themeColor="accent3"/>
        <w:bottom w:val="single" w:sz="4" w:space="0" w:color="F96600" w:themeColor="accent3"/>
        <w:right w:val="single" w:sz="4" w:space="0" w:color="F96600" w:themeColor="accent3"/>
        <w:insideH w:val="single" w:sz="4" w:space="0" w:color="FFFFFF" w:themeColor="background1"/>
        <w:insideV w:val="single" w:sz="4" w:space="0" w:color="FFFFFF" w:themeColor="background1"/>
      </w:tblBorders>
    </w:tblPr>
    <w:tcPr>
      <w:shd w:val="clear" w:color="auto" w:fill="FFEFE5" w:themeFill="accent3" w:themeFillTint="19"/>
    </w:tcPr>
    <w:tblStylePr w:type="firstRow">
      <w:rPr>
        <w:b/>
        <w:bCs/>
      </w:rPr>
      <w:tblPr/>
      <w:tcPr>
        <w:tcBorders>
          <w:top w:val="nil"/>
          <w:left w:val="nil"/>
          <w:bottom w:val="single" w:sz="24" w:space="0" w:color="3AA9E3"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3C00" w:themeFill="accent3" w:themeFillShade="99"/>
      </w:tcPr>
    </w:tblStylePr>
    <w:tblStylePr w:type="firstCol">
      <w:rPr>
        <w:color w:val="FFFFFF" w:themeColor="background1"/>
      </w:rPr>
      <w:tblPr/>
      <w:tcPr>
        <w:tcBorders>
          <w:top w:val="nil"/>
          <w:left w:val="nil"/>
          <w:bottom w:val="nil"/>
          <w:right w:val="nil"/>
          <w:insideH w:val="single" w:sz="4" w:space="0" w:color="953C00" w:themeColor="accent3" w:themeShade="99"/>
          <w:insideV w:val="nil"/>
        </w:tcBorders>
        <w:shd w:val="clear" w:color="auto" w:fill="953C0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53C00" w:themeFill="accent3" w:themeFillShade="99"/>
      </w:tcPr>
    </w:tblStylePr>
    <w:tblStylePr w:type="band1Vert">
      <w:tblPr/>
      <w:tcPr>
        <w:shd w:val="clear" w:color="auto" w:fill="FFC196" w:themeFill="accent3" w:themeFillTint="66"/>
      </w:tcPr>
    </w:tblStylePr>
    <w:tblStylePr w:type="band1Horz">
      <w:tblPr/>
      <w:tcPr>
        <w:shd w:val="clear" w:color="auto" w:fill="FFB27D" w:themeFill="accent3" w:themeFillTint="7F"/>
      </w:tcPr>
    </w:tblStylePr>
  </w:style>
  <w:style w:type="table" w:styleId="ColourfulShadingAccent4">
    <w:name w:val="Colorful Shading Accent 4"/>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F96600" w:themeColor="accent3"/>
        <w:left w:val="single" w:sz="4" w:space="0" w:color="3AA9E3" w:themeColor="accent4"/>
        <w:bottom w:val="single" w:sz="4" w:space="0" w:color="3AA9E3" w:themeColor="accent4"/>
        <w:right w:val="single" w:sz="4" w:space="0" w:color="3AA9E3" w:themeColor="accent4"/>
        <w:insideH w:val="single" w:sz="4" w:space="0" w:color="FFFFFF" w:themeColor="background1"/>
        <w:insideV w:val="single" w:sz="4" w:space="0" w:color="FFFFFF" w:themeColor="background1"/>
      </w:tblBorders>
    </w:tblPr>
    <w:tcPr>
      <w:shd w:val="clear" w:color="auto" w:fill="EBF6FC" w:themeFill="accent4" w:themeFillTint="19"/>
    </w:tcPr>
    <w:tblStylePr w:type="firstRow">
      <w:rPr>
        <w:b/>
        <w:bCs/>
      </w:rPr>
      <w:tblPr/>
      <w:tcPr>
        <w:tcBorders>
          <w:top w:val="nil"/>
          <w:left w:val="nil"/>
          <w:bottom w:val="single" w:sz="24" w:space="0" w:color="F96600"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56995" w:themeFill="accent4" w:themeFillShade="99"/>
      </w:tcPr>
    </w:tblStylePr>
    <w:tblStylePr w:type="firstCol">
      <w:rPr>
        <w:color w:val="FFFFFF" w:themeColor="background1"/>
      </w:rPr>
      <w:tblPr/>
      <w:tcPr>
        <w:tcBorders>
          <w:top w:val="nil"/>
          <w:left w:val="nil"/>
          <w:bottom w:val="nil"/>
          <w:right w:val="nil"/>
          <w:insideH w:val="single" w:sz="4" w:space="0" w:color="156995" w:themeColor="accent4" w:themeShade="99"/>
          <w:insideV w:val="nil"/>
        </w:tcBorders>
        <w:shd w:val="clear" w:color="auto" w:fill="15699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56995" w:themeFill="accent4" w:themeFillShade="99"/>
      </w:tcPr>
    </w:tblStylePr>
    <w:tblStylePr w:type="band1Vert">
      <w:tblPr/>
      <w:tcPr>
        <w:shd w:val="clear" w:color="auto" w:fill="B0DCF3" w:themeFill="accent4" w:themeFillTint="66"/>
      </w:tcPr>
    </w:tblStylePr>
    <w:tblStylePr w:type="band1Horz">
      <w:tblPr/>
      <w:tcPr>
        <w:shd w:val="clear" w:color="auto" w:fill="9CD3F1"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8A479B" w:themeColor="accent6"/>
        <w:left w:val="single" w:sz="4" w:space="0" w:color="9EAAB6" w:themeColor="accent5"/>
        <w:bottom w:val="single" w:sz="4" w:space="0" w:color="9EAAB6" w:themeColor="accent5"/>
        <w:right w:val="single" w:sz="4" w:space="0" w:color="9EAAB6" w:themeColor="accent5"/>
        <w:insideH w:val="single" w:sz="4" w:space="0" w:color="FFFFFF" w:themeColor="background1"/>
        <w:insideV w:val="single" w:sz="4" w:space="0" w:color="FFFFFF" w:themeColor="background1"/>
      </w:tblBorders>
    </w:tblPr>
    <w:tcPr>
      <w:shd w:val="clear" w:color="auto" w:fill="F5F6F8" w:themeFill="accent5" w:themeFillTint="19"/>
    </w:tcPr>
    <w:tblStylePr w:type="firstRow">
      <w:rPr>
        <w:b/>
        <w:bCs/>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76574" w:themeFill="accent5" w:themeFillShade="99"/>
      </w:tcPr>
    </w:tblStylePr>
    <w:tblStylePr w:type="firstCol">
      <w:rPr>
        <w:color w:val="FFFFFF" w:themeColor="background1"/>
      </w:rPr>
      <w:tblPr/>
      <w:tcPr>
        <w:tcBorders>
          <w:top w:val="nil"/>
          <w:left w:val="nil"/>
          <w:bottom w:val="nil"/>
          <w:right w:val="nil"/>
          <w:insideH w:val="single" w:sz="4" w:space="0" w:color="576574" w:themeColor="accent5" w:themeShade="99"/>
          <w:insideV w:val="nil"/>
        </w:tcBorders>
        <w:shd w:val="clear" w:color="auto" w:fill="576574"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76574" w:themeFill="accent5" w:themeFillShade="99"/>
      </w:tcPr>
    </w:tblStylePr>
    <w:tblStylePr w:type="band1Vert">
      <w:tblPr/>
      <w:tcPr>
        <w:shd w:val="clear" w:color="auto" w:fill="D8DCE1" w:themeFill="accent5" w:themeFillTint="66"/>
      </w:tcPr>
    </w:tblStylePr>
    <w:tblStylePr w:type="band1Horz">
      <w:tblPr/>
      <w:tcPr>
        <w:shd w:val="clear" w:color="auto" w:fill="CED4DA"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9EAAB6" w:themeColor="accent5"/>
        <w:left w:val="single" w:sz="4" w:space="0" w:color="8A479B" w:themeColor="accent6"/>
        <w:bottom w:val="single" w:sz="4" w:space="0" w:color="8A479B" w:themeColor="accent6"/>
        <w:right w:val="single" w:sz="4" w:space="0" w:color="8A479B" w:themeColor="accent6"/>
        <w:insideH w:val="single" w:sz="4" w:space="0" w:color="FFFFFF" w:themeColor="background1"/>
        <w:insideV w:val="single" w:sz="4" w:space="0" w:color="FFFFFF" w:themeColor="background1"/>
      </w:tblBorders>
    </w:tblPr>
    <w:tcPr>
      <w:shd w:val="clear" w:color="auto" w:fill="F4EBF6" w:themeFill="accent6" w:themeFillTint="19"/>
    </w:tcPr>
    <w:tblStylePr w:type="firstRow">
      <w:rPr>
        <w:b/>
        <w:bCs/>
      </w:rPr>
      <w:tblPr/>
      <w:tcPr>
        <w:tcBorders>
          <w:top w:val="nil"/>
          <w:left w:val="nil"/>
          <w:bottom w:val="single" w:sz="24" w:space="0" w:color="9EAAB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sz="4" w:space="0" w:color="522A5C" w:themeColor="accent6" w:themeShade="99"/>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D71E3"/>
    <w:rPr>
      <w:sz w:val="22"/>
      <w:szCs w:val="16"/>
    </w:rPr>
  </w:style>
  <w:style w:type="paragraph" w:styleId="CommentText">
    <w:name w:val="annotation text"/>
    <w:basedOn w:val="Normal"/>
    <w:link w:val="CommentTextChar"/>
    <w:uiPriority w:val="99"/>
    <w:semiHidden/>
    <w:unhideWhenUsed/>
    <w:rsid w:val="00AD71E3"/>
    <w:pPr>
      <w:spacing w:line="240" w:lineRule="auto"/>
    </w:pPr>
    <w:rPr>
      <w:szCs w:val="20"/>
    </w:rPr>
  </w:style>
  <w:style w:type="character" w:customStyle="1" w:styleId="CommentTextChar">
    <w:name w:val="Comment Text Char"/>
    <w:basedOn w:val="DefaultParagraphFont"/>
    <w:link w:val="CommentText"/>
    <w:uiPriority w:val="99"/>
    <w:semiHidden/>
    <w:rsid w:val="00AD71E3"/>
    <w:rPr>
      <w:szCs w:val="20"/>
    </w:rPr>
  </w:style>
  <w:style w:type="paragraph" w:styleId="CommentSubject">
    <w:name w:val="annotation subject"/>
    <w:basedOn w:val="CommentText"/>
    <w:next w:val="CommentText"/>
    <w:link w:val="CommentSubjectChar"/>
    <w:uiPriority w:val="99"/>
    <w:semiHidden/>
    <w:unhideWhenUsed/>
    <w:rsid w:val="00AD71E3"/>
    <w:rPr>
      <w:b/>
      <w:bCs/>
    </w:rPr>
  </w:style>
  <w:style w:type="character" w:customStyle="1" w:styleId="CommentSubjectChar">
    <w:name w:val="Comment Subject Char"/>
    <w:basedOn w:val="CommentTextChar"/>
    <w:link w:val="CommentSubject"/>
    <w:uiPriority w:val="99"/>
    <w:semiHidden/>
    <w:rsid w:val="00AD71E3"/>
    <w:rPr>
      <w:b/>
      <w:bCs/>
      <w:szCs w:val="20"/>
    </w:rPr>
  </w:style>
  <w:style w:type="table" w:styleId="DarkList">
    <w:name w:val="Dark List"/>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785263"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B2831"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593D4A"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593D4A" w:themeFill="accent1" w:themeFillShade="BF"/>
      </w:tcPr>
    </w:tblStylePr>
    <w:tblStylePr w:type="band1Vert">
      <w:tblPr/>
      <w:tcPr>
        <w:tcBorders>
          <w:top w:val="nil"/>
          <w:left w:val="nil"/>
          <w:bottom w:val="nil"/>
          <w:right w:val="nil"/>
          <w:insideH w:val="nil"/>
          <w:insideV w:val="nil"/>
        </w:tcBorders>
        <w:shd w:val="clear" w:color="auto" w:fill="593D4A" w:themeFill="accent1" w:themeFillShade="BF"/>
      </w:tcPr>
    </w:tblStylePr>
    <w:tblStylePr w:type="band1Horz">
      <w:tblPr/>
      <w:tcPr>
        <w:tcBorders>
          <w:top w:val="nil"/>
          <w:left w:val="nil"/>
          <w:bottom w:val="nil"/>
          <w:right w:val="nil"/>
          <w:insideH w:val="nil"/>
          <w:insideV w:val="nil"/>
        </w:tcBorders>
        <w:shd w:val="clear" w:color="auto" w:fill="593D4A" w:themeFill="accent1" w:themeFillShade="BF"/>
      </w:tcPr>
    </w:tblStylePr>
  </w:style>
  <w:style w:type="table" w:styleId="DarkList-Accent2">
    <w:name w:val="Dark List Accent 2"/>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C3C3C3"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16161"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29292"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29292" w:themeFill="accent2" w:themeFillShade="BF"/>
      </w:tcPr>
    </w:tblStylePr>
    <w:tblStylePr w:type="band1Vert">
      <w:tblPr/>
      <w:tcPr>
        <w:tcBorders>
          <w:top w:val="nil"/>
          <w:left w:val="nil"/>
          <w:bottom w:val="nil"/>
          <w:right w:val="nil"/>
          <w:insideH w:val="nil"/>
          <w:insideV w:val="nil"/>
        </w:tcBorders>
        <w:shd w:val="clear" w:color="auto" w:fill="929292" w:themeFill="accent2" w:themeFillShade="BF"/>
      </w:tcPr>
    </w:tblStylePr>
    <w:tblStylePr w:type="band1Horz">
      <w:tblPr/>
      <w:tcPr>
        <w:tcBorders>
          <w:top w:val="nil"/>
          <w:left w:val="nil"/>
          <w:bottom w:val="nil"/>
          <w:right w:val="nil"/>
          <w:insideH w:val="nil"/>
          <w:insideV w:val="nil"/>
        </w:tcBorders>
        <w:shd w:val="clear" w:color="auto" w:fill="929292" w:themeFill="accent2" w:themeFillShade="BF"/>
      </w:tcPr>
    </w:tblStylePr>
  </w:style>
  <w:style w:type="table" w:styleId="DarkList-Accent3">
    <w:name w:val="Dark List Accent 3"/>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F96600"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C3200"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BA4B00"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BA4B00" w:themeFill="accent3" w:themeFillShade="BF"/>
      </w:tcPr>
    </w:tblStylePr>
    <w:tblStylePr w:type="band1Vert">
      <w:tblPr/>
      <w:tcPr>
        <w:tcBorders>
          <w:top w:val="nil"/>
          <w:left w:val="nil"/>
          <w:bottom w:val="nil"/>
          <w:right w:val="nil"/>
          <w:insideH w:val="nil"/>
          <w:insideV w:val="nil"/>
        </w:tcBorders>
        <w:shd w:val="clear" w:color="auto" w:fill="BA4B00" w:themeFill="accent3" w:themeFillShade="BF"/>
      </w:tcPr>
    </w:tblStylePr>
    <w:tblStylePr w:type="band1Horz">
      <w:tblPr/>
      <w:tcPr>
        <w:tcBorders>
          <w:top w:val="nil"/>
          <w:left w:val="nil"/>
          <w:bottom w:val="nil"/>
          <w:right w:val="nil"/>
          <w:insideH w:val="nil"/>
          <w:insideV w:val="nil"/>
        </w:tcBorders>
        <w:shd w:val="clear" w:color="auto" w:fill="BA4B00" w:themeFill="accent3" w:themeFillShade="BF"/>
      </w:tcPr>
    </w:tblStylePr>
  </w:style>
  <w:style w:type="table" w:styleId="DarkList-Accent4">
    <w:name w:val="Dark List Accent 4"/>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3AA9E3"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1577C"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1A83B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1A83BA" w:themeFill="accent4" w:themeFillShade="BF"/>
      </w:tcPr>
    </w:tblStylePr>
    <w:tblStylePr w:type="band1Vert">
      <w:tblPr/>
      <w:tcPr>
        <w:tcBorders>
          <w:top w:val="nil"/>
          <w:left w:val="nil"/>
          <w:bottom w:val="nil"/>
          <w:right w:val="nil"/>
          <w:insideH w:val="nil"/>
          <w:insideV w:val="nil"/>
        </w:tcBorders>
        <w:shd w:val="clear" w:color="auto" w:fill="1A83BA" w:themeFill="accent4" w:themeFillShade="BF"/>
      </w:tcPr>
    </w:tblStylePr>
    <w:tblStylePr w:type="band1Horz">
      <w:tblPr/>
      <w:tcPr>
        <w:tcBorders>
          <w:top w:val="nil"/>
          <w:left w:val="nil"/>
          <w:bottom w:val="nil"/>
          <w:right w:val="nil"/>
          <w:insideH w:val="nil"/>
          <w:insideV w:val="nil"/>
        </w:tcBorders>
        <w:shd w:val="clear" w:color="auto" w:fill="1A83BA" w:themeFill="accent4" w:themeFillShade="BF"/>
      </w:tcPr>
    </w:tblStylePr>
  </w:style>
  <w:style w:type="table" w:styleId="DarkList-Accent5">
    <w:name w:val="Dark List Accent 5"/>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9EAAB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85460"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D7F91"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D7F91" w:themeFill="accent5" w:themeFillShade="BF"/>
      </w:tcPr>
    </w:tblStylePr>
    <w:tblStylePr w:type="band1Vert">
      <w:tblPr/>
      <w:tcPr>
        <w:tcBorders>
          <w:top w:val="nil"/>
          <w:left w:val="nil"/>
          <w:bottom w:val="nil"/>
          <w:right w:val="nil"/>
          <w:insideH w:val="nil"/>
          <w:insideV w:val="nil"/>
        </w:tcBorders>
        <w:shd w:val="clear" w:color="auto" w:fill="6D7F91" w:themeFill="accent5" w:themeFillShade="BF"/>
      </w:tcPr>
    </w:tblStylePr>
    <w:tblStylePr w:type="band1Horz">
      <w:tblPr/>
      <w:tcPr>
        <w:tcBorders>
          <w:top w:val="nil"/>
          <w:left w:val="nil"/>
          <w:bottom w:val="nil"/>
          <w:right w:val="nil"/>
          <w:insideH w:val="nil"/>
          <w:insideV w:val="nil"/>
        </w:tcBorders>
        <w:shd w:val="clear" w:color="auto" w:fill="6D7F91" w:themeFill="accent5" w:themeFillShade="BF"/>
      </w:tcPr>
    </w:tblStylePr>
  </w:style>
  <w:style w:type="table" w:styleId="DarkList-Accent6">
    <w:name w:val="Dark List Accent 6"/>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673573"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AD71E3"/>
  </w:style>
  <w:style w:type="character" w:customStyle="1" w:styleId="DateChar">
    <w:name w:val="Date Char"/>
    <w:basedOn w:val="DefaultParagraphFont"/>
    <w:link w:val="Date"/>
    <w:uiPriority w:val="99"/>
    <w:semiHidden/>
    <w:rsid w:val="00AD71E3"/>
  </w:style>
  <w:style w:type="paragraph" w:styleId="DocumentMap">
    <w:name w:val="Document Map"/>
    <w:basedOn w:val="Normal"/>
    <w:link w:val="DocumentMapChar"/>
    <w:uiPriority w:val="99"/>
    <w:semiHidden/>
    <w:unhideWhenUsed/>
    <w:rsid w:val="00AD71E3"/>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D71E3"/>
    <w:rPr>
      <w:rFonts w:ascii="Segoe UI" w:hAnsi="Segoe UI" w:cs="Segoe UI"/>
      <w:szCs w:val="16"/>
    </w:rPr>
  </w:style>
  <w:style w:type="paragraph" w:styleId="EmailSignature">
    <w:name w:val="E-mail Signature"/>
    <w:basedOn w:val="Normal"/>
    <w:link w:val="EmailSignatureChar"/>
    <w:uiPriority w:val="99"/>
    <w:semiHidden/>
    <w:unhideWhenUsed/>
    <w:rsid w:val="00AD71E3"/>
    <w:pPr>
      <w:spacing w:after="0" w:line="240" w:lineRule="auto"/>
    </w:pPr>
  </w:style>
  <w:style w:type="character" w:customStyle="1" w:styleId="EmailSignatureChar">
    <w:name w:val="Email Signature Char"/>
    <w:basedOn w:val="DefaultParagraphFont"/>
    <w:link w:val="EmailSignature"/>
    <w:uiPriority w:val="99"/>
    <w:semiHidden/>
    <w:rsid w:val="00AD71E3"/>
  </w:style>
  <w:style w:type="character" w:styleId="Emphasis">
    <w:name w:val="Emphasis"/>
    <w:basedOn w:val="DefaultParagraphFont"/>
    <w:uiPriority w:val="20"/>
    <w:semiHidden/>
    <w:unhideWhenUsed/>
    <w:qFormat/>
    <w:rsid w:val="00AD71E3"/>
    <w:rPr>
      <w:i/>
      <w:iCs/>
    </w:rPr>
  </w:style>
  <w:style w:type="character" w:styleId="EndnoteReference">
    <w:name w:val="endnote reference"/>
    <w:basedOn w:val="DefaultParagraphFont"/>
    <w:uiPriority w:val="99"/>
    <w:semiHidden/>
    <w:unhideWhenUsed/>
    <w:rsid w:val="00AD71E3"/>
    <w:rPr>
      <w:vertAlign w:val="superscript"/>
    </w:rPr>
  </w:style>
  <w:style w:type="paragraph" w:styleId="EndnoteText">
    <w:name w:val="endnote text"/>
    <w:basedOn w:val="Normal"/>
    <w:link w:val="EndnoteTextChar"/>
    <w:uiPriority w:val="99"/>
    <w:semiHidden/>
    <w:unhideWhenUsed/>
    <w:rsid w:val="00AD71E3"/>
    <w:pPr>
      <w:spacing w:after="0" w:line="240" w:lineRule="auto"/>
    </w:pPr>
    <w:rPr>
      <w:szCs w:val="20"/>
    </w:rPr>
  </w:style>
  <w:style w:type="character" w:customStyle="1" w:styleId="EndnoteTextChar">
    <w:name w:val="Endnote Text Char"/>
    <w:basedOn w:val="DefaultParagraphFont"/>
    <w:link w:val="EndnoteText"/>
    <w:uiPriority w:val="99"/>
    <w:semiHidden/>
    <w:rsid w:val="00AD71E3"/>
    <w:rPr>
      <w:szCs w:val="20"/>
    </w:rPr>
  </w:style>
  <w:style w:type="paragraph" w:styleId="EnvelopeAddress">
    <w:name w:val="envelope address"/>
    <w:basedOn w:val="Normal"/>
    <w:uiPriority w:val="99"/>
    <w:semiHidden/>
    <w:unhideWhenUsed/>
    <w:rsid w:val="00AD71E3"/>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AD71E3"/>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AD71E3"/>
    <w:rPr>
      <w:color w:val="8A479B" w:themeColor="followedHyperlink"/>
      <w:u w:val="single"/>
    </w:rPr>
  </w:style>
  <w:style w:type="character" w:styleId="FootnoteReference">
    <w:name w:val="footnote reference"/>
    <w:basedOn w:val="DefaultParagraphFont"/>
    <w:uiPriority w:val="99"/>
    <w:semiHidden/>
    <w:unhideWhenUsed/>
    <w:rsid w:val="00AD71E3"/>
    <w:rPr>
      <w:vertAlign w:val="superscript"/>
    </w:rPr>
  </w:style>
  <w:style w:type="paragraph" w:styleId="FootnoteText">
    <w:name w:val="footnote text"/>
    <w:basedOn w:val="Normal"/>
    <w:link w:val="FootnoteTextChar"/>
    <w:uiPriority w:val="99"/>
    <w:semiHidden/>
    <w:unhideWhenUsed/>
    <w:rsid w:val="00AD71E3"/>
    <w:pPr>
      <w:spacing w:after="0" w:line="240" w:lineRule="auto"/>
    </w:pPr>
    <w:rPr>
      <w:szCs w:val="20"/>
    </w:rPr>
  </w:style>
  <w:style w:type="character" w:customStyle="1" w:styleId="FootnoteTextChar">
    <w:name w:val="Footnote Text Char"/>
    <w:basedOn w:val="DefaultParagraphFont"/>
    <w:link w:val="FootnoteText"/>
    <w:uiPriority w:val="99"/>
    <w:semiHidden/>
    <w:rsid w:val="00AD71E3"/>
    <w:rPr>
      <w:szCs w:val="20"/>
    </w:rPr>
  </w:style>
  <w:style w:type="table" w:styleId="GridTable1Light">
    <w:name w:val="Grid Table 1 Light"/>
    <w:basedOn w:val="TableNormal"/>
    <w:uiPriority w:val="46"/>
    <w:rsid w:val="00AD71E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D71E3"/>
    <w:pPr>
      <w:spacing w:after="0" w:line="240" w:lineRule="auto"/>
    </w:pPr>
    <w:tblPr>
      <w:tblStyleRowBandSize w:val="1"/>
      <w:tblStyleColBandSize w:val="1"/>
      <w:tblBorders>
        <w:top w:val="single" w:sz="4" w:space="0" w:color="CDB5C0" w:themeColor="accent1" w:themeTint="66"/>
        <w:left w:val="single" w:sz="4" w:space="0" w:color="CDB5C0" w:themeColor="accent1" w:themeTint="66"/>
        <w:bottom w:val="single" w:sz="4" w:space="0" w:color="CDB5C0" w:themeColor="accent1" w:themeTint="66"/>
        <w:right w:val="single" w:sz="4" w:space="0" w:color="CDB5C0" w:themeColor="accent1" w:themeTint="66"/>
        <w:insideH w:val="single" w:sz="4" w:space="0" w:color="CDB5C0" w:themeColor="accent1" w:themeTint="66"/>
        <w:insideV w:val="single" w:sz="4" w:space="0" w:color="CDB5C0" w:themeColor="accent1" w:themeTint="66"/>
      </w:tblBorders>
    </w:tblPr>
    <w:tblStylePr w:type="firstRow">
      <w:rPr>
        <w:b/>
        <w:bCs/>
      </w:rPr>
      <w:tblPr/>
      <w:tcPr>
        <w:tcBorders>
          <w:bottom w:val="single" w:sz="12" w:space="0" w:color="B491A0" w:themeColor="accent1" w:themeTint="99"/>
        </w:tcBorders>
      </w:tcPr>
    </w:tblStylePr>
    <w:tblStylePr w:type="lastRow">
      <w:rPr>
        <w:b/>
        <w:bCs/>
      </w:rPr>
      <w:tblPr/>
      <w:tcPr>
        <w:tcBorders>
          <w:top w:val="double" w:sz="2" w:space="0" w:color="B491A0"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D71E3"/>
    <w:pPr>
      <w:spacing w:after="0" w:line="240" w:lineRule="auto"/>
    </w:pPr>
    <w:tblPr>
      <w:tblStyleRowBandSize w:val="1"/>
      <w:tblStyleColBandSize w:val="1"/>
      <w:tblBorders>
        <w:top w:val="single" w:sz="4" w:space="0" w:color="E7E7E7" w:themeColor="accent2" w:themeTint="66"/>
        <w:left w:val="single" w:sz="4" w:space="0" w:color="E7E7E7" w:themeColor="accent2" w:themeTint="66"/>
        <w:bottom w:val="single" w:sz="4" w:space="0" w:color="E7E7E7" w:themeColor="accent2" w:themeTint="66"/>
        <w:right w:val="single" w:sz="4" w:space="0" w:color="E7E7E7" w:themeColor="accent2" w:themeTint="66"/>
        <w:insideH w:val="single" w:sz="4" w:space="0" w:color="E7E7E7" w:themeColor="accent2" w:themeTint="66"/>
        <w:insideV w:val="single" w:sz="4" w:space="0" w:color="E7E7E7" w:themeColor="accent2" w:themeTint="66"/>
      </w:tblBorders>
    </w:tblPr>
    <w:tblStylePr w:type="firstRow">
      <w:rPr>
        <w:b/>
        <w:bCs/>
      </w:rPr>
      <w:tblPr/>
      <w:tcPr>
        <w:tcBorders>
          <w:bottom w:val="single" w:sz="12" w:space="0" w:color="DBDBDB" w:themeColor="accent2" w:themeTint="99"/>
        </w:tcBorders>
      </w:tcPr>
    </w:tblStylePr>
    <w:tblStylePr w:type="lastRow">
      <w:rPr>
        <w:b/>
        <w:bCs/>
      </w:rPr>
      <w:tblPr/>
      <w:tcPr>
        <w:tcBorders>
          <w:top w:val="double" w:sz="2" w:space="0" w:color="DBDBDB"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D71E3"/>
    <w:pPr>
      <w:spacing w:after="0" w:line="240" w:lineRule="auto"/>
    </w:pPr>
    <w:tblPr>
      <w:tblStyleRowBandSize w:val="1"/>
      <w:tblStyleColBandSize w:val="1"/>
      <w:tblBorders>
        <w:top w:val="single" w:sz="4" w:space="0" w:color="FFC196" w:themeColor="accent3" w:themeTint="66"/>
        <w:left w:val="single" w:sz="4" w:space="0" w:color="FFC196" w:themeColor="accent3" w:themeTint="66"/>
        <w:bottom w:val="single" w:sz="4" w:space="0" w:color="FFC196" w:themeColor="accent3" w:themeTint="66"/>
        <w:right w:val="single" w:sz="4" w:space="0" w:color="FFC196" w:themeColor="accent3" w:themeTint="66"/>
        <w:insideH w:val="single" w:sz="4" w:space="0" w:color="FFC196" w:themeColor="accent3" w:themeTint="66"/>
        <w:insideV w:val="single" w:sz="4" w:space="0" w:color="FFC196" w:themeColor="accent3" w:themeTint="66"/>
      </w:tblBorders>
    </w:tblPr>
    <w:tblStylePr w:type="firstRow">
      <w:rPr>
        <w:b/>
        <w:bCs/>
      </w:rPr>
      <w:tblPr/>
      <w:tcPr>
        <w:tcBorders>
          <w:bottom w:val="single" w:sz="12" w:space="0" w:color="FFA262" w:themeColor="accent3" w:themeTint="99"/>
        </w:tcBorders>
      </w:tcPr>
    </w:tblStylePr>
    <w:tblStylePr w:type="lastRow">
      <w:rPr>
        <w:b/>
        <w:bCs/>
      </w:rPr>
      <w:tblPr/>
      <w:tcPr>
        <w:tcBorders>
          <w:top w:val="double" w:sz="2" w:space="0" w:color="FFA262"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D71E3"/>
    <w:pPr>
      <w:spacing w:after="0" w:line="240" w:lineRule="auto"/>
    </w:pPr>
    <w:tblPr>
      <w:tblStyleRowBandSize w:val="1"/>
      <w:tblStyleColBandSize w:val="1"/>
      <w:tblBorders>
        <w:top w:val="single" w:sz="4" w:space="0" w:color="B0DCF3" w:themeColor="accent4" w:themeTint="66"/>
        <w:left w:val="single" w:sz="4" w:space="0" w:color="B0DCF3" w:themeColor="accent4" w:themeTint="66"/>
        <w:bottom w:val="single" w:sz="4" w:space="0" w:color="B0DCF3" w:themeColor="accent4" w:themeTint="66"/>
        <w:right w:val="single" w:sz="4" w:space="0" w:color="B0DCF3" w:themeColor="accent4" w:themeTint="66"/>
        <w:insideH w:val="single" w:sz="4" w:space="0" w:color="B0DCF3" w:themeColor="accent4" w:themeTint="66"/>
        <w:insideV w:val="single" w:sz="4" w:space="0" w:color="B0DCF3" w:themeColor="accent4" w:themeTint="66"/>
      </w:tblBorders>
    </w:tblPr>
    <w:tblStylePr w:type="firstRow">
      <w:rPr>
        <w:b/>
        <w:bCs/>
      </w:rPr>
      <w:tblPr/>
      <w:tcPr>
        <w:tcBorders>
          <w:bottom w:val="single" w:sz="12" w:space="0" w:color="88CBEE" w:themeColor="accent4" w:themeTint="99"/>
        </w:tcBorders>
      </w:tcPr>
    </w:tblStylePr>
    <w:tblStylePr w:type="lastRow">
      <w:rPr>
        <w:b/>
        <w:bCs/>
      </w:rPr>
      <w:tblPr/>
      <w:tcPr>
        <w:tcBorders>
          <w:top w:val="double" w:sz="2" w:space="0" w:color="88CBEE"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D71E3"/>
    <w:pPr>
      <w:spacing w:after="0" w:line="240" w:lineRule="auto"/>
    </w:pPr>
    <w:tblPr>
      <w:tblStyleRowBandSize w:val="1"/>
      <w:tblStyleColBandSize w:val="1"/>
      <w:tblBorders>
        <w:top w:val="single" w:sz="4" w:space="0" w:color="D8DCE1" w:themeColor="accent5" w:themeTint="66"/>
        <w:left w:val="single" w:sz="4" w:space="0" w:color="D8DCE1" w:themeColor="accent5" w:themeTint="66"/>
        <w:bottom w:val="single" w:sz="4" w:space="0" w:color="D8DCE1" w:themeColor="accent5" w:themeTint="66"/>
        <w:right w:val="single" w:sz="4" w:space="0" w:color="D8DCE1" w:themeColor="accent5" w:themeTint="66"/>
        <w:insideH w:val="single" w:sz="4" w:space="0" w:color="D8DCE1" w:themeColor="accent5" w:themeTint="66"/>
        <w:insideV w:val="single" w:sz="4" w:space="0" w:color="D8DCE1" w:themeColor="accent5" w:themeTint="66"/>
      </w:tblBorders>
    </w:tblPr>
    <w:tblStylePr w:type="firstRow">
      <w:rPr>
        <w:b/>
        <w:bCs/>
      </w:rPr>
      <w:tblPr/>
      <w:tcPr>
        <w:tcBorders>
          <w:bottom w:val="single" w:sz="12" w:space="0" w:color="C4CBD3" w:themeColor="accent5" w:themeTint="99"/>
        </w:tcBorders>
      </w:tcPr>
    </w:tblStylePr>
    <w:tblStylePr w:type="lastRow">
      <w:rPr>
        <w:b/>
        <w:bCs/>
      </w:rPr>
      <w:tblPr/>
      <w:tcPr>
        <w:tcBorders>
          <w:top w:val="double" w:sz="2" w:space="0" w:color="C4CBD3"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D71E3"/>
    <w:pPr>
      <w:spacing w:after="0" w:line="240" w:lineRule="auto"/>
    </w:pPr>
    <w:tblPr>
      <w:tblStyleRowBandSize w:val="1"/>
      <w:tblStyleColBandSize w:val="1"/>
      <w:tblBorders>
        <w:top w:val="single" w:sz="4" w:space="0" w:color="D2B1DB" w:themeColor="accent6" w:themeTint="66"/>
        <w:left w:val="single" w:sz="4" w:space="0" w:color="D2B1DB" w:themeColor="accent6" w:themeTint="66"/>
        <w:bottom w:val="single" w:sz="4" w:space="0" w:color="D2B1DB" w:themeColor="accent6" w:themeTint="66"/>
        <w:right w:val="single" w:sz="4" w:space="0" w:color="D2B1DB" w:themeColor="accent6" w:themeTint="66"/>
        <w:insideH w:val="single" w:sz="4" w:space="0" w:color="D2B1DB" w:themeColor="accent6" w:themeTint="66"/>
        <w:insideV w:val="single" w:sz="4" w:space="0" w:color="D2B1DB" w:themeColor="accent6" w:themeTint="66"/>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2" w:space="0" w:color="BC89C9"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AD71E3"/>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D71E3"/>
    <w:pPr>
      <w:spacing w:after="0" w:line="240" w:lineRule="auto"/>
    </w:pPr>
    <w:tblPr>
      <w:tblStyleRowBandSize w:val="1"/>
      <w:tblStyleColBandSize w:val="1"/>
      <w:tblBorders>
        <w:top w:val="single" w:sz="2" w:space="0" w:color="B491A0" w:themeColor="accent1" w:themeTint="99"/>
        <w:bottom w:val="single" w:sz="2" w:space="0" w:color="B491A0" w:themeColor="accent1" w:themeTint="99"/>
        <w:insideH w:val="single" w:sz="2" w:space="0" w:color="B491A0" w:themeColor="accent1" w:themeTint="99"/>
        <w:insideV w:val="single" w:sz="2" w:space="0" w:color="B491A0" w:themeColor="accent1" w:themeTint="99"/>
      </w:tblBorders>
    </w:tblPr>
    <w:tblStylePr w:type="firstRow">
      <w:rPr>
        <w:b/>
        <w:bCs/>
      </w:rPr>
      <w:tblPr/>
      <w:tcPr>
        <w:tcBorders>
          <w:top w:val="nil"/>
          <w:bottom w:val="single" w:sz="12" w:space="0" w:color="B491A0" w:themeColor="accent1" w:themeTint="99"/>
          <w:insideH w:val="nil"/>
          <w:insideV w:val="nil"/>
        </w:tcBorders>
        <w:shd w:val="clear" w:color="auto" w:fill="FFFFFF" w:themeFill="background1"/>
      </w:tcPr>
    </w:tblStylePr>
    <w:tblStylePr w:type="lastRow">
      <w:rPr>
        <w:b/>
        <w:bCs/>
      </w:rPr>
      <w:tblPr/>
      <w:tcPr>
        <w:tcBorders>
          <w:top w:val="double" w:sz="2" w:space="0" w:color="B491A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2-Accent2">
    <w:name w:val="Grid Table 2 Accent 2"/>
    <w:basedOn w:val="TableNormal"/>
    <w:uiPriority w:val="47"/>
    <w:rsid w:val="00AD71E3"/>
    <w:pPr>
      <w:spacing w:after="0" w:line="240" w:lineRule="auto"/>
    </w:pPr>
    <w:tblPr>
      <w:tblStyleRowBandSize w:val="1"/>
      <w:tblStyleColBandSize w:val="1"/>
      <w:tblBorders>
        <w:top w:val="single" w:sz="2" w:space="0" w:color="DBDBDB" w:themeColor="accent2" w:themeTint="99"/>
        <w:bottom w:val="single" w:sz="2" w:space="0" w:color="DBDBDB" w:themeColor="accent2" w:themeTint="99"/>
        <w:insideH w:val="single" w:sz="2" w:space="0" w:color="DBDBDB" w:themeColor="accent2" w:themeTint="99"/>
        <w:insideV w:val="single" w:sz="2" w:space="0" w:color="DBDBDB" w:themeColor="accent2" w:themeTint="99"/>
      </w:tblBorders>
    </w:tblPr>
    <w:tblStylePr w:type="firstRow">
      <w:rPr>
        <w:b/>
        <w:bCs/>
      </w:rPr>
      <w:tblPr/>
      <w:tcPr>
        <w:tcBorders>
          <w:top w:val="nil"/>
          <w:bottom w:val="single" w:sz="12" w:space="0" w:color="DBDBDB" w:themeColor="accent2" w:themeTint="99"/>
          <w:insideH w:val="nil"/>
          <w:insideV w:val="nil"/>
        </w:tcBorders>
        <w:shd w:val="clear" w:color="auto" w:fill="FFFFFF" w:themeFill="background1"/>
      </w:tcPr>
    </w:tblStylePr>
    <w:tblStylePr w:type="lastRow">
      <w:rPr>
        <w:b/>
        <w:bCs/>
      </w:rPr>
      <w:tblPr/>
      <w:tcPr>
        <w:tcBorders>
          <w:top w:val="double" w:sz="2" w:space="0" w:color="DBDBDB"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2-Accent3">
    <w:name w:val="Grid Table 2 Accent 3"/>
    <w:basedOn w:val="TableNormal"/>
    <w:uiPriority w:val="47"/>
    <w:rsid w:val="00AD71E3"/>
    <w:pPr>
      <w:spacing w:after="0" w:line="240" w:lineRule="auto"/>
    </w:pPr>
    <w:tblPr>
      <w:tblStyleRowBandSize w:val="1"/>
      <w:tblStyleColBandSize w:val="1"/>
      <w:tblBorders>
        <w:top w:val="single" w:sz="2" w:space="0" w:color="FFA262" w:themeColor="accent3" w:themeTint="99"/>
        <w:bottom w:val="single" w:sz="2" w:space="0" w:color="FFA262" w:themeColor="accent3" w:themeTint="99"/>
        <w:insideH w:val="single" w:sz="2" w:space="0" w:color="FFA262" w:themeColor="accent3" w:themeTint="99"/>
        <w:insideV w:val="single" w:sz="2" w:space="0" w:color="FFA262" w:themeColor="accent3" w:themeTint="99"/>
      </w:tblBorders>
    </w:tblPr>
    <w:tblStylePr w:type="firstRow">
      <w:rPr>
        <w:b/>
        <w:bCs/>
      </w:rPr>
      <w:tblPr/>
      <w:tcPr>
        <w:tcBorders>
          <w:top w:val="nil"/>
          <w:bottom w:val="single" w:sz="12" w:space="0" w:color="FFA262" w:themeColor="accent3" w:themeTint="99"/>
          <w:insideH w:val="nil"/>
          <w:insideV w:val="nil"/>
        </w:tcBorders>
        <w:shd w:val="clear" w:color="auto" w:fill="FFFFFF" w:themeFill="background1"/>
      </w:tcPr>
    </w:tblStylePr>
    <w:tblStylePr w:type="lastRow">
      <w:rPr>
        <w:b/>
        <w:bCs/>
      </w:rPr>
      <w:tblPr/>
      <w:tcPr>
        <w:tcBorders>
          <w:top w:val="double" w:sz="2" w:space="0" w:color="FFA262"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2-Accent4">
    <w:name w:val="Grid Table 2 Accent 4"/>
    <w:basedOn w:val="TableNormal"/>
    <w:uiPriority w:val="47"/>
    <w:rsid w:val="00AD71E3"/>
    <w:pPr>
      <w:spacing w:after="0" w:line="240" w:lineRule="auto"/>
    </w:pPr>
    <w:tblPr>
      <w:tblStyleRowBandSize w:val="1"/>
      <w:tblStyleColBandSize w:val="1"/>
      <w:tblBorders>
        <w:top w:val="single" w:sz="2" w:space="0" w:color="88CBEE" w:themeColor="accent4" w:themeTint="99"/>
        <w:bottom w:val="single" w:sz="2" w:space="0" w:color="88CBEE" w:themeColor="accent4" w:themeTint="99"/>
        <w:insideH w:val="single" w:sz="2" w:space="0" w:color="88CBEE" w:themeColor="accent4" w:themeTint="99"/>
        <w:insideV w:val="single" w:sz="2" w:space="0" w:color="88CBEE" w:themeColor="accent4" w:themeTint="99"/>
      </w:tblBorders>
    </w:tblPr>
    <w:tblStylePr w:type="firstRow">
      <w:rPr>
        <w:b/>
        <w:bCs/>
      </w:rPr>
      <w:tblPr/>
      <w:tcPr>
        <w:tcBorders>
          <w:top w:val="nil"/>
          <w:bottom w:val="single" w:sz="12" w:space="0" w:color="88CBEE" w:themeColor="accent4" w:themeTint="99"/>
          <w:insideH w:val="nil"/>
          <w:insideV w:val="nil"/>
        </w:tcBorders>
        <w:shd w:val="clear" w:color="auto" w:fill="FFFFFF" w:themeFill="background1"/>
      </w:tcPr>
    </w:tblStylePr>
    <w:tblStylePr w:type="lastRow">
      <w:rPr>
        <w:b/>
        <w:bCs/>
      </w:rPr>
      <w:tblPr/>
      <w:tcPr>
        <w:tcBorders>
          <w:top w:val="double" w:sz="2" w:space="0" w:color="88CBEE"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2-Accent5">
    <w:name w:val="Grid Table 2 Accent 5"/>
    <w:basedOn w:val="TableNormal"/>
    <w:uiPriority w:val="47"/>
    <w:rsid w:val="00AD71E3"/>
    <w:pPr>
      <w:spacing w:after="0" w:line="240" w:lineRule="auto"/>
    </w:pPr>
    <w:tblPr>
      <w:tblStyleRowBandSize w:val="1"/>
      <w:tblStyleColBandSize w:val="1"/>
      <w:tblBorders>
        <w:top w:val="single" w:sz="2" w:space="0" w:color="C4CBD3" w:themeColor="accent5" w:themeTint="99"/>
        <w:bottom w:val="single" w:sz="2" w:space="0" w:color="C4CBD3" w:themeColor="accent5" w:themeTint="99"/>
        <w:insideH w:val="single" w:sz="2" w:space="0" w:color="C4CBD3" w:themeColor="accent5" w:themeTint="99"/>
        <w:insideV w:val="single" w:sz="2" w:space="0" w:color="C4CBD3" w:themeColor="accent5" w:themeTint="99"/>
      </w:tblBorders>
    </w:tblPr>
    <w:tblStylePr w:type="firstRow">
      <w:rPr>
        <w:b/>
        <w:bCs/>
      </w:rPr>
      <w:tblPr/>
      <w:tcPr>
        <w:tcBorders>
          <w:top w:val="nil"/>
          <w:bottom w:val="single" w:sz="12" w:space="0" w:color="C4CBD3" w:themeColor="accent5" w:themeTint="99"/>
          <w:insideH w:val="nil"/>
          <w:insideV w:val="nil"/>
        </w:tcBorders>
        <w:shd w:val="clear" w:color="auto" w:fill="FFFFFF" w:themeFill="background1"/>
      </w:tcPr>
    </w:tblStylePr>
    <w:tblStylePr w:type="lastRow">
      <w:rPr>
        <w:b/>
        <w:bCs/>
      </w:rPr>
      <w:tblPr/>
      <w:tcPr>
        <w:tcBorders>
          <w:top w:val="double" w:sz="2" w:space="0" w:color="C4CBD3"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2-Accent6">
    <w:name w:val="Grid Table 2 Accent 6"/>
    <w:basedOn w:val="TableNormal"/>
    <w:uiPriority w:val="47"/>
    <w:rsid w:val="00AD71E3"/>
    <w:pPr>
      <w:spacing w:after="0" w:line="240" w:lineRule="auto"/>
    </w:pPr>
    <w:tblPr>
      <w:tblStyleRowBandSize w:val="1"/>
      <w:tblStyleColBandSize w:val="1"/>
      <w:tblBorders>
        <w:top w:val="single" w:sz="2" w:space="0" w:color="BC89C9" w:themeColor="accent6" w:themeTint="99"/>
        <w:bottom w:val="single" w:sz="2" w:space="0" w:color="BC89C9" w:themeColor="accent6" w:themeTint="99"/>
        <w:insideH w:val="single" w:sz="2" w:space="0" w:color="BC89C9" w:themeColor="accent6" w:themeTint="99"/>
        <w:insideV w:val="single" w:sz="2" w:space="0" w:color="BC89C9" w:themeColor="accent6" w:themeTint="99"/>
      </w:tblBorders>
    </w:tblPr>
    <w:tblStylePr w:type="firstRow">
      <w:rPr>
        <w:b/>
        <w:bCs/>
      </w:rPr>
      <w:tblPr/>
      <w:tcPr>
        <w:tcBorders>
          <w:top w:val="nil"/>
          <w:bottom w:val="single" w:sz="12" w:space="0" w:color="BC89C9" w:themeColor="accent6" w:themeTint="99"/>
          <w:insideH w:val="nil"/>
          <w:insideV w:val="nil"/>
        </w:tcBorders>
        <w:shd w:val="clear" w:color="auto" w:fill="FFFFFF" w:themeFill="background1"/>
      </w:tcPr>
    </w:tblStylePr>
    <w:tblStylePr w:type="lastRow">
      <w:rPr>
        <w:b/>
        <w:bCs/>
      </w:rPr>
      <w:tblPr/>
      <w:tcPr>
        <w:tcBorders>
          <w:top w:val="double" w:sz="2" w:space="0" w:color="BC89C9"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sz="4" w:space="0" w:color="B491A0" w:themeColor="accent1" w:themeTint="99"/>
        </w:tcBorders>
      </w:tcPr>
    </w:tblStylePr>
    <w:tblStylePr w:type="nwCell">
      <w:tblPr/>
      <w:tcPr>
        <w:tcBorders>
          <w:bottom w:val="single" w:sz="4" w:space="0" w:color="B491A0" w:themeColor="accent1" w:themeTint="99"/>
        </w:tcBorders>
      </w:tcPr>
    </w:tblStylePr>
    <w:tblStylePr w:type="seCell">
      <w:tblPr/>
      <w:tcPr>
        <w:tcBorders>
          <w:top w:val="single" w:sz="4" w:space="0" w:color="B491A0" w:themeColor="accent1" w:themeTint="99"/>
        </w:tcBorders>
      </w:tcPr>
    </w:tblStylePr>
    <w:tblStylePr w:type="swCell">
      <w:tblPr/>
      <w:tcPr>
        <w:tcBorders>
          <w:top w:val="single" w:sz="4" w:space="0" w:color="B491A0" w:themeColor="accent1" w:themeTint="99"/>
        </w:tcBorders>
      </w:tcPr>
    </w:tblStylePr>
  </w:style>
  <w:style w:type="table" w:styleId="GridTable3-Accent2">
    <w:name w:val="Grid Table 3 Accent 2"/>
    <w:basedOn w:val="TableNormal"/>
    <w:uiPriority w:val="48"/>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sz="4" w:space="0" w:color="DBDBDB" w:themeColor="accent2" w:themeTint="99"/>
        </w:tcBorders>
      </w:tcPr>
    </w:tblStylePr>
    <w:tblStylePr w:type="nwCell">
      <w:tblPr/>
      <w:tcPr>
        <w:tcBorders>
          <w:bottom w:val="single" w:sz="4" w:space="0" w:color="DBDBDB" w:themeColor="accent2" w:themeTint="99"/>
        </w:tcBorders>
      </w:tcPr>
    </w:tblStylePr>
    <w:tblStylePr w:type="seCell">
      <w:tblPr/>
      <w:tcPr>
        <w:tcBorders>
          <w:top w:val="single" w:sz="4" w:space="0" w:color="DBDBDB" w:themeColor="accent2" w:themeTint="99"/>
        </w:tcBorders>
      </w:tcPr>
    </w:tblStylePr>
    <w:tblStylePr w:type="swCell">
      <w:tblPr/>
      <w:tcPr>
        <w:tcBorders>
          <w:top w:val="single" w:sz="4" w:space="0" w:color="DBDBDB" w:themeColor="accent2" w:themeTint="99"/>
        </w:tcBorders>
      </w:tcPr>
    </w:tblStylePr>
  </w:style>
  <w:style w:type="table" w:styleId="GridTable3-Accent3">
    <w:name w:val="Grid Table 3 Accent 3"/>
    <w:basedOn w:val="TableNormal"/>
    <w:uiPriority w:val="48"/>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sz="4" w:space="0" w:color="FFA262" w:themeColor="accent3" w:themeTint="99"/>
        </w:tcBorders>
      </w:tcPr>
    </w:tblStylePr>
    <w:tblStylePr w:type="nwCell">
      <w:tblPr/>
      <w:tcPr>
        <w:tcBorders>
          <w:bottom w:val="single" w:sz="4" w:space="0" w:color="FFA262" w:themeColor="accent3" w:themeTint="99"/>
        </w:tcBorders>
      </w:tcPr>
    </w:tblStylePr>
    <w:tblStylePr w:type="seCell">
      <w:tblPr/>
      <w:tcPr>
        <w:tcBorders>
          <w:top w:val="single" w:sz="4" w:space="0" w:color="FFA262" w:themeColor="accent3" w:themeTint="99"/>
        </w:tcBorders>
      </w:tcPr>
    </w:tblStylePr>
    <w:tblStylePr w:type="swCell">
      <w:tblPr/>
      <w:tcPr>
        <w:tcBorders>
          <w:top w:val="single" w:sz="4" w:space="0" w:color="FFA262" w:themeColor="accent3" w:themeTint="99"/>
        </w:tcBorders>
      </w:tcPr>
    </w:tblStylePr>
  </w:style>
  <w:style w:type="table" w:styleId="GridTable3-Accent4">
    <w:name w:val="Grid Table 3 Accent 4"/>
    <w:basedOn w:val="TableNormal"/>
    <w:uiPriority w:val="48"/>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sz="4" w:space="0" w:color="88CBEE" w:themeColor="accent4" w:themeTint="99"/>
        </w:tcBorders>
      </w:tcPr>
    </w:tblStylePr>
    <w:tblStylePr w:type="nwCell">
      <w:tblPr/>
      <w:tcPr>
        <w:tcBorders>
          <w:bottom w:val="single" w:sz="4" w:space="0" w:color="88CBEE" w:themeColor="accent4" w:themeTint="99"/>
        </w:tcBorders>
      </w:tcPr>
    </w:tblStylePr>
    <w:tblStylePr w:type="seCell">
      <w:tblPr/>
      <w:tcPr>
        <w:tcBorders>
          <w:top w:val="single" w:sz="4" w:space="0" w:color="88CBEE" w:themeColor="accent4" w:themeTint="99"/>
        </w:tcBorders>
      </w:tcPr>
    </w:tblStylePr>
    <w:tblStylePr w:type="swCell">
      <w:tblPr/>
      <w:tcPr>
        <w:tcBorders>
          <w:top w:val="single" w:sz="4" w:space="0" w:color="88CBEE" w:themeColor="accent4" w:themeTint="99"/>
        </w:tcBorders>
      </w:tcPr>
    </w:tblStylePr>
  </w:style>
  <w:style w:type="table" w:styleId="GridTable3-Accent5">
    <w:name w:val="Grid Table 3 Accent 5"/>
    <w:basedOn w:val="TableNormal"/>
    <w:uiPriority w:val="48"/>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sz="4" w:space="0" w:color="C4CBD3" w:themeColor="accent5" w:themeTint="99"/>
        </w:tcBorders>
      </w:tcPr>
    </w:tblStylePr>
    <w:tblStylePr w:type="nwCell">
      <w:tblPr/>
      <w:tcPr>
        <w:tcBorders>
          <w:bottom w:val="single" w:sz="4" w:space="0" w:color="C4CBD3" w:themeColor="accent5" w:themeTint="99"/>
        </w:tcBorders>
      </w:tcPr>
    </w:tblStylePr>
    <w:tblStylePr w:type="seCell">
      <w:tblPr/>
      <w:tcPr>
        <w:tcBorders>
          <w:top w:val="single" w:sz="4" w:space="0" w:color="C4CBD3" w:themeColor="accent5" w:themeTint="99"/>
        </w:tcBorders>
      </w:tcPr>
    </w:tblStylePr>
    <w:tblStylePr w:type="swCell">
      <w:tblPr/>
      <w:tcPr>
        <w:tcBorders>
          <w:top w:val="single" w:sz="4" w:space="0" w:color="C4CBD3" w:themeColor="accent5" w:themeTint="99"/>
        </w:tcBorders>
      </w:tcPr>
    </w:tblStylePr>
  </w:style>
  <w:style w:type="table" w:styleId="GridTable3-Accent6">
    <w:name w:val="Grid Table 3 Accent 6"/>
    <w:basedOn w:val="TableNormal"/>
    <w:uiPriority w:val="48"/>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table" w:styleId="GridTable4">
    <w:name w:val="Grid Table 4"/>
    <w:basedOn w:val="TableNormal"/>
    <w:uiPriority w:val="49"/>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color w:val="FFFFFF" w:themeColor="background1"/>
      </w:rPr>
      <w:tblPr/>
      <w:tcPr>
        <w:tcBorders>
          <w:top w:val="single" w:sz="4" w:space="0" w:color="785263" w:themeColor="accent1"/>
          <w:left w:val="single" w:sz="4" w:space="0" w:color="785263" w:themeColor="accent1"/>
          <w:bottom w:val="single" w:sz="4" w:space="0" w:color="785263" w:themeColor="accent1"/>
          <w:right w:val="single" w:sz="4" w:space="0" w:color="785263" w:themeColor="accent1"/>
          <w:insideH w:val="nil"/>
          <w:insideV w:val="nil"/>
        </w:tcBorders>
        <w:shd w:val="clear" w:color="auto" w:fill="785263" w:themeFill="accent1"/>
      </w:tcPr>
    </w:tblStylePr>
    <w:tblStylePr w:type="lastRow">
      <w:rPr>
        <w:b/>
        <w:bCs/>
      </w:rPr>
      <w:tblPr/>
      <w:tcPr>
        <w:tcBorders>
          <w:top w:val="double" w:sz="4" w:space="0" w:color="785263" w:themeColor="accent1"/>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4-Accent2">
    <w:name w:val="Grid Table 4 Accent 2"/>
    <w:basedOn w:val="TableNormal"/>
    <w:uiPriority w:val="49"/>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color w:val="FFFFFF" w:themeColor="background1"/>
      </w:rPr>
      <w:tblPr/>
      <w:tcPr>
        <w:tcBorders>
          <w:top w:val="single" w:sz="4" w:space="0" w:color="C3C3C3" w:themeColor="accent2"/>
          <w:left w:val="single" w:sz="4" w:space="0" w:color="C3C3C3" w:themeColor="accent2"/>
          <w:bottom w:val="single" w:sz="4" w:space="0" w:color="C3C3C3" w:themeColor="accent2"/>
          <w:right w:val="single" w:sz="4" w:space="0" w:color="C3C3C3" w:themeColor="accent2"/>
          <w:insideH w:val="nil"/>
          <w:insideV w:val="nil"/>
        </w:tcBorders>
        <w:shd w:val="clear" w:color="auto" w:fill="C3C3C3" w:themeFill="accent2"/>
      </w:tcPr>
    </w:tblStylePr>
    <w:tblStylePr w:type="lastRow">
      <w:rPr>
        <w:b/>
        <w:bCs/>
      </w:rPr>
      <w:tblPr/>
      <w:tcPr>
        <w:tcBorders>
          <w:top w:val="double" w:sz="4" w:space="0" w:color="C3C3C3" w:themeColor="accent2"/>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4-Accent3">
    <w:name w:val="Grid Table 4 Accent 3"/>
    <w:basedOn w:val="TableNormal"/>
    <w:uiPriority w:val="49"/>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color w:val="FFFFFF" w:themeColor="background1"/>
      </w:rPr>
      <w:tblPr/>
      <w:tcPr>
        <w:tcBorders>
          <w:top w:val="single" w:sz="4" w:space="0" w:color="F96600" w:themeColor="accent3"/>
          <w:left w:val="single" w:sz="4" w:space="0" w:color="F96600" w:themeColor="accent3"/>
          <w:bottom w:val="single" w:sz="4" w:space="0" w:color="F96600" w:themeColor="accent3"/>
          <w:right w:val="single" w:sz="4" w:space="0" w:color="F96600" w:themeColor="accent3"/>
          <w:insideH w:val="nil"/>
          <w:insideV w:val="nil"/>
        </w:tcBorders>
        <w:shd w:val="clear" w:color="auto" w:fill="F96600" w:themeFill="accent3"/>
      </w:tcPr>
    </w:tblStylePr>
    <w:tblStylePr w:type="lastRow">
      <w:rPr>
        <w:b/>
        <w:bCs/>
      </w:rPr>
      <w:tblPr/>
      <w:tcPr>
        <w:tcBorders>
          <w:top w:val="double" w:sz="4" w:space="0" w:color="F96600" w:themeColor="accent3"/>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4-Accent4">
    <w:name w:val="Grid Table 4 Accent 4"/>
    <w:basedOn w:val="TableNormal"/>
    <w:uiPriority w:val="49"/>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color w:val="FFFFFF" w:themeColor="background1"/>
      </w:rPr>
      <w:tblPr/>
      <w:tcPr>
        <w:tcBorders>
          <w:top w:val="single" w:sz="4" w:space="0" w:color="3AA9E3" w:themeColor="accent4"/>
          <w:left w:val="single" w:sz="4" w:space="0" w:color="3AA9E3" w:themeColor="accent4"/>
          <w:bottom w:val="single" w:sz="4" w:space="0" w:color="3AA9E3" w:themeColor="accent4"/>
          <w:right w:val="single" w:sz="4" w:space="0" w:color="3AA9E3" w:themeColor="accent4"/>
          <w:insideH w:val="nil"/>
          <w:insideV w:val="nil"/>
        </w:tcBorders>
        <w:shd w:val="clear" w:color="auto" w:fill="3AA9E3" w:themeFill="accent4"/>
      </w:tcPr>
    </w:tblStylePr>
    <w:tblStylePr w:type="lastRow">
      <w:rPr>
        <w:b/>
        <w:bCs/>
      </w:rPr>
      <w:tblPr/>
      <w:tcPr>
        <w:tcBorders>
          <w:top w:val="double" w:sz="4" w:space="0" w:color="3AA9E3" w:themeColor="accent4"/>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4-Accent5">
    <w:name w:val="Grid Table 4 Accent 5"/>
    <w:basedOn w:val="TableNormal"/>
    <w:uiPriority w:val="49"/>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color w:val="FFFFFF" w:themeColor="background1"/>
      </w:rPr>
      <w:tblPr/>
      <w:tcPr>
        <w:tcBorders>
          <w:top w:val="single" w:sz="4" w:space="0" w:color="9EAAB6" w:themeColor="accent5"/>
          <w:left w:val="single" w:sz="4" w:space="0" w:color="9EAAB6" w:themeColor="accent5"/>
          <w:bottom w:val="single" w:sz="4" w:space="0" w:color="9EAAB6" w:themeColor="accent5"/>
          <w:right w:val="single" w:sz="4" w:space="0" w:color="9EAAB6" w:themeColor="accent5"/>
          <w:insideH w:val="nil"/>
          <w:insideV w:val="nil"/>
        </w:tcBorders>
        <w:shd w:val="clear" w:color="auto" w:fill="9EAAB6" w:themeFill="accent5"/>
      </w:tcPr>
    </w:tblStylePr>
    <w:tblStylePr w:type="lastRow">
      <w:rPr>
        <w:b/>
        <w:bCs/>
      </w:rPr>
      <w:tblPr/>
      <w:tcPr>
        <w:tcBorders>
          <w:top w:val="double" w:sz="4" w:space="0" w:color="9EAAB6" w:themeColor="accent5"/>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4-Accent6">
    <w:name w:val="Grid Table 4 Accent 6"/>
    <w:basedOn w:val="TableNormal"/>
    <w:uiPriority w:val="49"/>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insideV w:val="nil"/>
        </w:tcBorders>
        <w:shd w:val="clear" w:color="auto" w:fill="8A479B" w:themeFill="accent6"/>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6DAD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85263"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85263"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85263"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85263" w:themeFill="accent1"/>
      </w:tcPr>
    </w:tblStylePr>
    <w:tblStylePr w:type="band1Vert">
      <w:tblPr/>
      <w:tcPr>
        <w:shd w:val="clear" w:color="auto" w:fill="CDB5C0" w:themeFill="accent1" w:themeFillTint="66"/>
      </w:tcPr>
    </w:tblStylePr>
    <w:tblStylePr w:type="band1Horz">
      <w:tblPr/>
      <w:tcPr>
        <w:shd w:val="clear" w:color="auto" w:fill="CDB5C0" w:themeFill="accent1" w:themeFillTint="66"/>
      </w:tcPr>
    </w:tblStylePr>
  </w:style>
  <w:style w:type="table" w:styleId="GridTable5Dark-Accent2">
    <w:name w:val="Grid Table 5 Dark Accent 2"/>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3F3F3"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3C3C3"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3C3C3"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3C3C3"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3C3C3" w:themeFill="accent2"/>
      </w:tcPr>
    </w:tblStylePr>
    <w:tblStylePr w:type="band1Vert">
      <w:tblPr/>
      <w:tcPr>
        <w:shd w:val="clear" w:color="auto" w:fill="E7E7E7" w:themeFill="accent2" w:themeFillTint="66"/>
      </w:tcPr>
    </w:tblStylePr>
    <w:tblStylePr w:type="band1Horz">
      <w:tblPr/>
      <w:tcPr>
        <w:shd w:val="clear" w:color="auto" w:fill="E7E7E7" w:themeFill="accent2" w:themeFillTint="66"/>
      </w:tcPr>
    </w:tblStylePr>
  </w:style>
  <w:style w:type="table" w:styleId="GridTable5Dark-Accent3">
    <w:name w:val="Grid Table 5 Dark Accent 3"/>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E0CA"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96600"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96600"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96600"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96600" w:themeFill="accent3"/>
      </w:tcPr>
    </w:tblStylePr>
    <w:tblStylePr w:type="band1Vert">
      <w:tblPr/>
      <w:tcPr>
        <w:shd w:val="clear" w:color="auto" w:fill="FFC196" w:themeFill="accent3" w:themeFillTint="66"/>
      </w:tcPr>
    </w:tblStylePr>
    <w:tblStylePr w:type="band1Horz">
      <w:tblPr/>
      <w:tcPr>
        <w:shd w:val="clear" w:color="auto" w:fill="FFC196" w:themeFill="accent3" w:themeFillTint="66"/>
      </w:tcPr>
    </w:tblStylePr>
  </w:style>
  <w:style w:type="table" w:styleId="GridTable5Dark-Accent4">
    <w:name w:val="Grid Table 5 Dark Accent 4"/>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7EDF9"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AA9E3"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AA9E3"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AA9E3"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AA9E3" w:themeFill="accent4"/>
      </w:tcPr>
    </w:tblStylePr>
    <w:tblStylePr w:type="band1Vert">
      <w:tblPr/>
      <w:tcPr>
        <w:shd w:val="clear" w:color="auto" w:fill="B0DCF3" w:themeFill="accent4" w:themeFillTint="66"/>
      </w:tcPr>
    </w:tblStylePr>
    <w:tblStylePr w:type="band1Horz">
      <w:tblPr/>
      <w:tcPr>
        <w:shd w:val="clear" w:color="auto" w:fill="B0DCF3" w:themeFill="accent4" w:themeFillTint="66"/>
      </w:tcPr>
    </w:tblStylePr>
  </w:style>
  <w:style w:type="table" w:styleId="GridTable5Dark-Accent5">
    <w:name w:val="Grid Table 5 Dark Accent 5"/>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BEDF0"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EAAB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EAAB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EAAB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EAAB6" w:themeFill="accent5"/>
      </w:tcPr>
    </w:tblStylePr>
    <w:tblStylePr w:type="band1Vert">
      <w:tblPr/>
      <w:tcPr>
        <w:shd w:val="clear" w:color="auto" w:fill="D8DCE1" w:themeFill="accent5" w:themeFillTint="66"/>
      </w:tcPr>
    </w:tblStylePr>
    <w:tblStylePr w:type="band1Horz">
      <w:tblPr/>
      <w:tcPr>
        <w:shd w:val="clear" w:color="auto" w:fill="D8DCE1" w:themeFill="accent5" w:themeFillTint="66"/>
      </w:tcPr>
    </w:tblStylePr>
  </w:style>
  <w:style w:type="table" w:styleId="GridTable5Dark-Accent6">
    <w:name w:val="Grid Table 5 Dark Accent 6"/>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8D7ED"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A479B"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A479B"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A479B"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urful">
    <w:name w:val="Grid Table 6 Colorful"/>
    <w:basedOn w:val="TableNormal"/>
    <w:uiPriority w:val="51"/>
    <w:rsid w:val="00AD71E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bottom w:val="single" w:sz="12" w:space="0" w:color="B491A0" w:themeColor="accent1" w:themeTint="99"/>
        </w:tcBorders>
      </w:tcPr>
    </w:tblStylePr>
    <w:tblStylePr w:type="lastRow">
      <w:rPr>
        <w:b/>
        <w:bCs/>
      </w:rPr>
      <w:tblPr/>
      <w:tcPr>
        <w:tcBorders>
          <w:top w:val="doub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6ColourfulAccent2">
    <w:name w:val="Grid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bottom w:val="single" w:sz="12" w:space="0" w:color="DBDBDB" w:themeColor="accent2" w:themeTint="99"/>
        </w:tcBorders>
      </w:tcPr>
    </w:tblStylePr>
    <w:tblStylePr w:type="lastRow">
      <w:rPr>
        <w:b/>
        <w:bCs/>
      </w:rPr>
      <w:tblPr/>
      <w:tcPr>
        <w:tcBorders>
          <w:top w:val="doub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6ColourfulAccent3">
    <w:name w:val="Grid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bottom w:val="single" w:sz="12" w:space="0" w:color="FFA262" w:themeColor="accent3" w:themeTint="99"/>
        </w:tcBorders>
      </w:tcPr>
    </w:tblStylePr>
    <w:tblStylePr w:type="lastRow">
      <w:rPr>
        <w:b/>
        <w:bCs/>
      </w:rPr>
      <w:tblPr/>
      <w:tcPr>
        <w:tcBorders>
          <w:top w:val="doub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6ColourfulAccent4">
    <w:name w:val="Grid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bottom w:val="single" w:sz="12" w:space="0" w:color="88CBEE" w:themeColor="accent4" w:themeTint="99"/>
        </w:tcBorders>
      </w:tcPr>
    </w:tblStylePr>
    <w:tblStylePr w:type="lastRow">
      <w:rPr>
        <w:b/>
        <w:bCs/>
      </w:rPr>
      <w:tblPr/>
      <w:tcPr>
        <w:tcBorders>
          <w:top w:val="doub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6ColourfulAccent5">
    <w:name w:val="Grid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bottom w:val="single" w:sz="12" w:space="0" w:color="C4CBD3" w:themeColor="accent5" w:themeTint="99"/>
        </w:tcBorders>
      </w:tcPr>
    </w:tblStylePr>
    <w:tblStylePr w:type="lastRow">
      <w:rPr>
        <w:b/>
        <w:bCs/>
      </w:rPr>
      <w:tblPr/>
      <w:tcPr>
        <w:tcBorders>
          <w:top w:val="doub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6ColourfulAccent6">
    <w:name w:val="Grid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urful">
    <w:name w:val="Grid Table 7 Colorful"/>
    <w:basedOn w:val="TableNormal"/>
    <w:uiPriority w:val="52"/>
    <w:rsid w:val="00AD71E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1">
    <w:name w:val="Grid Table 7 Colorful Accent 1"/>
    <w:basedOn w:val="TableNormal"/>
    <w:uiPriority w:val="52"/>
    <w:rsid w:val="00AD71E3"/>
    <w:pPr>
      <w:spacing w:after="0" w:line="240" w:lineRule="auto"/>
    </w:pPr>
    <w:rPr>
      <w:color w:val="593D4A" w:themeColor="accent1" w:themeShade="BF"/>
    </w:r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sz="4" w:space="0" w:color="B491A0" w:themeColor="accent1" w:themeTint="99"/>
        </w:tcBorders>
      </w:tcPr>
    </w:tblStylePr>
    <w:tblStylePr w:type="nwCell">
      <w:tblPr/>
      <w:tcPr>
        <w:tcBorders>
          <w:bottom w:val="single" w:sz="4" w:space="0" w:color="B491A0" w:themeColor="accent1" w:themeTint="99"/>
        </w:tcBorders>
      </w:tcPr>
    </w:tblStylePr>
    <w:tblStylePr w:type="seCell">
      <w:tblPr/>
      <w:tcPr>
        <w:tcBorders>
          <w:top w:val="single" w:sz="4" w:space="0" w:color="B491A0" w:themeColor="accent1" w:themeTint="99"/>
        </w:tcBorders>
      </w:tcPr>
    </w:tblStylePr>
    <w:tblStylePr w:type="swCell">
      <w:tblPr/>
      <w:tcPr>
        <w:tcBorders>
          <w:top w:val="single" w:sz="4" w:space="0" w:color="B491A0" w:themeColor="accent1" w:themeTint="99"/>
        </w:tcBorders>
      </w:tcPr>
    </w:tblStylePr>
  </w:style>
  <w:style w:type="table" w:styleId="GridTable7ColourfulAccent2">
    <w:name w:val="Grid Table 7 Colorful Accent 2"/>
    <w:basedOn w:val="TableNormal"/>
    <w:uiPriority w:val="52"/>
    <w:rsid w:val="00AD71E3"/>
    <w:pPr>
      <w:spacing w:after="0" w:line="240" w:lineRule="auto"/>
    </w:pPr>
    <w:rPr>
      <w:color w:val="929292" w:themeColor="accent2" w:themeShade="BF"/>
    </w:r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sz="4" w:space="0" w:color="DBDBDB" w:themeColor="accent2" w:themeTint="99"/>
        </w:tcBorders>
      </w:tcPr>
    </w:tblStylePr>
    <w:tblStylePr w:type="nwCell">
      <w:tblPr/>
      <w:tcPr>
        <w:tcBorders>
          <w:bottom w:val="single" w:sz="4" w:space="0" w:color="DBDBDB" w:themeColor="accent2" w:themeTint="99"/>
        </w:tcBorders>
      </w:tcPr>
    </w:tblStylePr>
    <w:tblStylePr w:type="seCell">
      <w:tblPr/>
      <w:tcPr>
        <w:tcBorders>
          <w:top w:val="single" w:sz="4" w:space="0" w:color="DBDBDB" w:themeColor="accent2" w:themeTint="99"/>
        </w:tcBorders>
      </w:tcPr>
    </w:tblStylePr>
    <w:tblStylePr w:type="swCell">
      <w:tblPr/>
      <w:tcPr>
        <w:tcBorders>
          <w:top w:val="single" w:sz="4" w:space="0" w:color="DBDBDB" w:themeColor="accent2" w:themeTint="99"/>
        </w:tcBorders>
      </w:tcPr>
    </w:tblStylePr>
  </w:style>
  <w:style w:type="table" w:styleId="GridTable7ColourfulAccent3">
    <w:name w:val="Grid Table 7 Colorful Accent 3"/>
    <w:basedOn w:val="TableNormal"/>
    <w:uiPriority w:val="52"/>
    <w:rsid w:val="00AD71E3"/>
    <w:pPr>
      <w:spacing w:after="0" w:line="240" w:lineRule="auto"/>
    </w:pPr>
    <w:rPr>
      <w:color w:val="BA4B00" w:themeColor="accent3" w:themeShade="BF"/>
    </w:r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sz="4" w:space="0" w:color="FFA262" w:themeColor="accent3" w:themeTint="99"/>
        </w:tcBorders>
      </w:tcPr>
    </w:tblStylePr>
    <w:tblStylePr w:type="nwCell">
      <w:tblPr/>
      <w:tcPr>
        <w:tcBorders>
          <w:bottom w:val="single" w:sz="4" w:space="0" w:color="FFA262" w:themeColor="accent3" w:themeTint="99"/>
        </w:tcBorders>
      </w:tcPr>
    </w:tblStylePr>
    <w:tblStylePr w:type="seCell">
      <w:tblPr/>
      <w:tcPr>
        <w:tcBorders>
          <w:top w:val="single" w:sz="4" w:space="0" w:color="FFA262" w:themeColor="accent3" w:themeTint="99"/>
        </w:tcBorders>
      </w:tcPr>
    </w:tblStylePr>
    <w:tblStylePr w:type="swCell">
      <w:tblPr/>
      <w:tcPr>
        <w:tcBorders>
          <w:top w:val="single" w:sz="4" w:space="0" w:color="FFA262" w:themeColor="accent3" w:themeTint="99"/>
        </w:tcBorders>
      </w:tcPr>
    </w:tblStylePr>
  </w:style>
  <w:style w:type="table" w:styleId="GridTable7ColourfulAccent4">
    <w:name w:val="Grid Table 7 Colorful Accent 4"/>
    <w:basedOn w:val="TableNormal"/>
    <w:uiPriority w:val="52"/>
    <w:rsid w:val="00AD71E3"/>
    <w:pPr>
      <w:spacing w:after="0" w:line="240" w:lineRule="auto"/>
    </w:pPr>
    <w:rPr>
      <w:color w:val="1A83BA" w:themeColor="accent4" w:themeShade="BF"/>
    </w:r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sz="4" w:space="0" w:color="88CBEE" w:themeColor="accent4" w:themeTint="99"/>
        </w:tcBorders>
      </w:tcPr>
    </w:tblStylePr>
    <w:tblStylePr w:type="nwCell">
      <w:tblPr/>
      <w:tcPr>
        <w:tcBorders>
          <w:bottom w:val="single" w:sz="4" w:space="0" w:color="88CBEE" w:themeColor="accent4" w:themeTint="99"/>
        </w:tcBorders>
      </w:tcPr>
    </w:tblStylePr>
    <w:tblStylePr w:type="seCell">
      <w:tblPr/>
      <w:tcPr>
        <w:tcBorders>
          <w:top w:val="single" w:sz="4" w:space="0" w:color="88CBEE" w:themeColor="accent4" w:themeTint="99"/>
        </w:tcBorders>
      </w:tcPr>
    </w:tblStylePr>
    <w:tblStylePr w:type="swCell">
      <w:tblPr/>
      <w:tcPr>
        <w:tcBorders>
          <w:top w:val="single" w:sz="4" w:space="0" w:color="88CBEE" w:themeColor="accent4" w:themeTint="99"/>
        </w:tcBorders>
      </w:tcPr>
    </w:tblStylePr>
  </w:style>
  <w:style w:type="table" w:styleId="GridTable7ColourfulAccent5">
    <w:name w:val="Grid Table 7 Colorful Accent 5"/>
    <w:basedOn w:val="TableNormal"/>
    <w:uiPriority w:val="52"/>
    <w:rsid w:val="00AD71E3"/>
    <w:pPr>
      <w:spacing w:after="0" w:line="240" w:lineRule="auto"/>
    </w:pPr>
    <w:rPr>
      <w:color w:val="6D7F91" w:themeColor="accent5" w:themeShade="BF"/>
    </w:r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sz="4" w:space="0" w:color="C4CBD3" w:themeColor="accent5" w:themeTint="99"/>
        </w:tcBorders>
      </w:tcPr>
    </w:tblStylePr>
    <w:tblStylePr w:type="nwCell">
      <w:tblPr/>
      <w:tcPr>
        <w:tcBorders>
          <w:bottom w:val="single" w:sz="4" w:space="0" w:color="C4CBD3" w:themeColor="accent5" w:themeTint="99"/>
        </w:tcBorders>
      </w:tcPr>
    </w:tblStylePr>
    <w:tblStylePr w:type="seCell">
      <w:tblPr/>
      <w:tcPr>
        <w:tcBorders>
          <w:top w:val="single" w:sz="4" w:space="0" w:color="C4CBD3" w:themeColor="accent5" w:themeTint="99"/>
        </w:tcBorders>
      </w:tcPr>
    </w:tblStylePr>
    <w:tblStylePr w:type="swCell">
      <w:tblPr/>
      <w:tcPr>
        <w:tcBorders>
          <w:top w:val="single" w:sz="4" w:space="0" w:color="C4CBD3" w:themeColor="accent5" w:themeTint="99"/>
        </w:tcBorders>
      </w:tcPr>
    </w:tblStylePr>
  </w:style>
  <w:style w:type="table" w:styleId="GridTable7ColourfulAccent6">
    <w:name w:val="Grid Table 7 Colorful Accent 6"/>
    <w:basedOn w:val="TableNormal"/>
    <w:uiPriority w:val="52"/>
    <w:rsid w:val="00AD71E3"/>
    <w:pPr>
      <w:spacing w:after="0"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character" w:customStyle="1" w:styleId="Heading5Char">
    <w:name w:val="Heading 5 Char"/>
    <w:basedOn w:val="DefaultParagraphFont"/>
    <w:link w:val="Heading5"/>
    <w:uiPriority w:val="9"/>
    <w:semiHidden/>
    <w:rsid w:val="00AD71E3"/>
    <w:rPr>
      <w:rFonts w:asciiTheme="majorHAnsi" w:eastAsiaTheme="majorEastAsia" w:hAnsiTheme="majorHAnsi" w:cstheme="majorBidi"/>
      <w:color w:val="593D4A" w:themeColor="accent1" w:themeShade="BF"/>
    </w:rPr>
  </w:style>
  <w:style w:type="character" w:customStyle="1" w:styleId="Heading6Char">
    <w:name w:val="Heading 6 Char"/>
    <w:basedOn w:val="DefaultParagraphFont"/>
    <w:link w:val="Heading6"/>
    <w:uiPriority w:val="9"/>
    <w:semiHidden/>
    <w:rsid w:val="00D9643B"/>
    <w:rPr>
      <w:rFonts w:asciiTheme="majorHAnsi" w:eastAsiaTheme="majorEastAsia" w:hAnsiTheme="majorHAnsi" w:cstheme="majorBidi"/>
      <w:b/>
      <w:color w:val="3B2831" w:themeColor="accent1" w:themeShade="7F"/>
    </w:rPr>
  </w:style>
  <w:style w:type="character" w:customStyle="1" w:styleId="Heading7Char">
    <w:name w:val="Heading 7 Char"/>
    <w:basedOn w:val="DefaultParagraphFont"/>
    <w:link w:val="Heading7"/>
    <w:uiPriority w:val="9"/>
    <w:semiHidden/>
    <w:rsid w:val="00D9643B"/>
    <w:rPr>
      <w:rFonts w:asciiTheme="majorHAnsi" w:eastAsiaTheme="majorEastAsia" w:hAnsiTheme="majorHAnsi" w:cstheme="majorBidi"/>
      <w:i/>
      <w:iCs/>
      <w:color w:val="593D4A" w:themeColor="accent1" w:themeShade="BF"/>
    </w:rPr>
  </w:style>
  <w:style w:type="character" w:customStyle="1" w:styleId="Heading8Char">
    <w:name w:val="Heading 8 Char"/>
    <w:basedOn w:val="DefaultParagraphFont"/>
    <w:link w:val="Heading8"/>
    <w:uiPriority w:val="9"/>
    <w:semiHidden/>
    <w:rsid w:val="00AD71E3"/>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AD71E3"/>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AD71E3"/>
  </w:style>
  <w:style w:type="paragraph" w:styleId="HTMLAddress">
    <w:name w:val="HTML Address"/>
    <w:basedOn w:val="Normal"/>
    <w:link w:val="HTMLAddressChar"/>
    <w:uiPriority w:val="99"/>
    <w:semiHidden/>
    <w:unhideWhenUsed/>
    <w:rsid w:val="00AD71E3"/>
    <w:pPr>
      <w:spacing w:after="0" w:line="240" w:lineRule="auto"/>
    </w:pPr>
    <w:rPr>
      <w:i/>
      <w:iCs/>
    </w:rPr>
  </w:style>
  <w:style w:type="character" w:customStyle="1" w:styleId="HTMLAddressChar">
    <w:name w:val="HTML Address Char"/>
    <w:basedOn w:val="DefaultParagraphFont"/>
    <w:link w:val="HTMLAddress"/>
    <w:uiPriority w:val="99"/>
    <w:semiHidden/>
    <w:rsid w:val="00AD71E3"/>
    <w:rPr>
      <w:i/>
      <w:iCs/>
    </w:rPr>
  </w:style>
  <w:style w:type="character" w:styleId="HTMLCite">
    <w:name w:val="HTML Cite"/>
    <w:basedOn w:val="DefaultParagraphFont"/>
    <w:uiPriority w:val="99"/>
    <w:semiHidden/>
    <w:unhideWhenUsed/>
    <w:rsid w:val="00AD71E3"/>
    <w:rPr>
      <w:i/>
      <w:iCs/>
    </w:rPr>
  </w:style>
  <w:style w:type="character" w:styleId="HTMLCode">
    <w:name w:val="HTML Code"/>
    <w:basedOn w:val="DefaultParagraphFont"/>
    <w:uiPriority w:val="99"/>
    <w:semiHidden/>
    <w:unhideWhenUsed/>
    <w:rsid w:val="00AD71E3"/>
    <w:rPr>
      <w:rFonts w:ascii="Consolas" w:hAnsi="Consolas"/>
      <w:sz w:val="22"/>
      <w:szCs w:val="20"/>
    </w:rPr>
  </w:style>
  <w:style w:type="character" w:styleId="HTMLDefinition">
    <w:name w:val="HTML Definition"/>
    <w:basedOn w:val="DefaultParagraphFont"/>
    <w:uiPriority w:val="99"/>
    <w:semiHidden/>
    <w:unhideWhenUsed/>
    <w:rsid w:val="00AD71E3"/>
    <w:rPr>
      <w:i/>
      <w:iCs/>
    </w:rPr>
  </w:style>
  <w:style w:type="character" w:styleId="HTMLKeyboard">
    <w:name w:val="HTML Keyboard"/>
    <w:basedOn w:val="DefaultParagraphFont"/>
    <w:uiPriority w:val="99"/>
    <w:semiHidden/>
    <w:unhideWhenUsed/>
    <w:rsid w:val="00AD71E3"/>
    <w:rPr>
      <w:rFonts w:ascii="Consolas" w:hAnsi="Consolas"/>
      <w:sz w:val="22"/>
      <w:szCs w:val="20"/>
    </w:rPr>
  </w:style>
  <w:style w:type="paragraph" w:styleId="HTMLPreformatted">
    <w:name w:val="HTML Preformatted"/>
    <w:basedOn w:val="Normal"/>
    <w:link w:val="HTMLPreformattedChar"/>
    <w:uiPriority w:val="99"/>
    <w:semiHidden/>
    <w:unhideWhenUsed/>
    <w:rsid w:val="00AD71E3"/>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D71E3"/>
    <w:rPr>
      <w:rFonts w:ascii="Consolas" w:hAnsi="Consolas"/>
      <w:szCs w:val="20"/>
    </w:rPr>
  </w:style>
  <w:style w:type="character" w:styleId="HTMLSample">
    <w:name w:val="HTML Sample"/>
    <w:basedOn w:val="DefaultParagraphFont"/>
    <w:uiPriority w:val="99"/>
    <w:semiHidden/>
    <w:unhideWhenUsed/>
    <w:rsid w:val="00AD71E3"/>
    <w:rPr>
      <w:rFonts w:ascii="Consolas" w:hAnsi="Consolas"/>
      <w:sz w:val="24"/>
      <w:szCs w:val="24"/>
    </w:rPr>
  </w:style>
  <w:style w:type="character" w:styleId="HTMLTypewriter">
    <w:name w:val="HTML Typewriter"/>
    <w:basedOn w:val="DefaultParagraphFont"/>
    <w:uiPriority w:val="99"/>
    <w:semiHidden/>
    <w:unhideWhenUsed/>
    <w:rsid w:val="00AD71E3"/>
    <w:rPr>
      <w:rFonts w:ascii="Consolas" w:hAnsi="Consolas"/>
      <w:sz w:val="22"/>
      <w:szCs w:val="20"/>
    </w:rPr>
  </w:style>
  <w:style w:type="character" w:styleId="HTMLVariable">
    <w:name w:val="HTML Variable"/>
    <w:basedOn w:val="DefaultParagraphFont"/>
    <w:uiPriority w:val="99"/>
    <w:semiHidden/>
    <w:unhideWhenUsed/>
    <w:rsid w:val="00AD71E3"/>
    <w:rPr>
      <w:i/>
      <w:iCs/>
    </w:rPr>
  </w:style>
  <w:style w:type="character" w:styleId="Hyperlink">
    <w:name w:val="Hyperlink"/>
    <w:basedOn w:val="DefaultParagraphFont"/>
    <w:uiPriority w:val="99"/>
    <w:unhideWhenUsed/>
    <w:rsid w:val="00D9643B"/>
    <w:rPr>
      <w:color w:val="11587D" w:themeColor="accent4" w:themeShade="80"/>
      <w:u w:val="single"/>
    </w:rPr>
  </w:style>
  <w:style w:type="paragraph" w:styleId="Index1">
    <w:name w:val="index 1"/>
    <w:basedOn w:val="Normal"/>
    <w:next w:val="Normal"/>
    <w:autoRedefine/>
    <w:uiPriority w:val="99"/>
    <w:semiHidden/>
    <w:unhideWhenUsed/>
    <w:rsid w:val="00AD71E3"/>
    <w:pPr>
      <w:spacing w:after="0" w:line="240" w:lineRule="auto"/>
      <w:ind w:left="220" w:hanging="220"/>
    </w:pPr>
  </w:style>
  <w:style w:type="paragraph" w:styleId="Index2">
    <w:name w:val="index 2"/>
    <w:basedOn w:val="Normal"/>
    <w:next w:val="Normal"/>
    <w:autoRedefine/>
    <w:uiPriority w:val="99"/>
    <w:semiHidden/>
    <w:unhideWhenUsed/>
    <w:rsid w:val="00AD71E3"/>
    <w:pPr>
      <w:spacing w:after="0" w:line="240" w:lineRule="auto"/>
      <w:ind w:left="440" w:hanging="220"/>
    </w:pPr>
  </w:style>
  <w:style w:type="paragraph" w:styleId="Index3">
    <w:name w:val="index 3"/>
    <w:basedOn w:val="Normal"/>
    <w:next w:val="Normal"/>
    <w:autoRedefine/>
    <w:uiPriority w:val="99"/>
    <w:semiHidden/>
    <w:unhideWhenUsed/>
    <w:rsid w:val="00AD71E3"/>
    <w:pPr>
      <w:spacing w:after="0" w:line="240" w:lineRule="auto"/>
      <w:ind w:left="660" w:hanging="220"/>
    </w:pPr>
  </w:style>
  <w:style w:type="paragraph" w:styleId="Index4">
    <w:name w:val="index 4"/>
    <w:basedOn w:val="Normal"/>
    <w:next w:val="Normal"/>
    <w:autoRedefine/>
    <w:uiPriority w:val="99"/>
    <w:semiHidden/>
    <w:unhideWhenUsed/>
    <w:rsid w:val="00AD71E3"/>
    <w:pPr>
      <w:spacing w:after="0" w:line="240" w:lineRule="auto"/>
      <w:ind w:left="880" w:hanging="220"/>
    </w:pPr>
  </w:style>
  <w:style w:type="paragraph" w:styleId="Index5">
    <w:name w:val="index 5"/>
    <w:basedOn w:val="Normal"/>
    <w:next w:val="Normal"/>
    <w:autoRedefine/>
    <w:uiPriority w:val="99"/>
    <w:semiHidden/>
    <w:unhideWhenUsed/>
    <w:rsid w:val="00AD71E3"/>
    <w:pPr>
      <w:spacing w:after="0" w:line="240" w:lineRule="auto"/>
      <w:ind w:left="1100" w:hanging="220"/>
    </w:pPr>
  </w:style>
  <w:style w:type="paragraph" w:styleId="Index6">
    <w:name w:val="index 6"/>
    <w:basedOn w:val="Normal"/>
    <w:next w:val="Normal"/>
    <w:autoRedefine/>
    <w:uiPriority w:val="99"/>
    <w:semiHidden/>
    <w:unhideWhenUsed/>
    <w:rsid w:val="00AD71E3"/>
    <w:pPr>
      <w:spacing w:after="0" w:line="240" w:lineRule="auto"/>
      <w:ind w:left="1320" w:hanging="220"/>
    </w:pPr>
  </w:style>
  <w:style w:type="paragraph" w:styleId="Index7">
    <w:name w:val="index 7"/>
    <w:basedOn w:val="Normal"/>
    <w:next w:val="Normal"/>
    <w:autoRedefine/>
    <w:uiPriority w:val="99"/>
    <w:semiHidden/>
    <w:unhideWhenUsed/>
    <w:rsid w:val="00AD71E3"/>
    <w:pPr>
      <w:spacing w:after="0" w:line="240" w:lineRule="auto"/>
      <w:ind w:left="1540" w:hanging="220"/>
    </w:pPr>
  </w:style>
  <w:style w:type="paragraph" w:styleId="Index8">
    <w:name w:val="index 8"/>
    <w:basedOn w:val="Normal"/>
    <w:next w:val="Normal"/>
    <w:autoRedefine/>
    <w:uiPriority w:val="99"/>
    <w:semiHidden/>
    <w:unhideWhenUsed/>
    <w:rsid w:val="00AD71E3"/>
    <w:pPr>
      <w:spacing w:after="0" w:line="240" w:lineRule="auto"/>
      <w:ind w:left="1760" w:hanging="220"/>
    </w:pPr>
  </w:style>
  <w:style w:type="paragraph" w:styleId="Index9">
    <w:name w:val="index 9"/>
    <w:basedOn w:val="Normal"/>
    <w:next w:val="Normal"/>
    <w:autoRedefine/>
    <w:uiPriority w:val="99"/>
    <w:semiHidden/>
    <w:unhideWhenUsed/>
    <w:rsid w:val="00AD71E3"/>
    <w:pPr>
      <w:spacing w:after="0" w:line="240" w:lineRule="auto"/>
      <w:ind w:left="1980" w:hanging="220"/>
    </w:pPr>
  </w:style>
  <w:style w:type="paragraph" w:styleId="IndexHeading">
    <w:name w:val="index heading"/>
    <w:basedOn w:val="Normal"/>
    <w:next w:val="Index1"/>
    <w:uiPriority w:val="99"/>
    <w:semiHidden/>
    <w:unhideWhenUsed/>
    <w:rsid w:val="00AD71E3"/>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AD71E3"/>
    <w:rPr>
      <w:i/>
      <w:iCs/>
      <w:color w:val="785263" w:themeColor="accent1"/>
    </w:rPr>
  </w:style>
  <w:style w:type="paragraph" w:styleId="IntenseQuote">
    <w:name w:val="Intense Quote"/>
    <w:basedOn w:val="Normal"/>
    <w:next w:val="Normal"/>
    <w:link w:val="IntenseQuoteChar"/>
    <w:uiPriority w:val="30"/>
    <w:semiHidden/>
    <w:unhideWhenUsed/>
    <w:qFormat/>
    <w:rsid w:val="00D9643B"/>
    <w:pPr>
      <w:pBdr>
        <w:top w:val="single" w:sz="4" w:space="10" w:color="785263" w:themeColor="accent1"/>
        <w:bottom w:val="single" w:sz="4" w:space="10" w:color="785263" w:themeColor="accent1"/>
      </w:pBdr>
      <w:spacing w:before="360" w:after="360"/>
      <w:ind w:left="720"/>
      <w:jc w:val="center"/>
    </w:pPr>
    <w:rPr>
      <w:i/>
      <w:iCs/>
      <w:color w:val="785263" w:themeColor="accent1"/>
    </w:rPr>
  </w:style>
  <w:style w:type="character" w:customStyle="1" w:styleId="IntenseQuoteChar">
    <w:name w:val="Intense Quote Char"/>
    <w:basedOn w:val="DefaultParagraphFont"/>
    <w:link w:val="IntenseQuote"/>
    <w:uiPriority w:val="30"/>
    <w:semiHidden/>
    <w:rsid w:val="00D9643B"/>
    <w:rPr>
      <w:i/>
      <w:iCs/>
      <w:color w:val="785263" w:themeColor="accent1"/>
    </w:rPr>
  </w:style>
  <w:style w:type="character" w:styleId="IntenseReference">
    <w:name w:val="Intense Reference"/>
    <w:basedOn w:val="DefaultParagraphFont"/>
    <w:uiPriority w:val="32"/>
    <w:semiHidden/>
    <w:unhideWhenUsed/>
    <w:qFormat/>
    <w:rsid w:val="00AD71E3"/>
    <w:rPr>
      <w:b/>
      <w:bCs/>
      <w:smallCaps/>
      <w:color w:val="785263" w:themeColor="accent1"/>
      <w:spacing w:val="5"/>
    </w:rPr>
  </w:style>
  <w:style w:type="table" w:styleId="LightGrid">
    <w:name w:val="Light Grid"/>
    <w:basedOn w:val="TableNormal"/>
    <w:uiPriority w:val="62"/>
    <w:semiHidden/>
    <w:unhideWhenUsed/>
    <w:rsid w:val="00AD71E3"/>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AD71E3"/>
    <w:pPr>
      <w:spacing w:after="0" w:line="240" w:lineRule="auto"/>
    </w:p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insideH w:val="single" w:sz="8" w:space="0" w:color="785263" w:themeColor="accent1"/>
        <w:insideV w:val="single" w:sz="8" w:space="0" w:color="785263"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85263" w:themeColor="accent1"/>
          <w:left w:val="single" w:sz="8" w:space="0" w:color="785263" w:themeColor="accent1"/>
          <w:bottom w:val="single" w:sz="18" w:space="0" w:color="785263" w:themeColor="accent1"/>
          <w:right w:val="single" w:sz="8" w:space="0" w:color="785263" w:themeColor="accent1"/>
          <w:insideH w:val="nil"/>
          <w:insideV w:val="single" w:sz="8" w:space="0" w:color="785263"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85263" w:themeColor="accent1"/>
          <w:left w:val="single" w:sz="8" w:space="0" w:color="785263" w:themeColor="accent1"/>
          <w:bottom w:val="single" w:sz="8" w:space="0" w:color="785263" w:themeColor="accent1"/>
          <w:right w:val="single" w:sz="8" w:space="0" w:color="785263" w:themeColor="accent1"/>
          <w:insideH w:val="nil"/>
          <w:insideV w:val="single" w:sz="8" w:space="0" w:color="785263"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tblStylePr w:type="band1Vert">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shd w:val="clear" w:color="auto" w:fill="E0D1D8" w:themeFill="accent1" w:themeFillTint="3F"/>
      </w:tcPr>
    </w:tblStylePr>
    <w:tblStylePr w:type="band1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insideV w:val="single" w:sz="8" w:space="0" w:color="785263" w:themeColor="accent1"/>
        </w:tcBorders>
        <w:shd w:val="clear" w:color="auto" w:fill="E0D1D8" w:themeFill="accent1" w:themeFillTint="3F"/>
      </w:tcPr>
    </w:tblStylePr>
    <w:tblStylePr w:type="band2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insideV w:val="single" w:sz="8" w:space="0" w:color="785263" w:themeColor="accent1"/>
        </w:tcBorders>
      </w:tcPr>
    </w:tblStylePr>
  </w:style>
  <w:style w:type="table" w:styleId="LightGrid-Accent2">
    <w:name w:val="Light Grid Accent 2"/>
    <w:basedOn w:val="TableNormal"/>
    <w:uiPriority w:val="62"/>
    <w:semiHidden/>
    <w:unhideWhenUsed/>
    <w:rsid w:val="00AD71E3"/>
    <w:pPr>
      <w:spacing w:after="0" w:line="240" w:lineRule="auto"/>
    </w:p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insideH w:val="single" w:sz="8" w:space="0" w:color="C3C3C3" w:themeColor="accent2"/>
        <w:insideV w:val="single" w:sz="8" w:space="0" w:color="C3C3C3"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3C3C3" w:themeColor="accent2"/>
          <w:left w:val="single" w:sz="8" w:space="0" w:color="C3C3C3" w:themeColor="accent2"/>
          <w:bottom w:val="single" w:sz="18" w:space="0" w:color="C3C3C3" w:themeColor="accent2"/>
          <w:right w:val="single" w:sz="8" w:space="0" w:color="C3C3C3" w:themeColor="accent2"/>
          <w:insideH w:val="nil"/>
          <w:insideV w:val="single" w:sz="8" w:space="0" w:color="C3C3C3"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3C3C3" w:themeColor="accent2"/>
          <w:left w:val="single" w:sz="8" w:space="0" w:color="C3C3C3" w:themeColor="accent2"/>
          <w:bottom w:val="single" w:sz="8" w:space="0" w:color="C3C3C3" w:themeColor="accent2"/>
          <w:right w:val="single" w:sz="8" w:space="0" w:color="C3C3C3" w:themeColor="accent2"/>
          <w:insideH w:val="nil"/>
          <w:insideV w:val="single" w:sz="8" w:space="0" w:color="C3C3C3"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tblStylePr w:type="band1Vert">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shd w:val="clear" w:color="auto" w:fill="F0F0F0" w:themeFill="accent2" w:themeFillTint="3F"/>
      </w:tcPr>
    </w:tblStylePr>
    <w:tblStylePr w:type="band1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insideV w:val="single" w:sz="8" w:space="0" w:color="C3C3C3" w:themeColor="accent2"/>
        </w:tcBorders>
        <w:shd w:val="clear" w:color="auto" w:fill="F0F0F0" w:themeFill="accent2" w:themeFillTint="3F"/>
      </w:tcPr>
    </w:tblStylePr>
    <w:tblStylePr w:type="band2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insideV w:val="single" w:sz="8" w:space="0" w:color="C3C3C3" w:themeColor="accent2"/>
        </w:tcBorders>
      </w:tcPr>
    </w:tblStylePr>
  </w:style>
  <w:style w:type="table" w:styleId="LightGrid-Accent3">
    <w:name w:val="Light Grid Accent 3"/>
    <w:basedOn w:val="TableNormal"/>
    <w:uiPriority w:val="62"/>
    <w:semiHidden/>
    <w:unhideWhenUsed/>
    <w:rsid w:val="00AD71E3"/>
    <w:pPr>
      <w:spacing w:after="0" w:line="240" w:lineRule="auto"/>
    </w:p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insideH w:val="single" w:sz="8" w:space="0" w:color="F96600" w:themeColor="accent3"/>
        <w:insideV w:val="single" w:sz="8" w:space="0" w:color="F96600"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96600" w:themeColor="accent3"/>
          <w:left w:val="single" w:sz="8" w:space="0" w:color="F96600" w:themeColor="accent3"/>
          <w:bottom w:val="single" w:sz="18" w:space="0" w:color="F96600" w:themeColor="accent3"/>
          <w:right w:val="single" w:sz="8" w:space="0" w:color="F96600" w:themeColor="accent3"/>
          <w:insideH w:val="nil"/>
          <w:insideV w:val="single" w:sz="8" w:space="0" w:color="F96600"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96600" w:themeColor="accent3"/>
          <w:left w:val="single" w:sz="8" w:space="0" w:color="F96600" w:themeColor="accent3"/>
          <w:bottom w:val="single" w:sz="8" w:space="0" w:color="F96600" w:themeColor="accent3"/>
          <w:right w:val="single" w:sz="8" w:space="0" w:color="F96600" w:themeColor="accent3"/>
          <w:insideH w:val="nil"/>
          <w:insideV w:val="single" w:sz="8" w:space="0" w:color="F96600"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tblStylePr w:type="band1Vert">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shd w:val="clear" w:color="auto" w:fill="FFD8BE" w:themeFill="accent3" w:themeFillTint="3F"/>
      </w:tcPr>
    </w:tblStylePr>
    <w:tblStylePr w:type="band1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insideV w:val="single" w:sz="8" w:space="0" w:color="F96600" w:themeColor="accent3"/>
        </w:tcBorders>
        <w:shd w:val="clear" w:color="auto" w:fill="FFD8BE" w:themeFill="accent3" w:themeFillTint="3F"/>
      </w:tcPr>
    </w:tblStylePr>
    <w:tblStylePr w:type="band2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insideV w:val="single" w:sz="8" w:space="0" w:color="F96600" w:themeColor="accent3"/>
        </w:tcBorders>
      </w:tcPr>
    </w:tblStylePr>
  </w:style>
  <w:style w:type="table" w:styleId="LightGrid-Accent4">
    <w:name w:val="Light Grid Accent 4"/>
    <w:basedOn w:val="TableNormal"/>
    <w:uiPriority w:val="62"/>
    <w:semiHidden/>
    <w:unhideWhenUsed/>
    <w:rsid w:val="00AD71E3"/>
    <w:pPr>
      <w:spacing w:after="0" w:line="240" w:lineRule="auto"/>
    </w:p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insideH w:val="single" w:sz="8" w:space="0" w:color="3AA9E3" w:themeColor="accent4"/>
        <w:insideV w:val="single" w:sz="8" w:space="0" w:color="3AA9E3"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AA9E3" w:themeColor="accent4"/>
          <w:left w:val="single" w:sz="8" w:space="0" w:color="3AA9E3" w:themeColor="accent4"/>
          <w:bottom w:val="single" w:sz="18" w:space="0" w:color="3AA9E3" w:themeColor="accent4"/>
          <w:right w:val="single" w:sz="8" w:space="0" w:color="3AA9E3" w:themeColor="accent4"/>
          <w:insideH w:val="nil"/>
          <w:insideV w:val="single" w:sz="8" w:space="0" w:color="3AA9E3"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AA9E3" w:themeColor="accent4"/>
          <w:left w:val="single" w:sz="8" w:space="0" w:color="3AA9E3" w:themeColor="accent4"/>
          <w:bottom w:val="single" w:sz="8" w:space="0" w:color="3AA9E3" w:themeColor="accent4"/>
          <w:right w:val="single" w:sz="8" w:space="0" w:color="3AA9E3" w:themeColor="accent4"/>
          <w:insideH w:val="nil"/>
          <w:insideV w:val="single" w:sz="8" w:space="0" w:color="3AA9E3"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tblStylePr w:type="band1Vert">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shd w:val="clear" w:color="auto" w:fill="CEE9F8" w:themeFill="accent4" w:themeFillTint="3F"/>
      </w:tcPr>
    </w:tblStylePr>
    <w:tblStylePr w:type="band1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insideV w:val="single" w:sz="8" w:space="0" w:color="3AA9E3" w:themeColor="accent4"/>
        </w:tcBorders>
        <w:shd w:val="clear" w:color="auto" w:fill="CEE9F8" w:themeFill="accent4" w:themeFillTint="3F"/>
      </w:tcPr>
    </w:tblStylePr>
    <w:tblStylePr w:type="band2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insideV w:val="single" w:sz="8" w:space="0" w:color="3AA9E3" w:themeColor="accent4"/>
        </w:tcBorders>
      </w:tcPr>
    </w:tblStylePr>
  </w:style>
  <w:style w:type="table" w:styleId="LightGrid-Accent5">
    <w:name w:val="Light Grid Accent 5"/>
    <w:basedOn w:val="TableNormal"/>
    <w:uiPriority w:val="62"/>
    <w:semiHidden/>
    <w:unhideWhenUsed/>
    <w:rsid w:val="00AD71E3"/>
    <w:pPr>
      <w:spacing w:after="0" w:line="240" w:lineRule="auto"/>
    </w:p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insideH w:val="single" w:sz="8" w:space="0" w:color="9EAAB6" w:themeColor="accent5"/>
        <w:insideV w:val="single" w:sz="8" w:space="0" w:color="9EAAB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EAAB6" w:themeColor="accent5"/>
          <w:left w:val="single" w:sz="8" w:space="0" w:color="9EAAB6" w:themeColor="accent5"/>
          <w:bottom w:val="single" w:sz="18" w:space="0" w:color="9EAAB6" w:themeColor="accent5"/>
          <w:right w:val="single" w:sz="8" w:space="0" w:color="9EAAB6" w:themeColor="accent5"/>
          <w:insideH w:val="nil"/>
          <w:insideV w:val="single" w:sz="8" w:space="0" w:color="9EAAB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EAAB6" w:themeColor="accent5"/>
          <w:left w:val="single" w:sz="8" w:space="0" w:color="9EAAB6" w:themeColor="accent5"/>
          <w:bottom w:val="single" w:sz="8" w:space="0" w:color="9EAAB6" w:themeColor="accent5"/>
          <w:right w:val="single" w:sz="8" w:space="0" w:color="9EAAB6" w:themeColor="accent5"/>
          <w:insideH w:val="nil"/>
          <w:insideV w:val="single" w:sz="8" w:space="0" w:color="9EAAB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tblStylePr w:type="band1Vert">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shd w:val="clear" w:color="auto" w:fill="E7E9ED" w:themeFill="accent5" w:themeFillTint="3F"/>
      </w:tcPr>
    </w:tblStylePr>
    <w:tblStylePr w:type="band1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insideV w:val="single" w:sz="8" w:space="0" w:color="9EAAB6" w:themeColor="accent5"/>
        </w:tcBorders>
        <w:shd w:val="clear" w:color="auto" w:fill="E7E9ED" w:themeFill="accent5" w:themeFillTint="3F"/>
      </w:tcPr>
    </w:tblStylePr>
    <w:tblStylePr w:type="band2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insideV w:val="single" w:sz="8" w:space="0" w:color="9EAAB6" w:themeColor="accent5"/>
        </w:tcBorders>
      </w:tcPr>
    </w:tblStylePr>
  </w:style>
  <w:style w:type="table" w:styleId="LightGrid-Accent6">
    <w:name w:val="Light Grid Accent 6"/>
    <w:basedOn w:val="TableNormal"/>
    <w:uiPriority w:val="62"/>
    <w:semiHidden/>
    <w:unhideWhenUsed/>
    <w:rsid w:val="00AD71E3"/>
    <w:pPr>
      <w:spacing w:after="0"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18" w:space="0" w:color="8A479B" w:themeColor="accent6"/>
          <w:right w:val="single" w:sz="8" w:space="0" w:color="8A479B" w:themeColor="accent6"/>
          <w:insideH w:val="nil"/>
          <w:insideV w:val="single" w:sz="8" w:space="0" w:color="8A479B"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insideH w:val="nil"/>
          <w:insideV w:val="single" w:sz="8" w:space="0" w:color="8A479B"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shd w:val="clear" w:color="auto" w:fill="E3CEE9" w:themeFill="accent6" w:themeFillTint="3F"/>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shd w:val="clear" w:color="auto" w:fill="E3CEE9" w:themeFill="accent6" w:themeFillTint="3F"/>
      </w:tcPr>
    </w:tblStylePr>
    <w:tblStylePr w:type="band2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tcPr>
    </w:tblStylePr>
  </w:style>
  <w:style w:type="table" w:styleId="LightList">
    <w:name w:val="Light List"/>
    <w:basedOn w:val="TableNormal"/>
    <w:uiPriority w:val="61"/>
    <w:semiHidden/>
    <w:unhideWhenUsed/>
    <w:rsid w:val="00AD71E3"/>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AD71E3"/>
    <w:pPr>
      <w:spacing w:after="0" w:line="240" w:lineRule="auto"/>
    </w:p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tblBorders>
    </w:tblPr>
    <w:tblStylePr w:type="firstRow">
      <w:pPr>
        <w:spacing w:before="0" w:after="0" w:line="240" w:lineRule="auto"/>
      </w:pPr>
      <w:rPr>
        <w:b/>
        <w:bCs/>
        <w:color w:val="FFFFFF" w:themeColor="background1"/>
      </w:rPr>
      <w:tblPr/>
      <w:tcPr>
        <w:shd w:val="clear" w:color="auto" w:fill="785263" w:themeFill="accent1"/>
      </w:tcPr>
    </w:tblStylePr>
    <w:tblStylePr w:type="lastRow">
      <w:pPr>
        <w:spacing w:before="0" w:after="0" w:line="240" w:lineRule="auto"/>
      </w:pPr>
      <w:rPr>
        <w:b/>
        <w:bCs/>
      </w:rPr>
      <w:tblPr/>
      <w:tcPr>
        <w:tcBorders>
          <w:top w:val="double" w:sz="6" w:space="0" w:color="785263" w:themeColor="accent1"/>
          <w:left w:val="single" w:sz="8" w:space="0" w:color="785263" w:themeColor="accent1"/>
          <w:bottom w:val="single" w:sz="8" w:space="0" w:color="785263" w:themeColor="accent1"/>
          <w:right w:val="single" w:sz="8" w:space="0" w:color="785263" w:themeColor="accent1"/>
        </w:tcBorders>
      </w:tcPr>
    </w:tblStylePr>
    <w:tblStylePr w:type="firstCol">
      <w:rPr>
        <w:b/>
        <w:bCs/>
      </w:rPr>
    </w:tblStylePr>
    <w:tblStylePr w:type="lastCol">
      <w:rPr>
        <w:b/>
        <w:bCs/>
      </w:rPr>
    </w:tblStylePr>
    <w:tblStylePr w:type="band1Vert">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tblStylePr w:type="band1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style>
  <w:style w:type="table" w:styleId="LightList-Accent2">
    <w:name w:val="Light List Accent 2"/>
    <w:basedOn w:val="TableNormal"/>
    <w:uiPriority w:val="61"/>
    <w:semiHidden/>
    <w:unhideWhenUsed/>
    <w:rsid w:val="00AD71E3"/>
    <w:pPr>
      <w:spacing w:after="0" w:line="240" w:lineRule="auto"/>
    </w:p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tblBorders>
    </w:tblPr>
    <w:tblStylePr w:type="firstRow">
      <w:pPr>
        <w:spacing w:before="0" w:after="0" w:line="240" w:lineRule="auto"/>
      </w:pPr>
      <w:rPr>
        <w:b/>
        <w:bCs/>
        <w:color w:val="FFFFFF" w:themeColor="background1"/>
      </w:rPr>
      <w:tblPr/>
      <w:tcPr>
        <w:shd w:val="clear" w:color="auto" w:fill="C3C3C3" w:themeFill="accent2"/>
      </w:tcPr>
    </w:tblStylePr>
    <w:tblStylePr w:type="lastRow">
      <w:pPr>
        <w:spacing w:before="0" w:after="0" w:line="240" w:lineRule="auto"/>
      </w:pPr>
      <w:rPr>
        <w:b/>
        <w:bCs/>
      </w:rPr>
      <w:tblPr/>
      <w:tcPr>
        <w:tcBorders>
          <w:top w:val="double" w:sz="6" w:space="0" w:color="C3C3C3" w:themeColor="accent2"/>
          <w:left w:val="single" w:sz="8" w:space="0" w:color="C3C3C3" w:themeColor="accent2"/>
          <w:bottom w:val="single" w:sz="8" w:space="0" w:color="C3C3C3" w:themeColor="accent2"/>
          <w:right w:val="single" w:sz="8" w:space="0" w:color="C3C3C3" w:themeColor="accent2"/>
        </w:tcBorders>
      </w:tcPr>
    </w:tblStylePr>
    <w:tblStylePr w:type="firstCol">
      <w:rPr>
        <w:b/>
        <w:bCs/>
      </w:rPr>
    </w:tblStylePr>
    <w:tblStylePr w:type="lastCol">
      <w:rPr>
        <w:b/>
        <w:bCs/>
      </w:rPr>
    </w:tblStylePr>
    <w:tblStylePr w:type="band1Vert">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tblStylePr w:type="band1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style>
  <w:style w:type="table" w:styleId="LightList-Accent3">
    <w:name w:val="Light List Accent 3"/>
    <w:basedOn w:val="TableNormal"/>
    <w:uiPriority w:val="61"/>
    <w:semiHidden/>
    <w:unhideWhenUsed/>
    <w:rsid w:val="00AD71E3"/>
    <w:pPr>
      <w:spacing w:after="0" w:line="240" w:lineRule="auto"/>
    </w:p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tblBorders>
    </w:tblPr>
    <w:tblStylePr w:type="firstRow">
      <w:pPr>
        <w:spacing w:before="0" w:after="0" w:line="240" w:lineRule="auto"/>
      </w:pPr>
      <w:rPr>
        <w:b/>
        <w:bCs/>
        <w:color w:val="FFFFFF" w:themeColor="background1"/>
      </w:rPr>
      <w:tblPr/>
      <w:tcPr>
        <w:shd w:val="clear" w:color="auto" w:fill="F96600" w:themeFill="accent3"/>
      </w:tcPr>
    </w:tblStylePr>
    <w:tblStylePr w:type="lastRow">
      <w:pPr>
        <w:spacing w:before="0" w:after="0" w:line="240" w:lineRule="auto"/>
      </w:pPr>
      <w:rPr>
        <w:b/>
        <w:bCs/>
      </w:rPr>
      <w:tblPr/>
      <w:tcPr>
        <w:tcBorders>
          <w:top w:val="double" w:sz="6" w:space="0" w:color="F96600" w:themeColor="accent3"/>
          <w:left w:val="single" w:sz="8" w:space="0" w:color="F96600" w:themeColor="accent3"/>
          <w:bottom w:val="single" w:sz="8" w:space="0" w:color="F96600" w:themeColor="accent3"/>
          <w:right w:val="single" w:sz="8" w:space="0" w:color="F96600" w:themeColor="accent3"/>
        </w:tcBorders>
      </w:tcPr>
    </w:tblStylePr>
    <w:tblStylePr w:type="firstCol">
      <w:rPr>
        <w:b/>
        <w:bCs/>
      </w:rPr>
    </w:tblStylePr>
    <w:tblStylePr w:type="lastCol">
      <w:rPr>
        <w:b/>
        <w:bCs/>
      </w:rPr>
    </w:tblStylePr>
    <w:tblStylePr w:type="band1Vert">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tblStylePr w:type="band1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style>
  <w:style w:type="table" w:styleId="LightList-Accent4">
    <w:name w:val="Light List Accent 4"/>
    <w:basedOn w:val="TableNormal"/>
    <w:uiPriority w:val="61"/>
    <w:semiHidden/>
    <w:unhideWhenUsed/>
    <w:rsid w:val="00AD71E3"/>
    <w:pPr>
      <w:spacing w:after="0" w:line="240" w:lineRule="auto"/>
    </w:p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tblBorders>
    </w:tblPr>
    <w:tblStylePr w:type="firstRow">
      <w:pPr>
        <w:spacing w:before="0" w:after="0" w:line="240" w:lineRule="auto"/>
      </w:pPr>
      <w:rPr>
        <w:b/>
        <w:bCs/>
        <w:color w:val="FFFFFF" w:themeColor="background1"/>
      </w:rPr>
      <w:tblPr/>
      <w:tcPr>
        <w:shd w:val="clear" w:color="auto" w:fill="3AA9E3" w:themeFill="accent4"/>
      </w:tcPr>
    </w:tblStylePr>
    <w:tblStylePr w:type="lastRow">
      <w:pPr>
        <w:spacing w:before="0" w:after="0" w:line="240" w:lineRule="auto"/>
      </w:pPr>
      <w:rPr>
        <w:b/>
        <w:bCs/>
      </w:rPr>
      <w:tblPr/>
      <w:tcPr>
        <w:tcBorders>
          <w:top w:val="double" w:sz="6" w:space="0" w:color="3AA9E3" w:themeColor="accent4"/>
          <w:left w:val="single" w:sz="8" w:space="0" w:color="3AA9E3" w:themeColor="accent4"/>
          <w:bottom w:val="single" w:sz="8" w:space="0" w:color="3AA9E3" w:themeColor="accent4"/>
          <w:right w:val="single" w:sz="8" w:space="0" w:color="3AA9E3" w:themeColor="accent4"/>
        </w:tcBorders>
      </w:tcPr>
    </w:tblStylePr>
    <w:tblStylePr w:type="firstCol">
      <w:rPr>
        <w:b/>
        <w:bCs/>
      </w:rPr>
    </w:tblStylePr>
    <w:tblStylePr w:type="lastCol">
      <w:rPr>
        <w:b/>
        <w:bCs/>
      </w:rPr>
    </w:tblStylePr>
    <w:tblStylePr w:type="band1Vert">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tblStylePr w:type="band1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style>
  <w:style w:type="table" w:styleId="LightList-Accent5">
    <w:name w:val="Light List Accent 5"/>
    <w:basedOn w:val="TableNormal"/>
    <w:uiPriority w:val="61"/>
    <w:semiHidden/>
    <w:unhideWhenUsed/>
    <w:rsid w:val="00AD71E3"/>
    <w:pPr>
      <w:spacing w:after="0" w:line="240" w:lineRule="auto"/>
    </w:p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tblBorders>
    </w:tblPr>
    <w:tblStylePr w:type="firstRow">
      <w:pPr>
        <w:spacing w:before="0" w:after="0" w:line="240" w:lineRule="auto"/>
      </w:pPr>
      <w:rPr>
        <w:b/>
        <w:bCs/>
        <w:color w:val="FFFFFF" w:themeColor="background1"/>
      </w:rPr>
      <w:tblPr/>
      <w:tcPr>
        <w:shd w:val="clear" w:color="auto" w:fill="9EAAB6" w:themeFill="accent5"/>
      </w:tcPr>
    </w:tblStylePr>
    <w:tblStylePr w:type="lastRow">
      <w:pPr>
        <w:spacing w:before="0" w:after="0" w:line="240" w:lineRule="auto"/>
      </w:pPr>
      <w:rPr>
        <w:b/>
        <w:bCs/>
      </w:rPr>
      <w:tblPr/>
      <w:tcPr>
        <w:tcBorders>
          <w:top w:val="double" w:sz="6" w:space="0" w:color="9EAAB6" w:themeColor="accent5"/>
          <w:left w:val="single" w:sz="8" w:space="0" w:color="9EAAB6" w:themeColor="accent5"/>
          <w:bottom w:val="single" w:sz="8" w:space="0" w:color="9EAAB6" w:themeColor="accent5"/>
          <w:right w:val="single" w:sz="8" w:space="0" w:color="9EAAB6" w:themeColor="accent5"/>
        </w:tcBorders>
      </w:tcPr>
    </w:tblStylePr>
    <w:tblStylePr w:type="firstCol">
      <w:rPr>
        <w:b/>
        <w:bCs/>
      </w:rPr>
    </w:tblStylePr>
    <w:tblStylePr w:type="lastCol">
      <w:rPr>
        <w:b/>
        <w:bCs/>
      </w:rPr>
    </w:tblStylePr>
    <w:tblStylePr w:type="band1Vert">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tblStylePr w:type="band1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style>
  <w:style w:type="table" w:styleId="LightList-Accent6">
    <w:name w:val="Light List Accent 6"/>
    <w:basedOn w:val="TableNormal"/>
    <w:uiPriority w:val="61"/>
    <w:semiHidden/>
    <w:unhideWhenUsed/>
    <w:rsid w:val="00AD71E3"/>
    <w:pPr>
      <w:spacing w:after="0"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tcBorders>
      </w:tcPr>
    </w:tblStylePr>
    <w:tblStylePr w:type="firstCol">
      <w:rPr>
        <w:b/>
        <w:bCs/>
      </w:rPr>
    </w:tblStylePr>
    <w:tblStylePr w:type="lastCol">
      <w:rPr>
        <w:b/>
        <w:bCs/>
      </w:r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style>
  <w:style w:type="table" w:styleId="LightShading">
    <w:name w:val="Light Shading"/>
    <w:basedOn w:val="TableNormal"/>
    <w:uiPriority w:val="60"/>
    <w:semiHidden/>
    <w:unhideWhenUsed/>
    <w:rsid w:val="00AD71E3"/>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D71E3"/>
    <w:pPr>
      <w:spacing w:after="0" w:line="240" w:lineRule="auto"/>
    </w:pPr>
    <w:rPr>
      <w:color w:val="593D4A" w:themeColor="accent1" w:themeShade="BF"/>
    </w:rPr>
    <w:tblPr>
      <w:tblStyleRowBandSize w:val="1"/>
      <w:tblStyleColBandSize w:val="1"/>
      <w:tblBorders>
        <w:top w:val="single" w:sz="8" w:space="0" w:color="785263" w:themeColor="accent1"/>
        <w:bottom w:val="single" w:sz="8" w:space="0" w:color="785263" w:themeColor="accent1"/>
      </w:tblBorders>
    </w:tblPr>
    <w:tblStylePr w:type="firstRow">
      <w:pPr>
        <w:spacing w:before="0" w:after="0" w:line="240" w:lineRule="auto"/>
      </w:pPr>
      <w:rPr>
        <w:b/>
        <w:bCs/>
      </w:rPr>
      <w:tblPr/>
      <w:tcPr>
        <w:tcBorders>
          <w:top w:val="single" w:sz="8" w:space="0" w:color="785263" w:themeColor="accent1"/>
          <w:left w:val="nil"/>
          <w:bottom w:val="single" w:sz="8" w:space="0" w:color="785263" w:themeColor="accent1"/>
          <w:right w:val="nil"/>
          <w:insideH w:val="nil"/>
          <w:insideV w:val="nil"/>
        </w:tcBorders>
      </w:tcPr>
    </w:tblStylePr>
    <w:tblStylePr w:type="lastRow">
      <w:pPr>
        <w:spacing w:before="0" w:after="0" w:line="240" w:lineRule="auto"/>
      </w:pPr>
      <w:rPr>
        <w:b/>
        <w:bCs/>
      </w:rPr>
      <w:tblPr/>
      <w:tcPr>
        <w:tcBorders>
          <w:top w:val="single" w:sz="8" w:space="0" w:color="785263" w:themeColor="accent1"/>
          <w:left w:val="nil"/>
          <w:bottom w:val="single" w:sz="8" w:space="0" w:color="785263"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left w:val="nil"/>
          <w:right w:val="nil"/>
          <w:insideH w:val="nil"/>
          <w:insideV w:val="nil"/>
        </w:tcBorders>
        <w:shd w:val="clear" w:color="auto" w:fill="E0D1D8" w:themeFill="accent1" w:themeFillTint="3F"/>
      </w:tcPr>
    </w:tblStylePr>
  </w:style>
  <w:style w:type="table" w:styleId="LightShading-Accent2">
    <w:name w:val="Light Shading Accent 2"/>
    <w:basedOn w:val="TableNormal"/>
    <w:uiPriority w:val="60"/>
    <w:semiHidden/>
    <w:unhideWhenUsed/>
    <w:rsid w:val="00AD71E3"/>
    <w:pPr>
      <w:spacing w:after="0" w:line="240" w:lineRule="auto"/>
    </w:pPr>
    <w:rPr>
      <w:color w:val="929292" w:themeColor="accent2" w:themeShade="BF"/>
    </w:rPr>
    <w:tblPr>
      <w:tblStyleRowBandSize w:val="1"/>
      <w:tblStyleColBandSize w:val="1"/>
      <w:tblBorders>
        <w:top w:val="single" w:sz="8" w:space="0" w:color="C3C3C3" w:themeColor="accent2"/>
        <w:bottom w:val="single" w:sz="8" w:space="0" w:color="C3C3C3" w:themeColor="accent2"/>
      </w:tblBorders>
    </w:tblPr>
    <w:tblStylePr w:type="firstRow">
      <w:pPr>
        <w:spacing w:before="0" w:after="0" w:line="240" w:lineRule="auto"/>
      </w:pPr>
      <w:rPr>
        <w:b/>
        <w:bCs/>
      </w:rPr>
      <w:tblPr/>
      <w:tcPr>
        <w:tcBorders>
          <w:top w:val="single" w:sz="8" w:space="0" w:color="C3C3C3" w:themeColor="accent2"/>
          <w:left w:val="nil"/>
          <w:bottom w:val="single" w:sz="8" w:space="0" w:color="C3C3C3" w:themeColor="accent2"/>
          <w:right w:val="nil"/>
          <w:insideH w:val="nil"/>
          <w:insideV w:val="nil"/>
        </w:tcBorders>
      </w:tcPr>
    </w:tblStylePr>
    <w:tblStylePr w:type="lastRow">
      <w:pPr>
        <w:spacing w:before="0" w:after="0" w:line="240" w:lineRule="auto"/>
      </w:pPr>
      <w:rPr>
        <w:b/>
        <w:bCs/>
      </w:rPr>
      <w:tblPr/>
      <w:tcPr>
        <w:tcBorders>
          <w:top w:val="single" w:sz="8" w:space="0" w:color="C3C3C3" w:themeColor="accent2"/>
          <w:left w:val="nil"/>
          <w:bottom w:val="single" w:sz="8" w:space="0" w:color="C3C3C3"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left w:val="nil"/>
          <w:right w:val="nil"/>
          <w:insideH w:val="nil"/>
          <w:insideV w:val="nil"/>
        </w:tcBorders>
        <w:shd w:val="clear" w:color="auto" w:fill="F0F0F0" w:themeFill="accent2" w:themeFillTint="3F"/>
      </w:tcPr>
    </w:tblStylePr>
  </w:style>
  <w:style w:type="table" w:styleId="LightShading-Accent3">
    <w:name w:val="Light Shading Accent 3"/>
    <w:basedOn w:val="TableNormal"/>
    <w:uiPriority w:val="60"/>
    <w:semiHidden/>
    <w:unhideWhenUsed/>
    <w:rsid w:val="00AD71E3"/>
    <w:pPr>
      <w:spacing w:after="0" w:line="240" w:lineRule="auto"/>
    </w:pPr>
    <w:rPr>
      <w:color w:val="BA4B00" w:themeColor="accent3" w:themeShade="BF"/>
    </w:rPr>
    <w:tblPr>
      <w:tblStyleRowBandSize w:val="1"/>
      <w:tblStyleColBandSize w:val="1"/>
      <w:tblBorders>
        <w:top w:val="single" w:sz="8" w:space="0" w:color="F96600" w:themeColor="accent3"/>
        <w:bottom w:val="single" w:sz="8" w:space="0" w:color="F96600" w:themeColor="accent3"/>
      </w:tblBorders>
    </w:tblPr>
    <w:tblStylePr w:type="firstRow">
      <w:pPr>
        <w:spacing w:before="0" w:after="0" w:line="240" w:lineRule="auto"/>
      </w:pPr>
      <w:rPr>
        <w:b/>
        <w:bCs/>
      </w:rPr>
      <w:tblPr/>
      <w:tcPr>
        <w:tcBorders>
          <w:top w:val="single" w:sz="8" w:space="0" w:color="F96600" w:themeColor="accent3"/>
          <w:left w:val="nil"/>
          <w:bottom w:val="single" w:sz="8" w:space="0" w:color="F96600" w:themeColor="accent3"/>
          <w:right w:val="nil"/>
          <w:insideH w:val="nil"/>
          <w:insideV w:val="nil"/>
        </w:tcBorders>
      </w:tcPr>
    </w:tblStylePr>
    <w:tblStylePr w:type="lastRow">
      <w:pPr>
        <w:spacing w:before="0" w:after="0" w:line="240" w:lineRule="auto"/>
      </w:pPr>
      <w:rPr>
        <w:b/>
        <w:bCs/>
      </w:rPr>
      <w:tblPr/>
      <w:tcPr>
        <w:tcBorders>
          <w:top w:val="single" w:sz="8" w:space="0" w:color="F96600" w:themeColor="accent3"/>
          <w:left w:val="nil"/>
          <w:bottom w:val="single" w:sz="8" w:space="0" w:color="F96600"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left w:val="nil"/>
          <w:right w:val="nil"/>
          <w:insideH w:val="nil"/>
          <w:insideV w:val="nil"/>
        </w:tcBorders>
        <w:shd w:val="clear" w:color="auto" w:fill="FFD8BE" w:themeFill="accent3" w:themeFillTint="3F"/>
      </w:tcPr>
    </w:tblStylePr>
  </w:style>
  <w:style w:type="table" w:styleId="LightShading-Accent4">
    <w:name w:val="Light Shading Accent 4"/>
    <w:basedOn w:val="TableNormal"/>
    <w:uiPriority w:val="60"/>
    <w:semiHidden/>
    <w:unhideWhenUsed/>
    <w:rsid w:val="00AD71E3"/>
    <w:pPr>
      <w:spacing w:after="0" w:line="240" w:lineRule="auto"/>
    </w:pPr>
    <w:rPr>
      <w:color w:val="1A83BA" w:themeColor="accent4" w:themeShade="BF"/>
    </w:rPr>
    <w:tblPr>
      <w:tblStyleRowBandSize w:val="1"/>
      <w:tblStyleColBandSize w:val="1"/>
      <w:tblBorders>
        <w:top w:val="single" w:sz="8" w:space="0" w:color="3AA9E3" w:themeColor="accent4"/>
        <w:bottom w:val="single" w:sz="8" w:space="0" w:color="3AA9E3" w:themeColor="accent4"/>
      </w:tblBorders>
    </w:tblPr>
    <w:tblStylePr w:type="firstRow">
      <w:pPr>
        <w:spacing w:before="0" w:after="0" w:line="240" w:lineRule="auto"/>
      </w:pPr>
      <w:rPr>
        <w:b/>
        <w:bCs/>
      </w:rPr>
      <w:tblPr/>
      <w:tcPr>
        <w:tcBorders>
          <w:top w:val="single" w:sz="8" w:space="0" w:color="3AA9E3" w:themeColor="accent4"/>
          <w:left w:val="nil"/>
          <w:bottom w:val="single" w:sz="8" w:space="0" w:color="3AA9E3" w:themeColor="accent4"/>
          <w:right w:val="nil"/>
          <w:insideH w:val="nil"/>
          <w:insideV w:val="nil"/>
        </w:tcBorders>
      </w:tcPr>
    </w:tblStylePr>
    <w:tblStylePr w:type="lastRow">
      <w:pPr>
        <w:spacing w:before="0" w:after="0" w:line="240" w:lineRule="auto"/>
      </w:pPr>
      <w:rPr>
        <w:b/>
        <w:bCs/>
      </w:rPr>
      <w:tblPr/>
      <w:tcPr>
        <w:tcBorders>
          <w:top w:val="single" w:sz="8" w:space="0" w:color="3AA9E3" w:themeColor="accent4"/>
          <w:left w:val="nil"/>
          <w:bottom w:val="single" w:sz="8" w:space="0" w:color="3AA9E3"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left w:val="nil"/>
          <w:right w:val="nil"/>
          <w:insideH w:val="nil"/>
          <w:insideV w:val="nil"/>
        </w:tcBorders>
        <w:shd w:val="clear" w:color="auto" w:fill="CEE9F8" w:themeFill="accent4" w:themeFillTint="3F"/>
      </w:tcPr>
    </w:tblStylePr>
  </w:style>
  <w:style w:type="table" w:styleId="LightShading-Accent5">
    <w:name w:val="Light Shading Accent 5"/>
    <w:basedOn w:val="TableNormal"/>
    <w:uiPriority w:val="60"/>
    <w:semiHidden/>
    <w:unhideWhenUsed/>
    <w:rsid w:val="00AD71E3"/>
    <w:pPr>
      <w:spacing w:after="0" w:line="240" w:lineRule="auto"/>
    </w:pPr>
    <w:rPr>
      <w:color w:val="6D7F91" w:themeColor="accent5" w:themeShade="BF"/>
    </w:rPr>
    <w:tblPr>
      <w:tblStyleRowBandSize w:val="1"/>
      <w:tblStyleColBandSize w:val="1"/>
      <w:tblBorders>
        <w:top w:val="single" w:sz="8" w:space="0" w:color="9EAAB6" w:themeColor="accent5"/>
        <w:bottom w:val="single" w:sz="8" w:space="0" w:color="9EAAB6" w:themeColor="accent5"/>
      </w:tblBorders>
    </w:tblPr>
    <w:tblStylePr w:type="firstRow">
      <w:pPr>
        <w:spacing w:before="0" w:after="0" w:line="240" w:lineRule="auto"/>
      </w:pPr>
      <w:rPr>
        <w:b/>
        <w:bCs/>
      </w:rPr>
      <w:tblPr/>
      <w:tcPr>
        <w:tcBorders>
          <w:top w:val="single" w:sz="8" w:space="0" w:color="9EAAB6" w:themeColor="accent5"/>
          <w:left w:val="nil"/>
          <w:bottom w:val="single" w:sz="8" w:space="0" w:color="9EAAB6" w:themeColor="accent5"/>
          <w:right w:val="nil"/>
          <w:insideH w:val="nil"/>
          <w:insideV w:val="nil"/>
        </w:tcBorders>
      </w:tcPr>
    </w:tblStylePr>
    <w:tblStylePr w:type="lastRow">
      <w:pPr>
        <w:spacing w:before="0" w:after="0" w:line="240" w:lineRule="auto"/>
      </w:pPr>
      <w:rPr>
        <w:b/>
        <w:bCs/>
      </w:rPr>
      <w:tblPr/>
      <w:tcPr>
        <w:tcBorders>
          <w:top w:val="single" w:sz="8" w:space="0" w:color="9EAAB6" w:themeColor="accent5"/>
          <w:left w:val="nil"/>
          <w:bottom w:val="single" w:sz="8" w:space="0" w:color="9EAAB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left w:val="nil"/>
          <w:right w:val="nil"/>
          <w:insideH w:val="nil"/>
          <w:insideV w:val="nil"/>
        </w:tcBorders>
        <w:shd w:val="clear" w:color="auto" w:fill="E7E9ED" w:themeFill="accent5" w:themeFillTint="3F"/>
      </w:tcPr>
    </w:tblStylePr>
  </w:style>
  <w:style w:type="table" w:styleId="LightShading-Accent6">
    <w:name w:val="Light Shading Accent 6"/>
    <w:basedOn w:val="TableNormal"/>
    <w:uiPriority w:val="60"/>
    <w:semiHidden/>
    <w:unhideWhenUsed/>
    <w:rsid w:val="00AD71E3"/>
    <w:pPr>
      <w:spacing w:after="0" w:line="240" w:lineRule="auto"/>
    </w:pPr>
    <w:rPr>
      <w:color w:val="673573" w:themeColor="accent6" w:themeShade="BF"/>
    </w:rPr>
    <w:tblPr>
      <w:tblStyleRowBandSize w:val="1"/>
      <w:tblStyleColBandSize w:val="1"/>
      <w:tblBorders>
        <w:top w:val="single" w:sz="8" w:space="0" w:color="8A479B" w:themeColor="accent6"/>
        <w:bottom w:val="single" w:sz="8" w:space="0" w:color="8A479B" w:themeColor="accent6"/>
      </w:tblBorders>
    </w:tblPr>
    <w:tblStylePr w:type="fir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la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AD71E3"/>
  </w:style>
  <w:style w:type="paragraph" w:styleId="List">
    <w:name w:val="List"/>
    <w:basedOn w:val="Normal"/>
    <w:uiPriority w:val="99"/>
    <w:semiHidden/>
    <w:unhideWhenUsed/>
    <w:rsid w:val="00AD71E3"/>
    <w:pPr>
      <w:ind w:left="360" w:hanging="360"/>
      <w:contextualSpacing/>
    </w:pPr>
  </w:style>
  <w:style w:type="paragraph" w:styleId="List2">
    <w:name w:val="List 2"/>
    <w:basedOn w:val="Normal"/>
    <w:uiPriority w:val="99"/>
    <w:semiHidden/>
    <w:unhideWhenUsed/>
    <w:rsid w:val="00AD71E3"/>
    <w:pPr>
      <w:ind w:left="720" w:hanging="360"/>
      <w:contextualSpacing/>
    </w:pPr>
  </w:style>
  <w:style w:type="paragraph" w:styleId="List3">
    <w:name w:val="List 3"/>
    <w:basedOn w:val="Normal"/>
    <w:uiPriority w:val="99"/>
    <w:semiHidden/>
    <w:unhideWhenUsed/>
    <w:rsid w:val="00AD71E3"/>
    <w:pPr>
      <w:ind w:left="1080" w:hanging="360"/>
      <w:contextualSpacing/>
    </w:pPr>
  </w:style>
  <w:style w:type="paragraph" w:styleId="List4">
    <w:name w:val="List 4"/>
    <w:basedOn w:val="Normal"/>
    <w:uiPriority w:val="99"/>
    <w:semiHidden/>
    <w:unhideWhenUsed/>
    <w:rsid w:val="00AD71E3"/>
    <w:pPr>
      <w:ind w:left="1440" w:hanging="360"/>
      <w:contextualSpacing/>
    </w:pPr>
  </w:style>
  <w:style w:type="paragraph" w:styleId="List5">
    <w:name w:val="List 5"/>
    <w:basedOn w:val="Normal"/>
    <w:uiPriority w:val="99"/>
    <w:semiHidden/>
    <w:unhideWhenUsed/>
    <w:rsid w:val="00AD71E3"/>
    <w:pPr>
      <w:ind w:left="1800" w:hanging="360"/>
      <w:contextualSpacing/>
    </w:pPr>
  </w:style>
  <w:style w:type="paragraph" w:styleId="ListBullet2">
    <w:name w:val="List Bullet 2"/>
    <w:basedOn w:val="Normal"/>
    <w:uiPriority w:val="99"/>
    <w:semiHidden/>
    <w:unhideWhenUsed/>
    <w:rsid w:val="00AD71E3"/>
    <w:pPr>
      <w:numPr>
        <w:numId w:val="3"/>
      </w:numPr>
      <w:contextualSpacing/>
    </w:pPr>
  </w:style>
  <w:style w:type="paragraph" w:styleId="ListBullet3">
    <w:name w:val="List Bullet 3"/>
    <w:basedOn w:val="Normal"/>
    <w:uiPriority w:val="99"/>
    <w:semiHidden/>
    <w:unhideWhenUsed/>
    <w:rsid w:val="00AD71E3"/>
    <w:pPr>
      <w:numPr>
        <w:numId w:val="4"/>
      </w:numPr>
      <w:contextualSpacing/>
    </w:pPr>
  </w:style>
  <w:style w:type="paragraph" w:styleId="ListBullet4">
    <w:name w:val="List Bullet 4"/>
    <w:basedOn w:val="Normal"/>
    <w:uiPriority w:val="99"/>
    <w:semiHidden/>
    <w:unhideWhenUsed/>
    <w:rsid w:val="00AD71E3"/>
    <w:pPr>
      <w:numPr>
        <w:numId w:val="5"/>
      </w:numPr>
      <w:contextualSpacing/>
    </w:pPr>
  </w:style>
  <w:style w:type="paragraph" w:styleId="ListBullet5">
    <w:name w:val="List Bullet 5"/>
    <w:basedOn w:val="Normal"/>
    <w:uiPriority w:val="99"/>
    <w:semiHidden/>
    <w:unhideWhenUsed/>
    <w:rsid w:val="00AD71E3"/>
    <w:pPr>
      <w:numPr>
        <w:numId w:val="6"/>
      </w:numPr>
      <w:contextualSpacing/>
    </w:pPr>
  </w:style>
  <w:style w:type="paragraph" w:styleId="ListContinue">
    <w:name w:val="List Continue"/>
    <w:basedOn w:val="Normal"/>
    <w:uiPriority w:val="99"/>
    <w:semiHidden/>
    <w:unhideWhenUsed/>
    <w:rsid w:val="00AD71E3"/>
    <w:pPr>
      <w:spacing w:after="120"/>
      <w:ind w:left="360"/>
      <w:contextualSpacing/>
    </w:pPr>
  </w:style>
  <w:style w:type="paragraph" w:styleId="ListContinue2">
    <w:name w:val="List Continue 2"/>
    <w:basedOn w:val="Normal"/>
    <w:uiPriority w:val="99"/>
    <w:semiHidden/>
    <w:unhideWhenUsed/>
    <w:rsid w:val="00AD71E3"/>
    <w:pPr>
      <w:spacing w:after="120"/>
      <w:ind w:left="720"/>
      <w:contextualSpacing/>
    </w:pPr>
  </w:style>
  <w:style w:type="paragraph" w:styleId="ListContinue3">
    <w:name w:val="List Continue 3"/>
    <w:basedOn w:val="Normal"/>
    <w:uiPriority w:val="99"/>
    <w:semiHidden/>
    <w:unhideWhenUsed/>
    <w:rsid w:val="00AD71E3"/>
    <w:pPr>
      <w:spacing w:after="120"/>
      <w:ind w:left="1080"/>
      <w:contextualSpacing/>
    </w:pPr>
  </w:style>
  <w:style w:type="paragraph" w:styleId="ListContinue4">
    <w:name w:val="List Continue 4"/>
    <w:basedOn w:val="Normal"/>
    <w:uiPriority w:val="99"/>
    <w:semiHidden/>
    <w:unhideWhenUsed/>
    <w:rsid w:val="00AD71E3"/>
    <w:pPr>
      <w:spacing w:after="120"/>
      <w:ind w:left="1440"/>
      <w:contextualSpacing/>
    </w:pPr>
  </w:style>
  <w:style w:type="paragraph" w:styleId="ListContinue5">
    <w:name w:val="List Continue 5"/>
    <w:basedOn w:val="Normal"/>
    <w:uiPriority w:val="99"/>
    <w:semiHidden/>
    <w:unhideWhenUsed/>
    <w:rsid w:val="00AD71E3"/>
    <w:pPr>
      <w:spacing w:after="120"/>
      <w:ind w:left="1800"/>
      <w:contextualSpacing/>
    </w:pPr>
  </w:style>
  <w:style w:type="paragraph" w:styleId="ListNumber2">
    <w:name w:val="List Number 2"/>
    <w:basedOn w:val="Normal"/>
    <w:uiPriority w:val="99"/>
    <w:semiHidden/>
    <w:unhideWhenUsed/>
    <w:rsid w:val="00AD71E3"/>
    <w:pPr>
      <w:numPr>
        <w:numId w:val="7"/>
      </w:numPr>
      <w:contextualSpacing/>
    </w:pPr>
  </w:style>
  <w:style w:type="paragraph" w:styleId="ListNumber3">
    <w:name w:val="List Number 3"/>
    <w:basedOn w:val="Normal"/>
    <w:uiPriority w:val="99"/>
    <w:semiHidden/>
    <w:unhideWhenUsed/>
    <w:rsid w:val="00AD71E3"/>
    <w:pPr>
      <w:numPr>
        <w:numId w:val="8"/>
      </w:numPr>
      <w:contextualSpacing/>
    </w:pPr>
  </w:style>
  <w:style w:type="paragraph" w:styleId="ListNumber4">
    <w:name w:val="List Number 4"/>
    <w:basedOn w:val="Normal"/>
    <w:uiPriority w:val="99"/>
    <w:semiHidden/>
    <w:unhideWhenUsed/>
    <w:rsid w:val="00AD71E3"/>
    <w:pPr>
      <w:numPr>
        <w:numId w:val="9"/>
      </w:numPr>
      <w:contextualSpacing/>
    </w:pPr>
  </w:style>
  <w:style w:type="paragraph" w:styleId="ListNumber5">
    <w:name w:val="List Number 5"/>
    <w:basedOn w:val="Normal"/>
    <w:uiPriority w:val="99"/>
    <w:semiHidden/>
    <w:unhideWhenUsed/>
    <w:rsid w:val="00AD71E3"/>
    <w:pPr>
      <w:numPr>
        <w:numId w:val="10"/>
      </w:numPr>
      <w:contextualSpacing/>
    </w:pPr>
  </w:style>
  <w:style w:type="paragraph" w:styleId="ListParagraph">
    <w:name w:val="List Paragraph"/>
    <w:basedOn w:val="Normal"/>
    <w:uiPriority w:val="34"/>
    <w:semiHidden/>
    <w:unhideWhenUsed/>
    <w:qFormat/>
    <w:rsid w:val="00AD71E3"/>
    <w:pPr>
      <w:ind w:left="720"/>
      <w:contextualSpacing/>
    </w:pPr>
  </w:style>
  <w:style w:type="table" w:styleId="ListTable1Light">
    <w:name w:val="List Table 1 Light"/>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B491A0" w:themeColor="accent1" w:themeTint="99"/>
        </w:tcBorders>
      </w:tcPr>
    </w:tblStylePr>
    <w:tblStylePr w:type="lastRow">
      <w:rPr>
        <w:b/>
        <w:bCs/>
      </w:rPr>
      <w:tblPr/>
      <w:tcPr>
        <w:tcBorders>
          <w:top w:val="sing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1Light-Accent2">
    <w:name w:val="List Table 1 Light Accent 2"/>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DBDBDB" w:themeColor="accent2" w:themeTint="99"/>
        </w:tcBorders>
      </w:tcPr>
    </w:tblStylePr>
    <w:tblStylePr w:type="lastRow">
      <w:rPr>
        <w:b/>
        <w:bCs/>
      </w:rPr>
      <w:tblPr/>
      <w:tcPr>
        <w:tcBorders>
          <w:top w:val="sing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1Light-Accent3">
    <w:name w:val="List Table 1 Light Accent 3"/>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FFA262" w:themeColor="accent3" w:themeTint="99"/>
        </w:tcBorders>
      </w:tcPr>
    </w:tblStylePr>
    <w:tblStylePr w:type="lastRow">
      <w:rPr>
        <w:b/>
        <w:bCs/>
      </w:rPr>
      <w:tblPr/>
      <w:tcPr>
        <w:tcBorders>
          <w:top w:val="sing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1Light-Accent4">
    <w:name w:val="List Table 1 Light Accent 4"/>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88CBEE" w:themeColor="accent4" w:themeTint="99"/>
        </w:tcBorders>
      </w:tcPr>
    </w:tblStylePr>
    <w:tblStylePr w:type="lastRow">
      <w:rPr>
        <w:b/>
        <w:bCs/>
      </w:rPr>
      <w:tblPr/>
      <w:tcPr>
        <w:tcBorders>
          <w:top w:val="sing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1Light-Accent5">
    <w:name w:val="List Table 1 Light Accent 5"/>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C4CBD3" w:themeColor="accent5" w:themeTint="99"/>
        </w:tcBorders>
      </w:tcPr>
    </w:tblStylePr>
    <w:tblStylePr w:type="lastRow">
      <w:rPr>
        <w:b/>
        <w:bCs/>
      </w:rPr>
      <w:tblPr/>
      <w:tcPr>
        <w:tcBorders>
          <w:top w:val="sing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1Light-Accent6">
    <w:name w:val="List Table 1 Light Accent 6"/>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BC89C9" w:themeColor="accent6" w:themeTint="99"/>
        </w:tcBorders>
      </w:tcPr>
    </w:tblStylePr>
    <w:tblStylePr w:type="lastRow">
      <w:rPr>
        <w:b/>
        <w:bCs/>
      </w:rPr>
      <w:tblPr/>
      <w:tcPr>
        <w:tcBorders>
          <w:top w:val="sing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AD71E3"/>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D71E3"/>
    <w:pPr>
      <w:spacing w:after="0" w:line="240" w:lineRule="auto"/>
    </w:pPr>
    <w:tblPr>
      <w:tblStyleRowBandSize w:val="1"/>
      <w:tblStyleColBandSize w:val="1"/>
      <w:tblBorders>
        <w:top w:val="single" w:sz="4" w:space="0" w:color="B491A0" w:themeColor="accent1" w:themeTint="99"/>
        <w:bottom w:val="single" w:sz="4" w:space="0" w:color="B491A0" w:themeColor="accent1" w:themeTint="99"/>
        <w:insideH w:val="single" w:sz="4" w:space="0" w:color="B491A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2-Accent2">
    <w:name w:val="List Table 2 Accent 2"/>
    <w:basedOn w:val="TableNormal"/>
    <w:uiPriority w:val="47"/>
    <w:rsid w:val="00AD71E3"/>
    <w:pPr>
      <w:spacing w:after="0" w:line="240" w:lineRule="auto"/>
    </w:pPr>
    <w:tblPr>
      <w:tblStyleRowBandSize w:val="1"/>
      <w:tblStyleColBandSize w:val="1"/>
      <w:tblBorders>
        <w:top w:val="single" w:sz="4" w:space="0" w:color="DBDBDB" w:themeColor="accent2" w:themeTint="99"/>
        <w:bottom w:val="single" w:sz="4" w:space="0" w:color="DBDBDB" w:themeColor="accent2" w:themeTint="99"/>
        <w:insideH w:val="single" w:sz="4" w:space="0" w:color="DBDBDB"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2-Accent3">
    <w:name w:val="List Table 2 Accent 3"/>
    <w:basedOn w:val="TableNormal"/>
    <w:uiPriority w:val="47"/>
    <w:rsid w:val="00AD71E3"/>
    <w:pPr>
      <w:spacing w:after="0" w:line="240" w:lineRule="auto"/>
    </w:pPr>
    <w:tblPr>
      <w:tblStyleRowBandSize w:val="1"/>
      <w:tblStyleColBandSize w:val="1"/>
      <w:tblBorders>
        <w:top w:val="single" w:sz="4" w:space="0" w:color="FFA262" w:themeColor="accent3" w:themeTint="99"/>
        <w:bottom w:val="single" w:sz="4" w:space="0" w:color="FFA262" w:themeColor="accent3" w:themeTint="99"/>
        <w:insideH w:val="single" w:sz="4" w:space="0" w:color="FFA262"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2-Accent4">
    <w:name w:val="List Table 2 Accent 4"/>
    <w:basedOn w:val="TableNormal"/>
    <w:uiPriority w:val="47"/>
    <w:rsid w:val="00AD71E3"/>
    <w:pPr>
      <w:spacing w:after="0" w:line="240" w:lineRule="auto"/>
    </w:pPr>
    <w:tblPr>
      <w:tblStyleRowBandSize w:val="1"/>
      <w:tblStyleColBandSize w:val="1"/>
      <w:tblBorders>
        <w:top w:val="single" w:sz="4" w:space="0" w:color="88CBEE" w:themeColor="accent4" w:themeTint="99"/>
        <w:bottom w:val="single" w:sz="4" w:space="0" w:color="88CBEE" w:themeColor="accent4" w:themeTint="99"/>
        <w:insideH w:val="single" w:sz="4" w:space="0" w:color="88CBEE"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2-Accent5">
    <w:name w:val="List Table 2 Accent 5"/>
    <w:basedOn w:val="TableNormal"/>
    <w:uiPriority w:val="47"/>
    <w:rsid w:val="00AD71E3"/>
    <w:pPr>
      <w:spacing w:after="0" w:line="240" w:lineRule="auto"/>
    </w:pPr>
    <w:tblPr>
      <w:tblStyleRowBandSize w:val="1"/>
      <w:tblStyleColBandSize w:val="1"/>
      <w:tblBorders>
        <w:top w:val="single" w:sz="4" w:space="0" w:color="C4CBD3" w:themeColor="accent5" w:themeTint="99"/>
        <w:bottom w:val="single" w:sz="4" w:space="0" w:color="C4CBD3" w:themeColor="accent5" w:themeTint="99"/>
        <w:insideH w:val="single" w:sz="4" w:space="0" w:color="C4CBD3"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2-Accent6">
    <w:name w:val="List Table 2 Accent 6"/>
    <w:basedOn w:val="TableNormal"/>
    <w:uiPriority w:val="47"/>
    <w:rsid w:val="00AD71E3"/>
    <w:pPr>
      <w:spacing w:after="0" w:line="240" w:lineRule="auto"/>
    </w:pPr>
    <w:tblPr>
      <w:tblStyleRowBandSize w:val="1"/>
      <w:tblStyleColBandSize w:val="1"/>
      <w:tblBorders>
        <w:top w:val="single" w:sz="4" w:space="0" w:color="BC89C9" w:themeColor="accent6" w:themeTint="99"/>
        <w:bottom w:val="single" w:sz="4" w:space="0" w:color="BC89C9" w:themeColor="accent6" w:themeTint="99"/>
        <w:insideH w:val="single" w:sz="4" w:space="0" w:color="BC89C9"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AD71E3"/>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AD71E3"/>
    <w:pPr>
      <w:spacing w:after="0" w:line="240" w:lineRule="auto"/>
    </w:pPr>
    <w:tblPr>
      <w:tblStyleRowBandSize w:val="1"/>
      <w:tblStyleColBandSize w:val="1"/>
      <w:tblBorders>
        <w:top w:val="single" w:sz="4" w:space="0" w:color="785263" w:themeColor="accent1"/>
        <w:left w:val="single" w:sz="4" w:space="0" w:color="785263" w:themeColor="accent1"/>
        <w:bottom w:val="single" w:sz="4" w:space="0" w:color="785263" w:themeColor="accent1"/>
        <w:right w:val="single" w:sz="4" w:space="0" w:color="785263" w:themeColor="accent1"/>
      </w:tblBorders>
    </w:tblPr>
    <w:tblStylePr w:type="firstRow">
      <w:rPr>
        <w:b/>
        <w:bCs/>
        <w:color w:val="FFFFFF" w:themeColor="background1"/>
      </w:rPr>
      <w:tblPr/>
      <w:tcPr>
        <w:shd w:val="clear" w:color="auto" w:fill="785263" w:themeFill="accent1"/>
      </w:tcPr>
    </w:tblStylePr>
    <w:tblStylePr w:type="lastRow">
      <w:rPr>
        <w:b/>
        <w:bCs/>
      </w:rPr>
      <w:tblPr/>
      <w:tcPr>
        <w:tcBorders>
          <w:top w:val="double" w:sz="4" w:space="0" w:color="785263"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85263" w:themeColor="accent1"/>
          <w:right w:val="single" w:sz="4" w:space="0" w:color="785263" w:themeColor="accent1"/>
        </w:tcBorders>
      </w:tcPr>
    </w:tblStylePr>
    <w:tblStylePr w:type="band1Horz">
      <w:tblPr/>
      <w:tcPr>
        <w:tcBorders>
          <w:top w:val="single" w:sz="4" w:space="0" w:color="785263" w:themeColor="accent1"/>
          <w:bottom w:val="single" w:sz="4" w:space="0" w:color="785263"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85263" w:themeColor="accent1"/>
          <w:left w:val="nil"/>
        </w:tcBorders>
      </w:tcPr>
    </w:tblStylePr>
    <w:tblStylePr w:type="swCell">
      <w:tblPr/>
      <w:tcPr>
        <w:tcBorders>
          <w:top w:val="double" w:sz="4" w:space="0" w:color="785263" w:themeColor="accent1"/>
          <w:right w:val="nil"/>
        </w:tcBorders>
      </w:tcPr>
    </w:tblStylePr>
  </w:style>
  <w:style w:type="table" w:styleId="ListTable3-Accent2">
    <w:name w:val="List Table 3 Accent 2"/>
    <w:basedOn w:val="TableNormal"/>
    <w:uiPriority w:val="48"/>
    <w:rsid w:val="00AD71E3"/>
    <w:pPr>
      <w:spacing w:after="0" w:line="240" w:lineRule="auto"/>
    </w:pPr>
    <w:tblPr>
      <w:tblStyleRowBandSize w:val="1"/>
      <w:tblStyleColBandSize w:val="1"/>
      <w:tblBorders>
        <w:top w:val="single" w:sz="4" w:space="0" w:color="C3C3C3" w:themeColor="accent2"/>
        <w:left w:val="single" w:sz="4" w:space="0" w:color="C3C3C3" w:themeColor="accent2"/>
        <w:bottom w:val="single" w:sz="4" w:space="0" w:color="C3C3C3" w:themeColor="accent2"/>
        <w:right w:val="single" w:sz="4" w:space="0" w:color="C3C3C3" w:themeColor="accent2"/>
      </w:tblBorders>
    </w:tblPr>
    <w:tblStylePr w:type="firstRow">
      <w:rPr>
        <w:b/>
        <w:bCs/>
        <w:color w:val="FFFFFF" w:themeColor="background1"/>
      </w:rPr>
      <w:tblPr/>
      <w:tcPr>
        <w:shd w:val="clear" w:color="auto" w:fill="C3C3C3" w:themeFill="accent2"/>
      </w:tcPr>
    </w:tblStylePr>
    <w:tblStylePr w:type="lastRow">
      <w:rPr>
        <w:b/>
        <w:bCs/>
      </w:rPr>
      <w:tblPr/>
      <w:tcPr>
        <w:tcBorders>
          <w:top w:val="double" w:sz="4" w:space="0" w:color="C3C3C3"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3C3C3" w:themeColor="accent2"/>
          <w:right w:val="single" w:sz="4" w:space="0" w:color="C3C3C3" w:themeColor="accent2"/>
        </w:tcBorders>
      </w:tcPr>
    </w:tblStylePr>
    <w:tblStylePr w:type="band1Horz">
      <w:tblPr/>
      <w:tcPr>
        <w:tcBorders>
          <w:top w:val="single" w:sz="4" w:space="0" w:color="C3C3C3" w:themeColor="accent2"/>
          <w:bottom w:val="single" w:sz="4" w:space="0" w:color="C3C3C3"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3C3C3" w:themeColor="accent2"/>
          <w:left w:val="nil"/>
        </w:tcBorders>
      </w:tcPr>
    </w:tblStylePr>
    <w:tblStylePr w:type="swCell">
      <w:tblPr/>
      <w:tcPr>
        <w:tcBorders>
          <w:top w:val="double" w:sz="4" w:space="0" w:color="C3C3C3" w:themeColor="accent2"/>
          <w:right w:val="nil"/>
        </w:tcBorders>
      </w:tcPr>
    </w:tblStylePr>
  </w:style>
  <w:style w:type="table" w:styleId="ListTable3-Accent3">
    <w:name w:val="List Table 3 Accent 3"/>
    <w:basedOn w:val="TableNormal"/>
    <w:uiPriority w:val="48"/>
    <w:rsid w:val="00AD71E3"/>
    <w:pPr>
      <w:spacing w:after="0" w:line="240" w:lineRule="auto"/>
    </w:pPr>
    <w:tblPr>
      <w:tblStyleRowBandSize w:val="1"/>
      <w:tblStyleColBandSize w:val="1"/>
      <w:tblBorders>
        <w:top w:val="single" w:sz="4" w:space="0" w:color="F96600" w:themeColor="accent3"/>
        <w:left w:val="single" w:sz="4" w:space="0" w:color="F96600" w:themeColor="accent3"/>
        <w:bottom w:val="single" w:sz="4" w:space="0" w:color="F96600" w:themeColor="accent3"/>
        <w:right w:val="single" w:sz="4" w:space="0" w:color="F96600" w:themeColor="accent3"/>
      </w:tblBorders>
    </w:tblPr>
    <w:tblStylePr w:type="firstRow">
      <w:rPr>
        <w:b/>
        <w:bCs/>
        <w:color w:val="FFFFFF" w:themeColor="background1"/>
      </w:rPr>
      <w:tblPr/>
      <w:tcPr>
        <w:shd w:val="clear" w:color="auto" w:fill="F96600" w:themeFill="accent3"/>
      </w:tcPr>
    </w:tblStylePr>
    <w:tblStylePr w:type="lastRow">
      <w:rPr>
        <w:b/>
        <w:bCs/>
      </w:rPr>
      <w:tblPr/>
      <w:tcPr>
        <w:tcBorders>
          <w:top w:val="double" w:sz="4" w:space="0" w:color="F96600"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96600" w:themeColor="accent3"/>
          <w:right w:val="single" w:sz="4" w:space="0" w:color="F96600" w:themeColor="accent3"/>
        </w:tcBorders>
      </w:tcPr>
    </w:tblStylePr>
    <w:tblStylePr w:type="band1Horz">
      <w:tblPr/>
      <w:tcPr>
        <w:tcBorders>
          <w:top w:val="single" w:sz="4" w:space="0" w:color="F96600" w:themeColor="accent3"/>
          <w:bottom w:val="single" w:sz="4" w:space="0" w:color="F96600"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96600" w:themeColor="accent3"/>
          <w:left w:val="nil"/>
        </w:tcBorders>
      </w:tcPr>
    </w:tblStylePr>
    <w:tblStylePr w:type="swCell">
      <w:tblPr/>
      <w:tcPr>
        <w:tcBorders>
          <w:top w:val="double" w:sz="4" w:space="0" w:color="F96600" w:themeColor="accent3"/>
          <w:right w:val="nil"/>
        </w:tcBorders>
      </w:tcPr>
    </w:tblStylePr>
  </w:style>
  <w:style w:type="table" w:styleId="ListTable3-Accent4">
    <w:name w:val="List Table 3 Accent 4"/>
    <w:basedOn w:val="TableNormal"/>
    <w:uiPriority w:val="48"/>
    <w:rsid w:val="00AD71E3"/>
    <w:pPr>
      <w:spacing w:after="0" w:line="240" w:lineRule="auto"/>
    </w:pPr>
    <w:tblPr>
      <w:tblStyleRowBandSize w:val="1"/>
      <w:tblStyleColBandSize w:val="1"/>
      <w:tblBorders>
        <w:top w:val="single" w:sz="4" w:space="0" w:color="3AA9E3" w:themeColor="accent4"/>
        <w:left w:val="single" w:sz="4" w:space="0" w:color="3AA9E3" w:themeColor="accent4"/>
        <w:bottom w:val="single" w:sz="4" w:space="0" w:color="3AA9E3" w:themeColor="accent4"/>
        <w:right w:val="single" w:sz="4" w:space="0" w:color="3AA9E3" w:themeColor="accent4"/>
      </w:tblBorders>
    </w:tblPr>
    <w:tblStylePr w:type="firstRow">
      <w:rPr>
        <w:b/>
        <w:bCs/>
        <w:color w:val="FFFFFF" w:themeColor="background1"/>
      </w:rPr>
      <w:tblPr/>
      <w:tcPr>
        <w:shd w:val="clear" w:color="auto" w:fill="3AA9E3" w:themeFill="accent4"/>
      </w:tcPr>
    </w:tblStylePr>
    <w:tblStylePr w:type="lastRow">
      <w:rPr>
        <w:b/>
        <w:bCs/>
      </w:rPr>
      <w:tblPr/>
      <w:tcPr>
        <w:tcBorders>
          <w:top w:val="double" w:sz="4" w:space="0" w:color="3AA9E3"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AA9E3" w:themeColor="accent4"/>
          <w:right w:val="single" w:sz="4" w:space="0" w:color="3AA9E3" w:themeColor="accent4"/>
        </w:tcBorders>
      </w:tcPr>
    </w:tblStylePr>
    <w:tblStylePr w:type="band1Horz">
      <w:tblPr/>
      <w:tcPr>
        <w:tcBorders>
          <w:top w:val="single" w:sz="4" w:space="0" w:color="3AA9E3" w:themeColor="accent4"/>
          <w:bottom w:val="single" w:sz="4" w:space="0" w:color="3AA9E3"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AA9E3" w:themeColor="accent4"/>
          <w:left w:val="nil"/>
        </w:tcBorders>
      </w:tcPr>
    </w:tblStylePr>
    <w:tblStylePr w:type="swCell">
      <w:tblPr/>
      <w:tcPr>
        <w:tcBorders>
          <w:top w:val="double" w:sz="4" w:space="0" w:color="3AA9E3" w:themeColor="accent4"/>
          <w:right w:val="nil"/>
        </w:tcBorders>
      </w:tcPr>
    </w:tblStylePr>
  </w:style>
  <w:style w:type="table" w:styleId="ListTable3-Accent5">
    <w:name w:val="List Table 3 Accent 5"/>
    <w:basedOn w:val="TableNormal"/>
    <w:uiPriority w:val="48"/>
    <w:rsid w:val="00AD71E3"/>
    <w:pPr>
      <w:spacing w:after="0" w:line="240" w:lineRule="auto"/>
    </w:pPr>
    <w:tblPr>
      <w:tblStyleRowBandSize w:val="1"/>
      <w:tblStyleColBandSize w:val="1"/>
      <w:tblBorders>
        <w:top w:val="single" w:sz="4" w:space="0" w:color="9EAAB6" w:themeColor="accent5"/>
        <w:left w:val="single" w:sz="4" w:space="0" w:color="9EAAB6" w:themeColor="accent5"/>
        <w:bottom w:val="single" w:sz="4" w:space="0" w:color="9EAAB6" w:themeColor="accent5"/>
        <w:right w:val="single" w:sz="4" w:space="0" w:color="9EAAB6" w:themeColor="accent5"/>
      </w:tblBorders>
    </w:tblPr>
    <w:tblStylePr w:type="firstRow">
      <w:rPr>
        <w:b/>
        <w:bCs/>
        <w:color w:val="FFFFFF" w:themeColor="background1"/>
      </w:rPr>
      <w:tblPr/>
      <w:tcPr>
        <w:shd w:val="clear" w:color="auto" w:fill="9EAAB6" w:themeFill="accent5"/>
      </w:tcPr>
    </w:tblStylePr>
    <w:tblStylePr w:type="lastRow">
      <w:rPr>
        <w:b/>
        <w:bCs/>
      </w:rPr>
      <w:tblPr/>
      <w:tcPr>
        <w:tcBorders>
          <w:top w:val="double" w:sz="4" w:space="0" w:color="9EAAB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EAAB6" w:themeColor="accent5"/>
          <w:right w:val="single" w:sz="4" w:space="0" w:color="9EAAB6" w:themeColor="accent5"/>
        </w:tcBorders>
      </w:tcPr>
    </w:tblStylePr>
    <w:tblStylePr w:type="band1Horz">
      <w:tblPr/>
      <w:tcPr>
        <w:tcBorders>
          <w:top w:val="single" w:sz="4" w:space="0" w:color="9EAAB6" w:themeColor="accent5"/>
          <w:bottom w:val="single" w:sz="4" w:space="0" w:color="9EAAB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EAAB6" w:themeColor="accent5"/>
          <w:left w:val="nil"/>
        </w:tcBorders>
      </w:tcPr>
    </w:tblStylePr>
    <w:tblStylePr w:type="swCell">
      <w:tblPr/>
      <w:tcPr>
        <w:tcBorders>
          <w:top w:val="double" w:sz="4" w:space="0" w:color="9EAAB6" w:themeColor="accent5"/>
          <w:right w:val="nil"/>
        </w:tcBorders>
      </w:tcPr>
    </w:tblStylePr>
  </w:style>
  <w:style w:type="table" w:styleId="ListTable3-Accent6">
    <w:name w:val="List Table 3 Accent 6"/>
    <w:basedOn w:val="TableNormal"/>
    <w:uiPriority w:val="48"/>
    <w:rsid w:val="00AD71E3"/>
    <w:pPr>
      <w:spacing w:after="0" w:line="240" w:lineRule="auto"/>
    </w:pPr>
    <w:tblPr>
      <w:tblStyleRowBandSize w:val="1"/>
      <w:tblStyleColBandSize w:val="1"/>
      <w:tblBorders>
        <w:top w:val="single" w:sz="4" w:space="0" w:color="8A479B" w:themeColor="accent6"/>
        <w:left w:val="single" w:sz="4" w:space="0" w:color="8A479B" w:themeColor="accent6"/>
        <w:bottom w:val="single" w:sz="4" w:space="0" w:color="8A479B" w:themeColor="accent6"/>
        <w:right w:val="single" w:sz="4" w:space="0" w:color="8A479B" w:themeColor="accent6"/>
      </w:tblBorders>
    </w:tblPr>
    <w:tblStylePr w:type="firstRow">
      <w:rPr>
        <w:b/>
        <w:bCs/>
        <w:color w:val="FFFFFF" w:themeColor="background1"/>
      </w:rPr>
      <w:tblPr/>
      <w:tcPr>
        <w:shd w:val="clear" w:color="auto" w:fill="8A479B" w:themeFill="accent6"/>
      </w:tcPr>
    </w:tblStylePr>
    <w:tblStylePr w:type="lastRow">
      <w:rPr>
        <w:b/>
        <w:bCs/>
      </w:rPr>
      <w:tblPr/>
      <w:tcPr>
        <w:tcBorders>
          <w:top w:val="double" w:sz="4" w:space="0" w:color="8A479B"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A479B" w:themeColor="accent6"/>
          <w:right w:val="single" w:sz="4" w:space="0" w:color="8A479B" w:themeColor="accent6"/>
        </w:tcBorders>
      </w:tcPr>
    </w:tblStylePr>
    <w:tblStylePr w:type="band1Horz">
      <w:tblPr/>
      <w:tcPr>
        <w:tcBorders>
          <w:top w:val="single" w:sz="4" w:space="0" w:color="8A479B" w:themeColor="accent6"/>
          <w:bottom w:val="single" w:sz="4" w:space="0" w:color="8A479B"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A479B" w:themeColor="accent6"/>
          <w:left w:val="nil"/>
        </w:tcBorders>
      </w:tcPr>
    </w:tblStylePr>
    <w:tblStylePr w:type="swCell">
      <w:tblPr/>
      <w:tcPr>
        <w:tcBorders>
          <w:top w:val="double" w:sz="4" w:space="0" w:color="8A479B" w:themeColor="accent6"/>
          <w:right w:val="nil"/>
        </w:tcBorders>
      </w:tcPr>
    </w:tblStylePr>
  </w:style>
  <w:style w:type="table" w:styleId="ListTable4">
    <w:name w:val="List Table 4"/>
    <w:basedOn w:val="TableNormal"/>
    <w:uiPriority w:val="49"/>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tblBorders>
    </w:tblPr>
    <w:tblStylePr w:type="firstRow">
      <w:rPr>
        <w:b/>
        <w:bCs/>
        <w:color w:val="FFFFFF" w:themeColor="background1"/>
      </w:rPr>
      <w:tblPr/>
      <w:tcPr>
        <w:tcBorders>
          <w:top w:val="single" w:sz="4" w:space="0" w:color="785263" w:themeColor="accent1"/>
          <w:left w:val="single" w:sz="4" w:space="0" w:color="785263" w:themeColor="accent1"/>
          <w:bottom w:val="single" w:sz="4" w:space="0" w:color="785263" w:themeColor="accent1"/>
          <w:right w:val="single" w:sz="4" w:space="0" w:color="785263" w:themeColor="accent1"/>
          <w:insideH w:val="nil"/>
        </w:tcBorders>
        <w:shd w:val="clear" w:color="auto" w:fill="785263" w:themeFill="accent1"/>
      </w:tcPr>
    </w:tblStylePr>
    <w:tblStylePr w:type="lastRow">
      <w:rPr>
        <w:b/>
        <w:bCs/>
      </w:rPr>
      <w:tblPr/>
      <w:tcPr>
        <w:tcBorders>
          <w:top w:val="doub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4-Accent2">
    <w:name w:val="List Table 4 Accent 2"/>
    <w:basedOn w:val="TableNormal"/>
    <w:uiPriority w:val="49"/>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tblBorders>
    </w:tblPr>
    <w:tblStylePr w:type="firstRow">
      <w:rPr>
        <w:b/>
        <w:bCs/>
        <w:color w:val="FFFFFF" w:themeColor="background1"/>
      </w:rPr>
      <w:tblPr/>
      <w:tcPr>
        <w:tcBorders>
          <w:top w:val="single" w:sz="4" w:space="0" w:color="C3C3C3" w:themeColor="accent2"/>
          <w:left w:val="single" w:sz="4" w:space="0" w:color="C3C3C3" w:themeColor="accent2"/>
          <w:bottom w:val="single" w:sz="4" w:space="0" w:color="C3C3C3" w:themeColor="accent2"/>
          <w:right w:val="single" w:sz="4" w:space="0" w:color="C3C3C3" w:themeColor="accent2"/>
          <w:insideH w:val="nil"/>
        </w:tcBorders>
        <w:shd w:val="clear" w:color="auto" w:fill="C3C3C3" w:themeFill="accent2"/>
      </w:tcPr>
    </w:tblStylePr>
    <w:tblStylePr w:type="lastRow">
      <w:rPr>
        <w:b/>
        <w:bCs/>
      </w:rPr>
      <w:tblPr/>
      <w:tcPr>
        <w:tcBorders>
          <w:top w:val="doub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4-Accent3">
    <w:name w:val="List Table 4 Accent 3"/>
    <w:basedOn w:val="TableNormal"/>
    <w:uiPriority w:val="49"/>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tblBorders>
    </w:tblPr>
    <w:tblStylePr w:type="firstRow">
      <w:rPr>
        <w:b/>
        <w:bCs/>
        <w:color w:val="FFFFFF" w:themeColor="background1"/>
      </w:rPr>
      <w:tblPr/>
      <w:tcPr>
        <w:tcBorders>
          <w:top w:val="single" w:sz="4" w:space="0" w:color="F96600" w:themeColor="accent3"/>
          <w:left w:val="single" w:sz="4" w:space="0" w:color="F96600" w:themeColor="accent3"/>
          <w:bottom w:val="single" w:sz="4" w:space="0" w:color="F96600" w:themeColor="accent3"/>
          <w:right w:val="single" w:sz="4" w:space="0" w:color="F96600" w:themeColor="accent3"/>
          <w:insideH w:val="nil"/>
        </w:tcBorders>
        <w:shd w:val="clear" w:color="auto" w:fill="F96600" w:themeFill="accent3"/>
      </w:tcPr>
    </w:tblStylePr>
    <w:tblStylePr w:type="lastRow">
      <w:rPr>
        <w:b/>
        <w:bCs/>
      </w:rPr>
      <w:tblPr/>
      <w:tcPr>
        <w:tcBorders>
          <w:top w:val="doub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4-Accent4">
    <w:name w:val="List Table 4 Accent 4"/>
    <w:basedOn w:val="TableNormal"/>
    <w:uiPriority w:val="49"/>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tblBorders>
    </w:tblPr>
    <w:tblStylePr w:type="firstRow">
      <w:rPr>
        <w:b/>
        <w:bCs/>
        <w:color w:val="FFFFFF" w:themeColor="background1"/>
      </w:rPr>
      <w:tblPr/>
      <w:tcPr>
        <w:tcBorders>
          <w:top w:val="single" w:sz="4" w:space="0" w:color="3AA9E3" w:themeColor="accent4"/>
          <w:left w:val="single" w:sz="4" w:space="0" w:color="3AA9E3" w:themeColor="accent4"/>
          <w:bottom w:val="single" w:sz="4" w:space="0" w:color="3AA9E3" w:themeColor="accent4"/>
          <w:right w:val="single" w:sz="4" w:space="0" w:color="3AA9E3" w:themeColor="accent4"/>
          <w:insideH w:val="nil"/>
        </w:tcBorders>
        <w:shd w:val="clear" w:color="auto" w:fill="3AA9E3" w:themeFill="accent4"/>
      </w:tcPr>
    </w:tblStylePr>
    <w:tblStylePr w:type="lastRow">
      <w:rPr>
        <w:b/>
        <w:bCs/>
      </w:rPr>
      <w:tblPr/>
      <w:tcPr>
        <w:tcBorders>
          <w:top w:val="doub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4-Accent5">
    <w:name w:val="List Table 4 Accent 5"/>
    <w:basedOn w:val="TableNormal"/>
    <w:uiPriority w:val="49"/>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tblBorders>
    </w:tblPr>
    <w:tblStylePr w:type="firstRow">
      <w:rPr>
        <w:b/>
        <w:bCs/>
        <w:color w:val="FFFFFF" w:themeColor="background1"/>
      </w:rPr>
      <w:tblPr/>
      <w:tcPr>
        <w:tcBorders>
          <w:top w:val="single" w:sz="4" w:space="0" w:color="9EAAB6" w:themeColor="accent5"/>
          <w:left w:val="single" w:sz="4" w:space="0" w:color="9EAAB6" w:themeColor="accent5"/>
          <w:bottom w:val="single" w:sz="4" w:space="0" w:color="9EAAB6" w:themeColor="accent5"/>
          <w:right w:val="single" w:sz="4" w:space="0" w:color="9EAAB6" w:themeColor="accent5"/>
          <w:insideH w:val="nil"/>
        </w:tcBorders>
        <w:shd w:val="clear" w:color="auto" w:fill="9EAAB6" w:themeFill="accent5"/>
      </w:tcPr>
    </w:tblStylePr>
    <w:tblStylePr w:type="lastRow">
      <w:rPr>
        <w:b/>
        <w:bCs/>
      </w:rPr>
      <w:tblPr/>
      <w:tcPr>
        <w:tcBorders>
          <w:top w:val="doub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4-Accent6">
    <w:name w:val="List Table 4 Accent 6"/>
    <w:basedOn w:val="TableNormal"/>
    <w:uiPriority w:val="49"/>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tcBorders>
        <w:shd w:val="clear" w:color="auto" w:fill="8A479B" w:themeFill="accent6"/>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AD71E3"/>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D71E3"/>
    <w:pPr>
      <w:spacing w:after="0" w:line="240" w:lineRule="auto"/>
    </w:pPr>
    <w:rPr>
      <w:color w:val="FFFFFF" w:themeColor="background1"/>
    </w:rPr>
    <w:tblPr>
      <w:tblStyleRowBandSize w:val="1"/>
      <w:tblStyleColBandSize w:val="1"/>
      <w:tblBorders>
        <w:top w:val="single" w:sz="24" w:space="0" w:color="785263" w:themeColor="accent1"/>
        <w:left w:val="single" w:sz="24" w:space="0" w:color="785263" w:themeColor="accent1"/>
        <w:bottom w:val="single" w:sz="24" w:space="0" w:color="785263" w:themeColor="accent1"/>
        <w:right w:val="single" w:sz="24" w:space="0" w:color="785263" w:themeColor="accent1"/>
      </w:tblBorders>
    </w:tblPr>
    <w:tcPr>
      <w:shd w:val="clear" w:color="auto" w:fill="785263"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D71E3"/>
    <w:pPr>
      <w:spacing w:after="0" w:line="240" w:lineRule="auto"/>
    </w:pPr>
    <w:rPr>
      <w:color w:val="FFFFFF" w:themeColor="background1"/>
    </w:rPr>
    <w:tblPr>
      <w:tblStyleRowBandSize w:val="1"/>
      <w:tblStyleColBandSize w:val="1"/>
      <w:tblBorders>
        <w:top w:val="single" w:sz="24" w:space="0" w:color="C3C3C3" w:themeColor="accent2"/>
        <w:left w:val="single" w:sz="24" w:space="0" w:color="C3C3C3" w:themeColor="accent2"/>
        <w:bottom w:val="single" w:sz="24" w:space="0" w:color="C3C3C3" w:themeColor="accent2"/>
        <w:right w:val="single" w:sz="24" w:space="0" w:color="C3C3C3" w:themeColor="accent2"/>
      </w:tblBorders>
    </w:tblPr>
    <w:tcPr>
      <w:shd w:val="clear" w:color="auto" w:fill="C3C3C3"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D71E3"/>
    <w:pPr>
      <w:spacing w:after="0" w:line="240" w:lineRule="auto"/>
    </w:pPr>
    <w:rPr>
      <w:color w:val="FFFFFF" w:themeColor="background1"/>
    </w:rPr>
    <w:tblPr>
      <w:tblStyleRowBandSize w:val="1"/>
      <w:tblStyleColBandSize w:val="1"/>
      <w:tblBorders>
        <w:top w:val="single" w:sz="24" w:space="0" w:color="F96600" w:themeColor="accent3"/>
        <w:left w:val="single" w:sz="24" w:space="0" w:color="F96600" w:themeColor="accent3"/>
        <w:bottom w:val="single" w:sz="24" w:space="0" w:color="F96600" w:themeColor="accent3"/>
        <w:right w:val="single" w:sz="24" w:space="0" w:color="F96600" w:themeColor="accent3"/>
      </w:tblBorders>
    </w:tblPr>
    <w:tcPr>
      <w:shd w:val="clear" w:color="auto" w:fill="F96600"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D71E3"/>
    <w:pPr>
      <w:spacing w:after="0" w:line="240" w:lineRule="auto"/>
    </w:pPr>
    <w:rPr>
      <w:color w:val="FFFFFF" w:themeColor="background1"/>
    </w:rPr>
    <w:tblPr>
      <w:tblStyleRowBandSize w:val="1"/>
      <w:tblStyleColBandSize w:val="1"/>
      <w:tblBorders>
        <w:top w:val="single" w:sz="24" w:space="0" w:color="3AA9E3" w:themeColor="accent4"/>
        <w:left w:val="single" w:sz="24" w:space="0" w:color="3AA9E3" w:themeColor="accent4"/>
        <w:bottom w:val="single" w:sz="24" w:space="0" w:color="3AA9E3" w:themeColor="accent4"/>
        <w:right w:val="single" w:sz="24" w:space="0" w:color="3AA9E3" w:themeColor="accent4"/>
      </w:tblBorders>
    </w:tblPr>
    <w:tcPr>
      <w:shd w:val="clear" w:color="auto" w:fill="3AA9E3"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D71E3"/>
    <w:pPr>
      <w:spacing w:after="0" w:line="240" w:lineRule="auto"/>
    </w:pPr>
    <w:rPr>
      <w:color w:val="FFFFFF" w:themeColor="background1"/>
    </w:rPr>
    <w:tblPr>
      <w:tblStyleRowBandSize w:val="1"/>
      <w:tblStyleColBandSize w:val="1"/>
      <w:tblBorders>
        <w:top w:val="single" w:sz="24" w:space="0" w:color="9EAAB6" w:themeColor="accent5"/>
        <w:left w:val="single" w:sz="24" w:space="0" w:color="9EAAB6" w:themeColor="accent5"/>
        <w:bottom w:val="single" w:sz="24" w:space="0" w:color="9EAAB6" w:themeColor="accent5"/>
        <w:right w:val="single" w:sz="24" w:space="0" w:color="9EAAB6" w:themeColor="accent5"/>
      </w:tblBorders>
    </w:tblPr>
    <w:tcPr>
      <w:shd w:val="clear" w:color="auto" w:fill="9EAAB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D71E3"/>
    <w:pPr>
      <w:spacing w:after="0" w:line="240" w:lineRule="auto"/>
    </w:pPr>
    <w:rPr>
      <w:color w:val="FFFFFF" w:themeColor="background1"/>
    </w:rPr>
    <w:tblPr>
      <w:tblStyleRowBandSize w:val="1"/>
      <w:tblStyleColBandSize w:val="1"/>
      <w:tblBorders>
        <w:top w:val="single" w:sz="24" w:space="0" w:color="8A479B" w:themeColor="accent6"/>
        <w:left w:val="single" w:sz="24" w:space="0" w:color="8A479B" w:themeColor="accent6"/>
        <w:bottom w:val="single" w:sz="24" w:space="0" w:color="8A479B" w:themeColor="accent6"/>
        <w:right w:val="single" w:sz="24" w:space="0" w:color="8A479B" w:themeColor="accent6"/>
      </w:tblBorders>
    </w:tblPr>
    <w:tcPr>
      <w:shd w:val="clear" w:color="auto" w:fill="8A479B"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AD71E3"/>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sz="4" w:space="0" w:color="785263" w:themeColor="accent1"/>
        <w:bottom w:val="single" w:sz="4" w:space="0" w:color="785263" w:themeColor="accent1"/>
      </w:tblBorders>
    </w:tblPr>
    <w:tblStylePr w:type="firstRow">
      <w:rPr>
        <w:b/>
        <w:bCs/>
      </w:rPr>
      <w:tblPr/>
      <w:tcPr>
        <w:tcBorders>
          <w:bottom w:val="single" w:sz="4" w:space="0" w:color="785263" w:themeColor="accent1"/>
        </w:tcBorders>
      </w:tcPr>
    </w:tblStylePr>
    <w:tblStylePr w:type="lastRow">
      <w:rPr>
        <w:b/>
        <w:bCs/>
      </w:rPr>
      <w:tblPr/>
      <w:tcPr>
        <w:tcBorders>
          <w:top w:val="double" w:sz="4" w:space="0" w:color="785263" w:themeColor="accent1"/>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6ColourfulAccent2">
    <w:name w:val="List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sz="4" w:space="0" w:color="C3C3C3" w:themeColor="accent2"/>
        <w:bottom w:val="single" w:sz="4" w:space="0" w:color="C3C3C3" w:themeColor="accent2"/>
      </w:tblBorders>
    </w:tblPr>
    <w:tblStylePr w:type="firstRow">
      <w:rPr>
        <w:b/>
        <w:bCs/>
      </w:rPr>
      <w:tblPr/>
      <w:tcPr>
        <w:tcBorders>
          <w:bottom w:val="single" w:sz="4" w:space="0" w:color="C3C3C3" w:themeColor="accent2"/>
        </w:tcBorders>
      </w:tcPr>
    </w:tblStylePr>
    <w:tblStylePr w:type="lastRow">
      <w:rPr>
        <w:b/>
        <w:bCs/>
      </w:rPr>
      <w:tblPr/>
      <w:tcPr>
        <w:tcBorders>
          <w:top w:val="double" w:sz="4" w:space="0" w:color="C3C3C3" w:themeColor="accent2"/>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6ColourfulAccent3">
    <w:name w:val="List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sz="4" w:space="0" w:color="F96600" w:themeColor="accent3"/>
        <w:bottom w:val="single" w:sz="4" w:space="0" w:color="F96600" w:themeColor="accent3"/>
      </w:tblBorders>
    </w:tblPr>
    <w:tblStylePr w:type="firstRow">
      <w:rPr>
        <w:b/>
        <w:bCs/>
      </w:rPr>
      <w:tblPr/>
      <w:tcPr>
        <w:tcBorders>
          <w:bottom w:val="single" w:sz="4" w:space="0" w:color="F96600" w:themeColor="accent3"/>
        </w:tcBorders>
      </w:tcPr>
    </w:tblStylePr>
    <w:tblStylePr w:type="lastRow">
      <w:rPr>
        <w:b/>
        <w:bCs/>
      </w:rPr>
      <w:tblPr/>
      <w:tcPr>
        <w:tcBorders>
          <w:top w:val="double" w:sz="4" w:space="0" w:color="F96600" w:themeColor="accent3"/>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6ColourfulAccent4">
    <w:name w:val="List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sz="4" w:space="0" w:color="3AA9E3" w:themeColor="accent4"/>
        <w:bottom w:val="single" w:sz="4" w:space="0" w:color="3AA9E3" w:themeColor="accent4"/>
      </w:tblBorders>
    </w:tblPr>
    <w:tblStylePr w:type="firstRow">
      <w:rPr>
        <w:b/>
        <w:bCs/>
      </w:rPr>
      <w:tblPr/>
      <w:tcPr>
        <w:tcBorders>
          <w:bottom w:val="single" w:sz="4" w:space="0" w:color="3AA9E3" w:themeColor="accent4"/>
        </w:tcBorders>
      </w:tcPr>
    </w:tblStylePr>
    <w:tblStylePr w:type="lastRow">
      <w:rPr>
        <w:b/>
        <w:bCs/>
      </w:rPr>
      <w:tblPr/>
      <w:tcPr>
        <w:tcBorders>
          <w:top w:val="double" w:sz="4" w:space="0" w:color="3AA9E3" w:themeColor="accent4"/>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6ColourfulAccent5">
    <w:name w:val="List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sz="4" w:space="0" w:color="9EAAB6" w:themeColor="accent5"/>
        <w:bottom w:val="single" w:sz="4" w:space="0" w:color="9EAAB6" w:themeColor="accent5"/>
      </w:tblBorders>
    </w:tblPr>
    <w:tblStylePr w:type="firstRow">
      <w:rPr>
        <w:b/>
        <w:bCs/>
      </w:rPr>
      <w:tblPr/>
      <w:tcPr>
        <w:tcBorders>
          <w:bottom w:val="single" w:sz="4" w:space="0" w:color="9EAAB6" w:themeColor="accent5"/>
        </w:tcBorders>
      </w:tcPr>
    </w:tblStylePr>
    <w:tblStylePr w:type="lastRow">
      <w:rPr>
        <w:b/>
        <w:bCs/>
      </w:rPr>
      <w:tblPr/>
      <w:tcPr>
        <w:tcBorders>
          <w:top w:val="double" w:sz="4" w:space="0" w:color="9EAAB6" w:themeColor="accent5"/>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6ColourfulAccent6">
    <w:name w:val="List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sz="4" w:space="0" w:color="8A479B" w:themeColor="accent6"/>
        <w:bottom w:val="single" w:sz="4" w:space="0" w:color="8A479B" w:themeColor="accent6"/>
      </w:tblBorders>
    </w:tblPr>
    <w:tblStylePr w:type="firstRow">
      <w:rPr>
        <w:b/>
        <w:bCs/>
      </w:rPr>
      <w:tblPr/>
      <w:tcPr>
        <w:tcBorders>
          <w:bottom w:val="single" w:sz="4" w:space="0" w:color="8A479B" w:themeColor="accent6"/>
        </w:tcBorders>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urful">
    <w:name w:val="List Table 7 Colorful"/>
    <w:basedOn w:val="TableNormal"/>
    <w:uiPriority w:val="52"/>
    <w:rsid w:val="00AD71E3"/>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AD71E3"/>
    <w:pPr>
      <w:spacing w:after="0" w:line="240" w:lineRule="auto"/>
    </w:pPr>
    <w:rPr>
      <w:color w:val="593D4A"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85263"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85263"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85263"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85263" w:themeColor="accent1"/>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AD71E3"/>
    <w:pPr>
      <w:spacing w:after="0" w:line="240" w:lineRule="auto"/>
    </w:pPr>
    <w:rPr>
      <w:color w:val="929292"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3C3C3"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3C3C3"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3C3C3"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3C3C3" w:themeColor="accent2"/>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AD71E3"/>
    <w:pPr>
      <w:spacing w:after="0" w:line="240" w:lineRule="auto"/>
    </w:pPr>
    <w:rPr>
      <w:color w:val="BA4B00"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96600"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96600"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96600"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96600" w:themeColor="accent3"/>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AD71E3"/>
    <w:pPr>
      <w:spacing w:after="0" w:line="240" w:lineRule="auto"/>
    </w:pPr>
    <w:rPr>
      <w:color w:val="1A83BA"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AA9E3"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AA9E3"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AA9E3"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AA9E3" w:themeColor="accent4"/>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AD71E3"/>
    <w:pPr>
      <w:spacing w:after="0" w:line="240" w:lineRule="auto"/>
    </w:pPr>
    <w:rPr>
      <w:color w:val="6D7F91"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EAAB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EAAB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EAAB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EAAB6" w:themeColor="accent5"/>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AD71E3"/>
    <w:pPr>
      <w:spacing w:after="0" w:line="240" w:lineRule="auto"/>
    </w:pPr>
    <w:rPr>
      <w:color w:val="673573"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A479B"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A479B"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A479B"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A479B" w:themeColor="accent6"/>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D71E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D71E3"/>
    <w:rPr>
      <w:rFonts w:ascii="Consolas" w:hAnsi="Consolas"/>
      <w:szCs w:val="20"/>
    </w:rPr>
  </w:style>
  <w:style w:type="table" w:styleId="MediumGrid1">
    <w:name w:val="Medium Grid 1"/>
    <w:basedOn w:val="TableNormal"/>
    <w:uiPriority w:val="67"/>
    <w:semiHidden/>
    <w:unhideWhenUsed/>
    <w:rsid w:val="00AD71E3"/>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D71E3"/>
    <w:pPr>
      <w:spacing w:after="0" w:line="240" w:lineRule="auto"/>
    </w:pPr>
    <w:tblPr>
      <w:tblStyleRowBandSize w:val="1"/>
      <w:tblStyleColBandSize w:val="1"/>
      <w:tbl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single" w:sz="8" w:space="0" w:color="A17589" w:themeColor="accent1" w:themeTint="BF"/>
        <w:insideV w:val="single" w:sz="8" w:space="0" w:color="A17589" w:themeColor="accent1" w:themeTint="BF"/>
      </w:tblBorders>
    </w:tblPr>
    <w:tcPr>
      <w:shd w:val="clear" w:color="auto" w:fill="E0D1D8" w:themeFill="accent1" w:themeFillTint="3F"/>
    </w:tcPr>
    <w:tblStylePr w:type="firstRow">
      <w:rPr>
        <w:b/>
        <w:bCs/>
      </w:rPr>
    </w:tblStylePr>
    <w:tblStylePr w:type="lastRow">
      <w:rPr>
        <w:b/>
        <w:bCs/>
      </w:rPr>
      <w:tblPr/>
      <w:tcPr>
        <w:tcBorders>
          <w:top w:val="single" w:sz="18" w:space="0" w:color="A17589" w:themeColor="accent1" w:themeTint="BF"/>
        </w:tcBorders>
      </w:tcPr>
    </w:tblStylePr>
    <w:tblStylePr w:type="firstCol">
      <w:rPr>
        <w:b/>
        <w:bCs/>
      </w:rPr>
    </w:tblStylePr>
    <w:tblStylePr w:type="lastCol">
      <w:rPr>
        <w:b/>
        <w:bCs/>
      </w:r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MediumGrid1-Accent2">
    <w:name w:val="Medium Grid 1 Accent 2"/>
    <w:basedOn w:val="TableNormal"/>
    <w:uiPriority w:val="67"/>
    <w:semiHidden/>
    <w:unhideWhenUsed/>
    <w:rsid w:val="00AD71E3"/>
    <w:pPr>
      <w:spacing w:after="0" w:line="240" w:lineRule="auto"/>
    </w:pPr>
    <w:tblPr>
      <w:tblStyleRowBandSize w:val="1"/>
      <w:tblStyleColBandSize w:val="1"/>
      <w:tbl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single" w:sz="8" w:space="0" w:color="D2D2D2" w:themeColor="accent2" w:themeTint="BF"/>
        <w:insideV w:val="single" w:sz="8" w:space="0" w:color="D2D2D2" w:themeColor="accent2" w:themeTint="BF"/>
      </w:tblBorders>
    </w:tblPr>
    <w:tcPr>
      <w:shd w:val="clear" w:color="auto" w:fill="F0F0F0" w:themeFill="accent2" w:themeFillTint="3F"/>
    </w:tcPr>
    <w:tblStylePr w:type="firstRow">
      <w:rPr>
        <w:b/>
        <w:bCs/>
      </w:rPr>
    </w:tblStylePr>
    <w:tblStylePr w:type="lastRow">
      <w:rPr>
        <w:b/>
        <w:bCs/>
      </w:rPr>
      <w:tblPr/>
      <w:tcPr>
        <w:tcBorders>
          <w:top w:val="single" w:sz="18" w:space="0" w:color="D2D2D2" w:themeColor="accent2" w:themeTint="BF"/>
        </w:tcBorders>
      </w:tcPr>
    </w:tblStylePr>
    <w:tblStylePr w:type="firstCol">
      <w:rPr>
        <w:b/>
        <w:bCs/>
      </w:rPr>
    </w:tblStylePr>
    <w:tblStylePr w:type="lastCol">
      <w:rPr>
        <w:b/>
        <w:bCs/>
      </w:r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MediumGrid1-Accent3">
    <w:name w:val="Medium Grid 1 Accent 3"/>
    <w:basedOn w:val="TableNormal"/>
    <w:uiPriority w:val="67"/>
    <w:semiHidden/>
    <w:unhideWhenUsed/>
    <w:rsid w:val="00AD71E3"/>
    <w:pPr>
      <w:spacing w:after="0" w:line="240" w:lineRule="auto"/>
    </w:pPr>
    <w:tblPr>
      <w:tblStyleRowBandSize w:val="1"/>
      <w:tblStyleColBandSize w:val="1"/>
      <w:tbl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single" w:sz="8" w:space="0" w:color="FF8B3B" w:themeColor="accent3" w:themeTint="BF"/>
        <w:insideV w:val="single" w:sz="8" w:space="0" w:color="FF8B3B" w:themeColor="accent3" w:themeTint="BF"/>
      </w:tblBorders>
    </w:tblPr>
    <w:tcPr>
      <w:shd w:val="clear" w:color="auto" w:fill="FFD8BE" w:themeFill="accent3" w:themeFillTint="3F"/>
    </w:tcPr>
    <w:tblStylePr w:type="firstRow">
      <w:rPr>
        <w:b/>
        <w:bCs/>
      </w:rPr>
    </w:tblStylePr>
    <w:tblStylePr w:type="lastRow">
      <w:rPr>
        <w:b/>
        <w:bCs/>
      </w:rPr>
      <w:tblPr/>
      <w:tcPr>
        <w:tcBorders>
          <w:top w:val="single" w:sz="18" w:space="0" w:color="FF8B3B" w:themeColor="accent3" w:themeTint="BF"/>
        </w:tcBorders>
      </w:tcPr>
    </w:tblStylePr>
    <w:tblStylePr w:type="firstCol">
      <w:rPr>
        <w:b/>
        <w:bCs/>
      </w:rPr>
    </w:tblStylePr>
    <w:tblStylePr w:type="lastCol">
      <w:rPr>
        <w:b/>
        <w:bCs/>
      </w:r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MediumGrid1-Accent4">
    <w:name w:val="Medium Grid 1 Accent 4"/>
    <w:basedOn w:val="TableNormal"/>
    <w:uiPriority w:val="67"/>
    <w:semiHidden/>
    <w:unhideWhenUsed/>
    <w:rsid w:val="00AD71E3"/>
    <w:pPr>
      <w:spacing w:after="0" w:line="240" w:lineRule="auto"/>
    </w:pPr>
    <w:tblPr>
      <w:tblStyleRowBandSize w:val="1"/>
      <w:tblStyleColBandSize w:val="1"/>
      <w:tbl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single" w:sz="8" w:space="0" w:color="6BBEEA" w:themeColor="accent4" w:themeTint="BF"/>
        <w:insideV w:val="single" w:sz="8" w:space="0" w:color="6BBEEA" w:themeColor="accent4" w:themeTint="BF"/>
      </w:tblBorders>
    </w:tblPr>
    <w:tcPr>
      <w:shd w:val="clear" w:color="auto" w:fill="CEE9F8" w:themeFill="accent4" w:themeFillTint="3F"/>
    </w:tcPr>
    <w:tblStylePr w:type="firstRow">
      <w:rPr>
        <w:b/>
        <w:bCs/>
      </w:rPr>
    </w:tblStylePr>
    <w:tblStylePr w:type="lastRow">
      <w:rPr>
        <w:b/>
        <w:bCs/>
      </w:rPr>
      <w:tblPr/>
      <w:tcPr>
        <w:tcBorders>
          <w:top w:val="single" w:sz="18" w:space="0" w:color="6BBEEA" w:themeColor="accent4" w:themeTint="BF"/>
        </w:tcBorders>
      </w:tcPr>
    </w:tblStylePr>
    <w:tblStylePr w:type="firstCol">
      <w:rPr>
        <w:b/>
        <w:bCs/>
      </w:rPr>
    </w:tblStylePr>
    <w:tblStylePr w:type="lastCol">
      <w:rPr>
        <w:b/>
        <w:bCs/>
      </w:r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MediumGrid1-Accent5">
    <w:name w:val="Medium Grid 1 Accent 5"/>
    <w:basedOn w:val="TableNormal"/>
    <w:uiPriority w:val="67"/>
    <w:semiHidden/>
    <w:unhideWhenUsed/>
    <w:rsid w:val="00AD71E3"/>
    <w:pPr>
      <w:spacing w:after="0" w:line="240" w:lineRule="auto"/>
    </w:pPr>
    <w:tblPr>
      <w:tblStyleRowBandSize w:val="1"/>
      <w:tblStyleColBandSize w:val="1"/>
      <w:tbl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single" w:sz="8" w:space="0" w:color="B6BFC8" w:themeColor="accent5" w:themeTint="BF"/>
        <w:insideV w:val="single" w:sz="8" w:space="0" w:color="B6BFC8" w:themeColor="accent5" w:themeTint="BF"/>
      </w:tblBorders>
    </w:tblPr>
    <w:tcPr>
      <w:shd w:val="clear" w:color="auto" w:fill="E7E9ED" w:themeFill="accent5" w:themeFillTint="3F"/>
    </w:tcPr>
    <w:tblStylePr w:type="firstRow">
      <w:rPr>
        <w:b/>
        <w:bCs/>
      </w:rPr>
    </w:tblStylePr>
    <w:tblStylePr w:type="lastRow">
      <w:rPr>
        <w:b/>
        <w:bCs/>
      </w:rPr>
      <w:tblPr/>
      <w:tcPr>
        <w:tcBorders>
          <w:top w:val="single" w:sz="18" w:space="0" w:color="B6BFC8" w:themeColor="accent5" w:themeTint="BF"/>
        </w:tcBorders>
      </w:tcPr>
    </w:tblStylePr>
    <w:tblStylePr w:type="firstCol">
      <w:rPr>
        <w:b/>
        <w:bCs/>
      </w:rPr>
    </w:tblStylePr>
    <w:tblStylePr w:type="lastCol">
      <w:rPr>
        <w:b/>
        <w:bCs/>
      </w:r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MediumGrid1-Accent6">
    <w:name w:val="Medium Grid 1 Accent 6"/>
    <w:basedOn w:val="TableNormal"/>
    <w:uiPriority w:val="67"/>
    <w:semiHidden/>
    <w:unhideWhenUsed/>
    <w:rsid w:val="00AD71E3"/>
    <w:pPr>
      <w:spacing w:after="0"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insideV w:val="single" w:sz="8" w:space="0" w:color="AB6CBC" w:themeColor="accent6" w:themeTint="BF"/>
      </w:tblBorders>
    </w:tblPr>
    <w:tcPr>
      <w:shd w:val="clear" w:color="auto" w:fill="E3CEE9" w:themeFill="accent6" w:themeFillTint="3F"/>
    </w:tcPr>
    <w:tblStylePr w:type="firstRow">
      <w:rPr>
        <w:b/>
        <w:bCs/>
      </w:rPr>
    </w:tblStylePr>
    <w:tblStylePr w:type="lastRow">
      <w:rPr>
        <w:b/>
        <w:bCs/>
      </w:rPr>
      <w:tblPr/>
      <w:tcPr>
        <w:tcBorders>
          <w:top w:val="single" w:sz="18" w:space="0" w:color="AB6CBC" w:themeColor="accent6" w:themeTint="BF"/>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insideH w:val="single" w:sz="8" w:space="0" w:color="785263" w:themeColor="accent1"/>
        <w:insideV w:val="single" w:sz="8" w:space="0" w:color="785263" w:themeColor="accent1"/>
      </w:tblBorders>
    </w:tblPr>
    <w:tcPr>
      <w:shd w:val="clear" w:color="auto" w:fill="E0D1D8" w:themeFill="accent1" w:themeFillTint="3F"/>
    </w:tcPr>
    <w:tblStylePr w:type="firstRow">
      <w:rPr>
        <w:b/>
        <w:bCs/>
        <w:color w:val="000000" w:themeColor="text1"/>
      </w:rPr>
      <w:tblPr/>
      <w:tcPr>
        <w:shd w:val="clear" w:color="auto" w:fill="F2ECEF"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DADF" w:themeFill="accent1" w:themeFillTint="33"/>
      </w:tcPr>
    </w:tblStylePr>
    <w:tblStylePr w:type="band1Vert">
      <w:tblPr/>
      <w:tcPr>
        <w:shd w:val="clear" w:color="auto" w:fill="C0A3B0" w:themeFill="accent1" w:themeFillTint="7F"/>
      </w:tcPr>
    </w:tblStylePr>
    <w:tblStylePr w:type="band1Horz">
      <w:tblPr/>
      <w:tcPr>
        <w:tcBorders>
          <w:insideH w:val="single" w:sz="6" w:space="0" w:color="785263" w:themeColor="accent1"/>
          <w:insideV w:val="single" w:sz="6" w:space="0" w:color="785263" w:themeColor="accent1"/>
        </w:tcBorders>
        <w:shd w:val="clear" w:color="auto" w:fill="C0A3B0"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insideH w:val="single" w:sz="8" w:space="0" w:color="C3C3C3" w:themeColor="accent2"/>
        <w:insideV w:val="single" w:sz="8" w:space="0" w:color="C3C3C3" w:themeColor="accent2"/>
      </w:tblBorders>
    </w:tblPr>
    <w:tcPr>
      <w:shd w:val="clear" w:color="auto" w:fill="F0F0F0" w:themeFill="accent2" w:themeFillTint="3F"/>
    </w:tcPr>
    <w:tblStylePr w:type="firstRow">
      <w:rPr>
        <w:b/>
        <w:bCs/>
        <w:color w:val="000000" w:themeColor="text1"/>
      </w:rPr>
      <w:tblPr/>
      <w:tcPr>
        <w:shd w:val="clear" w:color="auto" w:fill="F9F9F9"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3F3F3" w:themeFill="accent2" w:themeFillTint="33"/>
      </w:tcPr>
    </w:tblStylePr>
    <w:tblStylePr w:type="band1Vert">
      <w:tblPr/>
      <w:tcPr>
        <w:shd w:val="clear" w:color="auto" w:fill="E1E1E1" w:themeFill="accent2" w:themeFillTint="7F"/>
      </w:tcPr>
    </w:tblStylePr>
    <w:tblStylePr w:type="band1Horz">
      <w:tblPr/>
      <w:tcPr>
        <w:tcBorders>
          <w:insideH w:val="single" w:sz="6" w:space="0" w:color="C3C3C3" w:themeColor="accent2"/>
          <w:insideV w:val="single" w:sz="6" w:space="0" w:color="C3C3C3" w:themeColor="accent2"/>
        </w:tcBorders>
        <w:shd w:val="clear" w:color="auto" w:fill="E1E1E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insideH w:val="single" w:sz="8" w:space="0" w:color="F96600" w:themeColor="accent3"/>
        <w:insideV w:val="single" w:sz="8" w:space="0" w:color="F96600" w:themeColor="accent3"/>
      </w:tblBorders>
    </w:tblPr>
    <w:tcPr>
      <w:shd w:val="clear" w:color="auto" w:fill="FFD8BE" w:themeFill="accent3" w:themeFillTint="3F"/>
    </w:tcPr>
    <w:tblStylePr w:type="firstRow">
      <w:rPr>
        <w:b/>
        <w:bCs/>
        <w:color w:val="000000" w:themeColor="text1"/>
      </w:rPr>
      <w:tblPr/>
      <w:tcPr>
        <w:shd w:val="clear" w:color="auto" w:fill="FFEFE5"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0CA" w:themeFill="accent3" w:themeFillTint="33"/>
      </w:tcPr>
    </w:tblStylePr>
    <w:tblStylePr w:type="band1Vert">
      <w:tblPr/>
      <w:tcPr>
        <w:shd w:val="clear" w:color="auto" w:fill="FFB27D" w:themeFill="accent3" w:themeFillTint="7F"/>
      </w:tcPr>
    </w:tblStylePr>
    <w:tblStylePr w:type="band1Horz">
      <w:tblPr/>
      <w:tcPr>
        <w:tcBorders>
          <w:insideH w:val="single" w:sz="6" w:space="0" w:color="F96600" w:themeColor="accent3"/>
          <w:insideV w:val="single" w:sz="6" w:space="0" w:color="F96600" w:themeColor="accent3"/>
        </w:tcBorders>
        <w:shd w:val="clear" w:color="auto" w:fill="FFB27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insideH w:val="single" w:sz="8" w:space="0" w:color="3AA9E3" w:themeColor="accent4"/>
        <w:insideV w:val="single" w:sz="8" w:space="0" w:color="3AA9E3" w:themeColor="accent4"/>
      </w:tblBorders>
    </w:tblPr>
    <w:tcPr>
      <w:shd w:val="clear" w:color="auto" w:fill="CEE9F8" w:themeFill="accent4" w:themeFillTint="3F"/>
    </w:tcPr>
    <w:tblStylePr w:type="firstRow">
      <w:rPr>
        <w:b/>
        <w:bCs/>
        <w:color w:val="000000" w:themeColor="text1"/>
      </w:rPr>
      <w:tblPr/>
      <w:tcPr>
        <w:shd w:val="clear" w:color="auto" w:fill="EBF6FC"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7EDF9" w:themeFill="accent4" w:themeFillTint="33"/>
      </w:tcPr>
    </w:tblStylePr>
    <w:tblStylePr w:type="band1Vert">
      <w:tblPr/>
      <w:tcPr>
        <w:shd w:val="clear" w:color="auto" w:fill="9CD3F1" w:themeFill="accent4" w:themeFillTint="7F"/>
      </w:tcPr>
    </w:tblStylePr>
    <w:tblStylePr w:type="band1Horz">
      <w:tblPr/>
      <w:tcPr>
        <w:tcBorders>
          <w:insideH w:val="single" w:sz="6" w:space="0" w:color="3AA9E3" w:themeColor="accent4"/>
          <w:insideV w:val="single" w:sz="6" w:space="0" w:color="3AA9E3" w:themeColor="accent4"/>
        </w:tcBorders>
        <w:shd w:val="clear" w:color="auto" w:fill="9CD3F1"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insideH w:val="single" w:sz="8" w:space="0" w:color="9EAAB6" w:themeColor="accent5"/>
        <w:insideV w:val="single" w:sz="8" w:space="0" w:color="9EAAB6" w:themeColor="accent5"/>
      </w:tblBorders>
    </w:tblPr>
    <w:tcPr>
      <w:shd w:val="clear" w:color="auto" w:fill="E7E9ED" w:themeFill="accent5" w:themeFillTint="3F"/>
    </w:tcPr>
    <w:tblStylePr w:type="firstRow">
      <w:rPr>
        <w:b/>
        <w:bCs/>
        <w:color w:val="000000" w:themeColor="text1"/>
      </w:rPr>
      <w:tblPr/>
      <w:tcPr>
        <w:shd w:val="clear" w:color="auto" w:fill="F5F6F8"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DF0" w:themeFill="accent5" w:themeFillTint="33"/>
      </w:tcPr>
    </w:tblStylePr>
    <w:tblStylePr w:type="band1Vert">
      <w:tblPr/>
      <w:tcPr>
        <w:shd w:val="clear" w:color="auto" w:fill="CED4DA" w:themeFill="accent5" w:themeFillTint="7F"/>
      </w:tcPr>
    </w:tblStylePr>
    <w:tblStylePr w:type="band1Horz">
      <w:tblPr/>
      <w:tcPr>
        <w:tcBorders>
          <w:insideH w:val="single" w:sz="6" w:space="0" w:color="9EAAB6" w:themeColor="accent5"/>
          <w:insideV w:val="single" w:sz="6" w:space="0" w:color="9EAAB6" w:themeColor="accent5"/>
        </w:tcBorders>
        <w:shd w:val="clear" w:color="auto" w:fill="CED4D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sz="6" w:space="0" w:color="8A479B" w:themeColor="accent6"/>
          <w:insideV w:val="single" w:sz="6" w:space="0" w:color="8A479B" w:themeColor="accent6"/>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0D1D8"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85263"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85263"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85263"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85263"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0A3B0"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0A3B0" w:themeFill="accent1" w:themeFillTint="7F"/>
      </w:tcPr>
    </w:tblStylePr>
  </w:style>
  <w:style w:type="table" w:styleId="MediumGrid3-Accent2">
    <w:name w:val="Medium Grid 3 Accent 2"/>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0F0F0"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3C3C3"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3C3C3"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3C3C3"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3C3C3"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1E1E1"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1E1E1" w:themeFill="accent2" w:themeFillTint="7F"/>
      </w:tcPr>
    </w:tblStylePr>
  </w:style>
  <w:style w:type="table" w:styleId="MediumGrid3-Accent3">
    <w:name w:val="Medium Grid 3 Accent 3"/>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D8BE"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96600"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96600"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96600"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96600"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B27D"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B27D" w:themeFill="accent3" w:themeFillTint="7F"/>
      </w:tcPr>
    </w:tblStylePr>
  </w:style>
  <w:style w:type="table" w:styleId="MediumGrid3-Accent4">
    <w:name w:val="Medium Grid 3 Accent 4"/>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EE9F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AA9E3"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AA9E3"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AA9E3"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AA9E3"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CD3F1"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CD3F1" w:themeFill="accent4" w:themeFillTint="7F"/>
      </w:tcPr>
    </w:tblStylePr>
  </w:style>
  <w:style w:type="table" w:styleId="MediumGrid3-Accent5">
    <w:name w:val="Medium Grid 3 Accent 5"/>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E9ED"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EAAB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EAAB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EAAB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EAAB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ED4D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ED4DA" w:themeFill="accent5" w:themeFillTint="7F"/>
      </w:tcPr>
    </w:tblStylePr>
  </w:style>
  <w:style w:type="table" w:styleId="MediumGrid3-Accent6">
    <w:name w:val="Medium Grid 3 Accent 6"/>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CEE9"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A479B"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A479B"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79DD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79DD2" w:themeFill="accent6" w:themeFillTint="7F"/>
      </w:tcPr>
    </w:tblStylePr>
  </w:style>
  <w:style w:type="table" w:styleId="MediumList1">
    <w:name w:val="Medium Lis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242424"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785263" w:themeColor="accent1"/>
        <w:bottom w:val="single" w:sz="8" w:space="0" w:color="785263" w:themeColor="accent1"/>
      </w:tblBorders>
    </w:tblPr>
    <w:tblStylePr w:type="firstRow">
      <w:rPr>
        <w:rFonts w:asciiTheme="majorHAnsi" w:eastAsiaTheme="majorEastAsia" w:hAnsiTheme="majorHAnsi" w:cstheme="majorBidi"/>
      </w:rPr>
      <w:tblPr/>
      <w:tcPr>
        <w:tcBorders>
          <w:top w:val="nil"/>
          <w:bottom w:val="single" w:sz="8" w:space="0" w:color="785263" w:themeColor="accent1"/>
        </w:tcBorders>
      </w:tcPr>
    </w:tblStylePr>
    <w:tblStylePr w:type="lastRow">
      <w:rPr>
        <w:b/>
        <w:bCs/>
        <w:color w:val="242424" w:themeColor="text2"/>
      </w:rPr>
      <w:tblPr/>
      <w:tcPr>
        <w:tcBorders>
          <w:top w:val="single" w:sz="8" w:space="0" w:color="785263" w:themeColor="accent1"/>
          <w:bottom w:val="single" w:sz="8" w:space="0" w:color="785263" w:themeColor="accent1"/>
        </w:tcBorders>
      </w:tcPr>
    </w:tblStylePr>
    <w:tblStylePr w:type="firstCol">
      <w:rPr>
        <w:b/>
        <w:bCs/>
      </w:rPr>
    </w:tblStylePr>
    <w:tblStylePr w:type="lastCol">
      <w:rPr>
        <w:b/>
        <w:bCs/>
      </w:rPr>
      <w:tblPr/>
      <w:tcPr>
        <w:tcBorders>
          <w:top w:val="single" w:sz="8" w:space="0" w:color="785263" w:themeColor="accent1"/>
          <w:bottom w:val="single" w:sz="8" w:space="0" w:color="785263" w:themeColor="accent1"/>
        </w:tcBorders>
      </w:tcPr>
    </w:tblStylePr>
    <w:tblStylePr w:type="band1Vert">
      <w:tblPr/>
      <w:tcPr>
        <w:shd w:val="clear" w:color="auto" w:fill="E0D1D8" w:themeFill="accent1" w:themeFillTint="3F"/>
      </w:tcPr>
    </w:tblStylePr>
    <w:tblStylePr w:type="band1Horz">
      <w:tblPr/>
      <w:tcPr>
        <w:shd w:val="clear" w:color="auto" w:fill="E0D1D8" w:themeFill="accent1" w:themeFillTint="3F"/>
      </w:tcPr>
    </w:tblStylePr>
  </w:style>
  <w:style w:type="table" w:styleId="MediumList1-Accent2">
    <w:name w:val="Medium List 1 Accent 2"/>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C3C3C3" w:themeColor="accent2"/>
        <w:bottom w:val="single" w:sz="8" w:space="0" w:color="C3C3C3" w:themeColor="accent2"/>
      </w:tblBorders>
    </w:tblPr>
    <w:tblStylePr w:type="firstRow">
      <w:rPr>
        <w:rFonts w:asciiTheme="majorHAnsi" w:eastAsiaTheme="majorEastAsia" w:hAnsiTheme="majorHAnsi" w:cstheme="majorBidi"/>
      </w:rPr>
      <w:tblPr/>
      <w:tcPr>
        <w:tcBorders>
          <w:top w:val="nil"/>
          <w:bottom w:val="single" w:sz="8" w:space="0" w:color="C3C3C3" w:themeColor="accent2"/>
        </w:tcBorders>
      </w:tcPr>
    </w:tblStylePr>
    <w:tblStylePr w:type="lastRow">
      <w:rPr>
        <w:b/>
        <w:bCs/>
        <w:color w:val="242424" w:themeColor="text2"/>
      </w:rPr>
      <w:tblPr/>
      <w:tcPr>
        <w:tcBorders>
          <w:top w:val="single" w:sz="8" w:space="0" w:color="C3C3C3" w:themeColor="accent2"/>
          <w:bottom w:val="single" w:sz="8" w:space="0" w:color="C3C3C3" w:themeColor="accent2"/>
        </w:tcBorders>
      </w:tcPr>
    </w:tblStylePr>
    <w:tblStylePr w:type="firstCol">
      <w:rPr>
        <w:b/>
        <w:bCs/>
      </w:rPr>
    </w:tblStylePr>
    <w:tblStylePr w:type="lastCol">
      <w:rPr>
        <w:b/>
        <w:bCs/>
      </w:rPr>
      <w:tblPr/>
      <w:tcPr>
        <w:tcBorders>
          <w:top w:val="single" w:sz="8" w:space="0" w:color="C3C3C3" w:themeColor="accent2"/>
          <w:bottom w:val="single" w:sz="8" w:space="0" w:color="C3C3C3" w:themeColor="accent2"/>
        </w:tcBorders>
      </w:tcPr>
    </w:tblStylePr>
    <w:tblStylePr w:type="band1Vert">
      <w:tblPr/>
      <w:tcPr>
        <w:shd w:val="clear" w:color="auto" w:fill="F0F0F0" w:themeFill="accent2" w:themeFillTint="3F"/>
      </w:tcPr>
    </w:tblStylePr>
    <w:tblStylePr w:type="band1Horz">
      <w:tblPr/>
      <w:tcPr>
        <w:shd w:val="clear" w:color="auto" w:fill="F0F0F0" w:themeFill="accent2" w:themeFillTint="3F"/>
      </w:tcPr>
    </w:tblStylePr>
  </w:style>
  <w:style w:type="table" w:styleId="MediumList1-Accent3">
    <w:name w:val="Medium List 1 Accent 3"/>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F96600" w:themeColor="accent3"/>
        <w:bottom w:val="single" w:sz="8" w:space="0" w:color="F96600" w:themeColor="accent3"/>
      </w:tblBorders>
    </w:tblPr>
    <w:tblStylePr w:type="firstRow">
      <w:rPr>
        <w:rFonts w:asciiTheme="majorHAnsi" w:eastAsiaTheme="majorEastAsia" w:hAnsiTheme="majorHAnsi" w:cstheme="majorBidi"/>
      </w:rPr>
      <w:tblPr/>
      <w:tcPr>
        <w:tcBorders>
          <w:top w:val="nil"/>
          <w:bottom w:val="single" w:sz="8" w:space="0" w:color="F96600" w:themeColor="accent3"/>
        </w:tcBorders>
      </w:tcPr>
    </w:tblStylePr>
    <w:tblStylePr w:type="lastRow">
      <w:rPr>
        <w:b/>
        <w:bCs/>
        <w:color w:val="242424" w:themeColor="text2"/>
      </w:rPr>
      <w:tblPr/>
      <w:tcPr>
        <w:tcBorders>
          <w:top w:val="single" w:sz="8" w:space="0" w:color="F96600" w:themeColor="accent3"/>
          <w:bottom w:val="single" w:sz="8" w:space="0" w:color="F96600" w:themeColor="accent3"/>
        </w:tcBorders>
      </w:tcPr>
    </w:tblStylePr>
    <w:tblStylePr w:type="firstCol">
      <w:rPr>
        <w:b/>
        <w:bCs/>
      </w:rPr>
    </w:tblStylePr>
    <w:tblStylePr w:type="lastCol">
      <w:rPr>
        <w:b/>
        <w:bCs/>
      </w:rPr>
      <w:tblPr/>
      <w:tcPr>
        <w:tcBorders>
          <w:top w:val="single" w:sz="8" w:space="0" w:color="F96600" w:themeColor="accent3"/>
          <w:bottom w:val="single" w:sz="8" w:space="0" w:color="F96600" w:themeColor="accent3"/>
        </w:tcBorders>
      </w:tcPr>
    </w:tblStylePr>
    <w:tblStylePr w:type="band1Vert">
      <w:tblPr/>
      <w:tcPr>
        <w:shd w:val="clear" w:color="auto" w:fill="FFD8BE" w:themeFill="accent3" w:themeFillTint="3F"/>
      </w:tcPr>
    </w:tblStylePr>
    <w:tblStylePr w:type="band1Horz">
      <w:tblPr/>
      <w:tcPr>
        <w:shd w:val="clear" w:color="auto" w:fill="FFD8BE" w:themeFill="accent3" w:themeFillTint="3F"/>
      </w:tcPr>
    </w:tblStylePr>
  </w:style>
  <w:style w:type="table" w:styleId="MediumList1-Accent4">
    <w:name w:val="Medium List 1 Accent 4"/>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3AA9E3" w:themeColor="accent4"/>
        <w:bottom w:val="single" w:sz="8" w:space="0" w:color="3AA9E3" w:themeColor="accent4"/>
      </w:tblBorders>
    </w:tblPr>
    <w:tblStylePr w:type="firstRow">
      <w:rPr>
        <w:rFonts w:asciiTheme="majorHAnsi" w:eastAsiaTheme="majorEastAsia" w:hAnsiTheme="majorHAnsi" w:cstheme="majorBidi"/>
      </w:rPr>
      <w:tblPr/>
      <w:tcPr>
        <w:tcBorders>
          <w:top w:val="nil"/>
          <w:bottom w:val="single" w:sz="8" w:space="0" w:color="3AA9E3" w:themeColor="accent4"/>
        </w:tcBorders>
      </w:tcPr>
    </w:tblStylePr>
    <w:tblStylePr w:type="lastRow">
      <w:rPr>
        <w:b/>
        <w:bCs/>
        <w:color w:val="242424" w:themeColor="text2"/>
      </w:rPr>
      <w:tblPr/>
      <w:tcPr>
        <w:tcBorders>
          <w:top w:val="single" w:sz="8" w:space="0" w:color="3AA9E3" w:themeColor="accent4"/>
          <w:bottom w:val="single" w:sz="8" w:space="0" w:color="3AA9E3" w:themeColor="accent4"/>
        </w:tcBorders>
      </w:tcPr>
    </w:tblStylePr>
    <w:tblStylePr w:type="firstCol">
      <w:rPr>
        <w:b/>
        <w:bCs/>
      </w:rPr>
    </w:tblStylePr>
    <w:tblStylePr w:type="lastCol">
      <w:rPr>
        <w:b/>
        <w:bCs/>
      </w:rPr>
      <w:tblPr/>
      <w:tcPr>
        <w:tcBorders>
          <w:top w:val="single" w:sz="8" w:space="0" w:color="3AA9E3" w:themeColor="accent4"/>
          <w:bottom w:val="single" w:sz="8" w:space="0" w:color="3AA9E3" w:themeColor="accent4"/>
        </w:tcBorders>
      </w:tcPr>
    </w:tblStylePr>
    <w:tblStylePr w:type="band1Vert">
      <w:tblPr/>
      <w:tcPr>
        <w:shd w:val="clear" w:color="auto" w:fill="CEE9F8" w:themeFill="accent4" w:themeFillTint="3F"/>
      </w:tcPr>
    </w:tblStylePr>
    <w:tblStylePr w:type="band1Horz">
      <w:tblPr/>
      <w:tcPr>
        <w:shd w:val="clear" w:color="auto" w:fill="CEE9F8" w:themeFill="accent4" w:themeFillTint="3F"/>
      </w:tcPr>
    </w:tblStylePr>
  </w:style>
  <w:style w:type="table" w:styleId="MediumList1-Accent5">
    <w:name w:val="Medium List 1 Accent 5"/>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9EAAB6" w:themeColor="accent5"/>
        <w:bottom w:val="single" w:sz="8" w:space="0" w:color="9EAAB6" w:themeColor="accent5"/>
      </w:tblBorders>
    </w:tblPr>
    <w:tblStylePr w:type="firstRow">
      <w:rPr>
        <w:rFonts w:asciiTheme="majorHAnsi" w:eastAsiaTheme="majorEastAsia" w:hAnsiTheme="majorHAnsi" w:cstheme="majorBidi"/>
      </w:rPr>
      <w:tblPr/>
      <w:tcPr>
        <w:tcBorders>
          <w:top w:val="nil"/>
          <w:bottom w:val="single" w:sz="8" w:space="0" w:color="9EAAB6" w:themeColor="accent5"/>
        </w:tcBorders>
      </w:tcPr>
    </w:tblStylePr>
    <w:tblStylePr w:type="lastRow">
      <w:rPr>
        <w:b/>
        <w:bCs/>
        <w:color w:val="242424" w:themeColor="text2"/>
      </w:rPr>
      <w:tblPr/>
      <w:tcPr>
        <w:tcBorders>
          <w:top w:val="single" w:sz="8" w:space="0" w:color="9EAAB6" w:themeColor="accent5"/>
          <w:bottom w:val="single" w:sz="8" w:space="0" w:color="9EAAB6" w:themeColor="accent5"/>
        </w:tcBorders>
      </w:tcPr>
    </w:tblStylePr>
    <w:tblStylePr w:type="firstCol">
      <w:rPr>
        <w:b/>
        <w:bCs/>
      </w:rPr>
    </w:tblStylePr>
    <w:tblStylePr w:type="lastCol">
      <w:rPr>
        <w:b/>
        <w:bCs/>
      </w:rPr>
      <w:tblPr/>
      <w:tcPr>
        <w:tcBorders>
          <w:top w:val="single" w:sz="8" w:space="0" w:color="9EAAB6" w:themeColor="accent5"/>
          <w:bottom w:val="single" w:sz="8" w:space="0" w:color="9EAAB6" w:themeColor="accent5"/>
        </w:tcBorders>
      </w:tcPr>
    </w:tblStylePr>
    <w:tblStylePr w:type="band1Vert">
      <w:tblPr/>
      <w:tcPr>
        <w:shd w:val="clear" w:color="auto" w:fill="E7E9ED" w:themeFill="accent5" w:themeFillTint="3F"/>
      </w:tcPr>
    </w:tblStylePr>
    <w:tblStylePr w:type="band1Horz">
      <w:tblPr/>
      <w:tcPr>
        <w:shd w:val="clear" w:color="auto" w:fill="E7E9ED" w:themeFill="accent5" w:themeFillTint="3F"/>
      </w:tcPr>
    </w:tblStylePr>
  </w:style>
  <w:style w:type="table" w:styleId="MediumList1-Accent6">
    <w:name w:val="Medium List 1 Accent 6"/>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8A479B" w:themeColor="accent6"/>
        <w:bottom w:val="single" w:sz="8" w:space="0" w:color="8A479B" w:themeColor="accent6"/>
      </w:tblBorders>
    </w:tblPr>
    <w:tblStylePr w:type="firstRow">
      <w:rPr>
        <w:rFonts w:asciiTheme="majorHAnsi" w:eastAsiaTheme="majorEastAsia" w:hAnsiTheme="majorHAnsi" w:cstheme="majorBidi"/>
      </w:rPr>
      <w:tblPr/>
      <w:tcPr>
        <w:tcBorders>
          <w:top w:val="nil"/>
          <w:bottom w:val="single" w:sz="8" w:space="0" w:color="8A479B" w:themeColor="accent6"/>
        </w:tcBorders>
      </w:tcPr>
    </w:tblStylePr>
    <w:tblStylePr w:type="lastRow">
      <w:rPr>
        <w:b/>
        <w:bCs/>
        <w:color w:val="242424" w:themeColor="text2"/>
      </w:rPr>
      <w:tblPr/>
      <w:tcPr>
        <w:tcBorders>
          <w:top w:val="single" w:sz="8" w:space="0" w:color="8A479B" w:themeColor="accent6"/>
          <w:bottom w:val="single" w:sz="8" w:space="0" w:color="8A479B" w:themeColor="accent6"/>
        </w:tcBorders>
      </w:tcPr>
    </w:tblStylePr>
    <w:tblStylePr w:type="firstCol">
      <w:rPr>
        <w:b/>
        <w:bCs/>
      </w:rPr>
    </w:tblStylePr>
    <w:tblStylePr w:type="lastCol">
      <w:rPr>
        <w:b/>
        <w:bCs/>
      </w:rPr>
      <w:tblPr/>
      <w:tcPr>
        <w:tcBorders>
          <w:top w:val="single" w:sz="8" w:space="0" w:color="8A479B" w:themeColor="accent6"/>
          <w:bottom w:val="single" w:sz="8" w:space="0" w:color="8A479B" w:themeColor="accent6"/>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tblBorders>
    </w:tblPr>
    <w:tblStylePr w:type="firstRow">
      <w:rPr>
        <w:sz w:val="24"/>
        <w:szCs w:val="24"/>
      </w:rPr>
      <w:tblPr/>
      <w:tcPr>
        <w:tcBorders>
          <w:top w:val="nil"/>
          <w:left w:val="nil"/>
          <w:bottom w:val="single" w:sz="24" w:space="0" w:color="785263"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85263" w:themeColor="accent1"/>
          <w:insideH w:val="nil"/>
          <w:insideV w:val="nil"/>
        </w:tcBorders>
        <w:shd w:val="clear" w:color="auto" w:fill="FFFFFF" w:themeFill="background1"/>
      </w:tcPr>
    </w:tblStylePr>
    <w:tblStylePr w:type="lastCol">
      <w:tblPr/>
      <w:tcPr>
        <w:tcBorders>
          <w:top w:val="nil"/>
          <w:left w:val="single" w:sz="8" w:space="0" w:color="785263"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top w:val="nil"/>
          <w:bottom w:val="nil"/>
          <w:insideH w:val="nil"/>
          <w:insideV w:val="nil"/>
        </w:tcBorders>
        <w:shd w:val="clear" w:color="auto" w:fill="E0D1D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tblBorders>
    </w:tblPr>
    <w:tblStylePr w:type="firstRow">
      <w:rPr>
        <w:sz w:val="24"/>
        <w:szCs w:val="24"/>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3C3C3" w:themeColor="accent2"/>
          <w:insideH w:val="nil"/>
          <w:insideV w:val="nil"/>
        </w:tcBorders>
        <w:shd w:val="clear" w:color="auto" w:fill="FFFFFF" w:themeFill="background1"/>
      </w:tcPr>
    </w:tblStylePr>
    <w:tblStylePr w:type="lastCol">
      <w:tblPr/>
      <w:tcPr>
        <w:tcBorders>
          <w:top w:val="nil"/>
          <w:left w:val="single" w:sz="8" w:space="0" w:color="C3C3C3"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top w:val="nil"/>
          <w:bottom w:val="nil"/>
          <w:insideH w:val="nil"/>
          <w:insideV w:val="nil"/>
        </w:tcBorders>
        <w:shd w:val="clear" w:color="auto" w:fill="F0F0F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tblBorders>
    </w:tblPr>
    <w:tblStylePr w:type="firstRow">
      <w:rPr>
        <w:sz w:val="24"/>
        <w:szCs w:val="24"/>
      </w:rPr>
      <w:tblPr/>
      <w:tcPr>
        <w:tcBorders>
          <w:top w:val="nil"/>
          <w:left w:val="nil"/>
          <w:bottom w:val="single" w:sz="24" w:space="0" w:color="F96600"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96600" w:themeColor="accent3"/>
          <w:insideH w:val="nil"/>
          <w:insideV w:val="nil"/>
        </w:tcBorders>
        <w:shd w:val="clear" w:color="auto" w:fill="FFFFFF" w:themeFill="background1"/>
      </w:tcPr>
    </w:tblStylePr>
    <w:tblStylePr w:type="lastCol">
      <w:tblPr/>
      <w:tcPr>
        <w:tcBorders>
          <w:top w:val="nil"/>
          <w:left w:val="single" w:sz="8" w:space="0" w:color="F96600"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top w:val="nil"/>
          <w:bottom w:val="nil"/>
          <w:insideH w:val="nil"/>
          <w:insideV w:val="nil"/>
        </w:tcBorders>
        <w:shd w:val="clear" w:color="auto" w:fill="FFD8B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tblBorders>
    </w:tblPr>
    <w:tblStylePr w:type="firstRow">
      <w:rPr>
        <w:sz w:val="24"/>
        <w:szCs w:val="24"/>
      </w:rPr>
      <w:tblPr/>
      <w:tcPr>
        <w:tcBorders>
          <w:top w:val="nil"/>
          <w:left w:val="nil"/>
          <w:bottom w:val="single" w:sz="24" w:space="0" w:color="3AA9E3"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AA9E3" w:themeColor="accent4"/>
          <w:insideH w:val="nil"/>
          <w:insideV w:val="nil"/>
        </w:tcBorders>
        <w:shd w:val="clear" w:color="auto" w:fill="FFFFFF" w:themeFill="background1"/>
      </w:tcPr>
    </w:tblStylePr>
    <w:tblStylePr w:type="lastCol">
      <w:tblPr/>
      <w:tcPr>
        <w:tcBorders>
          <w:top w:val="nil"/>
          <w:left w:val="single" w:sz="8" w:space="0" w:color="3AA9E3"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top w:val="nil"/>
          <w:bottom w:val="nil"/>
          <w:insideH w:val="nil"/>
          <w:insideV w:val="nil"/>
        </w:tcBorders>
        <w:shd w:val="clear" w:color="auto" w:fill="CEE9F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tblBorders>
    </w:tblPr>
    <w:tblStylePr w:type="firstRow">
      <w:rPr>
        <w:sz w:val="24"/>
        <w:szCs w:val="24"/>
      </w:rPr>
      <w:tblPr/>
      <w:tcPr>
        <w:tcBorders>
          <w:top w:val="nil"/>
          <w:left w:val="nil"/>
          <w:bottom w:val="single" w:sz="24" w:space="0" w:color="9EAAB6"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EAAB6" w:themeColor="accent5"/>
          <w:insideH w:val="nil"/>
          <w:insideV w:val="nil"/>
        </w:tcBorders>
        <w:shd w:val="clear" w:color="auto" w:fill="FFFFFF" w:themeFill="background1"/>
      </w:tcPr>
    </w:tblStylePr>
    <w:tblStylePr w:type="lastCol">
      <w:tblPr/>
      <w:tcPr>
        <w:tcBorders>
          <w:top w:val="nil"/>
          <w:left w:val="single" w:sz="8" w:space="0" w:color="9EAAB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top w:val="nil"/>
          <w:bottom w:val="nil"/>
          <w:insideH w:val="nil"/>
          <w:insideV w:val="nil"/>
        </w:tcBorders>
        <w:shd w:val="clear" w:color="auto" w:fill="E7E9E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rPr>
        <w:sz w:val="24"/>
        <w:szCs w:val="24"/>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A479B" w:themeColor="accent6"/>
          <w:insideH w:val="nil"/>
          <w:insideV w:val="nil"/>
        </w:tcBorders>
        <w:shd w:val="clear" w:color="auto" w:fill="FFFFFF" w:themeFill="background1"/>
      </w:tcPr>
    </w:tblStylePr>
    <w:tblStylePr w:type="lastCol">
      <w:tblPr/>
      <w:tcPr>
        <w:tcBorders>
          <w:top w:val="nil"/>
          <w:left w:val="single" w:sz="8" w:space="0" w:color="8A479B"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D71E3"/>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D71E3"/>
    <w:pPr>
      <w:spacing w:after="0" w:line="240" w:lineRule="auto"/>
    </w:pPr>
    <w:tblPr>
      <w:tblStyleRowBandSize w:val="1"/>
      <w:tblStyleColBandSize w:val="1"/>
      <w:tbl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single" w:sz="8" w:space="0" w:color="A17589" w:themeColor="accent1" w:themeTint="BF"/>
      </w:tblBorders>
    </w:tblPr>
    <w:tblStylePr w:type="firstRow">
      <w:pPr>
        <w:spacing w:before="0" w:after="0" w:line="240" w:lineRule="auto"/>
      </w:pPr>
      <w:rPr>
        <w:b/>
        <w:bCs/>
        <w:color w:val="FFFFFF" w:themeColor="background1"/>
      </w:rPr>
      <w:tblPr/>
      <w:tcPr>
        <w:tc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nil"/>
          <w:insideV w:val="nil"/>
        </w:tcBorders>
        <w:shd w:val="clear" w:color="auto" w:fill="785263" w:themeFill="accent1"/>
      </w:tcPr>
    </w:tblStylePr>
    <w:tblStylePr w:type="lastRow">
      <w:pPr>
        <w:spacing w:before="0" w:after="0" w:line="240" w:lineRule="auto"/>
      </w:pPr>
      <w:rPr>
        <w:b/>
        <w:bCs/>
      </w:rPr>
      <w:tblPr/>
      <w:tcPr>
        <w:tcBorders>
          <w:top w:val="double" w:sz="6"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nil"/>
          <w:insideV w:val="nil"/>
        </w:tcBorders>
      </w:tcPr>
    </w:tblStylePr>
    <w:tblStylePr w:type="firstCol">
      <w:rPr>
        <w:b/>
        <w:bCs/>
      </w:rPr>
    </w:tblStylePr>
    <w:tblStylePr w:type="lastCol">
      <w:rPr>
        <w:b/>
        <w:bCs/>
      </w:rPr>
    </w:tblStylePr>
    <w:tblStylePr w:type="band1Vert">
      <w:tblPr/>
      <w:tcPr>
        <w:shd w:val="clear" w:color="auto" w:fill="E0D1D8" w:themeFill="accent1" w:themeFillTint="3F"/>
      </w:tcPr>
    </w:tblStylePr>
    <w:tblStylePr w:type="band1Horz">
      <w:tblPr/>
      <w:tcPr>
        <w:tcBorders>
          <w:insideH w:val="nil"/>
          <w:insideV w:val="nil"/>
        </w:tcBorders>
        <w:shd w:val="clear" w:color="auto" w:fill="E0D1D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D71E3"/>
    <w:pPr>
      <w:spacing w:after="0" w:line="240" w:lineRule="auto"/>
    </w:pPr>
    <w:tblPr>
      <w:tblStyleRowBandSize w:val="1"/>
      <w:tblStyleColBandSize w:val="1"/>
      <w:tbl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single" w:sz="8" w:space="0" w:color="D2D2D2" w:themeColor="accent2" w:themeTint="BF"/>
      </w:tblBorders>
    </w:tblPr>
    <w:tblStylePr w:type="firstRow">
      <w:pPr>
        <w:spacing w:before="0" w:after="0" w:line="240" w:lineRule="auto"/>
      </w:pPr>
      <w:rPr>
        <w:b/>
        <w:bCs/>
        <w:color w:val="FFFFFF" w:themeColor="background1"/>
      </w:rPr>
      <w:tblPr/>
      <w:tcPr>
        <w:tc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nil"/>
          <w:insideV w:val="nil"/>
        </w:tcBorders>
        <w:shd w:val="clear" w:color="auto" w:fill="C3C3C3" w:themeFill="accent2"/>
      </w:tcPr>
    </w:tblStylePr>
    <w:tblStylePr w:type="lastRow">
      <w:pPr>
        <w:spacing w:before="0" w:after="0" w:line="240" w:lineRule="auto"/>
      </w:pPr>
      <w:rPr>
        <w:b/>
        <w:bCs/>
      </w:rPr>
      <w:tblPr/>
      <w:tcPr>
        <w:tcBorders>
          <w:top w:val="double" w:sz="6"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nil"/>
          <w:insideV w:val="nil"/>
        </w:tcBorders>
      </w:tcPr>
    </w:tblStylePr>
    <w:tblStylePr w:type="firstCol">
      <w:rPr>
        <w:b/>
        <w:bCs/>
      </w:rPr>
    </w:tblStylePr>
    <w:tblStylePr w:type="lastCol">
      <w:rPr>
        <w:b/>
        <w:bCs/>
      </w:rPr>
    </w:tblStylePr>
    <w:tblStylePr w:type="band1Vert">
      <w:tblPr/>
      <w:tcPr>
        <w:shd w:val="clear" w:color="auto" w:fill="F0F0F0" w:themeFill="accent2" w:themeFillTint="3F"/>
      </w:tcPr>
    </w:tblStylePr>
    <w:tblStylePr w:type="band1Horz">
      <w:tblPr/>
      <w:tcPr>
        <w:tcBorders>
          <w:insideH w:val="nil"/>
          <w:insideV w:val="nil"/>
        </w:tcBorders>
        <w:shd w:val="clear" w:color="auto" w:fill="F0F0F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D71E3"/>
    <w:pPr>
      <w:spacing w:after="0" w:line="240" w:lineRule="auto"/>
    </w:pPr>
    <w:tblPr>
      <w:tblStyleRowBandSize w:val="1"/>
      <w:tblStyleColBandSize w:val="1"/>
      <w:tbl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single" w:sz="8" w:space="0" w:color="FF8B3B" w:themeColor="accent3" w:themeTint="BF"/>
      </w:tblBorders>
    </w:tblPr>
    <w:tblStylePr w:type="firstRow">
      <w:pPr>
        <w:spacing w:before="0" w:after="0" w:line="240" w:lineRule="auto"/>
      </w:pPr>
      <w:rPr>
        <w:b/>
        <w:bCs/>
        <w:color w:val="FFFFFF" w:themeColor="background1"/>
      </w:rPr>
      <w:tblPr/>
      <w:tcPr>
        <w:tc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nil"/>
          <w:insideV w:val="nil"/>
        </w:tcBorders>
        <w:shd w:val="clear" w:color="auto" w:fill="F96600" w:themeFill="accent3"/>
      </w:tcPr>
    </w:tblStylePr>
    <w:tblStylePr w:type="lastRow">
      <w:pPr>
        <w:spacing w:before="0" w:after="0" w:line="240" w:lineRule="auto"/>
      </w:pPr>
      <w:rPr>
        <w:b/>
        <w:bCs/>
      </w:rPr>
      <w:tblPr/>
      <w:tcPr>
        <w:tcBorders>
          <w:top w:val="double" w:sz="6"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nil"/>
          <w:insideV w:val="nil"/>
        </w:tcBorders>
      </w:tcPr>
    </w:tblStylePr>
    <w:tblStylePr w:type="firstCol">
      <w:rPr>
        <w:b/>
        <w:bCs/>
      </w:rPr>
    </w:tblStylePr>
    <w:tblStylePr w:type="lastCol">
      <w:rPr>
        <w:b/>
        <w:bCs/>
      </w:rPr>
    </w:tblStylePr>
    <w:tblStylePr w:type="band1Vert">
      <w:tblPr/>
      <w:tcPr>
        <w:shd w:val="clear" w:color="auto" w:fill="FFD8BE" w:themeFill="accent3" w:themeFillTint="3F"/>
      </w:tcPr>
    </w:tblStylePr>
    <w:tblStylePr w:type="band1Horz">
      <w:tblPr/>
      <w:tcPr>
        <w:tcBorders>
          <w:insideH w:val="nil"/>
          <w:insideV w:val="nil"/>
        </w:tcBorders>
        <w:shd w:val="clear" w:color="auto" w:fill="FFD8B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D71E3"/>
    <w:pPr>
      <w:spacing w:after="0" w:line="240" w:lineRule="auto"/>
    </w:pPr>
    <w:tblPr>
      <w:tblStyleRowBandSize w:val="1"/>
      <w:tblStyleColBandSize w:val="1"/>
      <w:tbl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single" w:sz="8" w:space="0" w:color="6BBEEA" w:themeColor="accent4" w:themeTint="BF"/>
      </w:tblBorders>
    </w:tblPr>
    <w:tblStylePr w:type="firstRow">
      <w:pPr>
        <w:spacing w:before="0" w:after="0" w:line="240" w:lineRule="auto"/>
      </w:pPr>
      <w:rPr>
        <w:b/>
        <w:bCs/>
        <w:color w:val="FFFFFF" w:themeColor="background1"/>
      </w:rPr>
      <w:tblPr/>
      <w:tcPr>
        <w:tc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nil"/>
          <w:insideV w:val="nil"/>
        </w:tcBorders>
        <w:shd w:val="clear" w:color="auto" w:fill="3AA9E3" w:themeFill="accent4"/>
      </w:tcPr>
    </w:tblStylePr>
    <w:tblStylePr w:type="lastRow">
      <w:pPr>
        <w:spacing w:before="0" w:after="0" w:line="240" w:lineRule="auto"/>
      </w:pPr>
      <w:rPr>
        <w:b/>
        <w:bCs/>
      </w:rPr>
      <w:tblPr/>
      <w:tcPr>
        <w:tcBorders>
          <w:top w:val="double" w:sz="6"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nil"/>
          <w:insideV w:val="nil"/>
        </w:tcBorders>
      </w:tcPr>
    </w:tblStylePr>
    <w:tblStylePr w:type="firstCol">
      <w:rPr>
        <w:b/>
        <w:bCs/>
      </w:rPr>
    </w:tblStylePr>
    <w:tblStylePr w:type="lastCol">
      <w:rPr>
        <w:b/>
        <w:bCs/>
      </w:rPr>
    </w:tblStylePr>
    <w:tblStylePr w:type="band1Vert">
      <w:tblPr/>
      <w:tcPr>
        <w:shd w:val="clear" w:color="auto" w:fill="CEE9F8" w:themeFill="accent4" w:themeFillTint="3F"/>
      </w:tcPr>
    </w:tblStylePr>
    <w:tblStylePr w:type="band1Horz">
      <w:tblPr/>
      <w:tcPr>
        <w:tcBorders>
          <w:insideH w:val="nil"/>
          <w:insideV w:val="nil"/>
        </w:tcBorders>
        <w:shd w:val="clear" w:color="auto" w:fill="CEE9F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D71E3"/>
    <w:pPr>
      <w:spacing w:after="0" w:line="240" w:lineRule="auto"/>
    </w:pPr>
    <w:tblPr>
      <w:tblStyleRowBandSize w:val="1"/>
      <w:tblStyleColBandSize w:val="1"/>
      <w:tbl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single" w:sz="8" w:space="0" w:color="B6BFC8" w:themeColor="accent5" w:themeTint="BF"/>
      </w:tblBorders>
    </w:tblPr>
    <w:tblStylePr w:type="firstRow">
      <w:pPr>
        <w:spacing w:before="0" w:after="0" w:line="240" w:lineRule="auto"/>
      </w:pPr>
      <w:rPr>
        <w:b/>
        <w:bCs/>
        <w:color w:val="FFFFFF" w:themeColor="background1"/>
      </w:rPr>
      <w:tblPr/>
      <w:tcPr>
        <w:tc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nil"/>
          <w:insideV w:val="nil"/>
        </w:tcBorders>
        <w:shd w:val="clear" w:color="auto" w:fill="9EAAB6" w:themeFill="accent5"/>
      </w:tcPr>
    </w:tblStylePr>
    <w:tblStylePr w:type="lastRow">
      <w:pPr>
        <w:spacing w:before="0" w:after="0" w:line="240" w:lineRule="auto"/>
      </w:pPr>
      <w:rPr>
        <w:b/>
        <w:bCs/>
      </w:rPr>
      <w:tblPr/>
      <w:tcPr>
        <w:tcBorders>
          <w:top w:val="double" w:sz="6"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E9ED" w:themeFill="accent5" w:themeFillTint="3F"/>
      </w:tcPr>
    </w:tblStylePr>
    <w:tblStylePr w:type="band1Horz">
      <w:tblPr/>
      <w:tcPr>
        <w:tcBorders>
          <w:insideH w:val="nil"/>
          <w:insideV w:val="nil"/>
        </w:tcBorders>
        <w:shd w:val="clear" w:color="auto" w:fill="E7E9E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D71E3"/>
    <w:pPr>
      <w:spacing w:after="0"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tblBorders>
    </w:tblPr>
    <w:tblStylePr w:type="firstRow">
      <w:pPr>
        <w:spacing w:before="0" w:after="0" w:line="240" w:lineRule="auto"/>
      </w:pPr>
      <w:rPr>
        <w:b/>
        <w:bCs/>
        <w:color w:val="FFFFFF" w:themeColor="background1"/>
      </w:rPr>
      <w:tblPr/>
      <w:tcPr>
        <w:tc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shd w:val="clear" w:color="auto" w:fill="8A479B" w:themeFill="accent6"/>
      </w:tcPr>
    </w:tblStylePr>
    <w:tblStylePr w:type="lastRow">
      <w:pPr>
        <w:spacing w:before="0" w:after="0" w:line="240" w:lineRule="auto"/>
      </w:pPr>
      <w:rPr>
        <w:b/>
        <w:bCs/>
      </w:rPr>
      <w:tblPr/>
      <w:tcPr>
        <w:tcBorders>
          <w:top w:val="double" w:sz="6"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85263"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85263" w:themeFill="accent1"/>
      </w:tcPr>
    </w:tblStylePr>
    <w:tblStylePr w:type="lastCol">
      <w:rPr>
        <w:b/>
        <w:bCs/>
        <w:color w:val="FFFFFF" w:themeColor="background1"/>
      </w:rPr>
      <w:tblPr/>
      <w:tcPr>
        <w:tcBorders>
          <w:left w:val="nil"/>
          <w:right w:val="nil"/>
          <w:insideH w:val="nil"/>
          <w:insideV w:val="nil"/>
        </w:tcBorders>
        <w:shd w:val="clear" w:color="auto" w:fill="785263"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3C3C3"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3C3C3" w:themeFill="accent2"/>
      </w:tcPr>
    </w:tblStylePr>
    <w:tblStylePr w:type="lastCol">
      <w:rPr>
        <w:b/>
        <w:bCs/>
        <w:color w:val="FFFFFF" w:themeColor="background1"/>
      </w:rPr>
      <w:tblPr/>
      <w:tcPr>
        <w:tcBorders>
          <w:left w:val="nil"/>
          <w:right w:val="nil"/>
          <w:insideH w:val="nil"/>
          <w:insideV w:val="nil"/>
        </w:tcBorders>
        <w:shd w:val="clear" w:color="auto" w:fill="C3C3C3"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96600"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96600" w:themeFill="accent3"/>
      </w:tcPr>
    </w:tblStylePr>
    <w:tblStylePr w:type="lastCol">
      <w:rPr>
        <w:b/>
        <w:bCs/>
        <w:color w:val="FFFFFF" w:themeColor="background1"/>
      </w:rPr>
      <w:tblPr/>
      <w:tcPr>
        <w:tcBorders>
          <w:left w:val="nil"/>
          <w:right w:val="nil"/>
          <w:insideH w:val="nil"/>
          <w:insideV w:val="nil"/>
        </w:tcBorders>
        <w:shd w:val="clear" w:color="auto" w:fill="F96600"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AA9E3"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AA9E3" w:themeFill="accent4"/>
      </w:tcPr>
    </w:tblStylePr>
    <w:tblStylePr w:type="lastCol">
      <w:rPr>
        <w:b/>
        <w:bCs/>
        <w:color w:val="FFFFFF" w:themeColor="background1"/>
      </w:rPr>
      <w:tblPr/>
      <w:tcPr>
        <w:tcBorders>
          <w:left w:val="nil"/>
          <w:right w:val="nil"/>
          <w:insideH w:val="nil"/>
          <w:insideV w:val="nil"/>
        </w:tcBorders>
        <w:shd w:val="clear" w:color="auto" w:fill="3AA9E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EAAB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EAAB6" w:themeFill="accent5"/>
      </w:tcPr>
    </w:tblStylePr>
    <w:tblStylePr w:type="lastCol">
      <w:rPr>
        <w:b/>
        <w:bCs/>
        <w:color w:val="FFFFFF" w:themeColor="background1"/>
      </w:rPr>
      <w:tblPr/>
      <w:tcPr>
        <w:tcBorders>
          <w:left w:val="nil"/>
          <w:right w:val="nil"/>
          <w:insideH w:val="nil"/>
          <w:insideV w:val="nil"/>
        </w:tcBorders>
        <w:shd w:val="clear" w:color="auto" w:fill="9EAAB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D71E3"/>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AD71E3"/>
    <w:rPr>
      <w:rFonts w:asciiTheme="majorHAnsi" w:eastAsiaTheme="majorEastAsia" w:hAnsiTheme="majorHAnsi" w:cstheme="majorBidi"/>
      <w:sz w:val="24"/>
      <w:szCs w:val="24"/>
      <w:shd w:val="pct20" w:color="auto" w:fill="auto"/>
    </w:rPr>
  </w:style>
  <w:style w:type="paragraph" w:styleId="NormalWeb">
    <w:name w:val="Normal (Web)"/>
    <w:basedOn w:val="Normal"/>
    <w:uiPriority w:val="99"/>
    <w:semiHidden/>
    <w:unhideWhenUsed/>
    <w:rsid w:val="00AD71E3"/>
    <w:rPr>
      <w:rFonts w:ascii="Times New Roman" w:hAnsi="Times New Roman" w:cs="Times New Roman"/>
      <w:sz w:val="24"/>
      <w:szCs w:val="24"/>
    </w:rPr>
  </w:style>
  <w:style w:type="paragraph" w:styleId="NormalIndent">
    <w:name w:val="Normal Indent"/>
    <w:basedOn w:val="Normal"/>
    <w:uiPriority w:val="99"/>
    <w:semiHidden/>
    <w:unhideWhenUsed/>
    <w:rsid w:val="00AD71E3"/>
    <w:pPr>
      <w:ind w:left="720"/>
    </w:pPr>
  </w:style>
  <w:style w:type="paragraph" w:styleId="NoteHeading">
    <w:name w:val="Note Heading"/>
    <w:basedOn w:val="Normal"/>
    <w:next w:val="Normal"/>
    <w:link w:val="NoteHeadingChar"/>
    <w:uiPriority w:val="99"/>
    <w:semiHidden/>
    <w:unhideWhenUsed/>
    <w:rsid w:val="00AD71E3"/>
    <w:pPr>
      <w:spacing w:after="0" w:line="240" w:lineRule="auto"/>
    </w:pPr>
  </w:style>
  <w:style w:type="character" w:customStyle="1" w:styleId="NoteHeadingChar">
    <w:name w:val="Note Heading Char"/>
    <w:basedOn w:val="DefaultParagraphFont"/>
    <w:link w:val="NoteHeading"/>
    <w:uiPriority w:val="99"/>
    <w:semiHidden/>
    <w:rsid w:val="00AD71E3"/>
  </w:style>
  <w:style w:type="character" w:styleId="PageNumber">
    <w:name w:val="page number"/>
    <w:basedOn w:val="DefaultParagraphFont"/>
    <w:uiPriority w:val="99"/>
    <w:semiHidden/>
    <w:unhideWhenUsed/>
    <w:rsid w:val="00AD71E3"/>
  </w:style>
  <w:style w:type="character" w:styleId="PlaceholderText">
    <w:name w:val="Placeholder Text"/>
    <w:basedOn w:val="DefaultParagraphFont"/>
    <w:uiPriority w:val="99"/>
    <w:semiHidden/>
    <w:rsid w:val="00D9643B"/>
    <w:rPr>
      <w:color w:val="595959" w:themeColor="text1" w:themeTint="A6"/>
    </w:rPr>
  </w:style>
  <w:style w:type="table" w:styleId="PlainTable1">
    <w:name w:val="Plain Table 1"/>
    <w:basedOn w:val="TableNormal"/>
    <w:uiPriority w:val="41"/>
    <w:rsid w:val="00AD71E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71E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D71E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D71E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D71E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D71E3"/>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D71E3"/>
    <w:rPr>
      <w:rFonts w:ascii="Consolas" w:hAnsi="Consolas"/>
      <w:szCs w:val="21"/>
    </w:rPr>
  </w:style>
  <w:style w:type="paragraph" w:styleId="Salutation">
    <w:name w:val="Salutation"/>
    <w:basedOn w:val="Normal"/>
    <w:next w:val="Normal"/>
    <w:link w:val="SalutationChar"/>
    <w:uiPriority w:val="99"/>
    <w:semiHidden/>
    <w:unhideWhenUsed/>
    <w:rsid w:val="00AD71E3"/>
  </w:style>
  <w:style w:type="character" w:customStyle="1" w:styleId="SalutationChar">
    <w:name w:val="Salutation Char"/>
    <w:basedOn w:val="DefaultParagraphFont"/>
    <w:link w:val="Salutation"/>
    <w:uiPriority w:val="99"/>
    <w:semiHidden/>
    <w:rsid w:val="00AD71E3"/>
  </w:style>
  <w:style w:type="paragraph" w:styleId="Signature">
    <w:name w:val="Signature"/>
    <w:basedOn w:val="Normal"/>
    <w:link w:val="SignatureChar"/>
    <w:uiPriority w:val="99"/>
    <w:semiHidden/>
    <w:unhideWhenUsed/>
    <w:rsid w:val="00AD71E3"/>
    <w:pPr>
      <w:spacing w:after="0" w:line="240" w:lineRule="auto"/>
      <w:ind w:left="4320"/>
    </w:pPr>
  </w:style>
  <w:style w:type="character" w:customStyle="1" w:styleId="SignatureChar">
    <w:name w:val="Signature Char"/>
    <w:basedOn w:val="DefaultParagraphFont"/>
    <w:link w:val="Signature"/>
    <w:uiPriority w:val="99"/>
    <w:semiHidden/>
    <w:rsid w:val="00AD71E3"/>
  </w:style>
  <w:style w:type="character" w:styleId="Strong">
    <w:name w:val="Strong"/>
    <w:basedOn w:val="DefaultParagraphFont"/>
    <w:uiPriority w:val="22"/>
    <w:semiHidden/>
    <w:unhideWhenUsed/>
    <w:qFormat/>
    <w:rsid w:val="00AD71E3"/>
    <w:rPr>
      <w:b/>
      <w:bCs/>
    </w:rPr>
  </w:style>
  <w:style w:type="character" w:styleId="SubtleEmphasis">
    <w:name w:val="Subtle Emphasis"/>
    <w:basedOn w:val="DefaultParagraphFont"/>
    <w:uiPriority w:val="19"/>
    <w:semiHidden/>
    <w:unhideWhenUsed/>
    <w:qFormat/>
    <w:rsid w:val="00AD71E3"/>
    <w:rPr>
      <w:i/>
      <w:iCs/>
      <w:color w:val="404040" w:themeColor="text1" w:themeTint="BF"/>
    </w:rPr>
  </w:style>
  <w:style w:type="character" w:styleId="SubtleReference">
    <w:name w:val="Subtle Reference"/>
    <w:basedOn w:val="DefaultParagraphFont"/>
    <w:uiPriority w:val="31"/>
    <w:semiHidden/>
    <w:unhideWhenUsed/>
    <w:qFormat/>
    <w:rsid w:val="00AD71E3"/>
    <w:rPr>
      <w:smallCaps/>
      <w:color w:val="5A5A5A" w:themeColor="text1" w:themeTint="A5"/>
    </w:rPr>
  </w:style>
  <w:style w:type="table" w:styleId="Table3Deffects1">
    <w:name w:val="Table 3D effects 1"/>
    <w:basedOn w:val="TableNormal"/>
    <w:uiPriority w:val="99"/>
    <w:semiHidden/>
    <w:unhideWhenUsed/>
    <w:rsid w:val="00AD71E3"/>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D71E3"/>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D71E3"/>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D71E3"/>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D71E3"/>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D71E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D71E3"/>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AD71E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AD71E3"/>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AD71E3"/>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D71E3"/>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D71E3"/>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D71E3"/>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D71E3"/>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D71E3"/>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D71E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D71E3"/>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D71E3"/>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D71E3"/>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D71E3"/>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D71E3"/>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D71E3"/>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AD71E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D71E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D71E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D71E3"/>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D71E3"/>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D71E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D71E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AD71E3"/>
    <w:pPr>
      <w:spacing w:after="0"/>
      <w:ind w:left="220" w:hanging="220"/>
    </w:pPr>
  </w:style>
  <w:style w:type="paragraph" w:styleId="TableofFigures">
    <w:name w:val="table of figures"/>
    <w:basedOn w:val="Normal"/>
    <w:next w:val="Normal"/>
    <w:uiPriority w:val="99"/>
    <w:semiHidden/>
    <w:unhideWhenUsed/>
    <w:rsid w:val="00AD71E3"/>
    <w:pPr>
      <w:spacing w:after="0"/>
    </w:pPr>
  </w:style>
  <w:style w:type="table" w:styleId="TableProfessional">
    <w:name w:val="Table Professional"/>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D71E3"/>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D71E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D71E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D71E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D71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D71E3"/>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D71E3"/>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D71E3"/>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AD71E3"/>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AD71E3"/>
    <w:pPr>
      <w:spacing w:after="100"/>
    </w:pPr>
  </w:style>
  <w:style w:type="paragraph" w:styleId="TOC2">
    <w:name w:val="toc 2"/>
    <w:basedOn w:val="Normal"/>
    <w:next w:val="Normal"/>
    <w:autoRedefine/>
    <w:uiPriority w:val="39"/>
    <w:semiHidden/>
    <w:unhideWhenUsed/>
    <w:rsid w:val="00AD71E3"/>
    <w:pPr>
      <w:spacing w:after="100"/>
      <w:ind w:left="220"/>
    </w:pPr>
  </w:style>
  <w:style w:type="paragraph" w:styleId="TOC3">
    <w:name w:val="toc 3"/>
    <w:basedOn w:val="Normal"/>
    <w:next w:val="Normal"/>
    <w:autoRedefine/>
    <w:uiPriority w:val="39"/>
    <w:semiHidden/>
    <w:unhideWhenUsed/>
    <w:rsid w:val="00AD71E3"/>
    <w:pPr>
      <w:spacing w:after="100"/>
      <w:ind w:left="440"/>
    </w:pPr>
  </w:style>
  <w:style w:type="paragraph" w:styleId="TOC4">
    <w:name w:val="toc 4"/>
    <w:basedOn w:val="Normal"/>
    <w:next w:val="Normal"/>
    <w:autoRedefine/>
    <w:uiPriority w:val="39"/>
    <w:semiHidden/>
    <w:unhideWhenUsed/>
    <w:rsid w:val="00AD71E3"/>
    <w:pPr>
      <w:spacing w:after="100"/>
      <w:ind w:left="660"/>
    </w:pPr>
  </w:style>
  <w:style w:type="paragraph" w:styleId="TOC5">
    <w:name w:val="toc 5"/>
    <w:basedOn w:val="Normal"/>
    <w:next w:val="Normal"/>
    <w:autoRedefine/>
    <w:uiPriority w:val="39"/>
    <w:semiHidden/>
    <w:unhideWhenUsed/>
    <w:rsid w:val="00AD71E3"/>
    <w:pPr>
      <w:spacing w:after="100"/>
      <w:ind w:left="880"/>
    </w:pPr>
  </w:style>
  <w:style w:type="paragraph" w:styleId="TOC6">
    <w:name w:val="toc 6"/>
    <w:basedOn w:val="Normal"/>
    <w:next w:val="Normal"/>
    <w:autoRedefine/>
    <w:uiPriority w:val="39"/>
    <w:semiHidden/>
    <w:unhideWhenUsed/>
    <w:rsid w:val="00AD71E3"/>
    <w:pPr>
      <w:spacing w:after="100"/>
      <w:ind w:left="1100"/>
    </w:pPr>
  </w:style>
  <w:style w:type="paragraph" w:styleId="TOC7">
    <w:name w:val="toc 7"/>
    <w:basedOn w:val="Normal"/>
    <w:next w:val="Normal"/>
    <w:autoRedefine/>
    <w:uiPriority w:val="39"/>
    <w:semiHidden/>
    <w:unhideWhenUsed/>
    <w:rsid w:val="00AD71E3"/>
    <w:pPr>
      <w:spacing w:after="100"/>
      <w:ind w:left="1320"/>
    </w:pPr>
  </w:style>
  <w:style w:type="paragraph" w:styleId="TOC8">
    <w:name w:val="toc 8"/>
    <w:basedOn w:val="Normal"/>
    <w:next w:val="Normal"/>
    <w:autoRedefine/>
    <w:uiPriority w:val="39"/>
    <w:semiHidden/>
    <w:unhideWhenUsed/>
    <w:rsid w:val="00AD71E3"/>
    <w:pPr>
      <w:spacing w:after="100"/>
      <w:ind w:left="1540"/>
    </w:pPr>
  </w:style>
  <w:style w:type="paragraph" w:styleId="TOC9">
    <w:name w:val="toc 9"/>
    <w:basedOn w:val="Normal"/>
    <w:next w:val="Normal"/>
    <w:autoRedefine/>
    <w:uiPriority w:val="39"/>
    <w:semiHidden/>
    <w:unhideWhenUsed/>
    <w:rsid w:val="00AD71E3"/>
    <w:pPr>
      <w:spacing w:after="100"/>
      <w:ind w:left="1760"/>
    </w:pPr>
  </w:style>
  <w:style w:type="paragraph" w:styleId="TOCHeading">
    <w:name w:val="TOC Heading"/>
    <w:basedOn w:val="Heading1"/>
    <w:next w:val="Normal"/>
    <w:uiPriority w:val="39"/>
    <w:semiHidden/>
    <w:unhideWhenUsed/>
    <w:qFormat/>
    <w:rsid w:val="00362B35"/>
    <w:pPr>
      <w:outlineLvl w:val="9"/>
    </w:pPr>
  </w:style>
  <w:style w:type="paragraph" w:customStyle="1" w:styleId="Image">
    <w:name w:val="Image"/>
    <w:basedOn w:val="Normal"/>
    <w:uiPriority w:val="1"/>
    <w:qFormat/>
    <w:rsid w:val="007B7B63"/>
    <w:pPr>
      <w:spacing w:after="0" w:line="240" w:lineRule="auto"/>
      <w:jc w:val="center"/>
    </w:pPr>
  </w:style>
  <w:style w:type="character" w:styleId="UnresolvedMention">
    <w:name w:val="Unresolved Mention"/>
    <w:basedOn w:val="DefaultParagraphFont"/>
    <w:uiPriority w:val="99"/>
    <w:semiHidden/>
    <w:unhideWhenUsed/>
    <w:rsid w:val="0099504D"/>
    <w:rPr>
      <w:color w:val="605E5C"/>
      <w:shd w:val="clear" w:color="auto" w:fill="E1DFDD"/>
    </w:rPr>
  </w:style>
  <w:style w:type="character" w:customStyle="1" w:styleId="apple-converted-space">
    <w:name w:val="apple-converted-space"/>
    <w:basedOn w:val="DefaultParagraphFont"/>
    <w:rsid w:val="005747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886567">
      <w:bodyDiv w:val="1"/>
      <w:marLeft w:val="0"/>
      <w:marRight w:val="0"/>
      <w:marTop w:val="0"/>
      <w:marBottom w:val="0"/>
      <w:divBdr>
        <w:top w:val="none" w:sz="0" w:space="0" w:color="auto"/>
        <w:left w:val="none" w:sz="0" w:space="0" w:color="auto"/>
        <w:bottom w:val="none" w:sz="0" w:space="0" w:color="auto"/>
        <w:right w:val="none" w:sz="0" w:space="0" w:color="auto"/>
      </w:divBdr>
    </w:div>
    <w:div w:id="515778805">
      <w:bodyDiv w:val="1"/>
      <w:marLeft w:val="0"/>
      <w:marRight w:val="0"/>
      <w:marTop w:val="0"/>
      <w:marBottom w:val="0"/>
      <w:divBdr>
        <w:top w:val="none" w:sz="0" w:space="0" w:color="auto"/>
        <w:left w:val="none" w:sz="0" w:space="0" w:color="auto"/>
        <w:bottom w:val="none" w:sz="0" w:space="0" w:color="auto"/>
        <w:right w:val="none" w:sz="0" w:space="0" w:color="auto"/>
      </w:divBdr>
    </w:div>
    <w:div w:id="756630350">
      <w:bodyDiv w:val="1"/>
      <w:marLeft w:val="0"/>
      <w:marRight w:val="0"/>
      <w:marTop w:val="0"/>
      <w:marBottom w:val="0"/>
      <w:divBdr>
        <w:top w:val="none" w:sz="0" w:space="0" w:color="auto"/>
        <w:left w:val="none" w:sz="0" w:space="0" w:color="auto"/>
        <w:bottom w:val="none" w:sz="0" w:space="0" w:color="auto"/>
        <w:right w:val="none" w:sz="0" w:space="0" w:color="auto"/>
      </w:divBdr>
    </w:div>
    <w:div w:id="987827757">
      <w:bodyDiv w:val="1"/>
      <w:marLeft w:val="0"/>
      <w:marRight w:val="0"/>
      <w:marTop w:val="0"/>
      <w:marBottom w:val="0"/>
      <w:divBdr>
        <w:top w:val="none" w:sz="0" w:space="0" w:color="auto"/>
        <w:left w:val="none" w:sz="0" w:space="0" w:color="auto"/>
        <w:bottom w:val="none" w:sz="0" w:space="0" w:color="auto"/>
        <w:right w:val="none" w:sz="0" w:space="0" w:color="auto"/>
      </w:divBdr>
    </w:div>
    <w:div w:id="990715596">
      <w:bodyDiv w:val="1"/>
      <w:marLeft w:val="0"/>
      <w:marRight w:val="0"/>
      <w:marTop w:val="0"/>
      <w:marBottom w:val="0"/>
      <w:divBdr>
        <w:top w:val="none" w:sz="0" w:space="0" w:color="auto"/>
        <w:left w:val="none" w:sz="0" w:space="0" w:color="auto"/>
        <w:bottom w:val="none" w:sz="0" w:space="0" w:color="auto"/>
        <w:right w:val="none" w:sz="0" w:space="0" w:color="auto"/>
      </w:divBdr>
      <w:divsChild>
        <w:div w:id="2023163922">
          <w:marLeft w:val="0"/>
          <w:marRight w:val="0"/>
          <w:marTop w:val="0"/>
          <w:marBottom w:val="0"/>
          <w:divBdr>
            <w:top w:val="none" w:sz="0" w:space="0" w:color="auto"/>
            <w:left w:val="none" w:sz="0" w:space="0" w:color="auto"/>
            <w:bottom w:val="none" w:sz="0" w:space="0" w:color="auto"/>
            <w:right w:val="none" w:sz="0" w:space="0" w:color="auto"/>
          </w:divBdr>
        </w:div>
        <w:div w:id="427115655">
          <w:marLeft w:val="0"/>
          <w:marRight w:val="0"/>
          <w:marTop w:val="0"/>
          <w:marBottom w:val="0"/>
          <w:divBdr>
            <w:top w:val="none" w:sz="0" w:space="0" w:color="auto"/>
            <w:left w:val="none" w:sz="0" w:space="0" w:color="auto"/>
            <w:bottom w:val="none" w:sz="0" w:space="0" w:color="auto"/>
            <w:right w:val="none" w:sz="0" w:space="0" w:color="auto"/>
          </w:divBdr>
        </w:div>
        <w:div w:id="293214515">
          <w:marLeft w:val="0"/>
          <w:marRight w:val="0"/>
          <w:marTop w:val="0"/>
          <w:marBottom w:val="0"/>
          <w:divBdr>
            <w:top w:val="none" w:sz="0" w:space="0" w:color="auto"/>
            <w:left w:val="none" w:sz="0" w:space="0" w:color="auto"/>
            <w:bottom w:val="none" w:sz="0" w:space="0" w:color="auto"/>
            <w:right w:val="none" w:sz="0" w:space="0" w:color="auto"/>
          </w:divBdr>
        </w:div>
      </w:divsChild>
    </w:div>
    <w:div w:id="994261232">
      <w:bodyDiv w:val="1"/>
      <w:marLeft w:val="0"/>
      <w:marRight w:val="0"/>
      <w:marTop w:val="0"/>
      <w:marBottom w:val="0"/>
      <w:divBdr>
        <w:top w:val="none" w:sz="0" w:space="0" w:color="auto"/>
        <w:left w:val="none" w:sz="0" w:space="0" w:color="auto"/>
        <w:bottom w:val="none" w:sz="0" w:space="0" w:color="auto"/>
        <w:right w:val="none" w:sz="0" w:space="0" w:color="auto"/>
      </w:divBdr>
    </w:div>
    <w:div w:id="1295597624">
      <w:bodyDiv w:val="1"/>
      <w:marLeft w:val="0"/>
      <w:marRight w:val="0"/>
      <w:marTop w:val="0"/>
      <w:marBottom w:val="0"/>
      <w:divBdr>
        <w:top w:val="none" w:sz="0" w:space="0" w:color="auto"/>
        <w:left w:val="none" w:sz="0" w:space="0" w:color="auto"/>
        <w:bottom w:val="none" w:sz="0" w:space="0" w:color="auto"/>
        <w:right w:val="none" w:sz="0" w:space="0" w:color="auto"/>
      </w:divBdr>
    </w:div>
    <w:div w:id="1318413150">
      <w:bodyDiv w:val="1"/>
      <w:marLeft w:val="0"/>
      <w:marRight w:val="0"/>
      <w:marTop w:val="0"/>
      <w:marBottom w:val="0"/>
      <w:divBdr>
        <w:top w:val="none" w:sz="0" w:space="0" w:color="auto"/>
        <w:left w:val="none" w:sz="0" w:space="0" w:color="auto"/>
        <w:bottom w:val="none" w:sz="0" w:space="0" w:color="auto"/>
        <w:right w:val="none" w:sz="0" w:space="0" w:color="auto"/>
      </w:divBdr>
    </w:div>
    <w:div w:id="1580288240">
      <w:bodyDiv w:val="1"/>
      <w:marLeft w:val="0"/>
      <w:marRight w:val="0"/>
      <w:marTop w:val="0"/>
      <w:marBottom w:val="0"/>
      <w:divBdr>
        <w:top w:val="none" w:sz="0" w:space="0" w:color="auto"/>
        <w:left w:val="none" w:sz="0" w:space="0" w:color="auto"/>
        <w:bottom w:val="none" w:sz="0" w:space="0" w:color="auto"/>
        <w:right w:val="none" w:sz="0" w:space="0" w:color="auto"/>
      </w:divBdr>
    </w:div>
    <w:div w:id="1604023922">
      <w:bodyDiv w:val="1"/>
      <w:marLeft w:val="0"/>
      <w:marRight w:val="0"/>
      <w:marTop w:val="0"/>
      <w:marBottom w:val="0"/>
      <w:divBdr>
        <w:top w:val="none" w:sz="0" w:space="0" w:color="auto"/>
        <w:left w:val="none" w:sz="0" w:space="0" w:color="auto"/>
        <w:bottom w:val="none" w:sz="0" w:space="0" w:color="auto"/>
        <w:right w:val="none" w:sz="0" w:space="0" w:color="auto"/>
      </w:divBdr>
    </w:div>
    <w:div w:id="1675836867">
      <w:bodyDiv w:val="1"/>
      <w:marLeft w:val="0"/>
      <w:marRight w:val="0"/>
      <w:marTop w:val="0"/>
      <w:marBottom w:val="0"/>
      <w:divBdr>
        <w:top w:val="none" w:sz="0" w:space="0" w:color="auto"/>
        <w:left w:val="none" w:sz="0" w:space="0" w:color="auto"/>
        <w:bottom w:val="none" w:sz="0" w:space="0" w:color="auto"/>
        <w:right w:val="none" w:sz="0" w:space="0" w:color="auto"/>
      </w:divBdr>
    </w:div>
    <w:div w:id="1834686851">
      <w:bodyDiv w:val="1"/>
      <w:marLeft w:val="0"/>
      <w:marRight w:val="0"/>
      <w:marTop w:val="0"/>
      <w:marBottom w:val="0"/>
      <w:divBdr>
        <w:top w:val="none" w:sz="0" w:space="0" w:color="auto"/>
        <w:left w:val="none" w:sz="0" w:space="0" w:color="auto"/>
        <w:bottom w:val="none" w:sz="0" w:space="0" w:color="auto"/>
        <w:right w:val="none" w:sz="0" w:space="0" w:color="auto"/>
      </w:divBdr>
    </w:div>
    <w:div w:id="1861311575">
      <w:bodyDiv w:val="1"/>
      <w:marLeft w:val="0"/>
      <w:marRight w:val="0"/>
      <w:marTop w:val="0"/>
      <w:marBottom w:val="0"/>
      <w:divBdr>
        <w:top w:val="none" w:sz="0" w:space="0" w:color="auto"/>
        <w:left w:val="none" w:sz="0" w:space="0" w:color="auto"/>
        <w:bottom w:val="none" w:sz="0" w:space="0" w:color="auto"/>
        <w:right w:val="none" w:sz="0" w:space="0" w:color="auto"/>
      </w:divBdr>
    </w:div>
    <w:div w:id="1973825292">
      <w:bodyDiv w:val="1"/>
      <w:marLeft w:val="0"/>
      <w:marRight w:val="0"/>
      <w:marTop w:val="0"/>
      <w:marBottom w:val="0"/>
      <w:divBdr>
        <w:top w:val="none" w:sz="0" w:space="0" w:color="auto"/>
        <w:left w:val="none" w:sz="0" w:space="0" w:color="auto"/>
        <w:bottom w:val="none" w:sz="0" w:space="0" w:color="auto"/>
        <w:right w:val="none" w:sz="0" w:space="0" w:color="auto"/>
      </w:divBdr>
    </w:div>
    <w:div w:id="1990089207">
      <w:bodyDiv w:val="1"/>
      <w:marLeft w:val="0"/>
      <w:marRight w:val="0"/>
      <w:marTop w:val="0"/>
      <w:marBottom w:val="0"/>
      <w:divBdr>
        <w:top w:val="none" w:sz="0" w:space="0" w:color="auto"/>
        <w:left w:val="none" w:sz="0" w:space="0" w:color="auto"/>
        <w:bottom w:val="none" w:sz="0" w:space="0" w:color="auto"/>
        <w:right w:val="none" w:sz="0" w:space="0" w:color="auto"/>
      </w:divBdr>
    </w:div>
    <w:div w:id="2017881083">
      <w:bodyDiv w:val="1"/>
      <w:marLeft w:val="0"/>
      <w:marRight w:val="0"/>
      <w:marTop w:val="0"/>
      <w:marBottom w:val="0"/>
      <w:divBdr>
        <w:top w:val="none" w:sz="0" w:space="0" w:color="auto"/>
        <w:left w:val="none" w:sz="0" w:space="0" w:color="auto"/>
        <w:bottom w:val="none" w:sz="0" w:space="0" w:color="auto"/>
        <w:right w:val="none" w:sz="0" w:space="0" w:color="auto"/>
      </w:divBdr>
    </w:div>
    <w:div w:id="2090761279">
      <w:bodyDiv w:val="1"/>
      <w:marLeft w:val="0"/>
      <w:marRight w:val="0"/>
      <w:marTop w:val="0"/>
      <w:marBottom w:val="0"/>
      <w:divBdr>
        <w:top w:val="none" w:sz="0" w:space="0" w:color="auto"/>
        <w:left w:val="none" w:sz="0" w:space="0" w:color="auto"/>
        <w:bottom w:val="none" w:sz="0" w:space="0" w:color="auto"/>
        <w:right w:val="none" w:sz="0" w:space="0" w:color="auto"/>
      </w:divBdr>
      <w:divsChild>
        <w:div w:id="3811010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trainformacion.es/alemania-no-astrazeneca-mayores-65-anos/" TargetMode="External"/><Relationship Id="rId13" Type="http://schemas.openxmlformats.org/officeDocument/2006/relationships/hyperlink" Target="https://creativecommons.org/licenses/by-sa/3.0/"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1.jpg"/><Relationship Id="rId12" Type="http://schemas.openxmlformats.org/officeDocument/2006/relationships/hyperlink" Target="https://contrainformacion.es/alemania-no-astrazeneca-mayores-65-anos/" TargetMode="Externa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footer" Target="footer1.xml"/><Relationship Id="rId10" Type="http://schemas.openxmlformats.org/officeDocument/2006/relationships/hyperlink" Target="https://creativecommons.org/licenses/by-sa/3.0/" TargetMode="Externa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s://contrainformacion.es/alemania-no-astrazeneca-mayores-65-anos/" TargetMode="External"/><Relationship Id="rId14" Type="http://schemas.openxmlformats.org/officeDocument/2006/relationships/image" Target="media/image2.jp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Book Report">
      <a:dk1>
        <a:sysClr val="windowText" lastClr="000000"/>
      </a:dk1>
      <a:lt1>
        <a:sysClr val="window" lastClr="FFFFFF"/>
      </a:lt1>
      <a:dk2>
        <a:srgbClr val="242424"/>
      </a:dk2>
      <a:lt2>
        <a:srgbClr val="F5F5F5"/>
      </a:lt2>
      <a:accent1>
        <a:srgbClr val="785263"/>
      </a:accent1>
      <a:accent2>
        <a:srgbClr val="C3C3C3"/>
      </a:accent2>
      <a:accent3>
        <a:srgbClr val="F96600"/>
      </a:accent3>
      <a:accent4>
        <a:srgbClr val="3AA9E3"/>
      </a:accent4>
      <a:accent5>
        <a:srgbClr val="9EAAB6"/>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2607</Words>
  <Characters>14864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Andreea Elisabeta Magos (1918861)</cp:lastModifiedBy>
  <cp:revision>2</cp:revision>
  <dcterms:created xsi:type="dcterms:W3CDTF">2021-11-29T11:01:00Z</dcterms:created>
  <dcterms:modified xsi:type="dcterms:W3CDTF">2021-11-29T11:01:00Z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