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page" w:horzAnchor="page" w:tblpX="959" w:tblpY="849"/>
        <w:tblOverlap w:val="never"/>
        <w:tblW w:w="10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10300"/>
      </w:tblGrid>
      <w:tr w14:paraId="1AD6989F">
        <w:trPr>
          <w:trHeight w:val="866" w:hRule="atLeast"/>
        </w:trPr>
        <w:tc>
          <w:tcPr>
            <w:tcW w:w="10300" w:type="dxa"/>
            <w:shd w:val="clear" w:color="auto" w:fill="C0C0C0"/>
          </w:tcPr>
          <w:p w14:paraId="54995ECC">
            <w:pPr>
              <w:pStyle w:val="4"/>
              <w:rPr>
                <w:rFonts w:hint="default" w:ascii="Times New Roman" w:hAnsi="Times New Roman" w:cs="Times New Roman"/>
                <w:b/>
              </w:rPr>
            </w:pPr>
            <w:bookmarkStart w:id="1" w:name="_GoBack"/>
            <w:bookmarkEnd w:id="1"/>
            <w:r>
              <w:rPr>
                <w:rFonts w:hint="default" w:ascii="Times New Roman" w:hAnsi="Times New Roman" w:cs="Times New Roman"/>
                <w:b/>
              </w:rPr>
              <w:t xml:space="preserve">ASSESSMENT 2 SPECIFICATION </w:t>
            </w:r>
          </w:p>
        </w:tc>
      </w:tr>
    </w:tbl>
    <w:tbl>
      <w:tblPr>
        <w:tblStyle w:val="5"/>
        <w:tblpPr w:leftFromText="180" w:rightFromText="180" w:vertAnchor="text" w:horzAnchor="page" w:tblpX="925" w:tblpY="1097"/>
        <w:tblOverlap w:val="never"/>
        <w:tblW w:w="10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337"/>
        <w:gridCol w:w="2298"/>
        <w:gridCol w:w="2298"/>
      </w:tblGrid>
      <w:tr w14:paraId="6E9E1EEB">
        <w:trPr>
          <w:trHeight w:val="580" w:hRule="atLeast"/>
        </w:trPr>
        <w:tc>
          <w:tcPr>
            <w:tcW w:w="2586" w:type="dxa"/>
            <w:shd w:val="pct15" w:color="auto" w:fill="auto"/>
          </w:tcPr>
          <w:p w14:paraId="50A54C1E">
            <w:pPr>
              <w:spacing w:before="120" w:after="120"/>
              <w:jc w:val="both"/>
              <w:rPr>
                <w:rFonts w:hint="default" w:ascii="Times New Roman" w:hAnsi="Times New Roman" w:cs="Times New Roman"/>
                <w:b/>
              </w:rPr>
            </w:pPr>
            <w:r>
              <w:rPr>
                <w:rFonts w:hint="default" w:ascii="Times New Roman" w:hAnsi="Times New Roman" w:cs="Times New Roman"/>
                <w:b/>
              </w:rPr>
              <w:t>Student name:</w:t>
            </w:r>
          </w:p>
        </w:tc>
        <w:tc>
          <w:tcPr>
            <w:tcW w:w="3337" w:type="dxa"/>
            <w:shd w:val="clear" w:color="auto" w:fill="auto"/>
          </w:tcPr>
          <w:p w14:paraId="1799588F">
            <w:pPr>
              <w:spacing w:before="120" w:after="120"/>
              <w:jc w:val="both"/>
              <w:rPr>
                <w:rFonts w:hint="default" w:ascii="Times New Roman" w:hAnsi="Times New Roman" w:eastAsia="宋体" w:cs="Times New Roman"/>
                <w:b/>
                <w:lang w:val="en-US" w:eastAsia="zh-CN"/>
              </w:rPr>
            </w:pPr>
            <w:r>
              <w:rPr>
                <w:rFonts w:hint="eastAsia" w:ascii="Times New Roman" w:hAnsi="Times New Roman" w:eastAsia="宋体" w:cs="Times New Roman"/>
                <w:b/>
                <w:lang w:val="en-US" w:eastAsia="zh-CN"/>
              </w:rPr>
              <w:t>Kaiyi Yan</w:t>
            </w:r>
          </w:p>
        </w:tc>
        <w:tc>
          <w:tcPr>
            <w:tcW w:w="2298" w:type="dxa"/>
            <w:shd w:val="clear" w:color="auto" w:fill="D9D9D9"/>
          </w:tcPr>
          <w:p w14:paraId="364EF5D2">
            <w:pPr>
              <w:spacing w:before="120" w:after="120"/>
              <w:jc w:val="both"/>
              <w:rPr>
                <w:rFonts w:hint="default" w:ascii="Times New Roman" w:hAnsi="Times New Roman" w:cs="Times New Roman"/>
                <w:b/>
              </w:rPr>
            </w:pPr>
            <w:r>
              <w:rPr>
                <w:rFonts w:hint="default" w:ascii="Times New Roman" w:hAnsi="Times New Roman" w:cs="Times New Roman"/>
                <w:b/>
              </w:rPr>
              <w:t>Student ID number:</w:t>
            </w:r>
          </w:p>
        </w:tc>
        <w:tc>
          <w:tcPr>
            <w:tcW w:w="2298" w:type="dxa"/>
          </w:tcPr>
          <w:p w14:paraId="247082D7">
            <w:pPr>
              <w:spacing w:before="120" w:after="120"/>
              <w:jc w:val="both"/>
              <w:rPr>
                <w:rFonts w:hint="default" w:ascii="Times New Roman" w:hAnsi="Times New Roman" w:eastAsia="宋体" w:cs="Times New Roman"/>
                <w:b/>
                <w:lang w:val="en-US" w:eastAsia="zh-CN"/>
              </w:rPr>
            </w:pPr>
            <w:r>
              <w:rPr>
                <w:rFonts w:hint="eastAsia" w:ascii="Times New Roman" w:hAnsi="Times New Roman" w:eastAsia="宋体" w:cs="Times New Roman"/>
                <w:b/>
                <w:lang w:val="en-US" w:eastAsia="zh-CN"/>
              </w:rPr>
              <w:t>2405907</w:t>
            </w:r>
          </w:p>
        </w:tc>
      </w:tr>
      <w:tr w14:paraId="749F54BC">
        <w:trPr>
          <w:trHeight w:val="580" w:hRule="atLeast"/>
        </w:trPr>
        <w:tc>
          <w:tcPr>
            <w:tcW w:w="2586" w:type="dxa"/>
            <w:shd w:val="pct15" w:color="auto" w:fill="auto"/>
          </w:tcPr>
          <w:p w14:paraId="60AA6BD7">
            <w:pPr>
              <w:spacing w:before="120" w:after="120"/>
              <w:jc w:val="both"/>
              <w:rPr>
                <w:rFonts w:hint="default" w:ascii="Times New Roman" w:hAnsi="Times New Roman" w:cs="Times New Roman"/>
                <w:b/>
              </w:rPr>
            </w:pPr>
            <w:r>
              <w:rPr>
                <w:rFonts w:hint="default" w:ascii="Times New Roman" w:hAnsi="Times New Roman" w:cs="Times New Roman"/>
                <w:b/>
              </w:rPr>
              <w:t>Programme:</w:t>
            </w:r>
          </w:p>
        </w:tc>
        <w:tc>
          <w:tcPr>
            <w:tcW w:w="7933" w:type="dxa"/>
            <w:gridSpan w:val="3"/>
          </w:tcPr>
          <w:p w14:paraId="39EF0B3F">
            <w:pPr>
              <w:spacing w:before="120" w:after="120"/>
              <w:jc w:val="both"/>
              <w:rPr>
                <w:rFonts w:hint="default" w:ascii="Times New Roman" w:hAnsi="Times New Roman" w:cs="Times New Roman"/>
                <w:b/>
              </w:rPr>
            </w:pPr>
            <w:r>
              <w:rPr>
                <w:rFonts w:hint="default" w:ascii="Times New Roman" w:hAnsi="Times New Roman" w:cs="Times New Roman"/>
                <w:b/>
              </w:rPr>
              <w:t xml:space="preserve">Business Management </w:t>
            </w:r>
          </w:p>
        </w:tc>
      </w:tr>
      <w:tr w14:paraId="34E12DC8">
        <w:trPr>
          <w:trHeight w:val="580" w:hRule="atLeast"/>
        </w:trPr>
        <w:tc>
          <w:tcPr>
            <w:tcW w:w="2586" w:type="dxa"/>
            <w:shd w:val="pct15" w:color="auto" w:fill="auto"/>
          </w:tcPr>
          <w:p w14:paraId="3B4A92DD">
            <w:pPr>
              <w:spacing w:before="120" w:after="120"/>
              <w:jc w:val="both"/>
              <w:rPr>
                <w:rFonts w:hint="default" w:ascii="Times New Roman" w:hAnsi="Times New Roman" w:cs="Times New Roman"/>
                <w:b/>
              </w:rPr>
            </w:pPr>
            <w:r>
              <w:rPr>
                <w:rFonts w:hint="default" w:ascii="Times New Roman" w:hAnsi="Times New Roman" w:cs="Times New Roman"/>
                <w:b/>
              </w:rPr>
              <w:t>Module:</w:t>
            </w:r>
          </w:p>
        </w:tc>
        <w:tc>
          <w:tcPr>
            <w:tcW w:w="7933" w:type="dxa"/>
            <w:gridSpan w:val="3"/>
            <w:shd w:val="clear" w:color="auto" w:fill="auto"/>
          </w:tcPr>
          <w:p w14:paraId="28ECE8D2">
            <w:pPr>
              <w:spacing w:before="120" w:after="120"/>
              <w:jc w:val="both"/>
              <w:rPr>
                <w:rFonts w:hint="default" w:ascii="Times New Roman" w:hAnsi="Times New Roman" w:cs="Times New Roman"/>
                <w:b/>
              </w:rPr>
            </w:pPr>
            <w:r>
              <w:rPr>
                <w:rFonts w:hint="default" w:ascii="Times New Roman" w:hAnsi="Times New Roman" w:cs="Times New Roman"/>
                <w:b/>
              </w:rPr>
              <w:t xml:space="preserve">Contemporary Issues in Management </w:t>
            </w:r>
          </w:p>
        </w:tc>
      </w:tr>
      <w:tr w14:paraId="60449743">
        <w:trPr>
          <w:trHeight w:val="2096" w:hRule="atLeast"/>
        </w:trPr>
        <w:tc>
          <w:tcPr>
            <w:tcW w:w="2586" w:type="dxa"/>
            <w:shd w:val="pct15" w:color="auto" w:fill="auto"/>
          </w:tcPr>
          <w:p w14:paraId="7B8853AE">
            <w:pPr>
              <w:spacing w:before="120" w:after="120"/>
              <w:jc w:val="both"/>
              <w:rPr>
                <w:rFonts w:hint="default" w:ascii="Times New Roman" w:hAnsi="Times New Roman" w:cs="Times New Roman"/>
                <w:b/>
              </w:rPr>
            </w:pPr>
            <w:r>
              <w:rPr>
                <w:rFonts w:hint="default" w:ascii="Times New Roman" w:hAnsi="Times New Roman" w:cs="Times New Roman"/>
                <w:b/>
              </w:rPr>
              <w:t>Module code:</w:t>
            </w:r>
          </w:p>
        </w:tc>
        <w:tc>
          <w:tcPr>
            <w:tcW w:w="3337" w:type="dxa"/>
          </w:tcPr>
          <w:p w14:paraId="03814B69">
            <w:pPr>
              <w:spacing w:before="120" w:after="120"/>
              <w:jc w:val="both"/>
              <w:rPr>
                <w:rFonts w:hint="default" w:ascii="Times New Roman" w:hAnsi="Times New Roman" w:cs="Times New Roman"/>
                <w:b/>
              </w:rPr>
            </w:pPr>
            <w:r>
              <w:rPr>
                <w:rFonts w:hint="default" w:ascii="Times New Roman" w:hAnsi="Times New Roman" w:cs="Times New Roman"/>
                <w:b/>
              </w:rPr>
              <w:t>BMBM6003</w:t>
            </w:r>
          </w:p>
        </w:tc>
        <w:tc>
          <w:tcPr>
            <w:tcW w:w="2298" w:type="dxa"/>
            <w:shd w:val="clear" w:color="auto" w:fill="D9D9D9"/>
          </w:tcPr>
          <w:p w14:paraId="262E97B6">
            <w:pPr>
              <w:pStyle w:val="3"/>
              <w:rPr>
                <w:rFonts w:hint="default" w:ascii="Times New Roman" w:hAnsi="Times New Roman" w:cs="Times New Roman"/>
                <w:b/>
                <w:bCs/>
                <w:sz w:val="22"/>
                <w:szCs w:val="22"/>
              </w:rPr>
            </w:pPr>
            <w:r>
              <w:rPr>
                <w:rFonts w:hint="default" w:ascii="Times New Roman" w:hAnsi="Times New Roman" w:cs="Times New Roman"/>
                <w:b/>
                <w:bCs/>
                <w:color w:val="auto"/>
                <w:sz w:val="22"/>
                <w:szCs w:val="22"/>
              </w:rPr>
              <w:t>Contribution to Overall Module Assessment (%):</w:t>
            </w:r>
          </w:p>
        </w:tc>
        <w:tc>
          <w:tcPr>
            <w:tcW w:w="2298" w:type="dxa"/>
          </w:tcPr>
          <w:p w14:paraId="037717C9">
            <w:pPr>
              <w:spacing w:before="120" w:after="120"/>
              <w:jc w:val="both"/>
              <w:rPr>
                <w:rFonts w:hint="default" w:ascii="Times New Roman" w:hAnsi="Times New Roman" w:cs="Times New Roman"/>
                <w:b/>
              </w:rPr>
            </w:pPr>
            <w:r>
              <w:rPr>
                <w:rFonts w:hint="default" w:ascii="Times New Roman" w:hAnsi="Times New Roman" w:cs="Times New Roman"/>
                <w:b/>
              </w:rPr>
              <w:t>50%</w:t>
            </w:r>
          </w:p>
        </w:tc>
      </w:tr>
      <w:tr w14:paraId="176011EC">
        <w:trPr>
          <w:trHeight w:val="580" w:hRule="atLeast"/>
        </w:trPr>
        <w:tc>
          <w:tcPr>
            <w:tcW w:w="2586" w:type="dxa"/>
            <w:shd w:val="pct15" w:color="auto" w:fill="auto"/>
          </w:tcPr>
          <w:p w14:paraId="57B00091">
            <w:pPr>
              <w:spacing w:before="120" w:after="120"/>
              <w:jc w:val="both"/>
              <w:rPr>
                <w:rFonts w:hint="default" w:ascii="Times New Roman" w:hAnsi="Times New Roman" w:cs="Times New Roman"/>
                <w:b/>
              </w:rPr>
            </w:pPr>
            <w:r>
              <w:rPr>
                <w:rFonts w:hint="default" w:ascii="Times New Roman" w:hAnsi="Times New Roman" w:cs="Times New Roman"/>
                <w:b/>
              </w:rPr>
              <w:t>Lecturer:</w:t>
            </w:r>
          </w:p>
        </w:tc>
        <w:tc>
          <w:tcPr>
            <w:tcW w:w="3337" w:type="dxa"/>
          </w:tcPr>
          <w:p w14:paraId="20D419EC">
            <w:pPr>
              <w:spacing w:before="120" w:after="120"/>
              <w:jc w:val="both"/>
              <w:rPr>
                <w:rFonts w:hint="default" w:ascii="Times New Roman" w:hAnsi="Times New Roman" w:cs="Times New Roman"/>
                <w:b/>
              </w:rPr>
            </w:pPr>
            <w:r>
              <w:rPr>
                <w:rFonts w:hint="default" w:ascii="Times New Roman" w:hAnsi="Times New Roman" w:cs="Times New Roman"/>
                <w:b/>
              </w:rPr>
              <w:t xml:space="preserve">Helen Evans  </w:t>
            </w:r>
          </w:p>
        </w:tc>
        <w:tc>
          <w:tcPr>
            <w:tcW w:w="2298" w:type="dxa"/>
            <w:shd w:val="clear" w:color="auto" w:fill="D9D9D9"/>
          </w:tcPr>
          <w:p w14:paraId="56898540">
            <w:pPr>
              <w:spacing w:before="120" w:after="120"/>
              <w:jc w:val="both"/>
              <w:rPr>
                <w:rFonts w:hint="default" w:ascii="Times New Roman" w:hAnsi="Times New Roman" w:cs="Times New Roman"/>
                <w:b/>
              </w:rPr>
            </w:pPr>
            <w:r>
              <w:rPr>
                <w:rFonts w:hint="default" w:ascii="Times New Roman" w:hAnsi="Times New Roman" w:cs="Times New Roman"/>
                <w:b/>
              </w:rPr>
              <w:t>Internal Verifier:</w:t>
            </w:r>
          </w:p>
        </w:tc>
        <w:tc>
          <w:tcPr>
            <w:tcW w:w="2298" w:type="dxa"/>
          </w:tcPr>
          <w:p w14:paraId="630121E2">
            <w:pPr>
              <w:spacing w:before="120" w:after="120"/>
              <w:jc w:val="both"/>
              <w:rPr>
                <w:rFonts w:hint="default" w:ascii="Times New Roman" w:hAnsi="Times New Roman" w:cs="Times New Roman"/>
                <w:b/>
              </w:rPr>
            </w:pPr>
          </w:p>
        </w:tc>
      </w:tr>
      <w:tr w14:paraId="699376D2">
        <w:trPr>
          <w:trHeight w:val="907" w:hRule="atLeast"/>
        </w:trPr>
        <w:tc>
          <w:tcPr>
            <w:tcW w:w="2586" w:type="dxa"/>
            <w:shd w:val="pct15" w:color="auto" w:fill="auto"/>
          </w:tcPr>
          <w:p w14:paraId="5589CFBC">
            <w:pPr>
              <w:spacing w:before="120" w:after="120"/>
              <w:jc w:val="both"/>
              <w:rPr>
                <w:rFonts w:hint="default" w:ascii="Times New Roman" w:hAnsi="Times New Roman" w:cs="Times New Roman"/>
                <w:b/>
              </w:rPr>
            </w:pPr>
            <w:r>
              <w:rPr>
                <w:rFonts w:hint="default" w:ascii="Times New Roman" w:hAnsi="Times New Roman" w:cs="Times New Roman"/>
                <w:b/>
              </w:rPr>
              <w:t>Assignment Title:</w:t>
            </w:r>
          </w:p>
        </w:tc>
        <w:tc>
          <w:tcPr>
            <w:tcW w:w="3337" w:type="dxa"/>
          </w:tcPr>
          <w:p w14:paraId="4819D71A">
            <w:pPr>
              <w:spacing w:before="120" w:after="120"/>
              <w:jc w:val="both"/>
              <w:rPr>
                <w:rFonts w:hint="default" w:ascii="Times New Roman" w:hAnsi="Times New Roman" w:cs="Times New Roman"/>
                <w:b/>
              </w:rPr>
            </w:pPr>
            <w:bookmarkStart w:id="0" w:name="_Hlk48636561"/>
            <w:r>
              <w:rPr>
                <w:rFonts w:hint="default" w:ascii="Times New Roman" w:hAnsi="Times New Roman" w:cs="Times New Roman"/>
                <w:b/>
              </w:rPr>
              <w:t>Challenges Facing Managers in the Modern Organisation</w:t>
            </w:r>
            <w:bookmarkEnd w:id="0"/>
          </w:p>
        </w:tc>
        <w:tc>
          <w:tcPr>
            <w:tcW w:w="2298" w:type="dxa"/>
            <w:shd w:val="pct15" w:color="auto" w:fill="auto"/>
          </w:tcPr>
          <w:p w14:paraId="30726571">
            <w:pPr>
              <w:spacing w:before="120" w:after="120"/>
              <w:jc w:val="both"/>
              <w:rPr>
                <w:rFonts w:hint="default" w:ascii="Times New Roman" w:hAnsi="Times New Roman" w:cs="Times New Roman"/>
                <w:b/>
              </w:rPr>
            </w:pPr>
            <w:r>
              <w:rPr>
                <w:rFonts w:hint="default" w:ascii="Times New Roman" w:hAnsi="Times New Roman" w:cs="Times New Roman"/>
                <w:b/>
              </w:rPr>
              <w:t>Word count (or equivalent):</w:t>
            </w:r>
          </w:p>
        </w:tc>
        <w:tc>
          <w:tcPr>
            <w:tcW w:w="2298" w:type="dxa"/>
          </w:tcPr>
          <w:p w14:paraId="25F0EFBF">
            <w:pPr>
              <w:spacing w:before="120" w:after="120"/>
              <w:rPr>
                <w:rFonts w:hint="default" w:ascii="Times New Roman" w:hAnsi="Times New Roman" w:cs="Times New Roman"/>
                <w:b/>
              </w:rPr>
            </w:pPr>
            <w:r>
              <w:rPr>
                <w:rFonts w:hint="default" w:ascii="Times New Roman" w:hAnsi="Times New Roman" w:cs="Times New Roman"/>
                <w:b/>
              </w:rPr>
              <w:t xml:space="preserve">15-minute Presentation </w:t>
            </w:r>
          </w:p>
        </w:tc>
      </w:tr>
      <w:tr w14:paraId="2FDCC611">
        <w:trPr>
          <w:trHeight w:val="1234" w:hRule="atLeast"/>
        </w:trPr>
        <w:tc>
          <w:tcPr>
            <w:tcW w:w="2586" w:type="dxa"/>
            <w:shd w:val="pct15" w:color="auto" w:fill="auto"/>
          </w:tcPr>
          <w:p w14:paraId="23E75F23">
            <w:pPr>
              <w:spacing w:before="120" w:after="120"/>
              <w:jc w:val="both"/>
              <w:rPr>
                <w:rFonts w:hint="default" w:ascii="Times New Roman" w:hAnsi="Times New Roman" w:cs="Times New Roman"/>
                <w:b/>
              </w:rPr>
            </w:pPr>
            <w:r>
              <w:rPr>
                <w:rFonts w:hint="default" w:ascii="Times New Roman" w:hAnsi="Times New Roman" w:cs="Times New Roman"/>
                <w:b/>
              </w:rPr>
              <w:t>Submission deadline:</w:t>
            </w:r>
          </w:p>
        </w:tc>
        <w:tc>
          <w:tcPr>
            <w:tcW w:w="3337" w:type="dxa"/>
            <w:shd w:val="clear" w:color="auto" w:fill="auto"/>
          </w:tcPr>
          <w:p w14:paraId="6A5789B0">
            <w:pPr>
              <w:spacing w:before="120" w:after="120"/>
              <w:jc w:val="both"/>
              <w:rPr>
                <w:rFonts w:hint="default" w:ascii="Times New Roman" w:hAnsi="Times New Roman" w:cs="Times New Roman"/>
                <w:b/>
              </w:rPr>
            </w:pPr>
            <w:r>
              <w:rPr>
                <w:rFonts w:hint="default" w:ascii="Times New Roman" w:hAnsi="Times New Roman" w:cs="Times New Roman"/>
                <w:b/>
              </w:rPr>
              <w:t>16/01/2025</w:t>
            </w:r>
          </w:p>
        </w:tc>
        <w:tc>
          <w:tcPr>
            <w:tcW w:w="2298" w:type="dxa"/>
            <w:shd w:val="pct15" w:color="auto" w:fill="auto"/>
          </w:tcPr>
          <w:p w14:paraId="009DA953">
            <w:pPr>
              <w:spacing w:before="120" w:after="120"/>
              <w:jc w:val="both"/>
              <w:rPr>
                <w:rFonts w:hint="default" w:ascii="Times New Roman" w:hAnsi="Times New Roman" w:cs="Times New Roman"/>
                <w:b/>
              </w:rPr>
            </w:pPr>
            <w:r>
              <w:rPr>
                <w:rFonts w:hint="default" w:ascii="Times New Roman" w:hAnsi="Times New Roman" w:cs="Times New Roman"/>
                <w:b/>
              </w:rPr>
              <w:t>Return date of provisional marks &amp; written feedback:</w:t>
            </w:r>
          </w:p>
        </w:tc>
        <w:tc>
          <w:tcPr>
            <w:tcW w:w="2298" w:type="dxa"/>
          </w:tcPr>
          <w:p w14:paraId="7058A17B">
            <w:pPr>
              <w:spacing w:before="120" w:after="120"/>
              <w:jc w:val="both"/>
              <w:rPr>
                <w:rFonts w:hint="default" w:ascii="Times New Roman" w:hAnsi="Times New Roman" w:cs="Times New Roman"/>
                <w:b/>
              </w:rPr>
            </w:pPr>
            <w:r>
              <w:rPr>
                <w:rFonts w:hint="default" w:ascii="Times New Roman" w:hAnsi="Times New Roman" w:cs="Times New Roman"/>
                <w:b/>
              </w:rPr>
              <w:t>13/02/2024</w:t>
            </w:r>
          </w:p>
        </w:tc>
      </w:tr>
      <w:tr w14:paraId="5995F13A">
        <w:trPr>
          <w:trHeight w:val="3369" w:hRule="atLeast"/>
        </w:trPr>
        <w:tc>
          <w:tcPr>
            <w:tcW w:w="2586" w:type="dxa"/>
            <w:shd w:val="pct15" w:color="auto" w:fill="auto"/>
          </w:tcPr>
          <w:p w14:paraId="41F2E73C">
            <w:pPr>
              <w:spacing w:before="120" w:after="120"/>
              <w:jc w:val="both"/>
              <w:rPr>
                <w:rFonts w:hint="default" w:ascii="Times New Roman" w:hAnsi="Times New Roman" w:cs="Times New Roman"/>
                <w:b/>
              </w:rPr>
            </w:pPr>
            <w:r>
              <w:rPr>
                <w:rFonts w:hint="default" w:ascii="Times New Roman" w:hAnsi="Times New Roman" w:cs="Times New Roman"/>
                <w:b/>
              </w:rPr>
              <w:t>Submission method:</w:t>
            </w:r>
          </w:p>
        </w:tc>
        <w:tc>
          <w:tcPr>
            <w:tcW w:w="7933" w:type="dxa"/>
            <w:gridSpan w:val="3"/>
            <w:shd w:val="clear" w:color="auto" w:fill="auto"/>
          </w:tcPr>
          <w:p w14:paraId="6958C41D">
            <w:pPr>
              <w:rPr>
                <w:rFonts w:hint="default" w:ascii="Times New Roman" w:hAnsi="Times New Roman" w:cs="Times New Roman"/>
              </w:rPr>
            </w:pPr>
            <w:r>
              <w:rPr>
                <w:rFonts w:hint="default"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16091">
            <w:pPr>
              <w:spacing w:before="120" w:after="120"/>
              <w:jc w:val="both"/>
              <w:rPr>
                <w:rFonts w:hint="default" w:ascii="Times New Roman" w:hAnsi="Times New Roman" w:cs="Times New Roman"/>
                <w:b/>
              </w:rPr>
            </w:pPr>
            <w:r>
              <w:rPr>
                <w:rFonts w:hint="default" w:ascii="Times New Roman" w:hAnsi="Times New Roman" w:cs="Times New Roman"/>
                <w:b/>
              </w:rPr>
              <w:t xml:space="preserve">Alternative submission method (if applicable): </w:t>
            </w:r>
          </w:p>
          <w:p w14:paraId="7AB98D5F">
            <w:pPr>
              <w:spacing w:before="120" w:after="120"/>
              <w:jc w:val="both"/>
              <w:rPr>
                <w:rFonts w:hint="default" w:ascii="Times New Roman" w:hAnsi="Times New Roman" w:cs="Times New Roman"/>
                <w:b/>
              </w:rPr>
            </w:pPr>
            <w:r>
              <w:rPr>
                <w:rFonts w:hint="default" w:ascii="Times New Roman" w:hAnsi="Times New Roman" w:cs="Times New Roman"/>
                <w:b/>
              </w:rPr>
              <w:t xml:space="preserve">Late submission of the assessment will result in a late penalty mark.  </w:t>
            </w:r>
            <w:r>
              <w:rPr>
                <w:rFonts w:hint="default" w:ascii="Times New Roman" w:hAnsi="Times New Roman" w:cs="Times New Roman"/>
              </w:rPr>
              <w:t>Penalties for late submission: Up to one week late, maximum mark of 40%.  Over one week late, 0%.  Only the Extenuating Circumstances Panel may approve a change to submission dates.</w:t>
            </w:r>
          </w:p>
        </w:tc>
      </w:tr>
      <w:tr w14:paraId="2AB36F55">
        <w:trPr>
          <w:trHeight w:val="1564" w:hRule="atLeast"/>
        </w:trPr>
        <w:tc>
          <w:tcPr>
            <w:tcW w:w="2586" w:type="dxa"/>
            <w:shd w:val="pct15" w:color="auto" w:fill="auto"/>
          </w:tcPr>
          <w:p w14:paraId="4DFBCCE3">
            <w:pPr>
              <w:spacing w:before="120" w:after="120"/>
              <w:rPr>
                <w:rFonts w:hint="default" w:ascii="Times New Roman" w:hAnsi="Times New Roman" w:cs="Times New Roman"/>
                <w:b/>
              </w:rPr>
            </w:pPr>
            <w:r>
              <w:rPr>
                <w:rFonts w:hint="default" w:ascii="Times New Roman" w:hAnsi="Times New Roman" w:cs="Times New Roman"/>
                <w:b/>
              </w:rPr>
              <w:t>Academic honesty / referencing:</w:t>
            </w:r>
          </w:p>
        </w:tc>
        <w:tc>
          <w:tcPr>
            <w:tcW w:w="7933" w:type="dxa"/>
            <w:gridSpan w:val="3"/>
            <w:shd w:val="clear" w:color="auto" w:fill="auto"/>
          </w:tcPr>
          <w:p w14:paraId="7E9EA82C">
            <w:pPr>
              <w:spacing w:before="120" w:after="120"/>
              <w:jc w:val="both"/>
              <w:rPr>
                <w:rFonts w:hint="default" w:ascii="Times New Roman" w:hAnsi="Times New Roman" w:cs="Times New Roman"/>
              </w:rPr>
            </w:pPr>
            <w:r>
              <w:rPr>
                <w:rFonts w:hint="default" w:ascii="Times New Roman" w:hAnsi="Times New Roman"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14:paraId="30670D35">
        <w:trPr>
          <w:trHeight w:val="791" w:hRule="atLeast"/>
        </w:trPr>
        <w:tc>
          <w:tcPr>
            <w:tcW w:w="10519" w:type="dxa"/>
            <w:gridSpan w:val="4"/>
            <w:shd w:val="pct15" w:color="auto" w:fill="auto"/>
          </w:tcPr>
          <w:p w14:paraId="623E5320">
            <w:pPr>
              <w:spacing w:after="0"/>
              <w:rPr>
                <w:rFonts w:hint="default" w:ascii="Times New Roman" w:hAnsi="Times New Roman" w:cs="Times New Roman"/>
                <w:b/>
              </w:rPr>
            </w:pPr>
            <w:r>
              <w:rPr>
                <w:rFonts w:hint="default" w:ascii="Times New Roman" w:hAnsi="Times New Roman" w:cs="Times New Roman"/>
                <w:b/>
              </w:rPr>
              <w:t xml:space="preserve">Module Learning Outcomes </w:t>
            </w:r>
          </w:p>
          <w:p w14:paraId="208F09E8">
            <w:pPr>
              <w:spacing w:before="120" w:after="0"/>
              <w:jc w:val="both"/>
              <w:rPr>
                <w:rFonts w:hint="default" w:ascii="Times New Roman" w:hAnsi="Times New Roman" w:cs="Times New Roman"/>
              </w:rPr>
            </w:pPr>
            <w:r>
              <w:rPr>
                <w:rFonts w:hint="default" w:ascii="Times New Roman" w:hAnsi="Times New Roman" w:cs="Times New Roman"/>
                <w:b/>
              </w:rPr>
              <w:t>(from module syllabus)</w:t>
            </w:r>
          </w:p>
        </w:tc>
      </w:tr>
      <w:tr w14:paraId="3A021809">
        <w:trPr>
          <w:trHeight w:val="1555" w:hRule="atLeast"/>
        </w:trPr>
        <w:tc>
          <w:tcPr>
            <w:tcW w:w="10519" w:type="dxa"/>
            <w:gridSpan w:val="4"/>
            <w:shd w:val="clear" w:color="auto" w:fill="FFFFFF" w:themeFill="background1"/>
          </w:tcPr>
          <w:p w14:paraId="757B65FD">
            <w:pPr>
              <w:shd w:val="clear" w:color="auto" w:fill="FFFFFF"/>
              <w:spacing w:after="0" w:line="240" w:lineRule="auto"/>
              <w:jc w:val="both"/>
              <w:textAlignment w:val="baseline"/>
              <w:rPr>
                <w:rFonts w:hint="default" w:ascii="Times New Roman" w:hAnsi="Times New Roman" w:eastAsia="Times New Roman" w:cs="Times New Roman"/>
                <w:color w:val="201F1E"/>
                <w:lang w:eastAsia="en-GB"/>
              </w:rPr>
            </w:pPr>
            <w:r>
              <w:rPr>
                <w:rFonts w:hint="default" w:ascii="Times New Roman" w:hAnsi="Times New Roman" w:eastAsia="Times New Roman" w:cs="Times New Roman"/>
                <w:color w:val="201F1E"/>
                <w:lang w:eastAsia="en-GB"/>
              </w:rPr>
              <w:t>Upon the successful completion of this assessment, the student should be able to demonstrate the ability to:</w:t>
            </w:r>
          </w:p>
          <w:p w14:paraId="657147D6">
            <w:pPr>
              <w:pStyle w:val="8"/>
              <w:shd w:val="clear" w:color="auto" w:fill="FFFFFF"/>
              <w:spacing w:after="0" w:line="240" w:lineRule="auto"/>
              <w:ind w:left="0" w:leftChars="0" w:firstLine="0" w:firstLineChars="0"/>
              <w:textAlignment w:val="baseline"/>
              <w:rPr>
                <w:rFonts w:hint="default" w:ascii="Times New Roman" w:hAnsi="Times New Roman" w:cs="Times New Roman"/>
                <w:b/>
              </w:rPr>
            </w:pPr>
            <w:r>
              <w:rPr>
                <w:rFonts w:hint="default" w:ascii="Times New Roman" w:hAnsi="Times New Roman" w:eastAsia="Times New Roman" w:cs="Times New Roman"/>
                <w:color w:val="201F1E"/>
                <w:lang w:eastAsia="en-GB"/>
              </w:rPr>
              <w:t>Analyse problems arising in a select number of contemporary management/organisational topics and themes including, but not limited to, bureaucracy and post bureaucracy, scientific management, team working, and ethical decision making and argue coherently for acceptable solutions.</w:t>
            </w:r>
          </w:p>
        </w:tc>
      </w:tr>
    </w:tbl>
    <w:p w14:paraId="206B11E3">
      <w:pPr>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Link to presentation:</w:t>
      </w:r>
    </w:p>
    <w:p w14:paraId="7CE1E166">
      <w:pPr>
        <w:keepNext w:val="0"/>
        <w:keepLines w:val="0"/>
        <w:widowControl/>
        <w:suppressLineNumbers w:val="0"/>
        <w:jc w:val="left"/>
      </w:pPr>
      <w:r>
        <w:rPr>
          <w:rFonts w:ascii="宋体" w:hAnsi="宋体" w:eastAsia="宋体" w:cs="宋体"/>
          <w:spacing w:val="0"/>
          <w:kern w:val="0"/>
          <w:position w:val="0"/>
          <w:sz w:val="24"/>
          <w:szCs w:val="24"/>
          <w:u w:val="none" w:color="FF0000"/>
          <w:lang w:val="en-US" w:eastAsia="zh-CN" w:bidi="ar"/>
        </w:rPr>
        <w:fldChar w:fldCharType="begin"/>
      </w:r>
      <w:r>
        <w:rPr>
          <w:rFonts w:ascii="宋体" w:hAnsi="宋体" w:eastAsia="宋体" w:cs="宋体"/>
          <w:spacing w:val="0"/>
          <w:kern w:val="0"/>
          <w:position w:val="0"/>
          <w:sz w:val="24"/>
          <w:szCs w:val="24"/>
          <w:u w:val="none" w:color="FF0000"/>
          <w:lang w:val="en-US" w:eastAsia="zh-CN" w:bidi="ar"/>
        </w:rPr>
        <w:instrText xml:space="preserve"> HYPERLINK "https://uowtsd-my.sharepoint.com/:v:/g/personal/2405907_student_uwtsd_ac_uk/EecA3Em5U9FOla2PFtZpygIBfC8WdIRoNse5d5RDm1pl0A?e=lnQO8m&amp;nav=eyJyZWZlcnJhbEluZm8iOnsicmVmZXJyYWxBcHAiOiJTdHJlYW1XZWJBcHAiLCJyZWZlcnJhbFZpZXciOiJTaGFyZURpYWxvZy1MaW5rIiwicmVmZXJyYWxBcHBQbGF0Zm9ybSI6IldlYiIsInJlZmVycmFsTW9kZSI6InZpZXcifX0=" </w:instrText>
      </w:r>
      <w:r>
        <w:rPr>
          <w:rFonts w:ascii="宋体" w:hAnsi="宋体" w:eastAsia="宋体" w:cs="宋体"/>
          <w:spacing w:val="0"/>
          <w:kern w:val="0"/>
          <w:position w:val="0"/>
          <w:sz w:val="24"/>
          <w:szCs w:val="24"/>
          <w:u w:val="none" w:color="FF0000"/>
          <w:lang w:val="en-US" w:eastAsia="zh-CN" w:bidi="ar"/>
        </w:rPr>
        <w:fldChar w:fldCharType="separate"/>
      </w:r>
      <w:r>
        <w:rPr>
          <w:rStyle w:val="7"/>
          <w:rFonts w:ascii="宋体" w:hAnsi="宋体" w:eastAsia="宋体" w:cs="宋体"/>
          <w:sz w:val="24"/>
          <w:szCs w:val="24"/>
        </w:rPr>
        <w:t>CIM A2.mp4</w:t>
      </w:r>
      <w:r>
        <w:rPr>
          <w:rFonts w:ascii="宋体" w:hAnsi="宋体" w:eastAsia="宋体" w:cs="宋体"/>
          <w:spacing w:val="0"/>
          <w:kern w:val="0"/>
          <w:position w:val="0"/>
          <w:sz w:val="24"/>
          <w:szCs w:val="24"/>
          <w:u w:val="none" w:color="FF0000"/>
          <w:lang w:val="en-US" w:eastAsia="zh-CN" w:bidi="ar"/>
        </w:rPr>
        <w:fldChar w:fldCharType="end"/>
      </w:r>
    </w:p>
    <w:p w14:paraId="73AD9DBF"/>
    <w:p w14:paraId="076EDB62">
      <w:pPr>
        <w:pStyle w:val="2"/>
        <w:bidi w:val="0"/>
        <w:rPr>
          <w:rFonts w:hint="default"/>
          <w:sz w:val="28"/>
          <w:szCs w:val="28"/>
          <w:lang w:val="en-US" w:eastAsia="zh-CN"/>
        </w:rPr>
      </w:pPr>
      <w:r>
        <w:rPr>
          <w:rFonts w:hint="eastAsia"/>
          <w:sz w:val="28"/>
          <w:szCs w:val="28"/>
          <w:lang w:val="en-US" w:eastAsia="zh-CN"/>
        </w:rPr>
        <w:t>Handout</w:t>
      </w:r>
    </w:p>
    <w:p w14:paraId="45A67EC2">
      <w:pPr>
        <w:rPr>
          <w:rFonts w:hint="eastAsia"/>
          <w:sz w:val="24"/>
          <w:szCs w:val="24"/>
          <w:highlight w:val="none"/>
          <w:lang w:val="en-US" w:eastAsia="zh-CN"/>
        </w:rPr>
      </w:pPr>
      <w:r>
        <w:rPr>
          <w:rFonts w:hint="eastAsia"/>
          <w:sz w:val="24"/>
          <w:szCs w:val="24"/>
          <w:highlight w:val="none"/>
          <w:lang w:val="en-US" w:eastAsia="zh-CN"/>
        </w:rPr>
        <w:t>First, the introduction. Haidilao is a well-known brand in the hot pot industry, which has been attracting attention with its unique cuisine and excellent service. However, the current market competition is becoming more and more fierce, and its management practice has been put under the spotlight under such an environment. In previous performance meetings, a number of key issues were exposed, such as poor communication, lack of sufficient autonomy for employees, inconsistent management styles and rising employee turnover rates. These problems have seriously affected the performance of the enterprise, the enthusiasm of the staff and the overall operational efficiency. As you can see, in this highly competitive industry, effective management is a key factor for enterprises to maintain advantages, so in-depth analysis and solution of these problems is urgent.</w:t>
      </w:r>
    </w:p>
    <w:p w14:paraId="5DC1F91E">
      <w:pPr>
        <w:rPr>
          <w:rFonts w:hint="eastAsia"/>
          <w:sz w:val="24"/>
          <w:szCs w:val="24"/>
        </w:rPr>
      </w:pPr>
    </w:p>
    <w:p w14:paraId="5C29709C">
      <w:pPr>
        <w:rPr>
          <w:rFonts w:hint="eastAsia"/>
          <w:sz w:val="24"/>
          <w:szCs w:val="24"/>
        </w:rPr>
      </w:pPr>
      <w:r>
        <w:rPr>
          <w:rFonts w:hint="eastAsia"/>
          <w:sz w:val="24"/>
          <w:szCs w:val="24"/>
        </w:rPr>
        <w:t>Next look at the key areas of complaint. In terms of compensation, benefits and promotions, employees generally report that the salary level is not matching their efforts, especially in the context of rising prices and the cost of living, the economic pressure is becoming more prominent. In addition to basic salary, benefits such as social insurance, paid leave and training and development are also unsatisfactory, and promotion channels are vague and opportunities are few, which makes employees see no hope for career development, and work motivation is naturally greatly reduced.</w:t>
      </w:r>
    </w:p>
    <w:p w14:paraId="1B4EB773">
      <w:pPr>
        <w:rPr>
          <w:rFonts w:hint="eastAsia"/>
          <w:sz w:val="24"/>
          <w:szCs w:val="24"/>
        </w:rPr>
      </w:pPr>
    </w:p>
    <w:p w14:paraId="5C7D247C">
      <w:pPr>
        <w:rPr>
          <w:rFonts w:hint="eastAsia"/>
          <w:sz w:val="24"/>
          <w:szCs w:val="24"/>
        </w:rPr>
      </w:pPr>
      <w:r>
        <w:rPr>
          <w:rFonts w:hint="eastAsia"/>
          <w:sz w:val="24"/>
          <w:szCs w:val="24"/>
        </w:rPr>
        <w:t>In terms of working environment and conditions, long working hours and frequent overtime have become the norm, and holidays and peak periods are even more overwhelming. Some stores also have the problem of outdated facilities and shortage of equipment, which seriously affect the work efficiency and comfort of employees. There are also some typical cases where employees have extorted money from the company because their suggestions were adopted but not rewarded, which reflects the loopholes in the management process, and employees' efforts are not respected and rewarded. In addition, the long working hours, extremely high service intensity and serious staff shortage reported by employees also show that Haidilao needs to improve its management.</w:t>
      </w:r>
    </w:p>
    <w:p w14:paraId="2303F92C">
      <w:pPr>
        <w:rPr>
          <w:rFonts w:hint="eastAsia"/>
          <w:sz w:val="24"/>
          <w:szCs w:val="24"/>
          <w:highlight w:val="none"/>
          <w:lang w:val="en-US" w:eastAsia="zh-CN"/>
        </w:rPr>
      </w:pPr>
    </w:p>
    <w:p w14:paraId="11F8AFA0">
      <w:pPr>
        <w:rPr>
          <w:rFonts w:hint="eastAsia"/>
          <w:sz w:val="24"/>
          <w:szCs w:val="24"/>
          <w:highlight w:val="none"/>
          <w:lang w:val="en-US" w:eastAsia="zh-CN"/>
        </w:rPr>
      </w:pPr>
      <w:r>
        <w:rPr>
          <w:rFonts w:hint="eastAsia"/>
          <w:sz w:val="24"/>
          <w:szCs w:val="24"/>
          <w:highlight w:val="none"/>
          <w:lang w:val="en-US" w:eastAsia="zh-CN"/>
        </w:rPr>
        <w:t>From the perspective of strategy and cost management, after the epidemic, Haidilao defied the trend of expansion, although there were results in the initial stage, but with the economic recovery, drawbacks gradually emerged, and strategic adjustment is urgent. At the same time, the insufficient control of cost management in all aspects and the lack of comprehensive consideration of product pricing have a greater negative impact on the overall performance.</w:t>
      </w:r>
    </w:p>
    <w:p w14:paraId="7171B40E">
      <w:pPr>
        <w:rPr>
          <w:rFonts w:hint="eastAsia"/>
          <w:sz w:val="24"/>
          <w:szCs w:val="24"/>
        </w:rPr>
      </w:pPr>
    </w:p>
    <w:p w14:paraId="2A6C1836">
      <w:pPr>
        <w:rPr>
          <w:rFonts w:hint="eastAsia"/>
          <w:sz w:val="24"/>
          <w:szCs w:val="24"/>
        </w:rPr>
      </w:pPr>
      <w:r>
        <w:rPr>
          <w:rFonts w:hint="eastAsia"/>
          <w:sz w:val="24"/>
          <w:szCs w:val="24"/>
        </w:rPr>
        <w:t>Let's talk about the difference between mainstream and critical management theory. Mainstream management theories mainly focus on improving organizational efficiency, productivity and profitability, such as scientific management, administrative theory and contingency theory, etc., are committed to optimizing operations by building structured processes and clarifying hierarchical relationships. This approach has promoted the standardized development of enterprises to a certain extent, but it often puts organizational goals above the individual needs of employees, focuses on empirical data collection and quantitative analysis in research methods, and is easy to form a standardized management model, but ignores the individual differences and unique experiences of employees. Critical management theory, on the other hand, is quite different. It emphasizes ethics, social justice and employees' personal experience in the organization, questions the traditional practices of mainstream theories, advocates participatory management style, encourages employees to actively participate in decision-making, attaches importance to employees' opinions and suggestions, and adopts qualitative research methods. Explore the socio-cultural context and power relations within the organization to create a work environment that respects employee rights and promotes collaboration, thereby enhancing organizational performance.</w:t>
      </w:r>
    </w:p>
    <w:p w14:paraId="713EAC02">
      <w:pPr>
        <w:rPr>
          <w:rFonts w:hint="default"/>
          <w:sz w:val="24"/>
          <w:szCs w:val="24"/>
          <w:lang w:val="en-US"/>
        </w:rPr>
      </w:pPr>
    </w:p>
    <w:p w14:paraId="7842B238">
      <w:pPr>
        <w:rPr>
          <w:rFonts w:hint="eastAsia"/>
          <w:sz w:val="24"/>
          <w:szCs w:val="24"/>
        </w:rPr>
      </w:pPr>
      <w:r>
        <w:rPr>
          <w:rFonts w:hint="default"/>
          <w:sz w:val="24"/>
          <w:szCs w:val="24"/>
          <w:lang w:val="en-US"/>
        </w:rPr>
        <w:t>T</w:t>
      </w:r>
      <w:r>
        <w:rPr>
          <w:rFonts w:hint="eastAsia"/>
          <w:sz w:val="24"/>
          <w:szCs w:val="24"/>
        </w:rPr>
        <w:t>he mainstream theory moulds an efficient, orderly, scale-up culture, a standardized service and operation system, smooth communication, fast decision-making, but stifles innovation.</w:t>
      </w:r>
    </w:p>
    <w:p w14:paraId="0FDAAC95">
      <w:pPr>
        <w:rPr>
          <w:rFonts w:hint="eastAsia"/>
          <w:sz w:val="24"/>
          <w:szCs w:val="24"/>
        </w:rPr>
      </w:pPr>
      <w:r>
        <w:rPr>
          <w:rFonts w:hint="default"/>
          <w:sz w:val="24"/>
          <w:szCs w:val="24"/>
          <w:lang w:val="en-US"/>
        </w:rPr>
        <w:t>C</w:t>
      </w:r>
      <w:r>
        <w:rPr>
          <w:rFonts w:hint="eastAsia"/>
          <w:sz w:val="24"/>
          <w:szCs w:val="24"/>
        </w:rPr>
        <w:t>ritical theory to strengthen employee participation, Haidilao pay attention to the emotional needs of employees, reflect on the power relationship, improve satisfaction, loyalty and innovation, promote sustainable development.</w:t>
      </w:r>
    </w:p>
    <w:p w14:paraId="0ABB1EB5">
      <w:pPr>
        <w:rPr>
          <w:rFonts w:hint="eastAsia"/>
          <w:sz w:val="24"/>
          <w:szCs w:val="24"/>
        </w:rPr>
      </w:pPr>
    </w:p>
    <w:p w14:paraId="6CDA29C9">
      <w:pPr>
        <w:rPr>
          <w:rFonts w:hint="eastAsia"/>
          <w:sz w:val="24"/>
          <w:szCs w:val="24"/>
        </w:rPr>
      </w:pPr>
    </w:p>
    <w:p w14:paraId="49883BD6">
      <w:pPr>
        <w:rPr>
          <w:rFonts w:hint="eastAsia"/>
          <w:sz w:val="24"/>
          <w:szCs w:val="24"/>
        </w:rPr>
      </w:pPr>
      <w:r>
        <w:rPr>
          <w:rFonts w:hint="eastAsia"/>
          <w:sz w:val="24"/>
          <w:szCs w:val="24"/>
        </w:rPr>
        <w:t>Based on the above analysis, we put forward some suggestions for improvement. In terms of communication and employee care, it is necessary to broaden communication channels and hold regular meetings to ensure open and honest dialogue between management and employees, so that employees feel that their voices are heard and valued, reduce misunderstandings, and create a transparent corporate culture. At the same time, we actively promote flexible working hours, provide mental health support and organize team building activities to help employees balance work and life, improve employee morale and job satisfaction. In terms of performance evaluation and training, establish a comprehensive performance evaluation system that promotes continuous improvement and accountability of employees and ensures that employees receive constructive feedback. Set up anonymous feedback channels, such as suggestion boxes or digital platforms, so employees can voice their concerns and suggestions without fear. Managers will also be trained in effective leadership that promotes inclusive, collaborative and ethical decision-making.</w:t>
      </w:r>
    </w:p>
    <w:p w14:paraId="711347EB">
      <w:pPr>
        <w:rPr>
          <w:rFonts w:hint="eastAsia"/>
          <w:sz w:val="24"/>
          <w:szCs w:val="24"/>
        </w:rPr>
      </w:pPr>
    </w:p>
    <w:p w14:paraId="58D2A682">
      <w:pPr>
        <w:rPr>
          <w:rFonts w:hint="eastAsia"/>
          <w:sz w:val="24"/>
          <w:szCs w:val="24"/>
        </w:rPr>
      </w:pPr>
      <w:r>
        <w:rPr>
          <w:rFonts w:hint="eastAsia"/>
          <w:sz w:val="24"/>
          <w:szCs w:val="24"/>
        </w:rPr>
        <w:t>In short, solving the management problems of Haidilao is crucial to stabilize its organizational performance in a highly competitive market. We need to combine the advantages of mainstream and critical management theories to create a corporate culture that focuses on efficiency and fully meets the needs of employees. It is believed that through the implementation of these improvement suggestions, Haidilao can effectively solve the current problems, become a model in the industry in terms of staff management, achieve sustainable development of the enterprise, continue to maintain a leading position in the hot pot industry, provide customers with better service, create a better development space for employees, and set a new benchmark for the industry.</w:t>
      </w:r>
    </w:p>
    <w:p w14:paraId="03DDC7F6"/>
    <w:p w14:paraId="05364BEF">
      <w:pPr>
        <w:pStyle w:val="2"/>
        <w:bidi w:val="0"/>
        <w:rPr>
          <w:rFonts w:hint="eastAsia"/>
          <w:sz w:val="28"/>
          <w:szCs w:val="28"/>
          <w:lang w:val="en-US" w:eastAsia="zh-CN"/>
        </w:rPr>
      </w:pPr>
      <w:r>
        <w:rPr>
          <w:rFonts w:hint="eastAsia"/>
          <w:sz w:val="28"/>
          <w:szCs w:val="28"/>
          <w:lang w:val="en-US" w:eastAsia="zh-CN"/>
        </w:rPr>
        <w:t>References</w:t>
      </w:r>
    </w:p>
    <w:p w14:paraId="5DF1AAE6">
      <w:pPr>
        <w:rPr>
          <w:rFonts w:hint="eastAsia"/>
          <w:lang w:val="en-US" w:eastAsia="zh-CN"/>
        </w:rPr>
      </w:pPr>
    </w:p>
    <w:p w14:paraId="6D121B96">
      <w:pPr>
        <w:rPr>
          <w:rFonts w:hint="default"/>
          <w:lang w:val="en-US" w:eastAsia="zh-CN"/>
        </w:rPr>
      </w:pPr>
      <w:r>
        <w:rPr>
          <w:rFonts w:hint="default"/>
          <w:lang w:val="en-US" w:eastAsia="zh-CN"/>
        </w:rPr>
        <w:t xml:space="preserve">Ashley, L. and Perron, A. (2023). Examining the role of nurse executives in homecare through the lens of the Sociology of Ignorance and Critical Management Studies. Nursing Philosophy. </w:t>
      </w:r>
    </w:p>
    <w:p w14:paraId="6F520E5C">
      <w:pPr>
        <w:rPr>
          <w:rFonts w:hint="default"/>
          <w:lang w:val="en-US" w:eastAsia="zh-CN"/>
        </w:rPr>
      </w:pPr>
    </w:p>
    <w:p w14:paraId="4D2CD4DC">
      <w:pPr>
        <w:rPr>
          <w:rFonts w:hint="default"/>
          <w:lang w:val="en-US" w:eastAsia="zh-CN"/>
        </w:rPr>
      </w:pPr>
      <w:r>
        <w:rPr>
          <w:rFonts w:hint="default"/>
          <w:lang w:val="en-US" w:eastAsia="zh-CN"/>
        </w:rPr>
        <w:t xml:space="preserve">Calarco, R. (2024). Mainstream Humanitarian Organizations Politicizing the Increasingly Restrictive Border Management System. Mobility &amp; Politics, pp.109–142. </w:t>
      </w:r>
    </w:p>
    <w:p w14:paraId="71B81ED7">
      <w:pPr>
        <w:rPr>
          <w:rFonts w:hint="default"/>
          <w:lang w:val="en-US" w:eastAsia="zh-CN"/>
        </w:rPr>
      </w:pPr>
    </w:p>
    <w:p w14:paraId="48206F25">
      <w:pPr>
        <w:rPr>
          <w:rFonts w:hint="default"/>
          <w:lang w:val="en-US" w:eastAsia="zh-CN"/>
        </w:rPr>
      </w:pPr>
      <w:r>
        <w:rPr>
          <w:rFonts w:hint="default"/>
          <w:lang w:val="en-US" w:eastAsia="zh-CN"/>
        </w:rPr>
        <w:t>Ely Laureano Paiva, Alcadipani, R., Alves, K., Larissa Alves Sincorá and Elias, A.A. (2024). Can the supply chain management field be more critical? Building new bridges with critical management studies. Supply Chain Management.</w:t>
      </w:r>
    </w:p>
    <w:p w14:paraId="64056C45">
      <w:pPr>
        <w:rPr>
          <w:rFonts w:hint="default"/>
          <w:lang w:val="en-US" w:eastAsia="zh-CN"/>
        </w:rPr>
      </w:pPr>
    </w:p>
    <w:p w14:paraId="30A59F69">
      <w:pPr>
        <w:rPr>
          <w:rFonts w:hint="default"/>
          <w:lang w:val="en-US" w:eastAsia="zh-CN"/>
        </w:rPr>
      </w:pPr>
      <w:r>
        <w:rPr>
          <w:rFonts w:hint="default"/>
          <w:lang w:val="en-US" w:eastAsia="zh-CN"/>
        </w:rPr>
        <w:t>Feng Cao (2024). Factors Affecting Organizational Commitment in Catering Industry: Haidilao as a Case Study. Journal of Ecohumanism, [online] 3(3), pp.1459–1478.</w:t>
      </w:r>
    </w:p>
    <w:p w14:paraId="50AE8822">
      <w:pPr>
        <w:rPr>
          <w:rFonts w:hint="default"/>
          <w:lang w:val="en-US" w:eastAsia="zh-CN"/>
        </w:rPr>
      </w:pPr>
    </w:p>
    <w:p w14:paraId="234A909B">
      <w:pPr>
        <w:rPr>
          <w:rFonts w:hint="default"/>
          <w:lang w:val="en-US" w:eastAsia="zh-CN"/>
        </w:rPr>
      </w:pPr>
      <w:r>
        <w:rPr>
          <w:rFonts w:hint="default"/>
          <w:lang w:val="en-US" w:eastAsia="zh-CN"/>
        </w:rPr>
        <w:t>Hudon, P.-A. and Rouillard, C. (2015). Critical Management Studies and public administration: Reinterpreting democratic governance using critical theory and poststructuralism. Canadian Public Administration, 58(4), pp.527–548.</w:t>
      </w:r>
    </w:p>
    <w:p w14:paraId="3A853A86">
      <w:pPr>
        <w:rPr>
          <w:rFonts w:hint="default"/>
          <w:lang w:val="en-US" w:eastAsia="zh-CN"/>
        </w:rPr>
      </w:pPr>
    </w:p>
    <w:p w14:paraId="62746B08">
      <w:pPr>
        <w:rPr>
          <w:rFonts w:hint="default"/>
          <w:lang w:val="en-US" w:eastAsia="zh-CN"/>
        </w:rPr>
      </w:pPr>
      <w:r>
        <w:rPr>
          <w:rFonts w:hint="default"/>
          <w:lang w:val="en-US" w:eastAsia="zh-CN"/>
        </w:rPr>
        <w:t xml:space="preserve">Kong, Y. (2024). A Study and Analysis of the Marketing Model of Haidilao, the Effect of Emotional Value on Consumer Willingness. SHS Web of Conferences, [online] 199, pp.03009–03009. </w:t>
      </w:r>
    </w:p>
    <w:p w14:paraId="144B6AA0">
      <w:pPr>
        <w:rPr>
          <w:rFonts w:hint="default"/>
          <w:lang w:val="en-US" w:eastAsia="zh-CN"/>
        </w:rPr>
      </w:pPr>
    </w:p>
    <w:p w14:paraId="37EBB852">
      <w:pPr>
        <w:rPr>
          <w:rFonts w:hint="default"/>
          <w:lang w:val="en-US" w:eastAsia="zh-CN"/>
        </w:rPr>
      </w:pPr>
      <w:r>
        <w:rPr>
          <w:rFonts w:hint="default"/>
          <w:lang w:val="en-US" w:eastAsia="zh-CN"/>
        </w:rPr>
        <w:t xml:space="preserve">Leebaw, D. (2020). Participatory and Ethical Strategic Planning: What Academic Libraries Can Learn from Critical Management Studies. Library Trends, 68(2), pp.110–129. </w:t>
      </w:r>
    </w:p>
    <w:p w14:paraId="238700BC">
      <w:pPr>
        <w:rPr>
          <w:rFonts w:hint="default"/>
          <w:lang w:val="en-US" w:eastAsia="zh-CN"/>
        </w:rPr>
      </w:pPr>
    </w:p>
    <w:p w14:paraId="4D33BB54">
      <w:pPr>
        <w:rPr>
          <w:rFonts w:hint="default"/>
          <w:lang w:val="en-US" w:eastAsia="zh-CN"/>
        </w:rPr>
      </w:pPr>
      <w:r>
        <w:rPr>
          <w:rFonts w:hint="default"/>
          <w:lang w:val="en-US" w:eastAsia="zh-CN"/>
        </w:rPr>
        <w:t xml:space="preserve">Lei Biao and Nuttawut Rojniruttikul (2023). Impact of Digital Technologies, Modern Infrastructure, Self-Service Learning Experience, and Customer Satisfaction at Haidilao Restaurant in China. </w:t>
      </w:r>
    </w:p>
    <w:p w14:paraId="6ECD7431">
      <w:pPr>
        <w:rPr>
          <w:rFonts w:hint="default"/>
          <w:lang w:val="en-US" w:eastAsia="zh-CN"/>
        </w:rPr>
      </w:pPr>
    </w:p>
    <w:p w14:paraId="251A0A39">
      <w:pPr>
        <w:rPr>
          <w:rFonts w:hint="default"/>
          <w:lang w:val="en-US" w:eastAsia="zh-CN"/>
        </w:rPr>
      </w:pPr>
      <w:r>
        <w:rPr>
          <w:rFonts w:hint="default"/>
          <w:lang w:val="en-US" w:eastAsia="zh-CN"/>
        </w:rPr>
        <w:t xml:space="preserve">Liu, Q. (2024). Analysis of the Problems in Cost Management of HN Cafeteria. </w:t>
      </w:r>
    </w:p>
    <w:p w14:paraId="0CDFE8D6">
      <w:pPr>
        <w:rPr>
          <w:rFonts w:hint="default"/>
          <w:lang w:val="en-US" w:eastAsia="zh-CN"/>
        </w:rPr>
      </w:pPr>
    </w:p>
    <w:p w14:paraId="2A4F957B">
      <w:pPr>
        <w:rPr>
          <w:rFonts w:hint="default"/>
          <w:lang w:val="en-US" w:eastAsia="zh-CN"/>
        </w:rPr>
      </w:pPr>
      <w:r>
        <w:rPr>
          <w:rFonts w:hint="default"/>
          <w:lang w:val="en-US" w:eastAsia="zh-CN"/>
        </w:rPr>
        <w:t xml:space="preserve">Ma, L. (2023). Research on Operation Strategy of Catering Industry Under the COVID-19 Epidemic Taking Haidilao as an Example. pp.427–439. </w:t>
      </w:r>
    </w:p>
    <w:p w14:paraId="4C00F896">
      <w:pPr>
        <w:rPr>
          <w:rFonts w:hint="default"/>
          <w:lang w:val="en-US" w:eastAsia="zh-CN"/>
        </w:rPr>
      </w:pPr>
    </w:p>
    <w:p w14:paraId="6901AAE7">
      <w:pPr>
        <w:rPr>
          <w:rFonts w:hint="default"/>
          <w:lang w:val="en-US" w:eastAsia="zh-CN"/>
        </w:rPr>
      </w:pPr>
      <w:r>
        <w:rPr>
          <w:rFonts w:hint="default"/>
          <w:lang w:val="en-US" w:eastAsia="zh-CN"/>
        </w:rPr>
        <w:t>Shu, K. (2023). Strategic Management Analysis of Haidilao. Highlights in Business, Economics and Management, [online] 17(17), pp.414–419.</w:t>
      </w:r>
    </w:p>
    <w:p w14:paraId="2DF80561">
      <w:pPr>
        <w:rPr>
          <w:rFonts w:hint="default"/>
          <w:lang w:val="en-US" w:eastAsia="zh-CN"/>
        </w:rPr>
      </w:pPr>
    </w:p>
    <w:p w14:paraId="22F6F49D">
      <w:pPr>
        <w:rPr>
          <w:rFonts w:hint="default"/>
          <w:lang w:val="en-US" w:eastAsia="zh-CN"/>
        </w:rPr>
      </w:pPr>
      <w:r>
        <w:rPr>
          <w:rFonts w:hint="default"/>
          <w:lang w:val="en-US" w:eastAsia="zh-CN"/>
        </w:rPr>
        <w:t xml:space="preserve">Thayf, H.S., Syamsuddin, M.M. and Supartiningsih, S. (2021). Critical Management Studies: Introducing A New Perspective. International Journal of Creative Business and Management, 1(1), p.38. </w:t>
      </w:r>
    </w:p>
    <w:p w14:paraId="48BD80AE">
      <w:pPr>
        <w:rPr>
          <w:rFonts w:hint="default"/>
          <w:lang w:val="en-US" w:eastAsia="zh-CN"/>
        </w:rPr>
      </w:pPr>
    </w:p>
    <w:p w14:paraId="4460FE41">
      <w:pPr>
        <w:rPr>
          <w:rFonts w:hint="default"/>
          <w:lang w:val="en-US" w:eastAsia="zh-CN"/>
        </w:rPr>
      </w:pPr>
      <w:r>
        <w:rPr>
          <w:rFonts w:hint="default"/>
          <w:lang w:val="en-US" w:eastAsia="zh-CN"/>
        </w:rPr>
        <w:t xml:space="preserve">John P. Dugan (2024). Leadership Theory. [online] Google Books. </w:t>
      </w:r>
    </w:p>
    <w:p w14:paraId="4D2A817D">
      <w:pPr>
        <w:rPr>
          <w:rFonts w:hint="default"/>
          <w:lang w:val="en-US" w:eastAsia="zh-CN"/>
        </w:rPr>
      </w:pPr>
    </w:p>
    <w:p w14:paraId="43047EC3">
      <w:pPr>
        <w:rPr>
          <w:rFonts w:hint="default"/>
          <w:lang w:val="en-US" w:eastAsia="zh-CN"/>
        </w:rPr>
      </w:pPr>
      <w:r>
        <w:rPr>
          <w:rFonts w:hint="default"/>
          <w:lang w:val="en-US" w:eastAsia="zh-CN"/>
        </w:rPr>
        <w:t>Williams, P.D. and McDonald, M. (2023). Security Studies. Taylor &amp; Francis.</w:t>
      </w:r>
    </w:p>
    <w:p w14:paraId="243E0AAA">
      <w:pPr>
        <w:rPr>
          <w:rFonts w:hint="default"/>
          <w:lang w:val="en-US" w:eastAsia="zh-CN"/>
        </w:rPr>
      </w:pPr>
    </w:p>
    <w:p w14:paraId="53E375C5">
      <w:pPr>
        <w:rPr>
          <w:rFonts w:hint="default"/>
          <w:lang w:val="en-US" w:eastAsia="zh-CN"/>
        </w:rPr>
      </w:pPr>
      <w:r>
        <w:rPr>
          <w:rFonts w:hint="default"/>
          <w:lang w:val="en-US" w:eastAsia="zh-CN"/>
        </w:rPr>
        <w:t>Zhou, Y., Li, X. and Yuen, K.F. (2023). Sustainable shipping: A critical review for a unified framework and future research agenda. Marine Policy, 148, p.105478.</w:t>
      </w:r>
    </w:p>
    <w:p w14:paraId="2E3DCCD4">
      <w:pPr>
        <w:rPr>
          <w:rFonts w:hint="default"/>
          <w:lang w:val="en-US" w:eastAsia="zh-CN"/>
        </w:rPr>
      </w:pPr>
    </w:p>
    <w:p w14:paraId="131FAEE8">
      <w:pPr>
        <w:rPr>
          <w:rFonts w:hint="default" w:ascii="Times New Roman" w:hAnsi="Times New Roman" w:eastAsia="宋体" w:cs="Times New Roman"/>
          <w:lang w:val="en-US" w:eastAsia="zh-CN"/>
        </w:rPr>
      </w:pPr>
    </w:p>
    <w:sectPr>
      <w:pgSz w:w="11906" w:h="16838"/>
      <w:pgMar w:top="720" w:right="720" w:bottom="720" w:left="720" w:header="851" w:footer="992" w:gutter="0"/>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
    <w:altName w:val="汉仪楷体KW"/>
    <w:panose1 w:val="02010609060101010101"/>
    <w:charset w:val="86"/>
    <w:family w:val="auto"/>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楷体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0873"/>
    <w:rsid w:val="01053D4B"/>
    <w:rsid w:val="126660CC"/>
    <w:rsid w:val="17A056D1"/>
    <w:rsid w:val="237464B5"/>
    <w:rsid w:val="249158B6"/>
    <w:rsid w:val="3D1D6D77"/>
    <w:rsid w:val="3E741203"/>
    <w:rsid w:val="3F8D6285"/>
    <w:rsid w:val="418B58D5"/>
    <w:rsid w:val="503C4BA3"/>
    <w:rsid w:val="5715646F"/>
    <w:rsid w:val="5A86312A"/>
    <w:rsid w:val="5AAA3FEA"/>
    <w:rsid w:val="5F7858AF"/>
    <w:rsid w:val="61F516C6"/>
    <w:rsid w:val="624B68DE"/>
    <w:rsid w:val="63647537"/>
    <w:rsid w:val="7F6352A3"/>
    <w:rsid w:val="F67FE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楷体"/>
      <w:b/>
      <w:sz w:val="32"/>
    </w:rPr>
  </w:style>
  <w:style w:type="paragraph" w:styleId="4">
    <w:name w:val="heading 4"/>
    <w:basedOn w:val="1"/>
    <w:next w:val="1"/>
    <w:qFormat/>
    <w:uiPriority w:val="0"/>
    <w:pPr>
      <w:keepNext/>
      <w:spacing w:before="120" w:after="120" w:line="240" w:lineRule="auto"/>
      <w:jc w:val="center"/>
      <w:outlineLvl w:val="3"/>
    </w:pPr>
    <w:rPr>
      <w:rFonts w:ascii="Times New Roman" w:hAnsi="Times New Roman" w:eastAsia="Times New Roman" w:cs="Times New Roman"/>
      <w:sz w:val="40"/>
      <w:szCs w:val="20"/>
      <w:lang w:eastAsia="en-GB"/>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2077</Words>
  <Characters>12257</Characters>
  <Lines>0</Lines>
  <Paragraphs>0</Paragraphs>
  <TotalTime>0</TotalTime>
  <ScaleCrop>false</ScaleCrop>
  <LinksUpToDate>false</LinksUpToDate>
  <CharactersWithSpaces>14286</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2022-01-05T07:20:00Z</dcterms:created>
  <dc:creator>HONOR</dc:creator>
  <cp:lastModifiedBy>我要0卡的快乐</cp:lastModifiedBy>
  <dcterms:modified xsi:type="dcterms:W3CDTF">2025-01-13T22:17:15Z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892E0662614EEE45EB90856736A1CDB1_43</vt:lpwstr>
  </property>
  <property fmtid="{D5CDD505-2E9C-101B-9397-08002B2CF9AE}" pid="4" name="KSOTemplateDocerSaveRecord">
    <vt:lpwstr>eyJoZGlkIjoiN2YzNjBkOTgyNWQ1YTMxYzM3MzMwNWFiODNmOWIzYWMiLCJ1c2VySWQiOiI0MTIyMTExMDkifQ==</vt:lpwstr>
  </property>
</Properties>
</file>