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5FC5617B"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7E7B695E" w:rsidR="00A930CB" w:rsidRPr="00A930CB" w:rsidRDefault="002049FE" w:rsidP="00A930CB">
                <w:pPr>
                  <w:spacing w:before="120" w:after="120" w:line="360" w:lineRule="auto"/>
                  <w:rPr>
                    <w:rFonts w:ascii="Tahoma" w:hAnsi="Tahoma" w:cs="Tahoma"/>
                    <w:sz w:val="32"/>
                    <w:szCs w:val="32"/>
                  </w:rPr>
                </w:pPr>
                <w:r w:rsidRPr="008F51C2">
                  <w:rPr>
                    <w:rFonts w:ascii="Tahoma" w:hAnsi="Tahoma" w:cs="Tahoma"/>
                    <w:color w:val="FF0000"/>
                    <w:sz w:val="32"/>
                    <w:szCs w:val="32"/>
                  </w:rPr>
                  <w:t>A</w:t>
                </w:r>
                <w:r w:rsidR="00E516E4">
                  <w:rPr>
                    <w:rFonts w:ascii="Tahoma" w:hAnsi="Tahoma" w:cs="Tahoma"/>
                    <w:color w:val="FF0000"/>
                    <w:sz w:val="32"/>
                    <w:szCs w:val="32"/>
                  </w:rPr>
                  <w:t xml:space="preserve">lexandra- Marilena </w:t>
                </w:r>
                <w:proofErr w:type="spellStart"/>
                <w:r w:rsidR="00E516E4">
                  <w:rPr>
                    <w:rFonts w:ascii="Tahoma" w:hAnsi="Tahoma" w:cs="Tahoma"/>
                    <w:color w:val="FF0000"/>
                    <w:sz w:val="32"/>
                    <w:szCs w:val="32"/>
                  </w:rPr>
                  <w:t>Furcoiu</w:t>
                </w:r>
                <w:proofErr w:type="spellEnd"/>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729A971D" w:rsidR="00A930CB" w:rsidRPr="00A930CB" w:rsidRDefault="00E516E4" w:rsidP="00A930CB">
                <w:pPr>
                  <w:spacing w:before="120" w:after="120" w:line="360" w:lineRule="auto"/>
                  <w:rPr>
                    <w:rFonts w:ascii="Tahoma" w:hAnsi="Tahoma" w:cs="Tahoma"/>
                    <w:sz w:val="32"/>
                    <w:szCs w:val="32"/>
                  </w:rPr>
                </w:pPr>
                <w:r>
                  <w:rPr>
                    <w:rFonts w:ascii="Tahoma" w:hAnsi="Tahoma" w:cs="Tahoma"/>
                    <w:sz w:val="32"/>
                    <w:szCs w:val="32"/>
                  </w:rPr>
                  <w:t>2412154</w:t>
                </w:r>
              </w:p>
            </w:tc>
          </w:tr>
          <w:tr w:rsidR="00A930CB" w:rsidRPr="00A930CB" w14:paraId="349EAAAF" w14:textId="77777777" w:rsidTr="0030173B">
            <w:tc>
              <w:tcPr>
                <w:tcW w:w="3438" w:type="dxa"/>
                <w:shd w:val="clear" w:color="auto" w:fill="D9D9D9"/>
              </w:tcPr>
              <w:p w14:paraId="79CF9844" w14:textId="1A14AA8B"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 xml:space="preserve">Module </w:t>
                </w:r>
                <w:r w:rsidR="005D5E30">
                  <w:rPr>
                    <w:rFonts w:ascii="Tahoma" w:hAnsi="Tahoma" w:cs="Tahoma"/>
                    <w:sz w:val="32"/>
                    <w:szCs w:val="32"/>
                  </w:rPr>
                  <w:t>Code</w:t>
                </w:r>
                <w:r w:rsidRPr="00A930CB">
                  <w:rPr>
                    <w:rFonts w:ascii="Tahoma" w:hAnsi="Tahoma" w:cs="Tahoma"/>
                    <w:sz w:val="32"/>
                    <w:szCs w:val="32"/>
                  </w:rPr>
                  <w:t>:</w:t>
                </w:r>
              </w:p>
            </w:tc>
            <w:tc>
              <w:tcPr>
                <w:tcW w:w="6055" w:type="dxa"/>
              </w:tcPr>
              <w:p w14:paraId="2C117412" w14:textId="1F0382E0" w:rsidR="00A930CB" w:rsidRPr="00A930CB" w:rsidRDefault="00D15315" w:rsidP="00A930CB">
                <w:pPr>
                  <w:spacing w:before="120" w:after="120" w:line="360" w:lineRule="auto"/>
                  <w:rPr>
                    <w:rFonts w:ascii="Tahoma" w:hAnsi="Tahoma" w:cs="Tahoma"/>
                    <w:color w:val="FF0000"/>
                    <w:sz w:val="32"/>
                    <w:szCs w:val="32"/>
                  </w:rPr>
                </w:pPr>
                <w:r>
                  <w:rPr>
                    <w:rFonts w:ascii="Tahoma" w:hAnsi="Tahoma" w:cs="Tahoma"/>
                    <w:color w:val="FF0000"/>
                    <w:sz w:val="32"/>
                    <w:szCs w:val="32"/>
                  </w:rPr>
                  <w:t>BMSK5012</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21309602" w:rsidR="00A930CB" w:rsidRPr="00A930CB" w:rsidRDefault="000D0F62" w:rsidP="00A930CB">
                <w:pPr>
                  <w:spacing w:before="120" w:after="120" w:line="360" w:lineRule="auto"/>
                  <w:rPr>
                    <w:rFonts w:ascii="Tahoma" w:hAnsi="Tahoma" w:cs="Tahoma"/>
                    <w:color w:val="FF0000"/>
                    <w:sz w:val="32"/>
                    <w:szCs w:val="32"/>
                  </w:rPr>
                </w:pPr>
                <w:r>
                  <w:rPr>
                    <w:rFonts w:ascii="Tahoma" w:hAnsi="Tahoma" w:cs="Tahoma"/>
                    <w:color w:val="FF0000"/>
                    <w:sz w:val="32"/>
                    <w:szCs w:val="32"/>
                  </w:rPr>
                  <w:t>Understanding and Engaging in the Customer Experience</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4E16F8FE"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the University</w:t>
          </w:r>
          <w:r w:rsidR="00F91F18">
            <w:rPr>
              <w:rFonts w:ascii="Tahoma" w:hAnsi="Tahoma" w:cs="Tahoma"/>
              <w:color w:val="000000"/>
              <w:sz w:val="24"/>
              <w:szCs w:val="24"/>
            </w:rPr>
            <w:t>.</w:t>
          </w:r>
          <w:r w:rsidRPr="00A930CB">
            <w:rPr>
              <w:rFonts w:ascii="Tahoma" w:hAnsi="Tahoma" w:cs="Tahoma"/>
              <w:color w:val="000000"/>
              <w:sz w:val="24"/>
              <w:szCs w:val="24"/>
            </w:rPr>
            <w:t xml:space="preserve"> </w:t>
          </w:r>
        </w:p>
        <w:p w14:paraId="625660F1" w14:textId="77777777" w:rsidR="00A45277" w:rsidRDefault="00A45277" w:rsidP="008346D5">
          <w:pPr>
            <w:spacing w:before="120" w:after="120" w:line="360" w:lineRule="auto"/>
            <w:rPr>
              <w:rFonts w:ascii="Tahoma" w:hAnsi="Tahoma" w:cs="Tahoma"/>
              <w:color w:val="000000"/>
              <w:sz w:val="24"/>
              <w:szCs w:val="24"/>
            </w:rPr>
          </w:pPr>
        </w:p>
        <w:p w14:paraId="1E8CE651" w14:textId="625B1631" w:rsidR="00885114" w:rsidRDefault="00885114" w:rsidP="00A45277">
          <w:pPr>
            <w:rPr>
              <w:rFonts w:ascii="Tahoma" w:hAnsi="Tahoma" w:cs="Tahoma"/>
              <w:color w:val="000000"/>
              <w:sz w:val="24"/>
              <w:szCs w:val="24"/>
            </w:rPr>
          </w:pPr>
        </w:p>
        <w:p w14:paraId="5B6F418C" w14:textId="56327957" w:rsidR="00F91F18" w:rsidRDefault="00F91F18" w:rsidP="00A45277">
          <w:pPr>
            <w:rPr>
              <w:rFonts w:ascii="Tahoma" w:hAnsi="Tahoma" w:cs="Tahoma"/>
              <w:color w:val="000000"/>
              <w:sz w:val="24"/>
              <w:szCs w:val="24"/>
            </w:rPr>
          </w:pPr>
        </w:p>
        <w:p w14:paraId="6965E481" w14:textId="04FC2A45" w:rsidR="00F91F18" w:rsidRDefault="00F91F18" w:rsidP="00A45277">
          <w:pPr>
            <w:rPr>
              <w:rFonts w:ascii="Tahoma" w:hAnsi="Tahoma" w:cs="Tahoma"/>
              <w:color w:val="000000"/>
              <w:sz w:val="24"/>
              <w:szCs w:val="24"/>
            </w:rPr>
          </w:pPr>
        </w:p>
        <w:p w14:paraId="58EE40C7" w14:textId="4737F679" w:rsidR="00F91F18" w:rsidRDefault="00F91F18" w:rsidP="00A45277">
          <w:pPr>
            <w:rPr>
              <w:rFonts w:ascii="Tahoma" w:hAnsi="Tahoma" w:cs="Tahoma"/>
              <w:color w:val="000000"/>
              <w:sz w:val="24"/>
              <w:szCs w:val="24"/>
            </w:rPr>
          </w:pPr>
        </w:p>
        <w:p w14:paraId="48F7542D" w14:textId="77777777" w:rsidR="00F91F18" w:rsidRPr="00A45277" w:rsidRDefault="00F91F18" w:rsidP="00A45277">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72053661"/>
            <w:docPartObj>
              <w:docPartGallery w:val="Table of Contents"/>
              <w:docPartUnique/>
            </w:docPartObj>
          </w:sdtPr>
          <w:sdtEndPr>
            <w:rPr>
              <w:b/>
              <w:bCs/>
              <w:noProof/>
            </w:rPr>
          </w:sdtEndPr>
          <w:sdtContent>
            <w:p w14:paraId="40619959" w14:textId="3B85249E" w:rsidR="003B72BB" w:rsidRDefault="003B72BB">
              <w:pPr>
                <w:pStyle w:val="TOCHeading"/>
              </w:pPr>
              <w:r>
                <w:t>Contents</w:t>
              </w:r>
            </w:p>
            <w:p w14:paraId="2269F1F5" w14:textId="2B6065A1" w:rsidR="00F00169" w:rsidRDefault="003B72BB">
              <w:pPr>
                <w:pStyle w:val="TOC2"/>
                <w:tabs>
                  <w:tab w:val="right" w:leader="dot" w:pos="9350"/>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235957858" w:history="1">
                <w:r w:rsidR="00F00169" w:rsidRPr="00E352DF">
                  <w:rPr>
                    <w:rStyle w:val="Hyperlink"/>
                    <w:rFonts w:ascii="Arial" w:hAnsi="Arial" w:cs="Arial"/>
                    <w:noProof/>
                  </w:rPr>
                  <w:t>Introduction</w:t>
                </w:r>
                <w:r w:rsidR="00F00169">
                  <w:rPr>
                    <w:noProof/>
                    <w:webHidden/>
                  </w:rPr>
                  <w:tab/>
                </w:r>
                <w:r w:rsidR="00F00169">
                  <w:rPr>
                    <w:noProof/>
                    <w:webHidden/>
                  </w:rPr>
                  <w:fldChar w:fldCharType="begin"/>
                </w:r>
                <w:r w:rsidR="00F00169">
                  <w:rPr>
                    <w:noProof/>
                    <w:webHidden/>
                  </w:rPr>
                  <w:instrText xml:space="preserve"> PAGEREF _Toc235957858 \h </w:instrText>
                </w:r>
                <w:r w:rsidR="00F00169">
                  <w:rPr>
                    <w:noProof/>
                    <w:webHidden/>
                  </w:rPr>
                </w:r>
                <w:r w:rsidR="00F00169">
                  <w:rPr>
                    <w:noProof/>
                    <w:webHidden/>
                  </w:rPr>
                  <w:fldChar w:fldCharType="separate"/>
                </w:r>
                <w:r w:rsidR="00F00169">
                  <w:rPr>
                    <w:noProof/>
                    <w:webHidden/>
                  </w:rPr>
                  <w:t>3</w:t>
                </w:r>
                <w:r w:rsidR="00F00169">
                  <w:rPr>
                    <w:noProof/>
                    <w:webHidden/>
                  </w:rPr>
                  <w:fldChar w:fldCharType="end"/>
                </w:r>
              </w:hyperlink>
            </w:p>
            <w:p w14:paraId="5574178C" w14:textId="0777779E" w:rsidR="00F00169" w:rsidRDefault="00F00169">
              <w:pPr>
                <w:pStyle w:val="TOC2"/>
                <w:tabs>
                  <w:tab w:val="right" w:leader="dot" w:pos="9350"/>
                </w:tabs>
                <w:rPr>
                  <w:rFonts w:eastAsiaTheme="minorEastAsia"/>
                  <w:noProof/>
                  <w:kern w:val="2"/>
                  <w:sz w:val="24"/>
                  <w:szCs w:val="24"/>
                  <w:lang w:eastAsia="en-GB"/>
                  <w14:ligatures w14:val="standardContextual"/>
                </w:rPr>
              </w:pPr>
              <w:hyperlink w:anchor="_Toc235957859" w:history="1">
                <w:r w:rsidRPr="00E352DF">
                  <w:rPr>
                    <w:rStyle w:val="Hyperlink"/>
                    <w:rFonts w:ascii="Arial" w:hAnsi="Arial" w:cs="Arial"/>
                    <w:noProof/>
                  </w:rPr>
                  <w:t>Section 1: Customer Value</w:t>
                </w:r>
                <w:r>
                  <w:rPr>
                    <w:noProof/>
                    <w:webHidden/>
                  </w:rPr>
                  <w:tab/>
                </w:r>
                <w:r>
                  <w:rPr>
                    <w:noProof/>
                    <w:webHidden/>
                  </w:rPr>
                  <w:fldChar w:fldCharType="begin"/>
                </w:r>
                <w:r>
                  <w:rPr>
                    <w:noProof/>
                    <w:webHidden/>
                  </w:rPr>
                  <w:instrText xml:space="preserve"> PAGEREF _Toc235957859 \h </w:instrText>
                </w:r>
                <w:r>
                  <w:rPr>
                    <w:noProof/>
                    <w:webHidden/>
                  </w:rPr>
                </w:r>
                <w:r>
                  <w:rPr>
                    <w:noProof/>
                    <w:webHidden/>
                  </w:rPr>
                  <w:fldChar w:fldCharType="separate"/>
                </w:r>
                <w:r>
                  <w:rPr>
                    <w:noProof/>
                    <w:webHidden/>
                  </w:rPr>
                  <w:t>4</w:t>
                </w:r>
                <w:r>
                  <w:rPr>
                    <w:noProof/>
                    <w:webHidden/>
                  </w:rPr>
                  <w:fldChar w:fldCharType="end"/>
                </w:r>
              </w:hyperlink>
            </w:p>
            <w:p w14:paraId="61B84401" w14:textId="342D6A7E" w:rsidR="00F00169" w:rsidRDefault="00F00169">
              <w:pPr>
                <w:pStyle w:val="TOC2"/>
                <w:tabs>
                  <w:tab w:val="right" w:leader="dot" w:pos="9350"/>
                </w:tabs>
                <w:rPr>
                  <w:rFonts w:eastAsiaTheme="minorEastAsia"/>
                  <w:noProof/>
                  <w:kern w:val="2"/>
                  <w:sz w:val="24"/>
                  <w:szCs w:val="24"/>
                  <w:lang w:eastAsia="en-GB"/>
                  <w14:ligatures w14:val="standardContextual"/>
                </w:rPr>
              </w:pPr>
              <w:hyperlink w:anchor="_Toc235957860" w:history="1">
                <w:r w:rsidRPr="00E352DF">
                  <w:rPr>
                    <w:rStyle w:val="Hyperlink"/>
                    <w:rFonts w:ascii="Arial" w:hAnsi="Arial" w:cs="Arial"/>
                    <w:noProof/>
                  </w:rPr>
                  <w:t>Section 2: CRM, Value and Purpose</w:t>
                </w:r>
                <w:r>
                  <w:rPr>
                    <w:noProof/>
                    <w:webHidden/>
                  </w:rPr>
                  <w:tab/>
                </w:r>
                <w:r>
                  <w:rPr>
                    <w:noProof/>
                    <w:webHidden/>
                  </w:rPr>
                  <w:fldChar w:fldCharType="begin"/>
                </w:r>
                <w:r>
                  <w:rPr>
                    <w:noProof/>
                    <w:webHidden/>
                  </w:rPr>
                  <w:instrText xml:space="preserve"> PAGEREF _Toc235957860 \h </w:instrText>
                </w:r>
                <w:r>
                  <w:rPr>
                    <w:noProof/>
                    <w:webHidden/>
                  </w:rPr>
                </w:r>
                <w:r>
                  <w:rPr>
                    <w:noProof/>
                    <w:webHidden/>
                  </w:rPr>
                  <w:fldChar w:fldCharType="separate"/>
                </w:r>
                <w:r>
                  <w:rPr>
                    <w:noProof/>
                    <w:webHidden/>
                  </w:rPr>
                  <w:t>7</w:t>
                </w:r>
                <w:r>
                  <w:rPr>
                    <w:noProof/>
                    <w:webHidden/>
                  </w:rPr>
                  <w:fldChar w:fldCharType="end"/>
                </w:r>
              </w:hyperlink>
            </w:p>
            <w:p w14:paraId="7515B4A6" w14:textId="3C4410A7" w:rsidR="00F00169" w:rsidRDefault="00F00169">
              <w:pPr>
                <w:pStyle w:val="TOC2"/>
                <w:tabs>
                  <w:tab w:val="right" w:leader="dot" w:pos="9350"/>
                </w:tabs>
                <w:rPr>
                  <w:rFonts w:eastAsiaTheme="minorEastAsia"/>
                  <w:noProof/>
                  <w:kern w:val="2"/>
                  <w:sz w:val="24"/>
                  <w:szCs w:val="24"/>
                  <w:lang w:eastAsia="en-GB"/>
                  <w14:ligatures w14:val="standardContextual"/>
                </w:rPr>
              </w:pPr>
              <w:hyperlink w:anchor="_Toc235957861" w:history="1">
                <w:r w:rsidRPr="00E352DF">
                  <w:rPr>
                    <w:rStyle w:val="Hyperlink"/>
                    <w:rFonts w:ascii="Arial" w:hAnsi="Arial" w:cs="Arial"/>
                    <w:noProof/>
                  </w:rPr>
                  <w:t>Section 3: Customer Centrality</w:t>
                </w:r>
                <w:r>
                  <w:rPr>
                    <w:noProof/>
                    <w:webHidden/>
                  </w:rPr>
                  <w:tab/>
                </w:r>
                <w:r>
                  <w:rPr>
                    <w:noProof/>
                    <w:webHidden/>
                  </w:rPr>
                  <w:fldChar w:fldCharType="begin"/>
                </w:r>
                <w:r>
                  <w:rPr>
                    <w:noProof/>
                    <w:webHidden/>
                  </w:rPr>
                  <w:instrText xml:space="preserve"> PAGEREF _Toc235957861 \h </w:instrText>
                </w:r>
                <w:r>
                  <w:rPr>
                    <w:noProof/>
                    <w:webHidden/>
                  </w:rPr>
                </w:r>
                <w:r>
                  <w:rPr>
                    <w:noProof/>
                    <w:webHidden/>
                  </w:rPr>
                  <w:fldChar w:fldCharType="separate"/>
                </w:r>
                <w:r>
                  <w:rPr>
                    <w:noProof/>
                    <w:webHidden/>
                  </w:rPr>
                  <w:t>10</w:t>
                </w:r>
                <w:r>
                  <w:rPr>
                    <w:noProof/>
                    <w:webHidden/>
                  </w:rPr>
                  <w:fldChar w:fldCharType="end"/>
                </w:r>
              </w:hyperlink>
            </w:p>
            <w:p w14:paraId="5CC03FC9" w14:textId="18495E11" w:rsidR="00F00169" w:rsidRDefault="00F00169">
              <w:pPr>
                <w:pStyle w:val="TOC2"/>
                <w:tabs>
                  <w:tab w:val="right" w:leader="dot" w:pos="9350"/>
                </w:tabs>
                <w:rPr>
                  <w:rFonts w:eastAsiaTheme="minorEastAsia"/>
                  <w:noProof/>
                  <w:kern w:val="2"/>
                  <w:sz w:val="24"/>
                  <w:szCs w:val="24"/>
                  <w:lang w:eastAsia="en-GB"/>
                  <w14:ligatures w14:val="standardContextual"/>
                </w:rPr>
              </w:pPr>
              <w:hyperlink w:anchor="_Toc235957862" w:history="1">
                <w:r w:rsidRPr="00E352DF">
                  <w:rPr>
                    <w:rStyle w:val="Hyperlink"/>
                    <w:rFonts w:ascii="Arial" w:hAnsi="Arial" w:cs="Arial"/>
                    <w:noProof/>
                  </w:rPr>
                  <w:t>Section 4: Customer Loyalty</w:t>
                </w:r>
                <w:r>
                  <w:rPr>
                    <w:noProof/>
                    <w:webHidden/>
                  </w:rPr>
                  <w:tab/>
                </w:r>
                <w:r>
                  <w:rPr>
                    <w:noProof/>
                    <w:webHidden/>
                  </w:rPr>
                  <w:fldChar w:fldCharType="begin"/>
                </w:r>
                <w:r>
                  <w:rPr>
                    <w:noProof/>
                    <w:webHidden/>
                  </w:rPr>
                  <w:instrText xml:space="preserve"> PAGEREF _Toc235957862 \h </w:instrText>
                </w:r>
                <w:r>
                  <w:rPr>
                    <w:noProof/>
                    <w:webHidden/>
                  </w:rPr>
                </w:r>
                <w:r>
                  <w:rPr>
                    <w:noProof/>
                    <w:webHidden/>
                  </w:rPr>
                  <w:fldChar w:fldCharType="separate"/>
                </w:r>
                <w:r>
                  <w:rPr>
                    <w:noProof/>
                    <w:webHidden/>
                  </w:rPr>
                  <w:t>13</w:t>
                </w:r>
                <w:r>
                  <w:rPr>
                    <w:noProof/>
                    <w:webHidden/>
                  </w:rPr>
                  <w:fldChar w:fldCharType="end"/>
                </w:r>
              </w:hyperlink>
            </w:p>
            <w:p w14:paraId="565BE90B" w14:textId="10C86C51" w:rsidR="00F00169" w:rsidRDefault="00F00169">
              <w:pPr>
                <w:pStyle w:val="TOC2"/>
                <w:tabs>
                  <w:tab w:val="right" w:leader="dot" w:pos="9350"/>
                </w:tabs>
                <w:rPr>
                  <w:rFonts w:eastAsiaTheme="minorEastAsia"/>
                  <w:noProof/>
                  <w:kern w:val="2"/>
                  <w:sz w:val="24"/>
                  <w:szCs w:val="24"/>
                  <w:lang w:eastAsia="en-GB"/>
                  <w14:ligatures w14:val="standardContextual"/>
                </w:rPr>
              </w:pPr>
              <w:hyperlink w:anchor="_Toc235957863" w:history="1">
                <w:r w:rsidRPr="00E352DF">
                  <w:rPr>
                    <w:rStyle w:val="Hyperlink"/>
                    <w:rFonts w:ascii="Arial" w:hAnsi="Arial" w:cs="Arial"/>
                    <w:noProof/>
                  </w:rPr>
                  <w:t>Section 5: Experience, Emotion and Rationality</w:t>
                </w:r>
                <w:r>
                  <w:rPr>
                    <w:noProof/>
                    <w:webHidden/>
                  </w:rPr>
                  <w:tab/>
                </w:r>
                <w:r>
                  <w:rPr>
                    <w:noProof/>
                    <w:webHidden/>
                  </w:rPr>
                  <w:fldChar w:fldCharType="begin"/>
                </w:r>
                <w:r>
                  <w:rPr>
                    <w:noProof/>
                    <w:webHidden/>
                  </w:rPr>
                  <w:instrText xml:space="preserve"> PAGEREF _Toc235957863 \h </w:instrText>
                </w:r>
                <w:r>
                  <w:rPr>
                    <w:noProof/>
                    <w:webHidden/>
                  </w:rPr>
                </w:r>
                <w:r>
                  <w:rPr>
                    <w:noProof/>
                    <w:webHidden/>
                  </w:rPr>
                  <w:fldChar w:fldCharType="separate"/>
                </w:r>
                <w:r>
                  <w:rPr>
                    <w:noProof/>
                    <w:webHidden/>
                  </w:rPr>
                  <w:t>15</w:t>
                </w:r>
                <w:r>
                  <w:rPr>
                    <w:noProof/>
                    <w:webHidden/>
                  </w:rPr>
                  <w:fldChar w:fldCharType="end"/>
                </w:r>
              </w:hyperlink>
            </w:p>
            <w:p w14:paraId="1F0841D6" w14:textId="5EB57B32" w:rsidR="00F00169" w:rsidRDefault="00F00169">
              <w:pPr>
                <w:pStyle w:val="TOC2"/>
                <w:tabs>
                  <w:tab w:val="right" w:leader="dot" w:pos="9350"/>
                </w:tabs>
                <w:rPr>
                  <w:rFonts w:eastAsiaTheme="minorEastAsia"/>
                  <w:noProof/>
                  <w:kern w:val="2"/>
                  <w:sz w:val="24"/>
                  <w:szCs w:val="24"/>
                  <w:lang w:eastAsia="en-GB"/>
                  <w14:ligatures w14:val="standardContextual"/>
                </w:rPr>
              </w:pPr>
              <w:hyperlink w:anchor="_Toc235957864" w:history="1">
                <w:r w:rsidRPr="00E352DF">
                  <w:rPr>
                    <w:rStyle w:val="Hyperlink"/>
                    <w:rFonts w:ascii="Arial" w:hAnsi="Arial" w:cs="Arial"/>
                    <w:noProof/>
                  </w:rPr>
                  <w:t>Section 6: Buyer- Seller Relationships</w:t>
                </w:r>
                <w:r>
                  <w:rPr>
                    <w:noProof/>
                    <w:webHidden/>
                  </w:rPr>
                  <w:tab/>
                </w:r>
                <w:r>
                  <w:rPr>
                    <w:noProof/>
                    <w:webHidden/>
                  </w:rPr>
                  <w:fldChar w:fldCharType="begin"/>
                </w:r>
                <w:r>
                  <w:rPr>
                    <w:noProof/>
                    <w:webHidden/>
                  </w:rPr>
                  <w:instrText xml:space="preserve"> PAGEREF _Toc235957864 \h </w:instrText>
                </w:r>
                <w:r>
                  <w:rPr>
                    <w:noProof/>
                    <w:webHidden/>
                  </w:rPr>
                </w:r>
                <w:r>
                  <w:rPr>
                    <w:noProof/>
                    <w:webHidden/>
                  </w:rPr>
                  <w:fldChar w:fldCharType="separate"/>
                </w:r>
                <w:r>
                  <w:rPr>
                    <w:noProof/>
                    <w:webHidden/>
                  </w:rPr>
                  <w:t>18</w:t>
                </w:r>
                <w:r>
                  <w:rPr>
                    <w:noProof/>
                    <w:webHidden/>
                  </w:rPr>
                  <w:fldChar w:fldCharType="end"/>
                </w:r>
              </w:hyperlink>
            </w:p>
            <w:p w14:paraId="1AD2655E" w14:textId="181791A3" w:rsidR="00F00169" w:rsidRDefault="00F00169">
              <w:pPr>
                <w:pStyle w:val="TOC2"/>
                <w:tabs>
                  <w:tab w:val="right" w:leader="dot" w:pos="9350"/>
                </w:tabs>
                <w:rPr>
                  <w:rFonts w:eastAsiaTheme="minorEastAsia"/>
                  <w:noProof/>
                  <w:kern w:val="2"/>
                  <w:sz w:val="24"/>
                  <w:szCs w:val="24"/>
                  <w:lang w:eastAsia="en-GB"/>
                  <w14:ligatures w14:val="standardContextual"/>
                </w:rPr>
              </w:pPr>
              <w:hyperlink w:anchor="_Toc235957865" w:history="1">
                <w:r w:rsidRPr="00E352DF">
                  <w:rPr>
                    <w:rStyle w:val="Hyperlink"/>
                    <w:rFonts w:ascii="Arial" w:hAnsi="Arial" w:cs="Arial"/>
                    <w:noProof/>
                  </w:rPr>
                  <w:t>Section 7: Quality Framework</w:t>
                </w:r>
                <w:r>
                  <w:rPr>
                    <w:noProof/>
                    <w:webHidden/>
                  </w:rPr>
                  <w:tab/>
                </w:r>
                <w:r>
                  <w:rPr>
                    <w:noProof/>
                    <w:webHidden/>
                  </w:rPr>
                  <w:fldChar w:fldCharType="begin"/>
                </w:r>
                <w:r>
                  <w:rPr>
                    <w:noProof/>
                    <w:webHidden/>
                  </w:rPr>
                  <w:instrText xml:space="preserve"> PAGEREF _Toc235957865 \h </w:instrText>
                </w:r>
                <w:r>
                  <w:rPr>
                    <w:noProof/>
                    <w:webHidden/>
                  </w:rPr>
                </w:r>
                <w:r>
                  <w:rPr>
                    <w:noProof/>
                    <w:webHidden/>
                  </w:rPr>
                  <w:fldChar w:fldCharType="separate"/>
                </w:r>
                <w:r>
                  <w:rPr>
                    <w:noProof/>
                    <w:webHidden/>
                  </w:rPr>
                  <w:t>20</w:t>
                </w:r>
                <w:r>
                  <w:rPr>
                    <w:noProof/>
                    <w:webHidden/>
                  </w:rPr>
                  <w:fldChar w:fldCharType="end"/>
                </w:r>
              </w:hyperlink>
            </w:p>
            <w:p w14:paraId="14878A96" w14:textId="79ACD413" w:rsidR="00F00169" w:rsidRDefault="00F00169">
              <w:pPr>
                <w:pStyle w:val="TOC2"/>
                <w:tabs>
                  <w:tab w:val="right" w:leader="dot" w:pos="9350"/>
                </w:tabs>
                <w:rPr>
                  <w:rFonts w:eastAsiaTheme="minorEastAsia"/>
                  <w:noProof/>
                  <w:kern w:val="2"/>
                  <w:sz w:val="24"/>
                  <w:szCs w:val="24"/>
                  <w:lang w:eastAsia="en-GB"/>
                  <w14:ligatures w14:val="standardContextual"/>
                </w:rPr>
              </w:pPr>
              <w:hyperlink w:anchor="_Toc235957866" w:history="1">
                <w:r w:rsidRPr="00E352DF">
                  <w:rPr>
                    <w:rStyle w:val="Hyperlink"/>
                    <w:rFonts w:ascii="Arial" w:hAnsi="Arial" w:cs="Arial"/>
                    <w:noProof/>
                  </w:rPr>
                  <w:t>Section 8: Segmentation and Targeting</w:t>
                </w:r>
                <w:r>
                  <w:rPr>
                    <w:noProof/>
                    <w:webHidden/>
                  </w:rPr>
                  <w:tab/>
                </w:r>
                <w:r>
                  <w:rPr>
                    <w:noProof/>
                    <w:webHidden/>
                  </w:rPr>
                  <w:fldChar w:fldCharType="begin"/>
                </w:r>
                <w:r>
                  <w:rPr>
                    <w:noProof/>
                    <w:webHidden/>
                  </w:rPr>
                  <w:instrText xml:space="preserve"> PAGEREF _Toc235957866 \h </w:instrText>
                </w:r>
                <w:r>
                  <w:rPr>
                    <w:noProof/>
                    <w:webHidden/>
                  </w:rPr>
                </w:r>
                <w:r>
                  <w:rPr>
                    <w:noProof/>
                    <w:webHidden/>
                  </w:rPr>
                  <w:fldChar w:fldCharType="separate"/>
                </w:r>
                <w:r>
                  <w:rPr>
                    <w:noProof/>
                    <w:webHidden/>
                  </w:rPr>
                  <w:t>22</w:t>
                </w:r>
                <w:r>
                  <w:rPr>
                    <w:noProof/>
                    <w:webHidden/>
                  </w:rPr>
                  <w:fldChar w:fldCharType="end"/>
                </w:r>
              </w:hyperlink>
            </w:p>
            <w:p w14:paraId="2EDC6240" w14:textId="14C10345" w:rsidR="00F00169" w:rsidRDefault="00F00169">
              <w:pPr>
                <w:pStyle w:val="TOC2"/>
                <w:tabs>
                  <w:tab w:val="right" w:leader="dot" w:pos="9350"/>
                </w:tabs>
                <w:rPr>
                  <w:rFonts w:eastAsiaTheme="minorEastAsia"/>
                  <w:noProof/>
                  <w:kern w:val="2"/>
                  <w:sz w:val="24"/>
                  <w:szCs w:val="24"/>
                  <w:lang w:eastAsia="en-GB"/>
                  <w14:ligatures w14:val="standardContextual"/>
                </w:rPr>
              </w:pPr>
              <w:hyperlink w:anchor="_Toc235957867" w:history="1">
                <w:r w:rsidRPr="00E352DF">
                  <w:rPr>
                    <w:rStyle w:val="Hyperlink"/>
                    <w:rFonts w:ascii="Arial" w:hAnsi="Arial" w:cs="Arial"/>
                    <w:noProof/>
                  </w:rPr>
                  <w:t>Conclusion</w:t>
                </w:r>
                <w:r>
                  <w:rPr>
                    <w:noProof/>
                    <w:webHidden/>
                  </w:rPr>
                  <w:tab/>
                </w:r>
                <w:r>
                  <w:rPr>
                    <w:noProof/>
                    <w:webHidden/>
                  </w:rPr>
                  <w:fldChar w:fldCharType="begin"/>
                </w:r>
                <w:r>
                  <w:rPr>
                    <w:noProof/>
                    <w:webHidden/>
                  </w:rPr>
                  <w:instrText xml:space="preserve"> PAGEREF _Toc235957867 \h </w:instrText>
                </w:r>
                <w:r>
                  <w:rPr>
                    <w:noProof/>
                    <w:webHidden/>
                  </w:rPr>
                </w:r>
                <w:r>
                  <w:rPr>
                    <w:noProof/>
                    <w:webHidden/>
                  </w:rPr>
                  <w:fldChar w:fldCharType="separate"/>
                </w:r>
                <w:r>
                  <w:rPr>
                    <w:noProof/>
                    <w:webHidden/>
                  </w:rPr>
                  <w:t>24</w:t>
                </w:r>
                <w:r>
                  <w:rPr>
                    <w:noProof/>
                    <w:webHidden/>
                  </w:rPr>
                  <w:fldChar w:fldCharType="end"/>
                </w:r>
              </w:hyperlink>
            </w:p>
            <w:p w14:paraId="57B20F35" w14:textId="65DB61DF" w:rsidR="00F00169" w:rsidRDefault="00F00169">
              <w:pPr>
                <w:pStyle w:val="TOC2"/>
                <w:tabs>
                  <w:tab w:val="right" w:leader="dot" w:pos="9350"/>
                </w:tabs>
                <w:rPr>
                  <w:rFonts w:eastAsiaTheme="minorEastAsia"/>
                  <w:noProof/>
                  <w:kern w:val="2"/>
                  <w:sz w:val="24"/>
                  <w:szCs w:val="24"/>
                  <w:lang w:eastAsia="en-GB"/>
                  <w14:ligatures w14:val="standardContextual"/>
                </w:rPr>
              </w:pPr>
              <w:hyperlink w:anchor="_Toc235957868" w:history="1">
                <w:r w:rsidRPr="00E352DF">
                  <w:rPr>
                    <w:rStyle w:val="Hyperlink"/>
                    <w:rFonts w:ascii="Arial" w:hAnsi="Arial" w:cs="Arial"/>
                    <w:noProof/>
                  </w:rPr>
                  <w:t>References</w:t>
                </w:r>
                <w:r>
                  <w:rPr>
                    <w:noProof/>
                    <w:webHidden/>
                  </w:rPr>
                  <w:tab/>
                </w:r>
                <w:r>
                  <w:rPr>
                    <w:noProof/>
                    <w:webHidden/>
                  </w:rPr>
                  <w:fldChar w:fldCharType="begin"/>
                </w:r>
                <w:r>
                  <w:rPr>
                    <w:noProof/>
                    <w:webHidden/>
                  </w:rPr>
                  <w:instrText xml:space="preserve"> PAGEREF _Toc235957868 \h </w:instrText>
                </w:r>
                <w:r>
                  <w:rPr>
                    <w:noProof/>
                    <w:webHidden/>
                  </w:rPr>
                </w:r>
                <w:r>
                  <w:rPr>
                    <w:noProof/>
                    <w:webHidden/>
                  </w:rPr>
                  <w:fldChar w:fldCharType="separate"/>
                </w:r>
                <w:r>
                  <w:rPr>
                    <w:noProof/>
                    <w:webHidden/>
                  </w:rPr>
                  <w:t>25</w:t>
                </w:r>
                <w:r>
                  <w:rPr>
                    <w:noProof/>
                    <w:webHidden/>
                  </w:rPr>
                  <w:fldChar w:fldCharType="end"/>
                </w:r>
              </w:hyperlink>
            </w:p>
            <w:p w14:paraId="64FE5BEA" w14:textId="2D319D58" w:rsidR="00F00169" w:rsidRDefault="00F00169">
              <w:pPr>
                <w:pStyle w:val="TOC2"/>
                <w:tabs>
                  <w:tab w:val="right" w:leader="dot" w:pos="9350"/>
                </w:tabs>
                <w:rPr>
                  <w:rFonts w:eastAsiaTheme="minorEastAsia"/>
                  <w:noProof/>
                  <w:kern w:val="2"/>
                  <w:sz w:val="24"/>
                  <w:szCs w:val="24"/>
                  <w:lang w:eastAsia="en-GB"/>
                  <w14:ligatures w14:val="standardContextual"/>
                </w:rPr>
              </w:pPr>
              <w:hyperlink w:anchor="_Toc235957869" w:history="1">
                <w:r w:rsidRPr="00E352DF">
                  <w:rPr>
                    <w:rStyle w:val="Hyperlink"/>
                    <w:rFonts w:ascii="Arial" w:hAnsi="Arial" w:cs="Arial"/>
                    <w:noProof/>
                  </w:rPr>
                  <w:t>Appendices</w:t>
                </w:r>
                <w:r>
                  <w:rPr>
                    <w:noProof/>
                    <w:webHidden/>
                  </w:rPr>
                  <w:tab/>
                </w:r>
                <w:r>
                  <w:rPr>
                    <w:noProof/>
                    <w:webHidden/>
                  </w:rPr>
                  <w:fldChar w:fldCharType="begin"/>
                </w:r>
                <w:r>
                  <w:rPr>
                    <w:noProof/>
                    <w:webHidden/>
                  </w:rPr>
                  <w:instrText xml:space="preserve"> PAGEREF _Toc235957869 \h </w:instrText>
                </w:r>
                <w:r>
                  <w:rPr>
                    <w:noProof/>
                    <w:webHidden/>
                  </w:rPr>
                </w:r>
                <w:r>
                  <w:rPr>
                    <w:noProof/>
                    <w:webHidden/>
                  </w:rPr>
                  <w:fldChar w:fldCharType="separate"/>
                </w:r>
                <w:r>
                  <w:rPr>
                    <w:noProof/>
                    <w:webHidden/>
                  </w:rPr>
                  <w:t>30</w:t>
                </w:r>
                <w:r>
                  <w:rPr>
                    <w:noProof/>
                    <w:webHidden/>
                  </w:rPr>
                  <w:fldChar w:fldCharType="end"/>
                </w:r>
              </w:hyperlink>
            </w:p>
            <w:p w14:paraId="7B44B309" w14:textId="0D18FCEC" w:rsidR="003B72BB" w:rsidRDefault="003B72BB">
              <w:r>
                <w:rPr>
                  <w:b/>
                  <w:bCs/>
                  <w:noProof/>
                </w:rPr>
                <w:fldChar w:fldCharType="end"/>
              </w:r>
            </w:p>
          </w:sdtContent>
        </w:sdt>
        <w:p w14:paraId="79077526" w14:textId="08A434DE" w:rsidR="00885114" w:rsidRPr="00D2291D" w:rsidRDefault="00885114" w:rsidP="00885114">
          <w:pPr>
            <w:pStyle w:val="TOCHeading"/>
          </w:pPr>
        </w:p>
        <w:p w14:paraId="68FE57E8" w14:textId="78CB06D9" w:rsidR="00715A8B" w:rsidRPr="008346D5" w:rsidRDefault="00000000" w:rsidP="00885114">
          <w:pPr>
            <w:spacing w:before="120" w:after="120" w:line="360" w:lineRule="auto"/>
            <w:rPr>
              <w:rFonts w:ascii="Tahoma" w:hAnsi="Tahoma" w:cs="Tahoma"/>
              <w:color w:val="000000"/>
              <w:sz w:val="24"/>
              <w:szCs w:val="24"/>
            </w:rPr>
          </w:pPr>
        </w:p>
      </w:sdtContent>
    </w:sdt>
    <w:p w14:paraId="1A7CBFC3" w14:textId="18394979" w:rsidR="00F53EF8" w:rsidRPr="00574EFD" w:rsidRDefault="007A0F0B" w:rsidP="00574EFD">
      <w:pPr>
        <w:jc w:val="both"/>
        <w:rPr>
          <w:rFonts w:ascii="Arial" w:hAnsi="Arial" w:cs="Arial"/>
          <w:sz w:val="24"/>
          <w:szCs w:val="24"/>
        </w:rPr>
      </w:pPr>
      <w:r>
        <w:br w:type="page"/>
      </w:r>
    </w:p>
    <w:p w14:paraId="3ED55503" w14:textId="79943E29" w:rsidR="00D2291D" w:rsidRPr="00574EFD" w:rsidRDefault="0006008A" w:rsidP="00574EFD">
      <w:pPr>
        <w:pStyle w:val="Heading2"/>
        <w:jc w:val="both"/>
        <w:rPr>
          <w:rFonts w:ascii="Arial" w:hAnsi="Arial" w:cs="Arial"/>
          <w:sz w:val="24"/>
          <w:szCs w:val="24"/>
        </w:rPr>
      </w:pPr>
      <w:bookmarkStart w:id="0" w:name="_Toc456901515"/>
      <w:bookmarkStart w:id="1" w:name="_Toc235957858"/>
      <w:r w:rsidRPr="00574EFD">
        <w:rPr>
          <w:rFonts w:ascii="Arial" w:hAnsi="Arial" w:cs="Arial"/>
          <w:sz w:val="24"/>
          <w:szCs w:val="24"/>
        </w:rPr>
        <w:lastRenderedPageBreak/>
        <w:t>Introduction</w:t>
      </w:r>
      <w:bookmarkEnd w:id="0"/>
      <w:bookmarkEnd w:id="1"/>
      <w:r w:rsidRPr="00574EFD">
        <w:rPr>
          <w:rFonts w:ascii="Arial" w:hAnsi="Arial" w:cs="Arial"/>
          <w:sz w:val="24"/>
          <w:szCs w:val="24"/>
        </w:rPr>
        <w:t xml:space="preserve"> </w:t>
      </w:r>
    </w:p>
    <w:p w14:paraId="3AF6BDB7" w14:textId="77777777" w:rsidR="008B7D60" w:rsidRPr="00574EFD" w:rsidRDefault="008B7D60" w:rsidP="00574EFD">
      <w:pPr>
        <w:jc w:val="both"/>
        <w:rPr>
          <w:rFonts w:ascii="Arial" w:hAnsi="Arial" w:cs="Arial"/>
          <w:sz w:val="24"/>
          <w:szCs w:val="24"/>
        </w:rPr>
      </w:pPr>
    </w:p>
    <w:p w14:paraId="6AF7933E" w14:textId="77777777" w:rsidR="008B7D60" w:rsidRPr="00574EFD" w:rsidRDefault="008B7D60" w:rsidP="00574EFD">
      <w:pPr>
        <w:jc w:val="both"/>
        <w:rPr>
          <w:rFonts w:ascii="Arial" w:hAnsi="Arial" w:cs="Arial"/>
          <w:sz w:val="24"/>
          <w:szCs w:val="24"/>
        </w:rPr>
      </w:pPr>
    </w:p>
    <w:p w14:paraId="1EA915FF" w14:textId="50E879E9" w:rsidR="00C161BF" w:rsidRPr="00574EFD" w:rsidRDefault="00376120" w:rsidP="00574EFD">
      <w:pPr>
        <w:jc w:val="both"/>
        <w:rPr>
          <w:rFonts w:ascii="Arial" w:hAnsi="Arial" w:cs="Arial"/>
          <w:b/>
          <w:bCs/>
          <w:sz w:val="24"/>
          <w:szCs w:val="24"/>
        </w:rPr>
      </w:pPr>
      <w:r w:rsidRPr="00574EFD">
        <w:rPr>
          <w:rFonts w:ascii="Arial" w:hAnsi="Arial" w:cs="Arial"/>
          <w:b/>
          <w:bCs/>
          <w:sz w:val="24"/>
          <w:szCs w:val="24"/>
        </w:rPr>
        <w:t>Ba</w:t>
      </w:r>
      <w:r w:rsidR="00AD754F" w:rsidRPr="00574EFD">
        <w:rPr>
          <w:rFonts w:ascii="Arial" w:hAnsi="Arial" w:cs="Arial"/>
          <w:b/>
          <w:bCs/>
          <w:sz w:val="24"/>
          <w:szCs w:val="24"/>
        </w:rPr>
        <w:t>ckground t</w:t>
      </w:r>
      <w:r w:rsidR="00C161BF" w:rsidRPr="00574EFD">
        <w:rPr>
          <w:rFonts w:ascii="Arial" w:hAnsi="Arial" w:cs="Arial"/>
          <w:b/>
          <w:bCs/>
          <w:sz w:val="24"/>
          <w:szCs w:val="24"/>
        </w:rPr>
        <w:t>o SNEP SPA</w:t>
      </w:r>
    </w:p>
    <w:p w14:paraId="7A4A7DB5" w14:textId="77777777" w:rsidR="008A4AD2" w:rsidRPr="00574EFD" w:rsidRDefault="008A4AD2" w:rsidP="00574EFD">
      <w:pPr>
        <w:jc w:val="both"/>
        <w:rPr>
          <w:rFonts w:ascii="Arial" w:hAnsi="Arial" w:cs="Arial"/>
          <w:sz w:val="24"/>
          <w:szCs w:val="24"/>
        </w:rPr>
      </w:pPr>
    </w:p>
    <w:p w14:paraId="0ED2621B" w14:textId="77777777" w:rsidR="008C37DB" w:rsidRPr="00574EFD" w:rsidRDefault="008C37DB" w:rsidP="00574EFD">
      <w:pPr>
        <w:jc w:val="both"/>
        <w:rPr>
          <w:rFonts w:ascii="Arial" w:hAnsi="Arial" w:cs="Arial"/>
          <w:sz w:val="24"/>
          <w:szCs w:val="24"/>
        </w:rPr>
      </w:pPr>
      <w:r w:rsidRPr="00574EFD">
        <w:rPr>
          <w:rFonts w:ascii="Arial" w:hAnsi="Arial" w:cs="Arial"/>
          <w:sz w:val="24"/>
          <w:szCs w:val="24"/>
        </w:rPr>
        <w:t>Customer experience has become an important source of competitive advantage because customers evaluate organisations through their entire journey rather than through products or individual transactions alone. This journey includes every direct and indirect interaction occurring before, during and after a purchase (Lemon &amp; Verhoef, 2016). Consequently, organisations must understand how value, relationships, service quality and emotional responses collectively influence customer behaviour. Effective management of these elements can strengthen satisfaction, loyalty and positive word of mouth (Goodman, 2009).</w:t>
      </w:r>
    </w:p>
    <w:p w14:paraId="380A5876" w14:textId="77777777" w:rsidR="008C37DB" w:rsidRPr="00574EFD" w:rsidRDefault="008C37DB" w:rsidP="00574EFD">
      <w:pPr>
        <w:jc w:val="both"/>
        <w:rPr>
          <w:rFonts w:ascii="Arial" w:hAnsi="Arial" w:cs="Arial"/>
          <w:sz w:val="24"/>
          <w:szCs w:val="24"/>
        </w:rPr>
      </w:pPr>
    </w:p>
    <w:p w14:paraId="12A20494" w14:textId="77777777" w:rsidR="008B34DB" w:rsidRPr="00574EFD" w:rsidRDefault="008C37DB" w:rsidP="00574EFD">
      <w:pPr>
        <w:jc w:val="both"/>
        <w:rPr>
          <w:rFonts w:ascii="Arial" w:hAnsi="Arial" w:cs="Arial"/>
          <w:sz w:val="24"/>
          <w:szCs w:val="24"/>
        </w:rPr>
      </w:pPr>
      <w:r w:rsidRPr="00574EFD">
        <w:rPr>
          <w:rFonts w:ascii="Arial" w:hAnsi="Arial" w:cs="Arial"/>
          <w:sz w:val="24"/>
          <w:szCs w:val="24"/>
        </w:rPr>
        <w:t xml:space="preserve">This report critically examines the principal concepts involved in understanding and engaging customers and applies them to the author’s position as a Brand Ambassador within SNEP SPA. </w:t>
      </w:r>
    </w:p>
    <w:p w14:paraId="7FF0789C" w14:textId="00D8A797" w:rsidR="008C37DB" w:rsidRPr="00574EFD" w:rsidRDefault="008C37DB" w:rsidP="00574EFD">
      <w:pPr>
        <w:jc w:val="both"/>
        <w:rPr>
          <w:rFonts w:ascii="Arial" w:hAnsi="Arial" w:cs="Arial"/>
          <w:sz w:val="24"/>
          <w:szCs w:val="24"/>
        </w:rPr>
      </w:pPr>
      <w:r w:rsidRPr="00574EFD">
        <w:rPr>
          <w:rFonts w:ascii="Arial" w:hAnsi="Arial" w:cs="Arial"/>
          <w:sz w:val="24"/>
          <w:szCs w:val="24"/>
        </w:rPr>
        <w:t>SNEP SPA is an Italian direct-selling organisation offering products across categories including nutritional supplements, personal care, cosmetics, fragrances, coffee and household care (</w:t>
      </w:r>
      <w:proofErr w:type="spellStart"/>
      <w:r w:rsidRPr="00574EFD">
        <w:rPr>
          <w:rFonts w:ascii="Arial" w:hAnsi="Arial" w:cs="Arial"/>
          <w:sz w:val="24"/>
          <w:szCs w:val="24"/>
        </w:rPr>
        <w:t>S</w:t>
      </w:r>
      <w:r w:rsidR="008A4AD2" w:rsidRPr="00574EFD">
        <w:rPr>
          <w:rFonts w:ascii="Arial" w:hAnsi="Arial" w:cs="Arial"/>
          <w:sz w:val="24"/>
          <w:szCs w:val="24"/>
        </w:rPr>
        <w:t>nep</w:t>
      </w:r>
      <w:proofErr w:type="spellEnd"/>
      <w:r w:rsidRPr="00574EFD">
        <w:rPr>
          <w:rFonts w:ascii="Arial" w:hAnsi="Arial" w:cs="Arial"/>
          <w:sz w:val="24"/>
          <w:szCs w:val="24"/>
        </w:rPr>
        <w:t xml:space="preserve"> S</w:t>
      </w:r>
      <w:r w:rsidR="008A4AD2" w:rsidRPr="00574EFD">
        <w:rPr>
          <w:rFonts w:ascii="Arial" w:hAnsi="Arial" w:cs="Arial"/>
          <w:sz w:val="24"/>
          <w:szCs w:val="24"/>
        </w:rPr>
        <w:t>pa</w:t>
      </w:r>
      <w:r w:rsidRPr="00574EFD">
        <w:rPr>
          <w:rFonts w:ascii="Arial" w:hAnsi="Arial" w:cs="Arial"/>
          <w:sz w:val="24"/>
          <w:szCs w:val="24"/>
        </w:rPr>
        <w:t>). Within this business model, the Brand Ambassador represents an important connection between the organisation and its customers by communicating product information, identifying individual needs, supporting purchasing decisions and maintaining post-purchase relationships.</w:t>
      </w:r>
    </w:p>
    <w:p w14:paraId="1CDC1F91" w14:textId="77777777" w:rsidR="007C3F80" w:rsidRPr="00574EFD" w:rsidRDefault="007C3F80" w:rsidP="00574EFD">
      <w:pPr>
        <w:jc w:val="both"/>
        <w:rPr>
          <w:rFonts w:ascii="Arial" w:hAnsi="Arial" w:cs="Arial"/>
          <w:sz w:val="24"/>
          <w:szCs w:val="24"/>
        </w:rPr>
      </w:pPr>
    </w:p>
    <w:p w14:paraId="6CA6D1AE" w14:textId="77777777" w:rsidR="00B40ABB" w:rsidRPr="00574EFD" w:rsidRDefault="00B40ABB" w:rsidP="00574EFD">
      <w:pPr>
        <w:jc w:val="both"/>
        <w:rPr>
          <w:rFonts w:ascii="Arial" w:hAnsi="Arial" w:cs="Arial"/>
          <w:sz w:val="24"/>
          <w:szCs w:val="24"/>
        </w:rPr>
      </w:pPr>
    </w:p>
    <w:p w14:paraId="474FFF65" w14:textId="25060D4E" w:rsidR="008C37DB" w:rsidRPr="00574EFD" w:rsidRDefault="007C3F80" w:rsidP="00574EFD">
      <w:pPr>
        <w:jc w:val="both"/>
        <w:rPr>
          <w:rFonts w:ascii="Arial" w:hAnsi="Arial" w:cs="Arial"/>
          <w:b/>
          <w:bCs/>
          <w:sz w:val="24"/>
          <w:szCs w:val="24"/>
        </w:rPr>
      </w:pPr>
      <w:r w:rsidRPr="00574EFD">
        <w:rPr>
          <w:rFonts w:ascii="Arial" w:hAnsi="Arial" w:cs="Arial"/>
          <w:b/>
          <w:bCs/>
          <w:sz w:val="24"/>
          <w:szCs w:val="24"/>
        </w:rPr>
        <w:t>Purpose of the report</w:t>
      </w:r>
    </w:p>
    <w:p w14:paraId="1E638EA5" w14:textId="77777777" w:rsidR="007C3F80" w:rsidRPr="00574EFD" w:rsidRDefault="007C3F80" w:rsidP="00574EFD">
      <w:pPr>
        <w:jc w:val="both"/>
        <w:rPr>
          <w:rFonts w:ascii="Arial" w:hAnsi="Arial" w:cs="Arial"/>
          <w:b/>
          <w:bCs/>
          <w:sz w:val="24"/>
          <w:szCs w:val="24"/>
        </w:rPr>
      </w:pPr>
    </w:p>
    <w:p w14:paraId="55B55099" w14:textId="63058FF2" w:rsidR="00622CBB" w:rsidRPr="00574EFD" w:rsidRDefault="008C37DB" w:rsidP="00574EFD">
      <w:pPr>
        <w:jc w:val="both"/>
        <w:rPr>
          <w:rFonts w:ascii="Arial" w:hAnsi="Arial" w:cs="Arial"/>
          <w:sz w:val="24"/>
          <w:szCs w:val="24"/>
        </w:rPr>
      </w:pPr>
      <w:r w:rsidRPr="00574EFD">
        <w:rPr>
          <w:rFonts w:ascii="Arial" w:hAnsi="Arial" w:cs="Arial"/>
          <w:sz w:val="24"/>
          <w:szCs w:val="24"/>
        </w:rPr>
        <w:t>The report evaluates customer value, customer relationship management, customer centrality, loyalty, emotion and rationality, buyer–seller relationships, quality management, segmentation and targeting. Relevant academic theories will first be defined and critically explained before being applied to the Brand Ambassador’s activities. This approach will identify how SNEP SPA Brand Ambassadors can create meaningful customer experiences while developing sustainable and mutually valuable relationships.</w:t>
      </w:r>
    </w:p>
    <w:p w14:paraId="47219298" w14:textId="77777777" w:rsidR="0030173B" w:rsidRPr="00574EFD" w:rsidRDefault="0030173B" w:rsidP="00574EFD">
      <w:pPr>
        <w:jc w:val="both"/>
        <w:rPr>
          <w:rFonts w:ascii="Arial" w:hAnsi="Arial" w:cs="Arial"/>
          <w:sz w:val="24"/>
          <w:szCs w:val="24"/>
        </w:rPr>
      </w:pPr>
    </w:p>
    <w:p w14:paraId="2635102A" w14:textId="72DC3DA9" w:rsidR="0006008A" w:rsidRPr="00574EFD" w:rsidRDefault="0006008A" w:rsidP="00574EFD">
      <w:pPr>
        <w:spacing w:line="360" w:lineRule="auto"/>
        <w:jc w:val="both"/>
        <w:rPr>
          <w:rFonts w:ascii="Arial" w:hAnsi="Arial" w:cs="Arial"/>
          <w:sz w:val="24"/>
          <w:szCs w:val="24"/>
        </w:rPr>
      </w:pPr>
    </w:p>
    <w:p w14:paraId="64838698" w14:textId="77777777" w:rsidR="008B7D60" w:rsidRPr="00574EFD" w:rsidRDefault="008B7D60" w:rsidP="00574EFD">
      <w:pPr>
        <w:spacing w:line="360" w:lineRule="auto"/>
        <w:jc w:val="both"/>
        <w:rPr>
          <w:rFonts w:ascii="Arial" w:hAnsi="Arial" w:cs="Arial"/>
          <w:sz w:val="24"/>
          <w:szCs w:val="24"/>
        </w:rPr>
      </w:pPr>
    </w:p>
    <w:p w14:paraId="098E793D" w14:textId="77777777" w:rsidR="008B7D60" w:rsidRPr="00574EFD" w:rsidRDefault="008B7D60" w:rsidP="00574EFD">
      <w:pPr>
        <w:spacing w:line="360" w:lineRule="auto"/>
        <w:jc w:val="both"/>
        <w:rPr>
          <w:rFonts w:ascii="Arial" w:hAnsi="Arial" w:cs="Arial"/>
          <w:sz w:val="24"/>
          <w:szCs w:val="24"/>
        </w:rPr>
      </w:pPr>
    </w:p>
    <w:p w14:paraId="26E87E1F" w14:textId="77777777" w:rsidR="008B7D60" w:rsidRPr="00574EFD" w:rsidRDefault="008B7D60" w:rsidP="00574EFD">
      <w:pPr>
        <w:spacing w:line="360" w:lineRule="auto"/>
        <w:jc w:val="both"/>
        <w:rPr>
          <w:rFonts w:ascii="Arial" w:hAnsi="Arial" w:cs="Arial"/>
          <w:sz w:val="24"/>
          <w:szCs w:val="24"/>
        </w:rPr>
      </w:pPr>
    </w:p>
    <w:p w14:paraId="06366632" w14:textId="77777777" w:rsidR="0030173B" w:rsidRPr="00574EFD" w:rsidRDefault="0030173B" w:rsidP="00574EFD">
      <w:pPr>
        <w:spacing w:line="360" w:lineRule="auto"/>
        <w:jc w:val="both"/>
        <w:rPr>
          <w:rFonts w:ascii="Arial" w:hAnsi="Arial" w:cs="Arial"/>
          <w:sz w:val="24"/>
          <w:szCs w:val="24"/>
        </w:rPr>
      </w:pPr>
    </w:p>
    <w:p w14:paraId="5CB9DF97" w14:textId="451964D5" w:rsidR="00322C2E" w:rsidRPr="00574EFD" w:rsidRDefault="002049FE" w:rsidP="00574EFD">
      <w:pPr>
        <w:pStyle w:val="Heading2"/>
        <w:jc w:val="both"/>
        <w:rPr>
          <w:rFonts w:ascii="Arial" w:hAnsi="Arial" w:cs="Arial"/>
          <w:sz w:val="24"/>
          <w:szCs w:val="24"/>
        </w:rPr>
      </w:pPr>
      <w:bookmarkStart w:id="2" w:name="_Toc235957859"/>
      <w:r w:rsidRPr="00574EFD">
        <w:rPr>
          <w:rFonts w:ascii="Arial" w:hAnsi="Arial" w:cs="Arial"/>
          <w:sz w:val="24"/>
          <w:szCs w:val="24"/>
        </w:rPr>
        <w:t>Section 1</w:t>
      </w:r>
      <w:r w:rsidR="005B3F0F" w:rsidRPr="00574EFD">
        <w:rPr>
          <w:rFonts w:ascii="Arial" w:hAnsi="Arial" w:cs="Arial"/>
          <w:sz w:val="24"/>
          <w:szCs w:val="24"/>
        </w:rPr>
        <w:t>:</w:t>
      </w:r>
      <w:r w:rsidR="00A54FD6" w:rsidRPr="00574EFD">
        <w:rPr>
          <w:rFonts w:ascii="Arial" w:hAnsi="Arial" w:cs="Arial"/>
          <w:sz w:val="24"/>
          <w:szCs w:val="24"/>
        </w:rPr>
        <w:t xml:space="preserve"> </w:t>
      </w:r>
      <w:r w:rsidR="00040414" w:rsidRPr="00574EFD">
        <w:rPr>
          <w:rFonts w:ascii="Arial" w:hAnsi="Arial" w:cs="Arial"/>
          <w:sz w:val="24"/>
          <w:szCs w:val="24"/>
        </w:rPr>
        <w:t>Customer Valu</w:t>
      </w:r>
      <w:r w:rsidR="007E4E98" w:rsidRPr="00574EFD">
        <w:rPr>
          <w:rFonts w:ascii="Arial" w:hAnsi="Arial" w:cs="Arial"/>
          <w:sz w:val="24"/>
          <w:szCs w:val="24"/>
        </w:rPr>
        <w:t>e</w:t>
      </w:r>
      <w:bookmarkEnd w:id="2"/>
    </w:p>
    <w:p w14:paraId="4EEBA268" w14:textId="77777777" w:rsidR="008B1A15" w:rsidRPr="00574EFD" w:rsidRDefault="008B1A15" w:rsidP="00574EFD">
      <w:pPr>
        <w:jc w:val="both"/>
        <w:rPr>
          <w:rFonts w:ascii="Arial" w:hAnsi="Arial" w:cs="Arial"/>
          <w:b/>
          <w:bCs/>
          <w:sz w:val="24"/>
          <w:szCs w:val="24"/>
        </w:rPr>
      </w:pPr>
    </w:p>
    <w:p w14:paraId="7BE9D565" w14:textId="77777777" w:rsidR="00701065" w:rsidRPr="00574EFD" w:rsidRDefault="00701065" w:rsidP="00574EFD">
      <w:pPr>
        <w:jc w:val="both"/>
        <w:rPr>
          <w:rFonts w:ascii="Arial" w:hAnsi="Arial" w:cs="Arial"/>
          <w:b/>
          <w:bCs/>
          <w:sz w:val="24"/>
          <w:szCs w:val="24"/>
        </w:rPr>
      </w:pPr>
    </w:p>
    <w:p w14:paraId="1B71AED2" w14:textId="452964AB" w:rsidR="008B1A15" w:rsidRPr="00574EFD" w:rsidRDefault="007E4E98" w:rsidP="00574EFD">
      <w:pPr>
        <w:jc w:val="both"/>
        <w:rPr>
          <w:rFonts w:ascii="Arial" w:hAnsi="Arial" w:cs="Arial"/>
          <w:b/>
          <w:bCs/>
          <w:sz w:val="24"/>
          <w:szCs w:val="24"/>
        </w:rPr>
      </w:pPr>
      <w:r w:rsidRPr="00574EFD">
        <w:rPr>
          <w:rFonts w:ascii="Arial" w:hAnsi="Arial" w:cs="Arial"/>
          <w:b/>
          <w:bCs/>
          <w:sz w:val="24"/>
          <w:szCs w:val="24"/>
        </w:rPr>
        <w:t>1.1 Understanding Customer Value</w:t>
      </w:r>
    </w:p>
    <w:p w14:paraId="40E99D30" w14:textId="77777777" w:rsidR="00701065" w:rsidRPr="00574EFD" w:rsidRDefault="00701065" w:rsidP="00574EFD">
      <w:pPr>
        <w:jc w:val="both"/>
        <w:rPr>
          <w:rFonts w:ascii="Arial" w:hAnsi="Arial" w:cs="Arial"/>
          <w:sz w:val="24"/>
          <w:szCs w:val="24"/>
        </w:rPr>
      </w:pPr>
    </w:p>
    <w:p w14:paraId="226B2A03" w14:textId="77777777" w:rsidR="008B1A15" w:rsidRPr="00574EFD" w:rsidRDefault="008B1A15" w:rsidP="00574EFD">
      <w:pPr>
        <w:jc w:val="both"/>
        <w:rPr>
          <w:rFonts w:ascii="Arial" w:hAnsi="Arial" w:cs="Arial"/>
          <w:sz w:val="24"/>
          <w:szCs w:val="24"/>
        </w:rPr>
      </w:pPr>
      <w:r w:rsidRPr="00574EFD">
        <w:rPr>
          <w:rFonts w:ascii="Arial" w:hAnsi="Arial" w:cs="Arial"/>
          <w:sz w:val="24"/>
          <w:szCs w:val="24"/>
        </w:rPr>
        <w:t>Customer value describes a customer’s assessment of the benefits received from a product or service compared with the sacrifices required to obtain it. These sacrifices may include price, time, effort and perceived risk. Zeithaml (1988) defines perceived value as the customer’s overall evaluation of a product’s utility based on what is received and what is given. Therefore, value is subjective rather than determined exclusively by the organisation. Two customers may purchase the same product but evaluate its value differently because they have different needs, expectations and previous experiences.</w:t>
      </w:r>
    </w:p>
    <w:p w14:paraId="671ACEE1" w14:textId="77777777" w:rsidR="009F2ABD" w:rsidRPr="00574EFD" w:rsidRDefault="009F2ABD" w:rsidP="00574EFD">
      <w:pPr>
        <w:jc w:val="both"/>
        <w:rPr>
          <w:rFonts w:ascii="Arial" w:hAnsi="Arial" w:cs="Arial"/>
          <w:sz w:val="24"/>
          <w:szCs w:val="24"/>
        </w:rPr>
      </w:pPr>
    </w:p>
    <w:p w14:paraId="24F3C198" w14:textId="41359E66" w:rsidR="009F2ABD" w:rsidRPr="00574EFD" w:rsidRDefault="009F2ABD" w:rsidP="00574EFD">
      <w:pPr>
        <w:jc w:val="both"/>
        <w:rPr>
          <w:rFonts w:ascii="Arial" w:hAnsi="Arial" w:cs="Arial"/>
          <w:sz w:val="24"/>
          <w:szCs w:val="24"/>
        </w:rPr>
      </w:pPr>
      <w:r w:rsidRPr="00574EFD">
        <w:rPr>
          <w:rFonts w:ascii="Arial" w:hAnsi="Arial" w:cs="Arial"/>
          <w:sz w:val="24"/>
          <w:szCs w:val="24"/>
        </w:rPr>
        <w:t>This multidimensional interpretation is supported by Sweeney and Soutar (2001), whose PERVAL framework distinguishes between functional value relating to quality and price, emotional value and social value. A customer may therefore consider a product valuable because it performs effectively, represents an acceptable financial sacrifice, creates positive feelings or supports social identity</w:t>
      </w:r>
      <w:r w:rsidR="0023241E">
        <w:rPr>
          <w:rFonts w:ascii="Arial" w:hAnsi="Arial" w:cs="Arial"/>
          <w:sz w:val="24"/>
          <w:szCs w:val="24"/>
        </w:rPr>
        <w:t>.</w:t>
      </w:r>
    </w:p>
    <w:p w14:paraId="043789B0" w14:textId="77777777" w:rsidR="008B1A15" w:rsidRPr="00574EFD" w:rsidRDefault="008B1A15" w:rsidP="00574EFD">
      <w:pPr>
        <w:jc w:val="both"/>
        <w:rPr>
          <w:rFonts w:ascii="Arial" w:hAnsi="Arial" w:cs="Arial"/>
          <w:sz w:val="24"/>
          <w:szCs w:val="24"/>
        </w:rPr>
      </w:pPr>
    </w:p>
    <w:p w14:paraId="1EBB70ED" w14:textId="22835E34" w:rsidR="006653B1" w:rsidRDefault="008B1A15" w:rsidP="00574EFD">
      <w:pPr>
        <w:jc w:val="both"/>
        <w:rPr>
          <w:rFonts w:ascii="Arial" w:hAnsi="Arial" w:cs="Arial"/>
          <w:sz w:val="24"/>
          <w:szCs w:val="24"/>
        </w:rPr>
      </w:pPr>
      <w:r w:rsidRPr="00574EFD">
        <w:rPr>
          <w:rFonts w:ascii="Arial" w:hAnsi="Arial" w:cs="Arial"/>
          <w:sz w:val="24"/>
          <w:szCs w:val="24"/>
        </w:rPr>
        <w:t>Woodruff (1997) further explains that customer value involves customers’ preferences for product attributes, performance and the consequences that support their goals. This indicates that value extends beyond product features. It includes whether the complete experience helps the customer achieve a desired outcome. Gallarza et al. (2011) similarly argue that customer value is complex and multidimensional, involving functional, emotional and social considerations.</w:t>
      </w:r>
    </w:p>
    <w:p w14:paraId="363E1FA1" w14:textId="77777777" w:rsidR="00FD6CCD" w:rsidRDefault="00FD6CCD" w:rsidP="00574EFD">
      <w:pPr>
        <w:jc w:val="both"/>
        <w:rPr>
          <w:rFonts w:ascii="Arial" w:hAnsi="Arial" w:cs="Arial"/>
          <w:sz w:val="24"/>
          <w:szCs w:val="24"/>
        </w:rPr>
      </w:pPr>
    </w:p>
    <w:p w14:paraId="06D52DA5" w14:textId="77777777" w:rsidR="00FD6CCD" w:rsidRDefault="00FD6CCD" w:rsidP="00574EFD">
      <w:pPr>
        <w:jc w:val="both"/>
        <w:rPr>
          <w:rFonts w:ascii="Arial" w:hAnsi="Arial" w:cs="Arial"/>
          <w:sz w:val="24"/>
          <w:szCs w:val="24"/>
        </w:rPr>
      </w:pPr>
    </w:p>
    <w:p w14:paraId="564F21A2" w14:textId="77777777" w:rsidR="00FD6CCD" w:rsidRDefault="00FD6CCD" w:rsidP="00574EFD">
      <w:pPr>
        <w:jc w:val="both"/>
        <w:rPr>
          <w:rFonts w:ascii="Arial" w:hAnsi="Arial" w:cs="Arial"/>
          <w:sz w:val="24"/>
          <w:szCs w:val="24"/>
        </w:rPr>
      </w:pPr>
    </w:p>
    <w:p w14:paraId="47E4EC5A" w14:textId="77777777" w:rsidR="00FD6CCD" w:rsidRPr="00574EFD" w:rsidRDefault="00FD6CCD" w:rsidP="00574EFD">
      <w:pPr>
        <w:jc w:val="both"/>
        <w:rPr>
          <w:rFonts w:ascii="Arial" w:hAnsi="Arial" w:cs="Arial"/>
          <w:sz w:val="24"/>
          <w:szCs w:val="24"/>
        </w:rPr>
      </w:pPr>
    </w:p>
    <w:p w14:paraId="69A73CDF" w14:textId="07C2E207" w:rsidR="007E4E98" w:rsidRPr="00574EFD" w:rsidRDefault="007E4E98" w:rsidP="00574EFD">
      <w:pPr>
        <w:jc w:val="both"/>
        <w:rPr>
          <w:rFonts w:ascii="Arial" w:hAnsi="Arial" w:cs="Arial"/>
          <w:b/>
          <w:bCs/>
          <w:sz w:val="24"/>
          <w:szCs w:val="24"/>
        </w:rPr>
      </w:pPr>
      <w:r w:rsidRPr="00574EFD">
        <w:rPr>
          <w:rFonts w:ascii="Arial" w:hAnsi="Arial" w:cs="Arial"/>
          <w:b/>
          <w:bCs/>
          <w:sz w:val="24"/>
          <w:szCs w:val="24"/>
        </w:rPr>
        <w:lastRenderedPageBreak/>
        <w:t xml:space="preserve">1.2 Creating </w:t>
      </w:r>
      <w:r w:rsidR="00314DBB" w:rsidRPr="00574EFD">
        <w:rPr>
          <w:rFonts w:ascii="Arial" w:hAnsi="Arial" w:cs="Arial"/>
          <w:b/>
          <w:bCs/>
          <w:sz w:val="24"/>
          <w:szCs w:val="24"/>
        </w:rPr>
        <w:t>C</w:t>
      </w:r>
      <w:r w:rsidRPr="00574EFD">
        <w:rPr>
          <w:rFonts w:ascii="Arial" w:hAnsi="Arial" w:cs="Arial"/>
          <w:b/>
          <w:bCs/>
          <w:sz w:val="24"/>
          <w:szCs w:val="24"/>
        </w:rPr>
        <w:t>ustomer Value</w:t>
      </w:r>
    </w:p>
    <w:p w14:paraId="3A6EB8C0" w14:textId="77777777" w:rsidR="006653B1" w:rsidRPr="00574EFD" w:rsidRDefault="006653B1" w:rsidP="00574EFD">
      <w:pPr>
        <w:jc w:val="both"/>
        <w:rPr>
          <w:rFonts w:ascii="Arial" w:hAnsi="Arial" w:cs="Arial"/>
          <w:b/>
          <w:bCs/>
          <w:sz w:val="24"/>
          <w:szCs w:val="24"/>
        </w:rPr>
      </w:pPr>
    </w:p>
    <w:p w14:paraId="73D21005" w14:textId="3675B7C1" w:rsidR="00C045C3" w:rsidRPr="00574EFD" w:rsidRDefault="00C045C3" w:rsidP="00574EFD">
      <w:pPr>
        <w:jc w:val="both"/>
        <w:rPr>
          <w:rFonts w:ascii="Arial" w:hAnsi="Arial" w:cs="Arial"/>
          <w:sz w:val="24"/>
          <w:szCs w:val="24"/>
        </w:rPr>
      </w:pPr>
      <w:r w:rsidRPr="00574EFD">
        <w:rPr>
          <w:rFonts w:ascii="Arial" w:hAnsi="Arial" w:cs="Arial"/>
          <w:sz w:val="24"/>
          <w:szCs w:val="24"/>
        </w:rPr>
        <w:t>Organisations create customer value by understanding customer needs and designing suitable combinations of products, services and experiences. This requires more than offering low prices. Value may be increased through product quality, convenience, trustworthy information, personalised support and effective communication. Woodruff (1997) suggests that organisations capable of learning what customers value are better positioned to establish a sustainable competitive advantage.</w:t>
      </w:r>
    </w:p>
    <w:p w14:paraId="79C32862" w14:textId="77777777" w:rsidR="00B90D63" w:rsidRPr="00574EFD" w:rsidRDefault="00B90D63" w:rsidP="00574EFD">
      <w:pPr>
        <w:jc w:val="both"/>
        <w:rPr>
          <w:rFonts w:ascii="Arial" w:hAnsi="Arial" w:cs="Arial"/>
          <w:sz w:val="24"/>
          <w:szCs w:val="24"/>
        </w:rPr>
      </w:pPr>
    </w:p>
    <w:p w14:paraId="70089906" w14:textId="274A3F5F" w:rsidR="00C045C3" w:rsidRPr="00574EFD" w:rsidRDefault="00E90FDA" w:rsidP="00574EFD">
      <w:pPr>
        <w:jc w:val="both"/>
        <w:rPr>
          <w:rFonts w:ascii="Arial" w:hAnsi="Arial" w:cs="Arial"/>
          <w:sz w:val="24"/>
          <w:szCs w:val="24"/>
        </w:rPr>
      </w:pPr>
      <w:r w:rsidRPr="00574EFD">
        <w:rPr>
          <w:rFonts w:ascii="Arial" w:hAnsi="Arial" w:cs="Arial"/>
          <w:sz w:val="24"/>
          <w:szCs w:val="24"/>
        </w:rPr>
        <w:t>Service-dominant logic provides a broader explanation of this process. Vargo and Lusch (2004) argue that value is not merely embedded within a product and transferred to a passive buyer. Instead, value emerges when customers combine an organisation’s resources with their own knowledge, circumstances and activities. Consequently, SNEP SPA may provide the product and supporting information, but the customer ultimately determines value through the product’s use and relevance to personal requirements.</w:t>
      </w:r>
    </w:p>
    <w:p w14:paraId="15477EFC" w14:textId="77777777" w:rsidR="00B90D63" w:rsidRPr="00574EFD" w:rsidRDefault="00B90D63" w:rsidP="00574EFD">
      <w:pPr>
        <w:jc w:val="both"/>
        <w:rPr>
          <w:rFonts w:ascii="Arial" w:hAnsi="Arial" w:cs="Arial"/>
          <w:sz w:val="24"/>
          <w:szCs w:val="24"/>
        </w:rPr>
      </w:pPr>
    </w:p>
    <w:p w14:paraId="7AD5AE19" w14:textId="2AA2BC32" w:rsidR="00B90D63" w:rsidRPr="00574EFD" w:rsidRDefault="001E6EFA" w:rsidP="00574EFD">
      <w:pPr>
        <w:jc w:val="both"/>
        <w:rPr>
          <w:rFonts w:ascii="Arial" w:hAnsi="Arial" w:cs="Arial"/>
          <w:sz w:val="24"/>
          <w:szCs w:val="24"/>
        </w:rPr>
      </w:pPr>
      <w:r w:rsidRPr="00574EFD">
        <w:rPr>
          <w:rFonts w:ascii="Arial" w:hAnsi="Arial" w:cs="Arial"/>
          <w:sz w:val="24"/>
          <w:szCs w:val="24"/>
        </w:rPr>
        <w:t>Value can also be co-created through interactions between customers and organisations. Rather than treating customers as passive recipients, co-creation allows them to contribute information, preferences and feedback that shape their experience (Sales-</w:t>
      </w:r>
      <w:proofErr w:type="spellStart"/>
      <w:r w:rsidRPr="00574EFD">
        <w:rPr>
          <w:rFonts w:ascii="Arial" w:hAnsi="Arial" w:cs="Arial"/>
          <w:sz w:val="24"/>
          <w:szCs w:val="24"/>
        </w:rPr>
        <w:t>Vivó</w:t>
      </w:r>
      <w:proofErr w:type="spellEnd"/>
      <w:r w:rsidRPr="00574EFD">
        <w:rPr>
          <w:rFonts w:ascii="Arial" w:hAnsi="Arial" w:cs="Arial"/>
          <w:sz w:val="24"/>
          <w:szCs w:val="24"/>
        </w:rPr>
        <w:t xml:space="preserve"> et al., 2021). However, value creation depends on the customer’s perception. An organisation may believe that it provides excellent service, but value is not achieved if the offering fails to satisfy the customer’s actual priorities.</w:t>
      </w:r>
    </w:p>
    <w:p w14:paraId="3A328EC6" w14:textId="77777777" w:rsidR="00E90FDA" w:rsidRPr="00574EFD" w:rsidRDefault="00E90FDA" w:rsidP="00574EFD">
      <w:pPr>
        <w:jc w:val="both"/>
        <w:rPr>
          <w:rFonts w:ascii="Arial" w:hAnsi="Arial" w:cs="Arial"/>
          <w:sz w:val="24"/>
          <w:szCs w:val="24"/>
        </w:rPr>
      </w:pPr>
    </w:p>
    <w:p w14:paraId="7692F49A" w14:textId="77777777" w:rsidR="00E9178F" w:rsidRPr="00574EFD" w:rsidRDefault="00E9178F" w:rsidP="00574EFD">
      <w:pPr>
        <w:jc w:val="both"/>
        <w:rPr>
          <w:rFonts w:ascii="Arial" w:hAnsi="Arial" w:cs="Arial"/>
          <w:sz w:val="24"/>
          <w:szCs w:val="24"/>
        </w:rPr>
      </w:pPr>
    </w:p>
    <w:p w14:paraId="47E9FBEC" w14:textId="3202F63A" w:rsidR="007E4E98" w:rsidRPr="00574EFD" w:rsidRDefault="007E4E98" w:rsidP="00574EFD">
      <w:pPr>
        <w:jc w:val="both"/>
        <w:rPr>
          <w:rFonts w:ascii="Arial" w:hAnsi="Arial" w:cs="Arial"/>
          <w:b/>
          <w:bCs/>
          <w:sz w:val="24"/>
          <w:szCs w:val="24"/>
        </w:rPr>
      </w:pPr>
      <w:r w:rsidRPr="00574EFD">
        <w:rPr>
          <w:rFonts w:ascii="Arial" w:hAnsi="Arial" w:cs="Arial"/>
          <w:b/>
          <w:bCs/>
          <w:sz w:val="24"/>
          <w:szCs w:val="24"/>
        </w:rPr>
        <w:t xml:space="preserve">1.3 </w:t>
      </w:r>
      <w:r w:rsidR="00F60F92" w:rsidRPr="00574EFD">
        <w:rPr>
          <w:rFonts w:ascii="Arial" w:hAnsi="Arial" w:cs="Arial"/>
          <w:b/>
          <w:bCs/>
          <w:sz w:val="24"/>
          <w:szCs w:val="24"/>
        </w:rPr>
        <w:t>The Customer Value Pyramid</w:t>
      </w:r>
    </w:p>
    <w:p w14:paraId="2B1B4472" w14:textId="77777777" w:rsidR="000229C7" w:rsidRPr="00574EFD" w:rsidRDefault="000229C7" w:rsidP="00574EFD">
      <w:pPr>
        <w:jc w:val="both"/>
        <w:rPr>
          <w:rFonts w:ascii="Arial" w:hAnsi="Arial" w:cs="Arial"/>
          <w:b/>
          <w:bCs/>
          <w:sz w:val="24"/>
          <w:szCs w:val="24"/>
        </w:rPr>
      </w:pPr>
    </w:p>
    <w:p w14:paraId="4FD5AF65" w14:textId="77777777" w:rsidR="006653B1" w:rsidRPr="00574EFD" w:rsidRDefault="006653B1" w:rsidP="00574EFD">
      <w:pPr>
        <w:jc w:val="both"/>
        <w:rPr>
          <w:rFonts w:ascii="Arial" w:hAnsi="Arial" w:cs="Arial"/>
          <w:b/>
          <w:bCs/>
          <w:sz w:val="24"/>
          <w:szCs w:val="24"/>
        </w:rPr>
      </w:pPr>
    </w:p>
    <w:p w14:paraId="5C320F96" w14:textId="2814C8ED" w:rsidR="009127B5" w:rsidRPr="00574EFD" w:rsidRDefault="009127B5" w:rsidP="00574EFD">
      <w:pPr>
        <w:jc w:val="both"/>
        <w:rPr>
          <w:rFonts w:ascii="Arial" w:hAnsi="Arial" w:cs="Arial"/>
          <w:sz w:val="24"/>
          <w:szCs w:val="24"/>
        </w:rPr>
      </w:pPr>
      <w:r w:rsidRPr="00574EFD">
        <w:rPr>
          <w:rFonts w:ascii="Arial" w:hAnsi="Arial" w:cs="Arial"/>
          <w:sz w:val="24"/>
          <w:szCs w:val="24"/>
        </w:rPr>
        <w:t>Almquist et al. (2016) developed the elements of value pyramid, which identifies 30 forms of value across four categories: functional, emotional, life-changing and social impact. Functional elements include saving time, simplifying activities, reducing effort and providing quality. Emotional value includes reducing anxiety, offering rewards and creating a sense of belonging. Life-changing value may involve motivation, hope or self-actualisation, while social-impact value concerns benefits extending beyond the individual.</w:t>
      </w:r>
    </w:p>
    <w:p w14:paraId="078CE5C2" w14:textId="77777777" w:rsidR="009127B5" w:rsidRPr="00574EFD" w:rsidRDefault="009127B5" w:rsidP="00574EFD">
      <w:pPr>
        <w:jc w:val="both"/>
        <w:rPr>
          <w:rFonts w:ascii="Arial" w:hAnsi="Arial" w:cs="Arial"/>
          <w:sz w:val="24"/>
          <w:szCs w:val="24"/>
        </w:rPr>
      </w:pPr>
    </w:p>
    <w:p w14:paraId="30FBA312" w14:textId="0BCECA89" w:rsidR="0065395F" w:rsidRPr="00FD6CCD" w:rsidRDefault="009127B5" w:rsidP="00574EFD">
      <w:pPr>
        <w:jc w:val="both"/>
        <w:rPr>
          <w:rFonts w:ascii="Arial" w:hAnsi="Arial" w:cs="Arial"/>
          <w:sz w:val="24"/>
          <w:szCs w:val="24"/>
        </w:rPr>
      </w:pPr>
      <w:r w:rsidRPr="00574EFD">
        <w:rPr>
          <w:rFonts w:ascii="Arial" w:hAnsi="Arial" w:cs="Arial"/>
          <w:sz w:val="24"/>
          <w:szCs w:val="24"/>
        </w:rPr>
        <w:lastRenderedPageBreak/>
        <w:t>The framework suggests that functional value provides an important foundation, while higher-level elements can create deeper customer connections. Nevertheless, the pyramid should not be interpreted as a fixed sequence. Customers may prioritise several elements simultaneously, and their preferences may change according to personal circumstances, culture and purchasing context. As a managerial framework rather than a universal measurement tool, it should be combined with direct customer research.</w:t>
      </w:r>
    </w:p>
    <w:p w14:paraId="1930E961" w14:textId="77777777" w:rsidR="0065395F" w:rsidRPr="00574EFD" w:rsidRDefault="0065395F" w:rsidP="00574EFD">
      <w:pPr>
        <w:jc w:val="both"/>
        <w:rPr>
          <w:rFonts w:ascii="Arial" w:hAnsi="Arial" w:cs="Arial"/>
          <w:b/>
          <w:bCs/>
          <w:sz w:val="24"/>
          <w:szCs w:val="24"/>
        </w:rPr>
      </w:pPr>
    </w:p>
    <w:p w14:paraId="38CB81E1" w14:textId="77777777" w:rsidR="0065395F" w:rsidRPr="00574EFD" w:rsidRDefault="0065395F" w:rsidP="00574EFD">
      <w:pPr>
        <w:jc w:val="both"/>
        <w:rPr>
          <w:rFonts w:ascii="Arial" w:hAnsi="Arial" w:cs="Arial"/>
          <w:b/>
          <w:bCs/>
          <w:sz w:val="24"/>
          <w:szCs w:val="24"/>
        </w:rPr>
      </w:pPr>
    </w:p>
    <w:p w14:paraId="1EF4EC69" w14:textId="5ED486FE" w:rsidR="00F60F92" w:rsidRPr="00574EFD" w:rsidRDefault="00F60F92" w:rsidP="00574EFD">
      <w:pPr>
        <w:jc w:val="both"/>
        <w:rPr>
          <w:rFonts w:ascii="Arial" w:hAnsi="Arial" w:cs="Arial"/>
          <w:b/>
          <w:bCs/>
          <w:sz w:val="24"/>
          <w:szCs w:val="24"/>
        </w:rPr>
      </w:pPr>
      <w:r w:rsidRPr="00574EFD">
        <w:rPr>
          <w:rFonts w:ascii="Arial" w:hAnsi="Arial" w:cs="Arial"/>
          <w:b/>
          <w:bCs/>
          <w:sz w:val="24"/>
          <w:szCs w:val="24"/>
        </w:rPr>
        <w:t xml:space="preserve">1.4 </w:t>
      </w:r>
      <w:r w:rsidR="005B3F0F" w:rsidRPr="00574EFD">
        <w:rPr>
          <w:rFonts w:ascii="Arial" w:hAnsi="Arial" w:cs="Arial"/>
          <w:b/>
          <w:bCs/>
          <w:sz w:val="24"/>
          <w:szCs w:val="24"/>
        </w:rPr>
        <w:t>Application to S</w:t>
      </w:r>
      <w:r w:rsidR="0018141A" w:rsidRPr="00574EFD">
        <w:rPr>
          <w:rFonts w:ascii="Arial" w:hAnsi="Arial" w:cs="Arial"/>
          <w:b/>
          <w:bCs/>
          <w:sz w:val="24"/>
          <w:szCs w:val="24"/>
        </w:rPr>
        <w:t>NEP SPA</w:t>
      </w:r>
    </w:p>
    <w:p w14:paraId="08BCA877" w14:textId="77777777" w:rsidR="00771C17" w:rsidRPr="00574EFD" w:rsidRDefault="00771C17" w:rsidP="00574EFD">
      <w:pPr>
        <w:jc w:val="both"/>
        <w:rPr>
          <w:rFonts w:ascii="Arial" w:hAnsi="Arial" w:cs="Arial"/>
          <w:sz w:val="24"/>
          <w:szCs w:val="24"/>
        </w:rPr>
      </w:pPr>
    </w:p>
    <w:p w14:paraId="60F9FE8F" w14:textId="77777777" w:rsidR="006F5C35" w:rsidRPr="00574EFD" w:rsidRDefault="006F5C35" w:rsidP="00574EFD">
      <w:pPr>
        <w:jc w:val="both"/>
        <w:rPr>
          <w:rFonts w:ascii="Arial" w:hAnsi="Arial" w:cs="Arial"/>
          <w:sz w:val="24"/>
          <w:szCs w:val="24"/>
        </w:rPr>
      </w:pPr>
    </w:p>
    <w:p w14:paraId="5C214352" w14:textId="6D0BC841" w:rsidR="003B725D" w:rsidRPr="00574EFD" w:rsidRDefault="003B725D" w:rsidP="00574EFD">
      <w:pPr>
        <w:spacing w:line="360" w:lineRule="auto"/>
        <w:jc w:val="both"/>
        <w:rPr>
          <w:rFonts w:ascii="Arial" w:hAnsi="Arial" w:cs="Arial"/>
          <w:sz w:val="24"/>
          <w:szCs w:val="24"/>
        </w:rPr>
      </w:pPr>
      <w:r w:rsidRPr="00574EFD">
        <w:rPr>
          <w:rFonts w:ascii="Arial" w:hAnsi="Arial" w:cs="Arial"/>
          <w:sz w:val="24"/>
          <w:szCs w:val="24"/>
        </w:rPr>
        <w:t>Within SNEP SPA, functional value may arise from the range of products available, convenient ordering and clear product information. The Brand Ambassador can strengthen this value by identifying customer requirements and explaining relevant product characteristics accurately. Customers should not be pressured towards products that do not correspond with their expressed needs or budgets.</w:t>
      </w:r>
    </w:p>
    <w:p w14:paraId="78A73E47" w14:textId="6E18FCB2" w:rsidR="004768F4" w:rsidRDefault="003B725D" w:rsidP="00574EFD">
      <w:pPr>
        <w:spacing w:line="360" w:lineRule="auto"/>
        <w:jc w:val="both"/>
        <w:rPr>
          <w:rFonts w:ascii="Arial" w:hAnsi="Arial" w:cs="Arial"/>
          <w:sz w:val="24"/>
          <w:szCs w:val="24"/>
        </w:rPr>
      </w:pPr>
      <w:r w:rsidRPr="00574EFD">
        <w:rPr>
          <w:rFonts w:ascii="Arial" w:hAnsi="Arial" w:cs="Arial"/>
          <w:sz w:val="24"/>
          <w:szCs w:val="24"/>
        </w:rPr>
        <w:t>Emotional value can be developed through approachable communication, responsive support and respectful follow-up. Personalised assistance may reduce uncertainty and help customers feel recognised rather than treated as individual sales transactions. Life-changing elements may include motivation and a sense of personal progress, although Brand Ambassadors must avoid exaggerated promises, particularly regarding wellness products.</w:t>
      </w:r>
    </w:p>
    <w:p w14:paraId="7D2A33E0" w14:textId="77777777" w:rsidR="0027000B" w:rsidRPr="00574EFD" w:rsidRDefault="0027000B" w:rsidP="00574EFD">
      <w:pPr>
        <w:spacing w:line="360" w:lineRule="auto"/>
        <w:jc w:val="both"/>
        <w:rPr>
          <w:rFonts w:ascii="Arial" w:hAnsi="Arial" w:cs="Arial"/>
          <w:sz w:val="24"/>
          <w:szCs w:val="24"/>
        </w:rPr>
      </w:pPr>
    </w:p>
    <w:p w14:paraId="78FB99C0" w14:textId="77777777" w:rsidR="003B725D" w:rsidRPr="00574EFD" w:rsidRDefault="003B725D" w:rsidP="00574EFD">
      <w:pPr>
        <w:spacing w:line="360" w:lineRule="auto"/>
        <w:jc w:val="both"/>
        <w:rPr>
          <w:rFonts w:ascii="Arial" w:hAnsi="Arial" w:cs="Arial"/>
          <w:sz w:val="24"/>
          <w:szCs w:val="24"/>
        </w:rPr>
      </w:pPr>
      <w:r w:rsidRPr="00574EFD">
        <w:rPr>
          <w:rFonts w:ascii="Arial" w:hAnsi="Arial" w:cs="Arial"/>
          <w:sz w:val="24"/>
          <w:szCs w:val="24"/>
        </w:rPr>
        <w:t>Value co-creation can occur when the Brand Ambassador listens to customer feedback, adapts communication and recommends solutions based on individual preferences. Customer information should then be used ethically to improve future interactions. Therefore, the Brand Ambassador’s contribution to value extends beyond selling products: it includes establishing trust, reducing purchasing effort and maintaining supportive relationships. This combination may differentiate the customer experience and encourage satisfaction, repeat purchasing and positive recommendations.</w:t>
      </w:r>
    </w:p>
    <w:p w14:paraId="40E47AE4" w14:textId="77777777" w:rsidR="000142F7" w:rsidRPr="00574EFD" w:rsidRDefault="000142F7" w:rsidP="00574EFD">
      <w:pPr>
        <w:spacing w:line="360" w:lineRule="auto"/>
        <w:jc w:val="both"/>
        <w:rPr>
          <w:rFonts w:ascii="Arial" w:hAnsi="Arial" w:cs="Arial"/>
          <w:sz w:val="24"/>
          <w:szCs w:val="24"/>
        </w:rPr>
      </w:pPr>
    </w:p>
    <w:p w14:paraId="1B54864C" w14:textId="1A0B3564" w:rsidR="000142F7" w:rsidRPr="00574EFD" w:rsidRDefault="000142F7" w:rsidP="00574EFD">
      <w:pPr>
        <w:spacing w:line="360" w:lineRule="auto"/>
        <w:jc w:val="both"/>
        <w:rPr>
          <w:rFonts w:ascii="Arial" w:hAnsi="Arial" w:cs="Arial"/>
          <w:sz w:val="24"/>
          <w:szCs w:val="24"/>
        </w:rPr>
      </w:pPr>
      <w:r w:rsidRPr="00574EFD">
        <w:rPr>
          <w:rFonts w:ascii="Arial" w:hAnsi="Arial" w:cs="Arial"/>
          <w:sz w:val="24"/>
          <w:szCs w:val="24"/>
        </w:rPr>
        <w:t>Customer value should also be understood as reciprocal. Kumar and Reinartz (2016) distinguish between the value created for customers and the value that customers provide to an organisation through purchasing, continued engagement, referrals and feedback. In SNEP SPA, the relationship should therefore produce benefits for both parties. Nevertheless, organisational value should not be prioritised at the expense of suitability, transparency or customer welfare.</w:t>
      </w:r>
    </w:p>
    <w:p w14:paraId="3302839A" w14:textId="3EB3569A" w:rsidR="00885114" w:rsidRPr="00574EFD" w:rsidRDefault="00885114" w:rsidP="00574EFD">
      <w:pPr>
        <w:spacing w:line="360" w:lineRule="auto"/>
        <w:jc w:val="both"/>
        <w:rPr>
          <w:rFonts w:ascii="Arial" w:hAnsi="Arial" w:cs="Arial"/>
          <w:sz w:val="24"/>
          <w:szCs w:val="24"/>
        </w:rPr>
      </w:pPr>
    </w:p>
    <w:p w14:paraId="0DAF5E45" w14:textId="520E22AA" w:rsidR="0030173B" w:rsidRPr="00574EFD" w:rsidRDefault="0030173B" w:rsidP="00574EFD">
      <w:pPr>
        <w:jc w:val="both"/>
        <w:rPr>
          <w:rFonts w:ascii="Arial" w:hAnsi="Arial" w:cs="Arial"/>
          <w:sz w:val="24"/>
          <w:szCs w:val="24"/>
        </w:rPr>
      </w:pPr>
      <w:bookmarkStart w:id="3" w:name="_Toc456901517"/>
    </w:p>
    <w:p w14:paraId="0354B88A" w14:textId="77777777" w:rsidR="0030173B" w:rsidRPr="00574EFD" w:rsidRDefault="0030173B" w:rsidP="00574EFD">
      <w:pPr>
        <w:jc w:val="both"/>
        <w:rPr>
          <w:rFonts w:ascii="Arial" w:hAnsi="Arial" w:cs="Arial"/>
          <w:sz w:val="24"/>
          <w:szCs w:val="24"/>
        </w:rPr>
      </w:pPr>
    </w:p>
    <w:p w14:paraId="6A57A2E4" w14:textId="5EB42D6D" w:rsidR="00D67E1F" w:rsidRPr="00574EFD" w:rsidRDefault="002049FE" w:rsidP="00574EFD">
      <w:pPr>
        <w:pStyle w:val="Heading2"/>
        <w:jc w:val="both"/>
        <w:rPr>
          <w:rFonts w:ascii="Arial" w:hAnsi="Arial" w:cs="Arial"/>
          <w:sz w:val="24"/>
          <w:szCs w:val="24"/>
        </w:rPr>
      </w:pPr>
      <w:bookmarkStart w:id="4" w:name="_Toc235957860"/>
      <w:bookmarkEnd w:id="3"/>
      <w:r w:rsidRPr="00574EFD">
        <w:rPr>
          <w:rFonts w:ascii="Arial" w:hAnsi="Arial" w:cs="Arial"/>
          <w:sz w:val="24"/>
          <w:szCs w:val="24"/>
        </w:rPr>
        <w:t>Section 2</w:t>
      </w:r>
      <w:r w:rsidR="00EC7101" w:rsidRPr="00574EFD">
        <w:rPr>
          <w:rFonts w:ascii="Arial" w:hAnsi="Arial" w:cs="Arial"/>
          <w:sz w:val="24"/>
          <w:szCs w:val="24"/>
        </w:rPr>
        <w:t xml:space="preserve">: </w:t>
      </w:r>
      <w:r w:rsidR="00407231" w:rsidRPr="00574EFD">
        <w:rPr>
          <w:rFonts w:ascii="Arial" w:hAnsi="Arial" w:cs="Arial"/>
          <w:sz w:val="24"/>
          <w:szCs w:val="24"/>
        </w:rPr>
        <w:t>CRM, Value and Purpose</w:t>
      </w:r>
      <w:bookmarkEnd w:id="4"/>
    </w:p>
    <w:p w14:paraId="71256C01" w14:textId="77777777" w:rsidR="00DF1BF5" w:rsidRPr="00574EFD" w:rsidRDefault="00DF1BF5" w:rsidP="00574EFD">
      <w:pPr>
        <w:jc w:val="both"/>
        <w:rPr>
          <w:rFonts w:ascii="Arial" w:hAnsi="Arial" w:cs="Arial"/>
          <w:sz w:val="24"/>
          <w:szCs w:val="24"/>
        </w:rPr>
      </w:pPr>
    </w:p>
    <w:p w14:paraId="6E2C8087" w14:textId="77777777" w:rsidR="00DF1BF5" w:rsidRPr="00574EFD" w:rsidRDefault="00DF1BF5" w:rsidP="00574EFD">
      <w:pPr>
        <w:jc w:val="both"/>
        <w:rPr>
          <w:rFonts w:ascii="Arial" w:hAnsi="Arial" w:cs="Arial"/>
          <w:b/>
          <w:bCs/>
          <w:sz w:val="24"/>
          <w:szCs w:val="24"/>
        </w:rPr>
      </w:pPr>
    </w:p>
    <w:p w14:paraId="181D3109" w14:textId="20A7D9CC" w:rsidR="009B23B9" w:rsidRPr="00574EFD" w:rsidRDefault="0083040E" w:rsidP="00574EFD">
      <w:pPr>
        <w:jc w:val="both"/>
        <w:rPr>
          <w:rFonts w:ascii="Arial" w:hAnsi="Arial" w:cs="Arial"/>
          <w:b/>
          <w:bCs/>
          <w:sz w:val="24"/>
          <w:szCs w:val="24"/>
        </w:rPr>
      </w:pPr>
      <w:r w:rsidRPr="00574EFD">
        <w:rPr>
          <w:rFonts w:ascii="Arial" w:hAnsi="Arial" w:cs="Arial"/>
          <w:b/>
          <w:bCs/>
          <w:sz w:val="24"/>
          <w:szCs w:val="24"/>
        </w:rPr>
        <w:t>2.1 Customer</w:t>
      </w:r>
      <w:r w:rsidR="00D914DA" w:rsidRPr="00574EFD">
        <w:rPr>
          <w:rFonts w:ascii="Arial" w:hAnsi="Arial" w:cs="Arial"/>
          <w:b/>
          <w:bCs/>
          <w:sz w:val="24"/>
          <w:szCs w:val="24"/>
        </w:rPr>
        <w:t xml:space="preserve"> Relationship </w:t>
      </w:r>
      <w:r w:rsidRPr="00574EFD">
        <w:rPr>
          <w:rFonts w:ascii="Arial" w:hAnsi="Arial" w:cs="Arial"/>
          <w:b/>
          <w:bCs/>
          <w:sz w:val="24"/>
          <w:szCs w:val="24"/>
        </w:rPr>
        <w:t>Management (CRM)</w:t>
      </w:r>
    </w:p>
    <w:p w14:paraId="15957F25" w14:textId="77777777" w:rsidR="00400A98" w:rsidRPr="00574EFD" w:rsidRDefault="00400A98" w:rsidP="00574EFD">
      <w:pPr>
        <w:jc w:val="both"/>
        <w:rPr>
          <w:rFonts w:ascii="Arial" w:hAnsi="Arial" w:cs="Arial"/>
          <w:sz w:val="24"/>
          <w:szCs w:val="24"/>
        </w:rPr>
      </w:pPr>
    </w:p>
    <w:p w14:paraId="66E183F6" w14:textId="0A2AE6EC" w:rsidR="00DF1BF5" w:rsidRPr="00574EFD" w:rsidRDefault="00DF1BF5" w:rsidP="00574EFD">
      <w:pPr>
        <w:jc w:val="both"/>
        <w:rPr>
          <w:rFonts w:ascii="Arial" w:hAnsi="Arial" w:cs="Arial"/>
          <w:sz w:val="24"/>
          <w:szCs w:val="24"/>
        </w:rPr>
      </w:pPr>
      <w:r w:rsidRPr="00574EFD">
        <w:rPr>
          <w:rFonts w:ascii="Arial" w:hAnsi="Arial" w:cs="Arial"/>
          <w:sz w:val="24"/>
          <w:szCs w:val="24"/>
        </w:rPr>
        <w:t>Customer relationship management (CRM) is a strategic approach through which an organisation develops and maintains valuable relationships with selected customers. Although CRM is frequently associated with databases and software, Payne and Frow (2005) argue that it should be understood as a cross-functional strategy integrating people, processes, technology and customer information. Their framework identifies five interconnected CRM processes: strategy development, value creation, multi</w:t>
      </w:r>
      <w:r w:rsidR="00E014E3">
        <w:rPr>
          <w:rFonts w:ascii="Arial" w:hAnsi="Arial" w:cs="Arial"/>
          <w:sz w:val="24"/>
          <w:szCs w:val="24"/>
        </w:rPr>
        <w:t>-</w:t>
      </w:r>
      <w:r w:rsidRPr="00574EFD">
        <w:rPr>
          <w:rFonts w:ascii="Arial" w:hAnsi="Arial" w:cs="Arial"/>
          <w:sz w:val="24"/>
          <w:szCs w:val="24"/>
        </w:rPr>
        <w:t>channel integration, information management and performance assessment. Therefore, technology supports CRM but does not replace relationship-building activities.</w:t>
      </w:r>
    </w:p>
    <w:p w14:paraId="3207CEB5" w14:textId="77777777" w:rsidR="00DF1BF5" w:rsidRPr="00574EFD" w:rsidRDefault="00DF1BF5" w:rsidP="00574EFD">
      <w:pPr>
        <w:jc w:val="both"/>
        <w:rPr>
          <w:rFonts w:ascii="Arial" w:hAnsi="Arial" w:cs="Arial"/>
          <w:sz w:val="24"/>
          <w:szCs w:val="24"/>
        </w:rPr>
      </w:pPr>
    </w:p>
    <w:p w14:paraId="4BBFB3F3" w14:textId="7EE2A7F2" w:rsidR="00400A98" w:rsidRPr="00574EFD" w:rsidRDefault="00400A98" w:rsidP="00574EFD">
      <w:pPr>
        <w:jc w:val="both"/>
        <w:rPr>
          <w:rFonts w:ascii="Arial" w:hAnsi="Arial" w:cs="Arial"/>
          <w:sz w:val="24"/>
          <w:szCs w:val="24"/>
        </w:rPr>
      </w:pPr>
      <w:r w:rsidRPr="00574EFD">
        <w:rPr>
          <w:rFonts w:ascii="Arial" w:hAnsi="Arial" w:cs="Arial"/>
          <w:sz w:val="24"/>
          <w:szCs w:val="24"/>
        </w:rPr>
        <w:t>CRM enables organisations to develop a more detailed understanding of customer preferences, purchase histories, communication patterns and changing requirements. This information can support more relevant interactions and reduce inappropriate or repetitive marketing. Nevertheless, collecting customer data does not automatically create strong relationships. Verhoef (2003) found that certain CRM activities can support retention and customer-share development, but their effects may be relatively limited. This suggests that frequent promotional communication should not be mistaken for meaningful customer engagement.</w:t>
      </w:r>
    </w:p>
    <w:p w14:paraId="6D7D62DF" w14:textId="77777777" w:rsidR="00400A98" w:rsidRPr="00574EFD" w:rsidRDefault="00400A98" w:rsidP="00574EFD">
      <w:pPr>
        <w:jc w:val="both"/>
        <w:rPr>
          <w:rFonts w:ascii="Arial" w:hAnsi="Arial" w:cs="Arial"/>
          <w:sz w:val="24"/>
          <w:szCs w:val="24"/>
        </w:rPr>
      </w:pPr>
    </w:p>
    <w:p w14:paraId="060D1BD1" w14:textId="77777777" w:rsidR="00400A98" w:rsidRPr="00574EFD" w:rsidRDefault="00400A98" w:rsidP="00574EFD">
      <w:pPr>
        <w:jc w:val="both"/>
        <w:rPr>
          <w:rFonts w:ascii="Arial" w:hAnsi="Arial" w:cs="Arial"/>
          <w:sz w:val="24"/>
          <w:szCs w:val="24"/>
        </w:rPr>
      </w:pPr>
    </w:p>
    <w:p w14:paraId="3D696141" w14:textId="11FA8AA3" w:rsidR="00B5295E" w:rsidRPr="00574EFD" w:rsidRDefault="0083040E" w:rsidP="00574EFD">
      <w:pPr>
        <w:jc w:val="both"/>
        <w:rPr>
          <w:rFonts w:ascii="Arial" w:hAnsi="Arial" w:cs="Arial"/>
          <w:b/>
          <w:bCs/>
          <w:sz w:val="24"/>
          <w:szCs w:val="24"/>
        </w:rPr>
      </w:pPr>
      <w:r w:rsidRPr="00574EFD">
        <w:rPr>
          <w:rFonts w:ascii="Arial" w:hAnsi="Arial" w:cs="Arial"/>
          <w:b/>
          <w:bCs/>
          <w:sz w:val="24"/>
          <w:szCs w:val="24"/>
        </w:rPr>
        <w:t xml:space="preserve">2.2 </w:t>
      </w:r>
      <w:r w:rsidR="00A262ED" w:rsidRPr="00574EFD">
        <w:rPr>
          <w:rFonts w:ascii="Arial" w:hAnsi="Arial" w:cs="Arial"/>
          <w:b/>
          <w:bCs/>
          <w:sz w:val="24"/>
          <w:szCs w:val="24"/>
        </w:rPr>
        <w:t>The relatio</w:t>
      </w:r>
      <w:r w:rsidR="00E30D12" w:rsidRPr="00574EFD">
        <w:rPr>
          <w:rFonts w:ascii="Arial" w:hAnsi="Arial" w:cs="Arial"/>
          <w:b/>
          <w:bCs/>
          <w:sz w:val="24"/>
          <w:szCs w:val="24"/>
        </w:rPr>
        <w:t>nship between CRM and Customer Value</w:t>
      </w:r>
    </w:p>
    <w:p w14:paraId="469C3F31" w14:textId="77777777" w:rsidR="00FC78DD" w:rsidRPr="00574EFD" w:rsidRDefault="00FC78DD" w:rsidP="00574EFD">
      <w:pPr>
        <w:jc w:val="both"/>
        <w:rPr>
          <w:rFonts w:ascii="Arial" w:hAnsi="Arial" w:cs="Arial"/>
          <w:b/>
          <w:bCs/>
          <w:sz w:val="24"/>
          <w:szCs w:val="24"/>
        </w:rPr>
      </w:pPr>
    </w:p>
    <w:p w14:paraId="53936C27" w14:textId="77777777" w:rsidR="00092C46" w:rsidRPr="00574EFD" w:rsidRDefault="00092C46" w:rsidP="00574EFD">
      <w:pPr>
        <w:jc w:val="both"/>
        <w:rPr>
          <w:rFonts w:ascii="Arial" w:hAnsi="Arial" w:cs="Arial"/>
          <w:sz w:val="24"/>
          <w:szCs w:val="24"/>
        </w:rPr>
      </w:pPr>
      <w:r w:rsidRPr="00574EFD">
        <w:rPr>
          <w:rFonts w:ascii="Arial" w:hAnsi="Arial" w:cs="Arial"/>
          <w:sz w:val="24"/>
          <w:szCs w:val="24"/>
        </w:rPr>
        <w:t>CRM and customer value are closely connected because customer knowledge enables an organisation to design more appropriate value propositions. Payne and Frow (2005) position value creation as a central CRM process in which value should be produced for both the customer and the organisation. Customers may receive relevance, convenience and personalised support, while the organisation may benefit from repeat purchasing, referrals and feedback.</w:t>
      </w:r>
    </w:p>
    <w:p w14:paraId="59A9016A" w14:textId="77777777" w:rsidR="00092C46" w:rsidRPr="00574EFD" w:rsidRDefault="00092C46" w:rsidP="00574EFD">
      <w:pPr>
        <w:jc w:val="both"/>
        <w:rPr>
          <w:rFonts w:ascii="Arial" w:hAnsi="Arial" w:cs="Arial"/>
          <w:sz w:val="24"/>
          <w:szCs w:val="24"/>
        </w:rPr>
      </w:pPr>
    </w:p>
    <w:p w14:paraId="4B4BF17F" w14:textId="43A812E7" w:rsidR="00400A98" w:rsidRPr="00574EFD" w:rsidRDefault="00092C46" w:rsidP="00574EFD">
      <w:pPr>
        <w:jc w:val="both"/>
        <w:rPr>
          <w:rFonts w:ascii="Arial" w:hAnsi="Arial" w:cs="Arial"/>
          <w:sz w:val="24"/>
          <w:szCs w:val="24"/>
        </w:rPr>
      </w:pPr>
      <w:r w:rsidRPr="00574EFD">
        <w:rPr>
          <w:rFonts w:ascii="Arial" w:hAnsi="Arial" w:cs="Arial"/>
          <w:sz w:val="24"/>
          <w:szCs w:val="24"/>
        </w:rPr>
        <w:t>Kumar and Reinartz (2016) similarly distinguish between value created for customers and value obtained from customers. However, this reciprocal approach creates a potential tension. If CRM is used primarily to maximise sales, customers may perceive communications as intrusive or manipulative. Sustainable value therefore requires transparency, customer choice and responsible information management.</w:t>
      </w:r>
    </w:p>
    <w:p w14:paraId="302E36C7" w14:textId="77777777" w:rsidR="00B5295E" w:rsidRPr="00574EFD" w:rsidRDefault="00B5295E" w:rsidP="00574EFD">
      <w:pPr>
        <w:jc w:val="both"/>
        <w:rPr>
          <w:rFonts w:ascii="Arial" w:hAnsi="Arial" w:cs="Arial"/>
          <w:sz w:val="24"/>
          <w:szCs w:val="24"/>
        </w:rPr>
      </w:pPr>
    </w:p>
    <w:p w14:paraId="0BFE837E" w14:textId="77777777" w:rsidR="00B5295E" w:rsidRPr="00574EFD" w:rsidRDefault="00B5295E" w:rsidP="00574EFD">
      <w:pPr>
        <w:jc w:val="both"/>
        <w:rPr>
          <w:rFonts w:ascii="Arial" w:hAnsi="Arial" w:cs="Arial"/>
          <w:sz w:val="24"/>
          <w:szCs w:val="24"/>
        </w:rPr>
      </w:pPr>
    </w:p>
    <w:p w14:paraId="57B00131" w14:textId="1A1A3E73" w:rsidR="00E30D12" w:rsidRPr="00574EFD" w:rsidRDefault="00E30D12" w:rsidP="00574EFD">
      <w:pPr>
        <w:jc w:val="both"/>
        <w:rPr>
          <w:rFonts w:ascii="Arial" w:hAnsi="Arial" w:cs="Arial"/>
          <w:b/>
          <w:bCs/>
          <w:sz w:val="24"/>
          <w:szCs w:val="24"/>
        </w:rPr>
      </w:pPr>
      <w:r w:rsidRPr="00574EFD">
        <w:rPr>
          <w:rFonts w:ascii="Arial" w:hAnsi="Arial" w:cs="Arial"/>
          <w:b/>
          <w:bCs/>
          <w:sz w:val="24"/>
          <w:szCs w:val="24"/>
        </w:rPr>
        <w:t xml:space="preserve">2.3 </w:t>
      </w:r>
      <w:r w:rsidR="008724D4" w:rsidRPr="00574EFD">
        <w:rPr>
          <w:rFonts w:ascii="Arial" w:hAnsi="Arial" w:cs="Arial"/>
          <w:b/>
          <w:bCs/>
          <w:sz w:val="24"/>
          <w:szCs w:val="24"/>
        </w:rPr>
        <w:t xml:space="preserve">Organisational </w:t>
      </w:r>
      <w:r w:rsidR="0044431A" w:rsidRPr="00574EFD">
        <w:rPr>
          <w:rFonts w:ascii="Arial" w:hAnsi="Arial" w:cs="Arial"/>
          <w:b/>
          <w:bCs/>
          <w:sz w:val="24"/>
          <w:szCs w:val="24"/>
        </w:rPr>
        <w:t>P</w:t>
      </w:r>
      <w:r w:rsidR="008724D4" w:rsidRPr="00574EFD">
        <w:rPr>
          <w:rFonts w:ascii="Arial" w:hAnsi="Arial" w:cs="Arial"/>
          <w:b/>
          <w:bCs/>
          <w:sz w:val="24"/>
          <w:szCs w:val="24"/>
        </w:rPr>
        <w:t xml:space="preserve">urpose and </w:t>
      </w:r>
      <w:r w:rsidR="0044431A" w:rsidRPr="00574EFD">
        <w:rPr>
          <w:rFonts w:ascii="Arial" w:hAnsi="Arial" w:cs="Arial"/>
          <w:b/>
          <w:bCs/>
          <w:sz w:val="24"/>
          <w:szCs w:val="24"/>
        </w:rPr>
        <w:t>Customer Relationships</w:t>
      </w:r>
    </w:p>
    <w:p w14:paraId="5AC6C93A" w14:textId="77777777" w:rsidR="00B5295E" w:rsidRPr="00574EFD" w:rsidRDefault="00B5295E" w:rsidP="00574EFD">
      <w:pPr>
        <w:jc w:val="both"/>
        <w:rPr>
          <w:rFonts w:ascii="Arial" w:hAnsi="Arial" w:cs="Arial"/>
          <w:sz w:val="24"/>
          <w:szCs w:val="24"/>
        </w:rPr>
      </w:pPr>
    </w:p>
    <w:p w14:paraId="2FA222F4" w14:textId="77777777" w:rsidR="006A1A3E" w:rsidRPr="00574EFD" w:rsidRDefault="006A1A3E" w:rsidP="00574EFD">
      <w:pPr>
        <w:jc w:val="both"/>
        <w:rPr>
          <w:rFonts w:ascii="Arial" w:hAnsi="Arial" w:cs="Arial"/>
          <w:sz w:val="24"/>
          <w:szCs w:val="24"/>
        </w:rPr>
      </w:pPr>
      <w:r w:rsidRPr="00574EFD">
        <w:rPr>
          <w:rFonts w:ascii="Arial" w:hAnsi="Arial" w:cs="Arial"/>
          <w:sz w:val="24"/>
          <w:szCs w:val="24"/>
        </w:rPr>
        <w:t>Organisational purpose explains why an organisation exists and the wider contribution it seeks to make beyond individual transactions. Hollensbe et al. (2014) argue that purpose can connect organisational identity, values and activities to the interests of relevant stakeholders. In customer relationships, purpose provides direction for deciding what type of value should be created and how customers should be treated.</w:t>
      </w:r>
    </w:p>
    <w:p w14:paraId="7A23C3E1" w14:textId="77777777" w:rsidR="006A1A3E" w:rsidRPr="00574EFD" w:rsidRDefault="006A1A3E" w:rsidP="00574EFD">
      <w:pPr>
        <w:jc w:val="both"/>
        <w:rPr>
          <w:rFonts w:ascii="Arial" w:hAnsi="Arial" w:cs="Arial"/>
          <w:sz w:val="24"/>
          <w:szCs w:val="24"/>
        </w:rPr>
      </w:pPr>
    </w:p>
    <w:p w14:paraId="233717FC" w14:textId="491E7564" w:rsidR="00B5295E" w:rsidRPr="00574EFD" w:rsidRDefault="006A1A3E" w:rsidP="00574EFD">
      <w:pPr>
        <w:jc w:val="both"/>
        <w:rPr>
          <w:rFonts w:ascii="Arial" w:hAnsi="Arial" w:cs="Arial"/>
          <w:sz w:val="24"/>
          <w:szCs w:val="24"/>
        </w:rPr>
      </w:pPr>
      <w:r w:rsidRPr="00574EFD">
        <w:rPr>
          <w:rFonts w:ascii="Arial" w:hAnsi="Arial" w:cs="Arial"/>
          <w:sz w:val="24"/>
          <w:szCs w:val="24"/>
        </w:rPr>
        <w:t>Purpose is credible only when it is reflected in organisational behaviour. A business cannot demonstrate a customer-focused purpose if sales targets are consistently placed above customer suitability. Accordingly, purpose should influence product communication, service standards, complaint handling and the ethical use of customer information.</w:t>
      </w:r>
    </w:p>
    <w:p w14:paraId="724B7F8F" w14:textId="77777777" w:rsidR="006A1A3E" w:rsidRPr="00574EFD" w:rsidRDefault="006A1A3E" w:rsidP="00574EFD">
      <w:pPr>
        <w:jc w:val="both"/>
        <w:rPr>
          <w:rFonts w:ascii="Arial" w:hAnsi="Arial" w:cs="Arial"/>
          <w:sz w:val="24"/>
          <w:szCs w:val="24"/>
        </w:rPr>
      </w:pPr>
    </w:p>
    <w:p w14:paraId="4B8572D9" w14:textId="77777777" w:rsidR="006A1A3E" w:rsidRDefault="006A1A3E" w:rsidP="00574EFD">
      <w:pPr>
        <w:jc w:val="both"/>
        <w:rPr>
          <w:rFonts w:ascii="Arial" w:hAnsi="Arial" w:cs="Arial"/>
          <w:sz w:val="24"/>
          <w:szCs w:val="24"/>
        </w:rPr>
      </w:pPr>
    </w:p>
    <w:p w14:paraId="3E8E40F6" w14:textId="77777777" w:rsidR="0007735C" w:rsidRDefault="0007735C" w:rsidP="00574EFD">
      <w:pPr>
        <w:jc w:val="both"/>
        <w:rPr>
          <w:rFonts w:ascii="Arial" w:hAnsi="Arial" w:cs="Arial"/>
          <w:sz w:val="24"/>
          <w:szCs w:val="24"/>
        </w:rPr>
      </w:pPr>
    </w:p>
    <w:p w14:paraId="3D3940B7" w14:textId="77777777" w:rsidR="0007735C" w:rsidRPr="00574EFD" w:rsidRDefault="0007735C" w:rsidP="00574EFD">
      <w:pPr>
        <w:jc w:val="both"/>
        <w:rPr>
          <w:rFonts w:ascii="Arial" w:hAnsi="Arial" w:cs="Arial"/>
          <w:sz w:val="24"/>
          <w:szCs w:val="24"/>
        </w:rPr>
      </w:pPr>
    </w:p>
    <w:p w14:paraId="07EDA37C" w14:textId="0F12D3AE" w:rsidR="0044431A" w:rsidRPr="00574EFD" w:rsidRDefault="0044431A" w:rsidP="00574EFD">
      <w:pPr>
        <w:jc w:val="both"/>
        <w:rPr>
          <w:rFonts w:ascii="Arial" w:hAnsi="Arial" w:cs="Arial"/>
          <w:b/>
          <w:bCs/>
          <w:sz w:val="24"/>
          <w:szCs w:val="24"/>
        </w:rPr>
      </w:pPr>
      <w:r w:rsidRPr="00574EFD">
        <w:rPr>
          <w:rFonts w:ascii="Arial" w:hAnsi="Arial" w:cs="Arial"/>
          <w:b/>
          <w:bCs/>
          <w:sz w:val="24"/>
          <w:szCs w:val="24"/>
        </w:rPr>
        <w:lastRenderedPageBreak/>
        <w:t xml:space="preserve">2.4 </w:t>
      </w:r>
      <w:r w:rsidR="006C237A" w:rsidRPr="00574EFD">
        <w:rPr>
          <w:rFonts w:ascii="Arial" w:hAnsi="Arial" w:cs="Arial"/>
          <w:b/>
          <w:bCs/>
          <w:sz w:val="24"/>
          <w:szCs w:val="24"/>
        </w:rPr>
        <w:t>CRM within S</w:t>
      </w:r>
      <w:r w:rsidR="0018141A" w:rsidRPr="00574EFD">
        <w:rPr>
          <w:rFonts w:ascii="Arial" w:hAnsi="Arial" w:cs="Arial"/>
          <w:b/>
          <w:bCs/>
          <w:sz w:val="24"/>
          <w:szCs w:val="24"/>
        </w:rPr>
        <w:t>NEP SPA</w:t>
      </w:r>
    </w:p>
    <w:p w14:paraId="6FD044C7" w14:textId="77777777" w:rsidR="0083040E" w:rsidRPr="00574EFD" w:rsidRDefault="0083040E" w:rsidP="00574EFD">
      <w:pPr>
        <w:jc w:val="both"/>
        <w:rPr>
          <w:rFonts w:ascii="Arial" w:hAnsi="Arial" w:cs="Arial"/>
          <w:b/>
          <w:bCs/>
          <w:sz w:val="24"/>
          <w:szCs w:val="24"/>
        </w:rPr>
      </w:pPr>
    </w:p>
    <w:p w14:paraId="17B02271" w14:textId="77777777" w:rsidR="002855F3" w:rsidRPr="00574EFD" w:rsidRDefault="002855F3" w:rsidP="00574EFD">
      <w:pPr>
        <w:jc w:val="both"/>
        <w:rPr>
          <w:rFonts w:ascii="Arial" w:hAnsi="Arial" w:cs="Arial"/>
          <w:b/>
          <w:bCs/>
          <w:sz w:val="24"/>
          <w:szCs w:val="24"/>
        </w:rPr>
      </w:pPr>
    </w:p>
    <w:p w14:paraId="4CD5BD1C" w14:textId="77777777" w:rsidR="007609A7" w:rsidRPr="00574EFD" w:rsidRDefault="007609A7" w:rsidP="00574EFD">
      <w:pPr>
        <w:jc w:val="both"/>
        <w:rPr>
          <w:rFonts w:ascii="Arial" w:hAnsi="Arial" w:cs="Arial"/>
          <w:sz w:val="24"/>
          <w:szCs w:val="24"/>
        </w:rPr>
      </w:pPr>
      <w:r w:rsidRPr="00574EFD">
        <w:rPr>
          <w:rFonts w:ascii="Arial" w:hAnsi="Arial" w:cs="Arial"/>
          <w:sz w:val="24"/>
          <w:szCs w:val="24"/>
        </w:rPr>
        <w:t>Within the SNEP SPA Brand Ambassador’s activities, CRM can begin with recording customer preferences, enquiries, purchases and feedback in an organised manner. The existing Microsoft Forms customer-preference questionnaire can support information collection, while Excel may help identify purchasing patterns and monitor follow-up activities. However, only relevant information should be collected, stored securely and used with the customer’s knowledge.</w:t>
      </w:r>
    </w:p>
    <w:p w14:paraId="3EC4AF9E" w14:textId="77777777" w:rsidR="007609A7" w:rsidRPr="00574EFD" w:rsidRDefault="007609A7" w:rsidP="00574EFD">
      <w:pPr>
        <w:jc w:val="both"/>
        <w:rPr>
          <w:rFonts w:ascii="Arial" w:hAnsi="Arial" w:cs="Arial"/>
          <w:sz w:val="24"/>
          <w:szCs w:val="24"/>
        </w:rPr>
      </w:pPr>
    </w:p>
    <w:p w14:paraId="1A920F13" w14:textId="77777777" w:rsidR="007609A7" w:rsidRPr="00574EFD" w:rsidRDefault="007609A7" w:rsidP="00574EFD">
      <w:pPr>
        <w:jc w:val="both"/>
        <w:rPr>
          <w:rFonts w:ascii="Arial" w:hAnsi="Arial" w:cs="Arial"/>
          <w:sz w:val="24"/>
          <w:szCs w:val="24"/>
        </w:rPr>
      </w:pPr>
      <w:r w:rsidRPr="00574EFD">
        <w:rPr>
          <w:rFonts w:ascii="Arial" w:hAnsi="Arial" w:cs="Arial"/>
          <w:sz w:val="24"/>
          <w:szCs w:val="24"/>
        </w:rPr>
        <w:t>The Brand Ambassador can apply CRM by using customer information to provide appropriate communication rather than sending identical promotions to every contact. For example, previous enquiries can guide future product information, while feedback can identify dissatisfaction or changing preferences. Communication may occur across face-to-face conversations, social media and the SNEP SPA ordering platform; therefore, consistency across these touchpoints is important.</w:t>
      </w:r>
    </w:p>
    <w:p w14:paraId="70591B19" w14:textId="77777777" w:rsidR="007609A7" w:rsidRPr="00574EFD" w:rsidRDefault="007609A7" w:rsidP="00574EFD">
      <w:pPr>
        <w:jc w:val="both"/>
        <w:rPr>
          <w:rFonts w:ascii="Arial" w:hAnsi="Arial" w:cs="Arial"/>
          <w:sz w:val="24"/>
          <w:szCs w:val="24"/>
        </w:rPr>
      </w:pPr>
    </w:p>
    <w:p w14:paraId="05E55303" w14:textId="77777777" w:rsidR="009F0F55" w:rsidRPr="00574EFD" w:rsidRDefault="009F0F55" w:rsidP="00574EFD">
      <w:pPr>
        <w:jc w:val="both"/>
        <w:rPr>
          <w:rFonts w:ascii="Arial" w:hAnsi="Arial" w:cs="Arial"/>
          <w:sz w:val="24"/>
          <w:szCs w:val="24"/>
        </w:rPr>
      </w:pPr>
    </w:p>
    <w:p w14:paraId="3E024F6F" w14:textId="77777777" w:rsidR="009F0F55" w:rsidRPr="00574EFD" w:rsidRDefault="009F0F55" w:rsidP="00574EFD">
      <w:pPr>
        <w:jc w:val="both"/>
        <w:rPr>
          <w:rFonts w:ascii="Arial" w:hAnsi="Arial" w:cs="Arial"/>
          <w:sz w:val="24"/>
          <w:szCs w:val="24"/>
        </w:rPr>
      </w:pPr>
    </w:p>
    <w:p w14:paraId="0C57A8FC" w14:textId="5538034A" w:rsidR="0030173B" w:rsidRPr="00574EFD" w:rsidRDefault="007609A7" w:rsidP="00574EFD">
      <w:pPr>
        <w:jc w:val="both"/>
        <w:rPr>
          <w:rFonts w:ascii="Arial" w:hAnsi="Arial" w:cs="Arial"/>
          <w:sz w:val="24"/>
          <w:szCs w:val="24"/>
        </w:rPr>
      </w:pPr>
      <w:r w:rsidRPr="00574EFD">
        <w:rPr>
          <w:rFonts w:ascii="Arial" w:hAnsi="Arial" w:cs="Arial"/>
          <w:sz w:val="24"/>
          <w:szCs w:val="24"/>
        </w:rPr>
        <w:t>CRM should also reflect a clear customer-related purpose. In practice, this means providing accurate information, avoiding unrealistic product claims and respecting a customer’s decision not to purchase. Performance should consequently be assessed through measures such as satisfaction, repeat contact, complaints, referrals and relationship quality, rather than sales revenue alone. This purpose-led approach can help transform CRM from a promotional database into a method for creating relevant, ethical and mutually beneficial customer relationships.</w:t>
      </w:r>
    </w:p>
    <w:p w14:paraId="3FA41E5E" w14:textId="688287FB" w:rsidR="0030173B" w:rsidRPr="00574EFD" w:rsidRDefault="0030173B" w:rsidP="00574EFD">
      <w:pPr>
        <w:spacing w:line="360" w:lineRule="auto"/>
        <w:jc w:val="both"/>
        <w:rPr>
          <w:rFonts w:ascii="Arial" w:hAnsi="Arial" w:cs="Arial"/>
          <w:sz w:val="24"/>
          <w:szCs w:val="24"/>
        </w:rPr>
      </w:pPr>
    </w:p>
    <w:p w14:paraId="72A7A396" w14:textId="77777777" w:rsidR="0030173B" w:rsidRDefault="0030173B" w:rsidP="00574EFD">
      <w:pPr>
        <w:spacing w:line="360" w:lineRule="auto"/>
        <w:jc w:val="both"/>
        <w:rPr>
          <w:rFonts w:ascii="Arial" w:hAnsi="Arial" w:cs="Arial"/>
          <w:sz w:val="24"/>
          <w:szCs w:val="24"/>
        </w:rPr>
      </w:pPr>
    </w:p>
    <w:p w14:paraId="08AB10F7" w14:textId="77777777" w:rsidR="0007735C" w:rsidRDefault="0007735C" w:rsidP="00574EFD">
      <w:pPr>
        <w:spacing w:line="360" w:lineRule="auto"/>
        <w:jc w:val="both"/>
        <w:rPr>
          <w:rFonts w:ascii="Arial" w:hAnsi="Arial" w:cs="Arial"/>
          <w:sz w:val="24"/>
          <w:szCs w:val="24"/>
        </w:rPr>
      </w:pPr>
    </w:p>
    <w:p w14:paraId="67AFBF70" w14:textId="77777777" w:rsidR="0007735C" w:rsidRDefault="0007735C" w:rsidP="00574EFD">
      <w:pPr>
        <w:spacing w:line="360" w:lineRule="auto"/>
        <w:jc w:val="both"/>
        <w:rPr>
          <w:rFonts w:ascii="Arial" w:hAnsi="Arial" w:cs="Arial"/>
          <w:sz w:val="24"/>
          <w:szCs w:val="24"/>
        </w:rPr>
      </w:pPr>
    </w:p>
    <w:p w14:paraId="583B908B" w14:textId="77777777" w:rsidR="0007735C" w:rsidRDefault="0007735C" w:rsidP="00574EFD">
      <w:pPr>
        <w:spacing w:line="360" w:lineRule="auto"/>
        <w:jc w:val="both"/>
        <w:rPr>
          <w:rFonts w:ascii="Arial" w:hAnsi="Arial" w:cs="Arial"/>
          <w:sz w:val="24"/>
          <w:szCs w:val="24"/>
        </w:rPr>
      </w:pPr>
    </w:p>
    <w:p w14:paraId="2750FA21" w14:textId="77777777" w:rsidR="0007735C" w:rsidRPr="00574EFD" w:rsidRDefault="0007735C" w:rsidP="00574EFD">
      <w:pPr>
        <w:spacing w:line="360" w:lineRule="auto"/>
        <w:jc w:val="both"/>
        <w:rPr>
          <w:rFonts w:ascii="Arial" w:hAnsi="Arial" w:cs="Arial"/>
          <w:sz w:val="24"/>
          <w:szCs w:val="24"/>
        </w:rPr>
      </w:pPr>
    </w:p>
    <w:p w14:paraId="5BD6C454" w14:textId="57D09808" w:rsidR="009556EE" w:rsidRPr="00574EFD" w:rsidRDefault="002049FE" w:rsidP="00574EFD">
      <w:pPr>
        <w:pStyle w:val="Heading2"/>
        <w:jc w:val="both"/>
        <w:rPr>
          <w:rFonts w:ascii="Arial" w:hAnsi="Arial" w:cs="Arial"/>
          <w:sz w:val="24"/>
          <w:szCs w:val="24"/>
        </w:rPr>
      </w:pPr>
      <w:bookmarkStart w:id="5" w:name="_Toc235957861"/>
      <w:r w:rsidRPr="00574EFD">
        <w:rPr>
          <w:rFonts w:ascii="Arial" w:hAnsi="Arial" w:cs="Arial"/>
          <w:sz w:val="24"/>
          <w:szCs w:val="24"/>
        </w:rPr>
        <w:lastRenderedPageBreak/>
        <w:t>Section 3</w:t>
      </w:r>
      <w:r w:rsidR="002F34B9" w:rsidRPr="00574EFD">
        <w:rPr>
          <w:rFonts w:ascii="Arial" w:hAnsi="Arial" w:cs="Arial"/>
          <w:sz w:val="24"/>
          <w:szCs w:val="24"/>
        </w:rPr>
        <w:t>: Customer Centrality</w:t>
      </w:r>
      <w:bookmarkEnd w:id="5"/>
    </w:p>
    <w:p w14:paraId="7F92628D" w14:textId="77777777" w:rsidR="00394C19" w:rsidRPr="00574EFD" w:rsidRDefault="00394C19" w:rsidP="00574EFD">
      <w:pPr>
        <w:jc w:val="both"/>
        <w:rPr>
          <w:rFonts w:ascii="Arial" w:hAnsi="Arial" w:cs="Arial"/>
          <w:sz w:val="24"/>
          <w:szCs w:val="24"/>
        </w:rPr>
      </w:pPr>
    </w:p>
    <w:p w14:paraId="5EE9366A" w14:textId="77777777" w:rsidR="00394C19" w:rsidRPr="00574EFD" w:rsidRDefault="00394C19" w:rsidP="00574EFD">
      <w:pPr>
        <w:jc w:val="both"/>
        <w:rPr>
          <w:rFonts w:ascii="Arial" w:hAnsi="Arial" w:cs="Arial"/>
          <w:b/>
          <w:bCs/>
          <w:sz w:val="24"/>
          <w:szCs w:val="24"/>
        </w:rPr>
      </w:pPr>
    </w:p>
    <w:p w14:paraId="61A352B1" w14:textId="59BCFFAF" w:rsidR="002F34B9" w:rsidRPr="00574EFD" w:rsidRDefault="002F34B9" w:rsidP="00574EFD">
      <w:pPr>
        <w:jc w:val="both"/>
        <w:rPr>
          <w:rFonts w:ascii="Arial" w:hAnsi="Arial" w:cs="Arial"/>
          <w:b/>
          <w:bCs/>
          <w:sz w:val="24"/>
          <w:szCs w:val="24"/>
        </w:rPr>
      </w:pPr>
      <w:r w:rsidRPr="00574EFD">
        <w:rPr>
          <w:rFonts w:ascii="Arial" w:hAnsi="Arial" w:cs="Arial"/>
          <w:b/>
          <w:bCs/>
          <w:sz w:val="24"/>
          <w:szCs w:val="24"/>
        </w:rPr>
        <w:t xml:space="preserve">3.1 </w:t>
      </w:r>
      <w:r w:rsidR="00CB64D4" w:rsidRPr="00574EFD">
        <w:rPr>
          <w:rFonts w:ascii="Arial" w:hAnsi="Arial" w:cs="Arial"/>
          <w:b/>
          <w:bCs/>
          <w:sz w:val="24"/>
          <w:szCs w:val="24"/>
        </w:rPr>
        <w:t>Understanding Customer Centrality</w:t>
      </w:r>
    </w:p>
    <w:p w14:paraId="2F4134CC" w14:textId="77777777" w:rsidR="00F72420" w:rsidRPr="00574EFD" w:rsidRDefault="00F72420" w:rsidP="00574EFD">
      <w:pPr>
        <w:jc w:val="both"/>
        <w:rPr>
          <w:rFonts w:ascii="Arial" w:hAnsi="Arial" w:cs="Arial"/>
          <w:b/>
          <w:bCs/>
          <w:sz w:val="24"/>
          <w:szCs w:val="24"/>
        </w:rPr>
      </w:pPr>
    </w:p>
    <w:p w14:paraId="72418A8C" w14:textId="77777777" w:rsidR="00F72420" w:rsidRPr="00574EFD" w:rsidRDefault="00F72420" w:rsidP="00574EFD">
      <w:pPr>
        <w:jc w:val="both"/>
        <w:rPr>
          <w:rFonts w:ascii="Arial" w:hAnsi="Arial" w:cs="Arial"/>
          <w:b/>
          <w:bCs/>
          <w:sz w:val="24"/>
          <w:szCs w:val="24"/>
        </w:rPr>
      </w:pPr>
    </w:p>
    <w:p w14:paraId="08EC7F59" w14:textId="77777777" w:rsidR="00F72420" w:rsidRPr="00574EFD" w:rsidRDefault="00F72420" w:rsidP="00574EFD">
      <w:pPr>
        <w:jc w:val="both"/>
        <w:rPr>
          <w:rFonts w:ascii="Arial" w:hAnsi="Arial" w:cs="Arial"/>
          <w:sz w:val="24"/>
          <w:szCs w:val="24"/>
        </w:rPr>
      </w:pPr>
      <w:r w:rsidRPr="00574EFD">
        <w:rPr>
          <w:rFonts w:ascii="Arial" w:hAnsi="Arial" w:cs="Arial"/>
          <w:sz w:val="24"/>
          <w:szCs w:val="24"/>
        </w:rPr>
        <w:t>Customer centrality is an organisational approach in which customer needs, experiences and long-term value are positioned at the centre of decision-making. It requires the organisation to design its culture, processes and performance measures around customers rather than concentrating exclusively on products or short-term sales. Shah et al. (2006) explain that becoming customer-centred requires changes to organisational culture, structure, processes and financial measures. For consistency with the terminology of this report, this approach is referred to as customer centrality.</w:t>
      </w:r>
    </w:p>
    <w:p w14:paraId="73DE2337" w14:textId="77777777" w:rsidR="00F72420" w:rsidRPr="00574EFD" w:rsidRDefault="00F72420" w:rsidP="00574EFD">
      <w:pPr>
        <w:jc w:val="both"/>
        <w:rPr>
          <w:rFonts w:ascii="Arial" w:hAnsi="Arial" w:cs="Arial"/>
          <w:sz w:val="24"/>
          <w:szCs w:val="24"/>
        </w:rPr>
      </w:pPr>
    </w:p>
    <w:p w14:paraId="766E3B9B" w14:textId="42A19CD3" w:rsidR="00B550FA" w:rsidRPr="00574EFD" w:rsidRDefault="00F72420" w:rsidP="00574EFD">
      <w:pPr>
        <w:jc w:val="both"/>
        <w:rPr>
          <w:rFonts w:ascii="Arial" w:hAnsi="Arial" w:cs="Arial"/>
          <w:sz w:val="24"/>
          <w:szCs w:val="24"/>
        </w:rPr>
      </w:pPr>
      <w:r w:rsidRPr="00574EFD">
        <w:rPr>
          <w:rFonts w:ascii="Arial" w:hAnsi="Arial" w:cs="Arial"/>
          <w:sz w:val="24"/>
          <w:szCs w:val="24"/>
        </w:rPr>
        <w:t>Customer centrality differs from basic customer service. Customer service may respond to an enquiry or problem, whereas customer centrality influences the complete customer journey, including product development, communication, purchasing and post-purchase support. It also requires information obtained from customers to shape future decisions.</w:t>
      </w:r>
    </w:p>
    <w:p w14:paraId="1652680A" w14:textId="77777777" w:rsidR="00412391" w:rsidRPr="00574EFD" w:rsidRDefault="00412391" w:rsidP="00574EFD">
      <w:pPr>
        <w:jc w:val="both"/>
        <w:rPr>
          <w:rFonts w:ascii="Arial" w:hAnsi="Arial" w:cs="Arial"/>
          <w:sz w:val="24"/>
          <w:szCs w:val="24"/>
        </w:rPr>
      </w:pPr>
    </w:p>
    <w:p w14:paraId="3A659F52" w14:textId="77777777" w:rsidR="00B550FA" w:rsidRPr="00574EFD" w:rsidRDefault="00B550FA" w:rsidP="00574EFD">
      <w:pPr>
        <w:jc w:val="both"/>
        <w:rPr>
          <w:rFonts w:ascii="Arial" w:hAnsi="Arial" w:cs="Arial"/>
          <w:sz w:val="24"/>
          <w:szCs w:val="24"/>
        </w:rPr>
      </w:pPr>
    </w:p>
    <w:p w14:paraId="031B59F1" w14:textId="749BA62A" w:rsidR="00CB64D4" w:rsidRPr="00574EFD" w:rsidRDefault="00CB64D4" w:rsidP="00574EFD">
      <w:pPr>
        <w:jc w:val="both"/>
        <w:rPr>
          <w:rFonts w:ascii="Arial" w:hAnsi="Arial" w:cs="Arial"/>
          <w:b/>
          <w:bCs/>
          <w:sz w:val="24"/>
          <w:szCs w:val="24"/>
        </w:rPr>
      </w:pPr>
      <w:r w:rsidRPr="00574EFD">
        <w:rPr>
          <w:rFonts w:ascii="Arial" w:hAnsi="Arial" w:cs="Arial"/>
          <w:b/>
          <w:bCs/>
          <w:sz w:val="24"/>
          <w:szCs w:val="24"/>
        </w:rPr>
        <w:t>3.2 Stages of Customer Ce</w:t>
      </w:r>
      <w:r w:rsidR="00917305" w:rsidRPr="00574EFD">
        <w:rPr>
          <w:rFonts w:ascii="Arial" w:hAnsi="Arial" w:cs="Arial"/>
          <w:b/>
          <w:bCs/>
          <w:sz w:val="24"/>
          <w:szCs w:val="24"/>
        </w:rPr>
        <w:t>ntrality</w:t>
      </w:r>
    </w:p>
    <w:p w14:paraId="10E6B637" w14:textId="77777777" w:rsidR="00F72420" w:rsidRPr="00574EFD" w:rsidRDefault="00F72420" w:rsidP="00574EFD">
      <w:pPr>
        <w:jc w:val="both"/>
        <w:rPr>
          <w:rFonts w:ascii="Arial" w:hAnsi="Arial" w:cs="Arial"/>
          <w:b/>
          <w:bCs/>
          <w:sz w:val="24"/>
          <w:szCs w:val="24"/>
        </w:rPr>
      </w:pPr>
    </w:p>
    <w:p w14:paraId="3F6A5C3D" w14:textId="030EDE0A" w:rsidR="00D94850" w:rsidRPr="00574EFD" w:rsidRDefault="00D94850" w:rsidP="00574EFD">
      <w:pPr>
        <w:jc w:val="both"/>
        <w:rPr>
          <w:rFonts w:ascii="Arial" w:hAnsi="Arial" w:cs="Arial"/>
          <w:sz w:val="24"/>
          <w:szCs w:val="24"/>
        </w:rPr>
      </w:pPr>
      <w:r w:rsidRPr="00574EFD">
        <w:rPr>
          <w:rFonts w:ascii="Arial" w:hAnsi="Arial" w:cs="Arial"/>
          <w:sz w:val="24"/>
          <w:szCs w:val="24"/>
        </w:rPr>
        <w:t>Customer relationships may progress through five stages, although not every customer will complete the entire cycle. The pre-relationship stage occurs before a transaction, when a prospective customer becomes aware of the organisation and evaluates whether its offering may be relevant. This corresponds with the awareness phase identified by Dwyer et al. (1987). Advertising, social-media content, recommendations and initial contact influence expectations at this stage.</w:t>
      </w:r>
    </w:p>
    <w:p w14:paraId="6E616E45" w14:textId="77777777" w:rsidR="00D94850" w:rsidRPr="00574EFD" w:rsidRDefault="00D94850" w:rsidP="00574EFD">
      <w:pPr>
        <w:jc w:val="both"/>
        <w:rPr>
          <w:rFonts w:ascii="Arial" w:hAnsi="Arial" w:cs="Arial"/>
          <w:sz w:val="24"/>
          <w:szCs w:val="24"/>
        </w:rPr>
      </w:pPr>
    </w:p>
    <w:p w14:paraId="2AD0434E" w14:textId="77777777" w:rsidR="00D94850" w:rsidRPr="00574EFD" w:rsidRDefault="00D94850" w:rsidP="00574EFD">
      <w:pPr>
        <w:jc w:val="both"/>
        <w:rPr>
          <w:rFonts w:ascii="Arial" w:hAnsi="Arial" w:cs="Arial"/>
          <w:sz w:val="24"/>
          <w:szCs w:val="24"/>
        </w:rPr>
      </w:pPr>
      <w:r w:rsidRPr="00574EFD">
        <w:rPr>
          <w:rFonts w:ascii="Arial" w:hAnsi="Arial" w:cs="Arial"/>
          <w:sz w:val="24"/>
          <w:szCs w:val="24"/>
        </w:rPr>
        <w:t>During the early stage, the customer searches for information, compares alternatives and may complete an initial purchase. This stage resembles exploration, when both parties assess the potential benefits and risks of further interaction (Dwyer et al., 1987). Trust remains limited, making accurate information and dependable service particularly important.</w:t>
      </w:r>
    </w:p>
    <w:p w14:paraId="12B2D317" w14:textId="77777777" w:rsidR="00D94850" w:rsidRPr="00574EFD" w:rsidRDefault="00D94850" w:rsidP="00574EFD">
      <w:pPr>
        <w:jc w:val="both"/>
        <w:rPr>
          <w:rFonts w:ascii="Arial" w:hAnsi="Arial" w:cs="Arial"/>
          <w:sz w:val="24"/>
          <w:szCs w:val="24"/>
        </w:rPr>
      </w:pPr>
    </w:p>
    <w:p w14:paraId="7158E554" w14:textId="77777777" w:rsidR="00D94850" w:rsidRPr="00574EFD" w:rsidRDefault="00D94850" w:rsidP="00574EFD">
      <w:pPr>
        <w:jc w:val="both"/>
        <w:rPr>
          <w:rFonts w:ascii="Arial" w:hAnsi="Arial" w:cs="Arial"/>
          <w:sz w:val="24"/>
          <w:szCs w:val="24"/>
        </w:rPr>
      </w:pPr>
      <w:r w:rsidRPr="00574EFD">
        <w:rPr>
          <w:rFonts w:ascii="Arial" w:hAnsi="Arial" w:cs="Arial"/>
          <w:sz w:val="24"/>
          <w:szCs w:val="24"/>
        </w:rPr>
        <w:lastRenderedPageBreak/>
        <w:t>The development stage involves increased interaction and repeated exchanges. Customers acquire greater knowledge of the organisation, while the seller develops a better understanding of their preferences. Positive experiences may gradually strengthen trust and satisfaction.</w:t>
      </w:r>
    </w:p>
    <w:p w14:paraId="7A62CEC2" w14:textId="77777777" w:rsidR="00D94850" w:rsidRPr="00574EFD" w:rsidRDefault="00D94850" w:rsidP="00574EFD">
      <w:pPr>
        <w:jc w:val="both"/>
        <w:rPr>
          <w:rFonts w:ascii="Arial" w:hAnsi="Arial" w:cs="Arial"/>
          <w:sz w:val="24"/>
          <w:szCs w:val="24"/>
        </w:rPr>
      </w:pPr>
    </w:p>
    <w:p w14:paraId="3BA2E36F" w14:textId="77777777" w:rsidR="00D94850" w:rsidRPr="00574EFD" w:rsidRDefault="00D94850" w:rsidP="00574EFD">
      <w:pPr>
        <w:jc w:val="both"/>
        <w:rPr>
          <w:rFonts w:ascii="Arial" w:hAnsi="Arial" w:cs="Arial"/>
          <w:sz w:val="24"/>
          <w:szCs w:val="24"/>
        </w:rPr>
      </w:pPr>
      <w:r w:rsidRPr="00574EFD">
        <w:rPr>
          <w:rFonts w:ascii="Arial" w:hAnsi="Arial" w:cs="Arial"/>
          <w:sz w:val="24"/>
          <w:szCs w:val="24"/>
        </w:rPr>
        <w:t>At the long-term stage, the relationship demonstrates greater continuity and commitment. Customers may make repeat purchases, provide feedback or recommend the organisation. However, long duration should not automatically be interpreted as genuine loyalty, because repeat purchasing may also result from habit or convenience.</w:t>
      </w:r>
    </w:p>
    <w:p w14:paraId="72FBF602" w14:textId="77777777" w:rsidR="00D94850" w:rsidRPr="00574EFD" w:rsidRDefault="00D94850" w:rsidP="00574EFD">
      <w:pPr>
        <w:jc w:val="both"/>
        <w:rPr>
          <w:rFonts w:ascii="Arial" w:hAnsi="Arial" w:cs="Arial"/>
          <w:sz w:val="24"/>
          <w:szCs w:val="24"/>
        </w:rPr>
      </w:pPr>
    </w:p>
    <w:p w14:paraId="7452C706" w14:textId="47199F04" w:rsidR="00F72420" w:rsidRPr="00574EFD" w:rsidRDefault="00D94850" w:rsidP="00574EFD">
      <w:pPr>
        <w:jc w:val="both"/>
        <w:rPr>
          <w:rFonts w:ascii="Arial" w:hAnsi="Arial" w:cs="Arial"/>
          <w:sz w:val="24"/>
          <w:szCs w:val="24"/>
        </w:rPr>
      </w:pPr>
      <w:r w:rsidRPr="00574EFD">
        <w:rPr>
          <w:rFonts w:ascii="Arial" w:hAnsi="Arial" w:cs="Arial"/>
          <w:sz w:val="24"/>
          <w:szCs w:val="24"/>
        </w:rPr>
        <w:t>The final stage occurs when the relationship becomes inactive or ends. Dwyer et al. (1987) describe this as dissolution. Causes may include dissatisfaction, changing requirements, competitive alternatives or reduced contact. Customer centrality remains relevant because respectful handling of disengagement can protect trust and provide information for service improvement.</w:t>
      </w:r>
    </w:p>
    <w:p w14:paraId="38B84A0B" w14:textId="77777777" w:rsidR="00B550FA" w:rsidRPr="00574EFD" w:rsidRDefault="00B550FA" w:rsidP="00574EFD">
      <w:pPr>
        <w:jc w:val="both"/>
        <w:rPr>
          <w:rFonts w:ascii="Arial" w:hAnsi="Arial" w:cs="Arial"/>
          <w:sz w:val="24"/>
          <w:szCs w:val="24"/>
        </w:rPr>
      </w:pPr>
    </w:p>
    <w:p w14:paraId="5BE97349" w14:textId="77777777" w:rsidR="009D3911" w:rsidRPr="00574EFD" w:rsidRDefault="009D3911" w:rsidP="00574EFD">
      <w:pPr>
        <w:jc w:val="both"/>
        <w:rPr>
          <w:rFonts w:ascii="Arial" w:hAnsi="Arial" w:cs="Arial"/>
          <w:sz w:val="24"/>
          <w:szCs w:val="24"/>
        </w:rPr>
      </w:pPr>
    </w:p>
    <w:p w14:paraId="1BBC0705" w14:textId="4EF0D811" w:rsidR="00917305" w:rsidRPr="00574EFD" w:rsidRDefault="00917305" w:rsidP="00574EFD">
      <w:pPr>
        <w:jc w:val="both"/>
        <w:rPr>
          <w:rFonts w:ascii="Arial" w:hAnsi="Arial" w:cs="Arial"/>
          <w:b/>
          <w:bCs/>
          <w:sz w:val="24"/>
          <w:szCs w:val="24"/>
        </w:rPr>
      </w:pPr>
      <w:r w:rsidRPr="00574EFD">
        <w:rPr>
          <w:rFonts w:ascii="Arial" w:hAnsi="Arial" w:cs="Arial"/>
          <w:b/>
          <w:bCs/>
          <w:sz w:val="24"/>
          <w:szCs w:val="24"/>
        </w:rPr>
        <w:t>3.3 Customer Satisf</w:t>
      </w:r>
      <w:r w:rsidR="0075469A" w:rsidRPr="00574EFD">
        <w:rPr>
          <w:rFonts w:ascii="Arial" w:hAnsi="Arial" w:cs="Arial"/>
          <w:b/>
          <w:bCs/>
          <w:sz w:val="24"/>
          <w:szCs w:val="24"/>
        </w:rPr>
        <w:t>action</w:t>
      </w:r>
    </w:p>
    <w:p w14:paraId="0CBAAADA" w14:textId="77777777" w:rsidR="009D3911" w:rsidRPr="00574EFD" w:rsidRDefault="009D3911" w:rsidP="00574EFD">
      <w:pPr>
        <w:jc w:val="both"/>
        <w:rPr>
          <w:rFonts w:ascii="Arial" w:hAnsi="Arial" w:cs="Arial"/>
          <w:b/>
          <w:bCs/>
          <w:sz w:val="24"/>
          <w:szCs w:val="24"/>
        </w:rPr>
      </w:pPr>
    </w:p>
    <w:p w14:paraId="4F67B4EA" w14:textId="77777777" w:rsidR="004D2D4E" w:rsidRPr="00574EFD" w:rsidRDefault="004D2D4E" w:rsidP="00574EFD">
      <w:pPr>
        <w:jc w:val="both"/>
        <w:rPr>
          <w:rFonts w:ascii="Arial" w:hAnsi="Arial" w:cs="Arial"/>
          <w:sz w:val="24"/>
          <w:szCs w:val="24"/>
        </w:rPr>
      </w:pPr>
      <w:r w:rsidRPr="00574EFD">
        <w:rPr>
          <w:rFonts w:ascii="Arial" w:hAnsi="Arial" w:cs="Arial"/>
          <w:sz w:val="24"/>
          <w:szCs w:val="24"/>
        </w:rPr>
        <w:t>Customer satisfaction is a post-consumption evaluation based on the relationship between expectations and perceived performance. According to Oliver’s (1980) expectation-disconfirmation model, satisfaction occurs when performance meets expectations, while positive disconfirmation occurs when performance exceeds them. Dissatisfaction is likely when perceived performance falls below expectations.</w:t>
      </w:r>
    </w:p>
    <w:p w14:paraId="589447F4" w14:textId="77777777" w:rsidR="004D2D4E" w:rsidRPr="00574EFD" w:rsidRDefault="004D2D4E" w:rsidP="00574EFD">
      <w:pPr>
        <w:jc w:val="both"/>
        <w:rPr>
          <w:rFonts w:ascii="Arial" w:hAnsi="Arial" w:cs="Arial"/>
          <w:sz w:val="24"/>
          <w:szCs w:val="24"/>
        </w:rPr>
      </w:pPr>
    </w:p>
    <w:p w14:paraId="732F232B" w14:textId="66395BB6" w:rsidR="00B550FA" w:rsidRPr="00574EFD" w:rsidRDefault="004D2D4E" w:rsidP="00574EFD">
      <w:pPr>
        <w:jc w:val="both"/>
        <w:rPr>
          <w:rFonts w:ascii="Arial" w:hAnsi="Arial" w:cs="Arial"/>
          <w:sz w:val="24"/>
          <w:szCs w:val="24"/>
        </w:rPr>
      </w:pPr>
      <w:r w:rsidRPr="00574EFD">
        <w:rPr>
          <w:rFonts w:ascii="Arial" w:hAnsi="Arial" w:cs="Arial"/>
          <w:sz w:val="24"/>
          <w:szCs w:val="24"/>
        </w:rPr>
        <w:t xml:space="preserve">Szymanski and Henard’s (2001) meta-analysis </w:t>
      </w:r>
      <w:r w:rsidR="00097CE2" w:rsidRPr="00574EFD">
        <w:rPr>
          <w:rFonts w:ascii="Arial" w:hAnsi="Arial" w:cs="Arial"/>
          <w:sz w:val="24"/>
          <w:szCs w:val="24"/>
        </w:rPr>
        <w:t>identify</w:t>
      </w:r>
      <w:r w:rsidRPr="00574EFD">
        <w:rPr>
          <w:rFonts w:ascii="Arial" w:hAnsi="Arial" w:cs="Arial"/>
          <w:sz w:val="24"/>
          <w:szCs w:val="24"/>
        </w:rPr>
        <w:t xml:space="preserve"> disconfirmation and perceived fairness as particularly important influences on satisfaction. This demonstrates that customers assess not only outcomes but also whether the treatment, effort and price involved appear reasonable. Satisfaction may influence attitudes and future purchase intentions, but it should not be treated as a guaranteed indication of loyalty. A satisfied customer may still choose an alternative because of price, convenience or competitor activity.</w:t>
      </w:r>
    </w:p>
    <w:p w14:paraId="63B05FA3" w14:textId="77777777" w:rsidR="00B550FA" w:rsidRPr="00574EFD" w:rsidRDefault="00B550FA" w:rsidP="00574EFD">
      <w:pPr>
        <w:jc w:val="both"/>
        <w:rPr>
          <w:rFonts w:ascii="Arial" w:hAnsi="Arial" w:cs="Arial"/>
          <w:b/>
          <w:bCs/>
          <w:sz w:val="24"/>
          <w:szCs w:val="24"/>
        </w:rPr>
      </w:pPr>
    </w:p>
    <w:p w14:paraId="7119F632" w14:textId="77777777" w:rsidR="00097CE2" w:rsidRDefault="00097CE2" w:rsidP="00574EFD">
      <w:pPr>
        <w:jc w:val="both"/>
        <w:rPr>
          <w:rFonts w:ascii="Arial" w:hAnsi="Arial" w:cs="Arial"/>
          <w:b/>
          <w:bCs/>
          <w:sz w:val="24"/>
          <w:szCs w:val="24"/>
        </w:rPr>
      </w:pPr>
    </w:p>
    <w:p w14:paraId="41A9EFC4" w14:textId="77777777" w:rsidR="0007735C" w:rsidRPr="00574EFD" w:rsidRDefault="0007735C" w:rsidP="00574EFD">
      <w:pPr>
        <w:jc w:val="both"/>
        <w:rPr>
          <w:rFonts w:ascii="Arial" w:hAnsi="Arial" w:cs="Arial"/>
          <w:b/>
          <w:bCs/>
          <w:sz w:val="24"/>
          <w:szCs w:val="24"/>
        </w:rPr>
      </w:pPr>
    </w:p>
    <w:p w14:paraId="2DE1D407" w14:textId="0D23B698" w:rsidR="0075469A" w:rsidRPr="00574EFD" w:rsidRDefault="0075469A" w:rsidP="00574EFD">
      <w:pPr>
        <w:jc w:val="both"/>
        <w:rPr>
          <w:rFonts w:ascii="Arial" w:hAnsi="Arial" w:cs="Arial"/>
          <w:b/>
          <w:bCs/>
          <w:sz w:val="24"/>
          <w:szCs w:val="24"/>
        </w:rPr>
      </w:pPr>
      <w:r w:rsidRPr="00574EFD">
        <w:rPr>
          <w:rFonts w:ascii="Arial" w:hAnsi="Arial" w:cs="Arial"/>
          <w:b/>
          <w:bCs/>
          <w:sz w:val="24"/>
          <w:szCs w:val="24"/>
        </w:rPr>
        <w:lastRenderedPageBreak/>
        <w:t>3.4 Developing a Customer</w:t>
      </w:r>
      <w:r w:rsidR="002E227D" w:rsidRPr="00574EFD">
        <w:rPr>
          <w:rFonts w:ascii="Arial" w:hAnsi="Arial" w:cs="Arial"/>
          <w:b/>
          <w:bCs/>
          <w:sz w:val="24"/>
          <w:szCs w:val="24"/>
        </w:rPr>
        <w:t xml:space="preserve">- </w:t>
      </w:r>
      <w:r w:rsidR="004407EE" w:rsidRPr="00574EFD">
        <w:rPr>
          <w:rFonts w:ascii="Arial" w:hAnsi="Arial" w:cs="Arial"/>
          <w:b/>
          <w:bCs/>
          <w:sz w:val="24"/>
          <w:szCs w:val="24"/>
        </w:rPr>
        <w:t>C</w:t>
      </w:r>
      <w:r w:rsidR="002E227D" w:rsidRPr="00574EFD">
        <w:rPr>
          <w:rFonts w:ascii="Arial" w:hAnsi="Arial" w:cs="Arial"/>
          <w:b/>
          <w:bCs/>
          <w:sz w:val="24"/>
          <w:szCs w:val="24"/>
        </w:rPr>
        <w:t xml:space="preserve">entre </w:t>
      </w:r>
      <w:r w:rsidR="004407EE" w:rsidRPr="00574EFD">
        <w:rPr>
          <w:rFonts w:ascii="Arial" w:hAnsi="Arial" w:cs="Arial"/>
          <w:b/>
          <w:bCs/>
          <w:sz w:val="24"/>
          <w:szCs w:val="24"/>
        </w:rPr>
        <w:t>A</w:t>
      </w:r>
      <w:r w:rsidR="002E227D" w:rsidRPr="00574EFD">
        <w:rPr>
          <w:rFonts w:ascii="Arial" w:hAnsi="Arial" w:cs="Arial"/>
          <w:b/>
          <w:bCs/>
          <w:sz w:val="24"/>
          <w:szCs w:val="24"/>
        </w:rPr>
        <w:t xml:space="preserve">pproach </w:t>
      </w:r>
      <w:r w:rsidR="004407EE" w:rsidRPr="00574EFD">
        <w:rPr>
          <w:rFonts w:ascii="Arial" w:hAnsi="Arial" w:cs="Arial"/>
          <w:b/>
          <w:bCs/>
          <w:sz w:val="24"/>
          <w:szCs w:val="24"/>
        </w:rPr>
        <w:t>at S</w:t>
      </w:r>
      <w:r w:rsidR="0018141A" w:rsidRPr="00574EFD">
        <w:rPr>
          <w:rFonts w:ascii="Arial" w:hAnsi="Arial" w:cs="Arial"/>
          <w:b/>
          <w:bCs/>
          <w:sz w:val="24"/>
          <w:szCs w:val="24"/>
        </w:rPr>
        <w:t>NEP SPA</w:t>
      </w:r>
    </w:p>
    <w:p w14:paraId="4E53DD09" w14:textId="77777777" w:rsidR="00E10902" w:rsidRPr="00574EFD" w:rsidRDefault="00E10902" w:rsidP="00574EFD">
      <w:pPr>
        <w:jc w:val="both"/>
        <w:rPr>
          <w:rFonts w:ascii="Arial" w:hAnsi="Arial" w:cs="Arial"/>
          <w:b/>
          <w:bCs/>
          <w:sz w:val="24"/>
          <w:szCs w:val="24"/>
        </w:rPr>
      </w:pPr>
    </w:p>
    <w:p w14:paraId="5936A0E8" w14:textId="77777777" w:rsidR="009556EE" w:rsidRPr="00574EFD" w:rsidRDefault="009556EE" w:rsidP="00574EFD">
      <w:pPr>
        <w:spacing w:line="360" w:lineRule="auto"/>
        <w:jc w:val="both"/>
        <w:rPr>
          <w:rFonts w:ascii="Arial" w:hAnsi="Arial" w:cs="Arial"/>
          <w:sz w:val="24"/>
          <w:szCs w:val="24"/>
        </w:rPr>
      </w:pPr>
    </w:p>
    <w:p w14:paraId="1B604800" w14:textId="332CE7D4" w:rsidR="007566CC" w:rsidRPr="00574EFD" w:rsidRDefault="007566CC" w:rsidP="00574EFD">
      <w:pPr>
        <w:spacing w:line="360" w:lineRule="auto"/>
        <w:jc w:val="both"/>
        <w:rPr>
          <w:rFonts w:ascii="Arial" w:hAnsi="Arial" w:cs="Arial"/>
          <w:sz w:val="24"/>
          <w:szCs w:val="24"/>
        </w:rPr>
      </w:pPr>
      <w:r w:rsidRPr="00574EFD">
        <w:rPr>
          <w:rFonts w:ascii="Arial" w:hAnsi="Arial" w:cs="Arial"/>
          <w:sz w:val="24"/>
          <w:szCs w:val="24"/>
        </w:rPr>
        <w:t>At the pre-relationship stage, the SNEP SPA Brand Ambassador should provide accessible and accurate information without creating unrealistic expectations. During the early stage, enquiries should be answered clearly, and the customer’s needs, budget and preferences should be explored before products are discussed.</w:t>
      </w:r>
    </w:p>
    <w:p w14:paraId="57B6F6C0" w14:textId="77777777" w:rsidR="007566CC" w:rsidRPr="00574EFD" w:rsidRDefault="007566CC" w:rsidP="00574EFD">
      <w:pPr>
        <w:spacing w:line="360" w:lineRule="auto"/>
        <w:jc w:val="both"/>
        <w:rPr>
          <w:rFonts w:ascii="Arial" w:hAnsi="Arial" w:cs="Arial"/>
          <w:sz w:val="24"/>
          <w:szCs w:val="24"/>
        </w:rPr>
      </w:pPr>
    </w:p>
    <w:p w14:paraId="2124F9EB" w14:textId="696B713A" w:rsidR="007566CC" w:rsidRPr="00574EFD" w:rsidRDefault="007566CC" w:rsidP="00574EFD">
      <w:pPr>
        <w:spacing w:line="360" w:lineRule="auto"/>
        <w:jc w:val="both"/>
        <w:rPr>
          <w:rFonts w:ascii="Arial" w:hAnsi="Arial" w:cs="Arial"/>
          <w:sz w:val="24"/>
          <w:szCs w:val="24"/>
        </w:rPr>
      </w:pPr>
      <w:r w:rsidRPr="00574EFD">
        <w:rPr>
          <w:rFonts w:ascii="Arial" w:hAnsi="Arial" w:cs="Arial"/>
          <w:sz w:val="24"/>
          <w:szCs w:val="24"/>
        </w:rPr>
        <w:t>At the development stage, appropriate follow-up can establish whether the customer is satisfied and identify changing requirements. Records from Microsoft Forms or Excel may support continuity, if information is collected transparently and handled responsibly. At the long-term stage, communication should remain relevant and should recognise the customer’s history without assuming that continued purchasing is guaranteed.</w:t>
      </w:r>
    </w:p>
    <w:p w14:paraId="229481DE" w14:textId="77777777" w:rsidR="007566CC" w:rsidRPr="00574EFD" w:rsidRDefault="007566CC" w:rsidP="00574EFD">
      <w:pPr>
        <w:spacing w:line="360" w:lineRule="auto"/>
        <w:jc w:val="both"/>
        <w:rPr>
          <w:rFonts w:ascii="Arial" w:hAnsi="Arial" w:cs="Arial"/>
          <w:sz w:val="24"/>
          <w:szCs w:val="24"/>
        </w:rPr>
      </w:pPr>
    </w:p>
    <w:p w14:paraId="7A9A9DFF" w14:textId="7947BC66" w:rsidR="00097CE2" w:rsidRPr="00574EFD" w:rsidRDefault="007566CC" w:rsidP="00574EFD">
      <w:pPr>
        <w:spacing w:line="360" w:lineRule="auto"/>
        <w:jc w:val="both"/>
        <w:rPr>
          <w:rFonts w:ascii="Arial" w:hAnsi="Arial" w:cs="Arial"/>
          <w:sz w:val="24"/>
          <w:szCs w:val="24"/>
        </w:rPr>
      </w:pPr>
      <w:r w:rsidRPr="00574EFD">
        <w:rPr>
          <w:rFonts w:ascii="Arial" w:hAnsi="Arial" w:cs="Arial"/>
          <w:sz w:val="24"/>
          <w:szCs w:val="24"/>
        </w:rPr>
        <w:t>At the final stage, reduced engagement should be respected rather than challenged through repeated promotional contact. Where appropriate, the Brand Ambassador may invite voluntary feedback to understand whether the relationship ended because of service, value, product suitability or changing circumstances.</w:t>
      </w:r>
      <w:r w:rsidR="00EA3ACC" w:rsidRPr="00574EFD">
        <w:rPr>
          <w:rFonts w:ascii="Arial" w:hAnsi="Arial" w:cs="Arial"/>
          <w:sz w:val="24"/>
          <w:szCs w:val="24"/>
        </w:rPr>
        <w:t xml:space="preserve"> Marshall identifies making customers feel heard and valued as central to effective service (TEDx Talks, 2025b). Adapting communication across the five relationship stages can support this outcome while generating feedback for continuous improvement.</w:t>
      </w:r>
    </w:p>
    <w:p w14:paraId="470E7032" w14:textId="6049DB91" w:rsidR="008C2930" w:rsidRPr="00574EFD" w:rsidRDefault="008C2930" w:rsidP="00574EFD">
      <w:pPr>
        <w:spacing w:line="360" w:lineRule="auto"/>
        <w:jc w:val="both"/>
        <w:rPr>
          <w:rFonts w:ascii="Arial" w:hAnsi="Arial" w:cs="Arial"/>
          <w:sz w:val="24"/>
          <w:szCs w:val="24"/>
        </w:rPr>
      </w:pPr>
    </w:p>
    <w:p w14:paraId="0C7941B7" w14:textId="5F384EE4" w:rsidR="0030173B" w:rsidRPr="00574EFD" w:rsidRDefault="0030173B" w:rsidP="00574EFD">
      <w:pPr>
        <w:spacing w:line="360" w:lineRule="auto"/>
        <w:jc w:val="both"/>
        <w:rPr>
          <w:rFonts w:ascii="Arial" w:hAnsi="Arial" w:cs="Arial"/>
          <w:sz w:val="24"/>
          <w:szCs w:val="24"/>
        </w:rPr>
      </w:pPr>
    </w:p>
    <w:p w14:paraId="009D6EF8" w14:textId="77777777" w:rsidR="00412391" w:rsidRPr="00574EFD" w:rsidRDefault="00412391" w:rsidP="00574EFD">
      <w:pPr>
        <w:spacing w:line="360" w:lineRule="auto"/>
        <w:jc w:val="both"/>
        <w:rPr>
          <w:rFonts w:ascii="Arial" w:hAnsi="Arial" w:cs="Arial"/>
          <w:sz w:val="24"/>
          <w:szCs w:val="24"/>
        </w:rPr>
      </w:pPr>
    </w:p>
    <w:p w14:paraId="2986693C" w14:textId="77777777" w:rsidR="00412391" w:rsidRPr="00574EFD" w:rsidRDefault="00412391" w:rsidP="00574EFD">
      <w:pPr>
        <w:spacing w:line="360" w:lineRule="auto"/>
        <w:jc w:val="both"/>
        <w:rPr>
          <w:rFonts w:ascii="Arial" w:hAnsi="Arial" w:cs="Arial"/>
          <w:sz w:val="24"/>
          <w:szCs w:val="24"/>
        </w:rPr>
      </w:pPr>
    </w:p>
    <w:p w14:paraId="0E37732C" w14:textId="77777777" w:rsidR="0030173B" w:rsidRPr="00574EFD" w:rsidRDefault="0030173B" w:rsidP="00574EFD">
      <w:pPr>
        <w:spacing w:line="360" w:lineRule="auto"/>
        <w:jc w:val="both"/>
        <w:rPr>
          <w:rFonts w:ascii="Arial" w:hAnsi="Arial" w:cs="Arial"/>
          <w:sz w:val="24"/>
          <w:szCs w:val="24"/>
        </w:rPr>
      </w:pPr>
    </w:p>
    <w:p w14:paraId="0FF317D1" w14:textId="6176D5E8" w:rsidR="008C2930" w:rsidRPr="00574EFD" w:rsidRDefault="002049FE" w:rsidP="00574EFD">
      <w:pPr>
        <w:pStyle w:val="Heading2"/>
        <w:jc w:val="both"/>
        <w:rPr>
          <w:rFonts w:ascii="Arial" w:hAnsi="Arial" w:cs="Arial"/>
          <w:sz w:val="24"/>
          <w:szCs w:val="24"/>
        </w:rPr>
      </w:pPr>
      <w:bookmarkStart w:id="6" w:name="_Toc235957862"/>
      <w:r w:rsidRPr="00574EFD">
        <w:rPr>
          <w:rFonts w:ascii="Arial" w:hAnsi="Arial" w:cs="Arial"/>
          <w:sz w:val="24"/>
          <w:szCs w:val="24"/>
        </w:rPr>
        <w:lastRenderedPageBreak/>
        <w:t>Section 4</w:t>
      </w:r>
      <w:r w:rsidR="00FC54F4" w:rsidRPr="00574EFD">
        <w:rPr>
          <w:rFonts w:ascii="Arial" w:hAnsi="Arial" w:cs="Arial"/>
          <w:sz w:val="24"/>
          <w:szCs w:val="24"/>
        </w:rPr>
        <w:t xml:space="preserve">: </w:t>
      </w:r>
      <w:r w:rsidR="0047287D" w:rsidRPr="00574EFD">
        <w:rPr>
          <w:rFonts w:ascii="Arial" w:hAnsi="Arial" w:cs="Arial"/>
          <w:sz w:val="24"/>
          <w:szCs w:val="24"/>
        </w:rPr>
        <w:t>Customer Loyalty</w:t>
      </w:r>
      <w:bookmarkEnd w:id="6"/>
    </w:p>
    <w:p w14:paraId="5D2098CE" w14:textId="77777777" w:rsidR="001A0C68" w:rsidRPr="00574EFD" w:rsidRDefault="001A0C68" w:rsidP="00574EFD">
      <w:pPr>
        <w:jc w:val="both"/>
        <w:rPr>
          <w:rFonts w:ascii="Arial" w:hAnsi="Arial" w:cs="Arial"/>
          <w:sz w:val="24"/>
          <w:szCs w:val="24"/>
        </w:rPr>
      </w:pPr>
    </w:p>
    <w:p w14:paraId="3CA7742C" w14:textId="52869AAE" w:rsidR="0047287D" w:rsidRPr="00574EFD" w:rsidRDefault="0047287D" w:rsidP="00574EFD">
      <w:pPr>
        <w:jc w:val="both"/>
        <w:rPr>
          <w:rFonts w:ascii="Arial" w:hAnsi="Arial" w:cs="Arial"/>
          <w:b/>
          <w:bCs/>
          <w:sz w:val="24"/>
          <w:szCs w:val="24"/>
        </w:rPr>
      </w:pPr>
      <w:r w:rsidRPr="00574EFD">
        <w:rPr>
          <w:rFonts w:ascii="Arial" w:hAnsi="Arial" w:cs="Arial"/>
          <w:b/>
          <w:bCs/>
          <w:sz w:val="24"/>
          <w:szCs w:val="24"/>
        </w:rPr>
        <w:t>4.1 Understanding Customer Loyalty</w:t>
      </w:r>
    </w:p>
    <w:p w14:paraId="32EA0196" w14:textId="77777777" w:rsidR="001A0C68" w:rsidRPr="00574EFD" w:rsidRDefault="001A0C68" w:rsidP="00574EFD">
      <w:pPr>
        <w:jc w:val="both"/>
        <w:rPr>
          <w:rFonts w:ascii="Arial" w:hAnsi="Arial" w:cs="Arial"/>
          <w:sz w:val="24"/>
          <w:szCs w:val="24"/>
        </w:rPr>
      </w:pPr>
    </w:p>
    <w:p w14:paraId="0E385A32" w14:textId="77777777" w:rsidR="009A5C58" w:rsidRPr="00574EFD" w:rsidRDefault="009A5C58" w:rsidP="00574EFD">
      <w:pPr>
        <w:jc w:val="both"/>
        <w:rPr>
          <w:rFonts w:ascii="Arial" w:hAnsi="Arial" w:cs="Arial"/>
          <w:sz w:val="24"/>
          <w:szCs w:val="24"/>
        </w:rPr>
      </w:pPr>
      <w:r w:rsidRPr="00574EFD">
        <w:rPr>
          <w:rFonts w:ascii="Arial" w:hAnsi="Arial" w:cs="Arial"/>
          <w:sz w:val="24"/>
          <w:szCs w:val="24"/>
        </w:rPr>
        <w:t>Customer loyalty represents a customer’s continuing preference for and commitment to an organisation, demonstrated through both favourable attitudes and purchasing behaviour. Dick and Basu (1994) define loyalty as the relationship between a customer’s relative attitude towards an organisation and repeat patronage. This definition distinguishes genuine loyalty from repeated purchasing caused by convenience, habit or limited alternatives.</w:t>
      </w:r>
    </w:p>
    <w:p w14:paraId="22E8E3A4" w14:textId="77777777" w:rsidR="009A5C58" w:rsidRPr="00574EFD" w:rsidRDefault="009A5C58" w:rsidP="00574EFD">
      <w:pPr>
        <w:jc w:val="both"/>
        <w:rPr>
          <w:rFonts w:ascii="Arial" w:hAnsi="Arial" w:cs="Arial"/>
          <w:sz w:val="24"/>
          <w:szCs w:val="24"/>
        </w:rPr>
      </w:pPr>
    </w:p>
    <w:p w14:paraId="6BE8DA5A" w14:textId="5B71DC40" w:rsidR="009A5C58" w:rsidRPr="00574EFD" w:rsidRDefault="009A5C58" w:rsidP="00574EFD">
      <w:pPr>
        <w:jc w:val="both"/>
        <w:rPr>
          <w:rFonts w:ascii="Arial" w:hAnsi="Arial" w:cs="Arial"/>
          <w:sz w:val="24"/>
          <w:szCs w:val="24"/>
        </w:rPr>
      </w:pPr>
      <w:r w:rsidRPr="00574EFD">
        <w:rPr>
          <w:rFonts w:ascii="Arial" w:hAnsi="Arial" w:cs="Arial"/>
          <w:sz w:val="24"/>
          <w:szCs w:val="24"/>
        </w:rPr>
        <w:t>Their framework identifies four conditions. True loyalty combines a strong favourable attitude with frequent repeat purchasing. Latent loyalty exists when a favourable attitude does not produce frequent purchases, possibly because of financial or situational barriers. Spurious loyalty involves repeat purchasing without strong emotional or attitudinal commitment, while no loyalty reflects both weak attitudes and limited repeat purchasing. Consequently, sales records alone cannot establish whether customers are genuinely loyal.</w:t>
      </w:r>
    </w:p>
    <w:p w14:paraId="4E0C54C8" w14:textId="77777777" w:rsidR="006F798D" w:rsidRPr="00574EFD" w:rsidRDefault="006F798D" w:rsidP="00574EFD">
      <w:pPr>
        <w:jc w:val="both"/>
        <w:rPr>
          <w:rFonts w:ascii="Arial" w:hAnsi="Arial" w:cs="Arial"/>
          <w:sz w:val="24"/>
          <w:szCs w:val="24"/>
        </w:rPr>
      </w:pPr>
    </w:p>
    <w:p w14:paraId="268C1250" w14:textId="77777777" w:rsidR="009A5C58" w:rsidRPr="00574EFD" w:rsidRDefault="009A5C58" w:rsidP="00574EFD">
      <w:pPr>
        <w:jc w:val="both"/>
        <w:rPr>
          <w:rFonts w:ascii="Arial" w:hAnsi="Arial" w:cs="Arial"/>
          <w:sz w:val="24"/>
          <w:szCs w:val="24"/>
        </w:rPr>
      </w:pPr>
    </w:p>
    <w:p w14:paraId="53906710" w14:textId="0420FF3B" w:rsidR="0047287D" w:rsidRPr="00574EFD" w:rsidRDefault="0047287D" w:rsidP="00574EFD">
      <w:pPr>
        <w:jc w:val="both"/>
        <w:rPr>
          <w:rFonts w:ascii="Arial" w:hAnsi="Arial" w:cs="Arial"/>
          <w:b/>
          <w:bCs/>
          <w:sz w:val="24"/>
          <w:szCs w:val="24"/>
        </w:rPr>
      </w:pPr>
      <w:r w:rsidRPr="00574EFD">
        <w:rPr>
          <w:rFonts w:ascii="Arial" w:hAnsi="Arial" w:cs="Arial"/>
          <w:b/>
          <w:bCs/>
          <w:sz w:val="24"/>
          <w:szCs w:val="24"/>
        </w:rPr>
        <w:t xml:space="preserve">4.2 </w:t>
      </w:r>
      <w:r w:rsidR="002461EE" w:rsidRPr="00574EFD">
        <w:rPr>
          <w:rFonts w:ascii="Arial" w:hAnsi="Arial" w:cs="Arial"/>
          <w:b/>
          <w:bCs/>
          <w:sz w:val="24"/>
          <w:szCs w:val="24"/>
        </w:rPr>
        <w:t>Customer Satisfaction Versus Customer Loyalty</w:t>
      </w:r>
    </w:p>
    <w:p w14:paraId="6124C7F9" w14:textId="77777777" w:rsidR="006F798D" w:rsidRPr="00574EFD" w:rsidRDefault="006F798D" w:rsidP="00574EFD">
      <w:pPr>
        <w:jc w:val="both"/>
        <w:rPr>
          <w:rFonts w:ascii="Arial" w:hAnsi="Arial" w:cs="Arial"/>
          <w:sz w:val="24"/>
          <w:szCs w:val="24"/>
        </w:rPr>
      </w:pPr>
    </w:p>
    <w:p w14:paraId="40912B76" w14:textId="77777777" w:rsidR="001A0C68" w:rsidRPr="00574EFD" w:rsidRDefault="001A0C68" w:rsidP="00574EFD">
      <w:pPr>
        <w:jc w:val="both"/>
        <w:rPr>
          <w:rFonts w:ascii="Arial" w:hAnsi="Arial" w:cs="Arial"/>
          <w:sz w:val="24"/>
          <w:szCs w:val="24"/>
        </w:rPr>
      </w:pPr>
      <w:r w:rsidRPr="00574EFD">
        <w:rPr>
          <w:rFonts w:ascii="Arial" w:hAnsi="Arial" w:cs="Arial"/>
          <w:sz w:val="24"/>
          <w:szCs w:val="24"/>
        </w:rPr>
        <w:t>Customer satisfaction and loyalty are connected but distinct. Satisfaction evaluates whether a particular experience met or exceeded expectations, whereas loyalty reflects a longer-term intention and behaviour. Oliver (1999) argues that satisfaction contributes to loyalty formation but does not necessarily produce loyalty. A satisfied customer may still change providers because of price, convenience, curiosity or a competitor’s promotion.</w:t>
      </w:r>
    </w:p>
    <w:p w14:paraId="1C3D302D" w14:textId="77777777" w:rsidR="001A0C68" w:rsidRPr="00574EFD" w:rsidRDefault="001A0C68" w:rsidP="00574EFD">
      <w:pPr>
        <w:jc w:val="both"/>
        <w:rPr>
          <w:rFonts w:ascii="Arial" w:hAnsi="Arial" w:cs="Arial"/>
          <w:sz w:val="24"/>
          <w:szCs w:val="24"/>
        </w:rPr>
      </w:pPr>
    </w:p>
    <w:p w14:paraId="30DF03D7" w14:textId="441FD4D2" w:rsidR="009A5C58" w:rsidRPr="00574EFD" w:rsidRDefault="001A0C68" w:rsidP="00574EFD">
      <w:pPr>
        <w:jc w:val="both"/>
        <w:rPr>
          <w:rFonts w:ascii="Arial" w:hAnsi="Arial" w:cs="Arial"/>
          <w:sz w:val="24"/>
          <w:szCs w:val="24"/>
        </w:rPr>
      </w:pPr>
      <w:r w:rsidRPr="00574EFD">
        <w:rPr>
          <w:rFonts w:ascii="Arial" w:hAnsi="Arial" w:cs="Arial"/>
          <w:sz w:val="24"/>
          <w:szCs w:val="24"/>
        </w:rPr>
        <w:t>Loyal customers are commonly satisfied, but satisfied customers are not automatically loyal. Satisfaction is therefore better understood as one possible foundation of loyalty. Consistently positive experiences must be supported by perceived value, trust, commitment and emotional connection. Mascarenhas et al. (2006) argue that lasting loyalty depends on the total customer experience rather than isolated moments of satisfaction.</w:t>
      </w:r>
    </w:p>
    <w:p w14:paraId="37EA1560" w14:textId="77777777" w:rsidR="001A0C68" w:rsidRPr="00574EFD" w:rsidRDefault="001A0C68" w:rsidP="00574EFD">
      <w:pPr>
        <w:jc w:val="both"/>
        <w:rPr>
          <w:rFonts w:ascii="Arial" w:hAnsi="Arial" w:cs="Arial"/>
          <w:sz w:val="24"/>
          <w:szCs w:val="24"/>
        </w:rPr>
      </w:pPr>
    </w:p>
    <w:p w14:paraId="61017581" w14:textId="77777777" w:rsidR="001A0C68" w:rsidRPr="00574EFD" w:rsidRDefault="001A0C68" w:rsidP="00574EFD">
      <w:pPr>
        <w:jc w:val="both"/>
        <w:rPr>
          <w:rFonts w:ascii="Arial" w:hAnsi="Arial" w:cs="Arial"/>
          <w:b/>
          <w:bCs/>
          <w:sz w:val="24"/>
          <w:szCs w:val="24"/>
        </w:rPr>
      </w:pPr>
    </w:p>
    <w:p w14:paraId="03012D52" w14:textId="77777777" w:rsidR="000F1A40" w:rsidRPr="00574EFD" w:rsidRDefault="000F1A40" w:rsidP="00574EFD">
      <w:pPr>
        <w:jc w:val="both"/>
        <w:rPr>
          <w:rFonts w:ascii="Arial" w:hAnsi="Arial" w:cs="Arial"/>
          <w:b/>
          <w:bCs/>
          <w:sz w:val="24"/>
          <w:szCs w:val="24"/>
        </w:rPr>
      </w:pPr>
    </w:p>
    <w:p w14:paraId="73F2B67D" w14:textId="77777777" w:rsidR="000F1A40" w:rsidRPr="00574EFD" w:rsidRDefault="000F1A40" w:rsidP="00574EFD">
      <w:pPr>
        <w:jc w:val="both"/>
        <w:rPr>
          <w:rFonts w:ascii="Arial" w:hAnsi="Arial" w:cs="Arial"/>
          <w:b/>
          <w:bCs/>
          <w:sz w:val="24"/>
          <w:szCs w:val="24"/>
        </w:rPr>
      </w:pPr>
    </w:p>
    <w:p w14:paraId="7EF7DD55" w14:textId="2DD9D3B2" w:rsidR="002461EE" w:rsidRPr="00574EFD" w:rsidRDefault="002461EE" w:rsidP="00574EFD">
      <w:pPr>
        <w:jc w:val="both"/>
        <w:rPr>
          <w:rFonts w:ascii="Arial" w:hAnsi="Arial" w:cs="Arial"/>
          <w:b/>
          <w:bCs/>
          <w:sz w:val="24"/>
          <w:szCs w:val="24"/>
        </w:rPr>
      </w:pPr>
      <w:r w:rsidRPr="00574EFD">
        <w:rPr>
          <w:rFonts w:ascii="Arial" w:hAnsi="Arial" w:cs="Arial"/>
          <w:b/>
          <w:bCs/>
          <w:sz w:val="24"/>
          <w:szCs w:val="24"/>
        </w:rPr>
        <w:t xml:space="preserve">4.3 </w:t>
      </w:r>
      <w:r w:rsidR="00CD3D71" w:rsidRPr="00574EFD">
        <w:rPr>
          <w:rFonts w:ascii="Arial" w:hAnsi="Arial" w:cs="Arial"/>
          <w:b/>
          <w:bCs/>
          <w:sz w:val="24"/>
          <w:szCs w:val="24"/>
        </w:rPr>
        <w:t>Drivers of Customer Loyalty</w:t>
      </w:r>
    </w:p>
    <w:p w14:paraId="4B3ACD03" w14:textId="77777777" w:rsidR="00C468BE" w:rsidRPr="00574EFD" w:rsidRDefault="00C468BE" w:rsidP="00574EFD">
      <w:pPr>
        <w:jc w:val="both"/>
        <w:rPr>
          <w:rFonts w:ascii="Arial" w:hAnsi="Arial" w:cs="Arial"/>
          <w:b/>
          <w:bCs/>
          <w:sz w:val="24"/>
          <w:szCs w:val="24"/>
        </w:rPr>
      </w:pPr>
    </w:p>
    <w:p w14:paraId="05D53931" w14:textId="77777777" w:rsidR="00C468BE" w:rsidRPr="00574EFD" w:rsidRDefault="00C468BE" w:rsidP="00574EFD">
      <w:pPr>
        <w:jc w:val="both"/>
        <w:rPr>
          <w:rFonts w:ascii="Arial" w:hAnsi="Arial" w:cs="Arial"/>
          <w:sz w:val="24"/>
          <w:szCs w:val="24"/>
        </w:rPr>
      </w:pPr>
      <w:r w:rsidRPr="00574EFD">
        <w:rPr>
          <w:rFonts w:ascii="Arial" w:hAnsi="Arial" w:cs="Arial"/>
          <w:sz w:val="24"/>
          <w:szCs w:val="24"/>
        </w:rPr>
        <w:t>Trust is particularly important where customers depend on representatives for information. Iglesias et al. (2020) found that co-creation can strengthen customer trust and that trust contributes to loyalty. Customers who believe that an organisation communicates honestly and considers their interests may be more willing to maintain the relationship.</w:t>
      </w:r>
    </w:p>
    <w:p w14:paraId="5FFFB1BD" w14:textId="77777777" w:rsidR="00C468BE" w:rsidRPr="00574EFD" w:rsidRDefault="00C468BE" w:rsidP="00574EFD">
      <w:pPr>
        <w:jc w:val="both"/>
        <w:rPr>
          <w:rFonts w:ascii="Arial" w:hAnsi="Arial" w:cs="Arial"/>
          <w:sz w:val="24"/>
          <w:szCs w:val="24"/>
        </w:rPr>
      </w:pPr>
    </w:p>
    <w:p w14:paraId="6F528E8D" w14:textId="77777777" w:rsidR="00C468BE" w:rsidRPr="00574EFD" w:rsidRDefault="00C468BE" w:rsidP="00574EFD">
      <w:pPr>
        <w:jc w:val="both"/>
        <w:rPr>
          <w:rFonts w:ascii="Arial" w:hAnsi="Arial" w:cs="Arial"/>
          <w:sz w:val="24"/>
          <w:szCs w:val="24"/>
        </w:rPr>
      </w:pPr>
      <w:r w:rsidRPr="00574EFD">
        <w:rPr>
          <w:rFonts w:ascii="Arial" w:hAnsi="Arial" w:cs="Arial"/>
          <w:sz w:val="24"/>
          <w:szCs w:val="24"/>
        </w:rPr>
        <w:t>Emotional connections can also influence loyalty. Yim et al. (2008) found that customer–employee relationships may contribute to customers’ affection towards an organisation. However, they also identify risks when these relationships become excessively close. Professional boundaries are therefore necessary, particularly when commercial conversations occur within existing personal networks.</w:t>
      </w:r>
    </w:p>
    <w:p w14:paraId="4D33B0D5" w14:textId="77777777" w:rsidR="00C468BE" w:rsidRPr="00574EFD" w:rsidRDefault="00C468BE" w:rsidP="00574EFD">
      <w:pPr>
        <w:jc w:val="both"/>
        <w:rPr>
          <w:rFonts w:ascii="Arial" w:hAnsi="Arial" w:cs="Arial"/>
          <w:sz w:val="24"/>
          <w:szCs w:val="24"/>
        </w:rPr>
      </w:pPr>
    </w:p>
    <w:p w14:paraId="693C2666" w14:textId="5313ADB9" w:rsidR="00A07499" w:rsidRPr="00574EFD" w:rsidRDefault="00C468BE" w:rsidP="00574EFD">
      <w:pPr>
        <w:jc w:val="both"/>
        <w:rPr>
          <w:rFonts w:ascii="Arial" w:hAnsi="Arial" w:cs="Arial"/>
          <w:sz w:val="24"/>
          <w:szCs w:val="24"/>
        </w:rPr>
      </w:pPr>
      <w:r w:rsidRPr="00574EFD">
        <w:rPr>
          <w:rFonts w:ascii="Arial" w:hAnsi="Arial" w:cs="Arial"/>
          <w:sz w:val="24"/>
          <w:szCs w:val="24"/>
        </w:rPr>
        <w:t>Loyalty may lead to retention, repeat purchasing and advocacy. Positive word of mouth can be valuable because customers often regard personal recommendations as credible. Nevertheless, customers should recommend an organisation voluntarily rather than feeling pressured to promote it.</w:t>
      </w:r>
    </w:p>
    <w:p w14:paraId="07C9042E" w14:textId="77777777" w:rsidR="00A07499" w:rsidRPr="00574EFD" w:rsidRDefault="00A07499" w:rsidP="00574EFD">
      <w:pPr>
        <w:jc w:val="both"/>
        <w:rPr>
          <w:rFonts w:ascii="Arial" w:hAnsi="Arial" w:cs="Arial"/>
          <w:b/>
          <w:bCs/>
          <w:sz w:val="24"/>
          <w:szCs w:val="24"/>
        </w:rPr>
      </w:pPr>
    </w:p>
    <w:p w14:paraId="430F0A46" w14:textId="77777777" w:rsidR="00482905" w:rsidRPr="00574EFD" w:rsidRDefault="00482905" w:rsidP="00574EFD">
      <w:pPr>
        <w:jc w:val="both"/>
        <w:rPr>
          <w:rFonts w:ascii="Arial" w:hAnsi="Arial" w:cs="Arial"/>
          <w:b/>
          <w:bCs/>
          <w:sz w:val="24"/>
          <w:szCs w:val="24"/>
        </w:rPr>
      </w:pPr>
    </w:p>
    <w:p w14:paraId="1102E402" w14:textId="2EB63A89" w:rsidR="00CD3D71" w:rsidRPr="00574EFD" w:rsidRDefault="00CD3D71" w:rsidP="00574EFD">
      <w:pPr>
        <w:jc w:val="both"/>
        <w:rPr>
          <w:rFonts w:ascii="Arial" w:hAnsi="Arial" w:cs="Arial"/>
          <w:b/>
          <w:bCs/>
          <w:sz w:val="24"/>
          <w:szCs w:val="24"/>
        </w:rPr>
      </w:pPr>
      <w:r w:rsidRPr="00574EFD">
        <w:rPr>
          <w:rFonts w:ascii="Arial" w:hAnsi="Arial" w:cs="Arial"/>
          <w:b/>
          <w:bCs/>
          <w:sz w:val="24"/>
          <w:szCs w:val="24"/>
        </w:rPr>
        <w:t xml:space="preserve">4.4 </w:t>
      </w:r>
      <w:r w:rsidR="00E362BD" w:rsidRPr="00574EFD">
        <w:rPr>
          <w:rFonts w:ascii="Arial" w:hAnsi="Arial" w:cs="Arial"/>
          <w:b/>
          <w:bCs/>
          <w:sz w:val="24"/>
          <w:szCs w:val="24"/>
        </w:rPr>
        <w:t>Customer Retention and Advocacy</w:t>
      </w:r>
    </w:p>
    <w:p w14:paraId="5EC19D56" w14:textId="77777777" w:rsidR="00C468BE" w:rsidRPr="00574EFD" w:rsidRDefault="00C468BE" w:rsidP="00574EFD">
      <w:pPr>
        <w:jc w:val="both"/>
        <w:rPr>
          <w:rFonts w:ascii="Arial" w:hAnsi="Arial" w:cs="Arial"/>
          <w:b/>
          <w:bCs/>
          <w:sz w:val="24"/>
          <w:szCs w:val="24"/>
        </w:rPr>
      </w:pPr>
    </w:p>
    <w:p w14:paraId="1C576828" w14:textId="77777777" w:rsidR="00036841" w:rsidRPr="00574EFD" w:rsidRDefault="00036841" w:rsidP="00574EFD">
      <w:pPr>
        <w:jc w:val="both"/>
        <w:rPr>
          <w:rFonts w:ascii="Arial" w:hAnsi="Arial" w:cs="Arial"/>
          <w:sz w:val="24"/>
          <w:szCs w:val="24"/>
        </w:rPr>
      </w:pPr>
      <w:r w:rsidRPr="00574EFD">
        <w:rPr>
          <w:rFonts w:ascii="Arial" w:hAnsi="Arial" w:cs="Arial"/>
          <w:sz w:val="24"/>
          <w:szCs w:val="24"/>
        </w:rPr>
        <w:t>Within SNEP SPA, loyalty should be developed through consistent value and trustworthy support rather than relying primarily on discounts or repeated promotional messages. The Brand Ambassador can provide accurate product information, respond promptly to questions and follow up after purchases to identify satisfaction or concerns. Customer preferences recorded through CRM activities may help make later communication more relevant.</w:t>
      </w:r>
    </w:p>
    <w:p w14:paraId="60438851" w14:textId="77777777" w:rsidR="00036841" w:rsidRDefault="00036841" w:rsidP="00574EFD">
      <w:pPr>
        <w:jc w:val="both"/>
        <w:rPr>
          <w:rFonts w:ascii="Arial" w:hAnsi="Arial" w:cs="Arial"/>
          <w:sz w:val="24"/>
          <w:szCs w:val="24"/>
        </w:rPr>
      </w:pPr>
    </w:p>
    <w:p w14:paraId="563AF474" w14:textId="77777777" w:rsidR="002520A2" w:rsidRPr="00574EFD" w:rsidRDefault="002520A2" w:rsidP="00574EFD">
      <w:pPr>
        <w:jc w:val="both"/>
        <w:rPr>
          <w:rFonts w:ascii="Arial" w:hAnsi="Arial" w:cs="Arial"/>
          <w:sz w:val="24"/>
          <w:szCs w:val="24"/>
        </w:rPr>
      </w:pPr>
    </w:p>
    <w:p w14:paraId="19D177B3" w14:textId="77777777" w:rsidR="00036841" w:rsidRPr="00574EFD" w:rsidRDefault="00036841" w:rsidP="00574EFD">
      <w:pPr>
        <w:jc w:val="both"/>
        <w:rPr>
          <w:rFonts w:ascii="Arial" w:hAnsi="Arial" w:cs="Arial"/>
          <w:sz w:val="24"/>
          <w:szCs w:val="24"/>
        </w:rPr>
      </w:pPr>
      <w:r w:rsidRPr="00574EFD">
        <w:rPr>
          <w:rFonts w:ascii="Arial" w:hAnsi="Arial" w:cs="Arial"/>
          <w:sz w:val="24"/>
          <w:szCs w:val="24"/>
        </w:rPr>
        <w:lastRenderedPageBreak/>
        <w:t>The Brand Ambassador should distinguish behavioural repetition from genuine loyalty. A customer who orders regularly because of a temporary offer may demonstrate spurious loyalty, whereas a customer who expresses a strong preference, purchases repeatedly and recommends the experience may demonstrate true loyalty. Customer feedback can help identify the reasons behind these behaviours.</w:t>
      </w:r>
    </w:p>
    <w:p w14:paraId="13E9D390" w14:textId="77777777" w:rsidR="00036841" w:rsidRPr="00574EFD" w:rsidRDefault="00036841" w:rsidP="00574EFD">
      <w:pPr>
        <w:jc w:val="both"/>
        <w:rPr>
          <w:rFonts w:ascii="Arial" w:hAnsi="Arial" w:cs="Arial"/>
          <w:sz w:val="24"/>
          <w:szCs w:val="24"/>
        </w:rPr>
      </w:pPr>
    </w:p>
    <w:p w14:paraId="0C66045F" w14:textId="77777777" w:rsidR="00036841" w:rsidRPr="00574EFD" w:rsidRDefault="00036841" w:rsidP="00574EFD">
      <w:pPr>
        <w:jc w:val="both"/>
        <w:rPr>
          <w:rFonts w:ascii="Arial" w:hAnsi="Arial" w:cs="Arial"/>
          <w:sz w:val="24"/>
          <w:szCs w:val="24"/>
        </w:rPr>
      </w:pPr>
      <w:r w:rsidRPr="00574EFD">
        <w:rPr>
          <w:rFonts w:ascii="Arial" w:hAnsi="Arial" w:cs="Arial"/>
          <w:sz w:val="24"/>
          <w:szCs w:val="24"/>
        </w:rPr>
        <w:t>Retention activities might include personalised but proportionate follow-up, recognition of previous preferences and appropriate resolution of problems. Communication should remain respectful if a customer becomes inactive or chooses another provider. This reduces the risk of damaging trust through excessive contact.</w:t>
      </w:r>
    </w:p>
    <w:p w14:paraId="40C267CF" w14:textId="77777777" w:rsidR="00036841" w:rsidRPr="00574EFD" w:rsidRDefault="00036841" w:rsidP="00574EFD">
      <w:pPr>
        <w:jc w:val="both"/>
        <w:rPr>
          <w:rFonts w:ascii="Arial" w:hAnsi="Arial" w:cs="Arial"/>
          <w:sz w:val="24"/>
          <w:szCs w:val="24"/>
        </w:rPr>
      </w:pPr>
    </w:p>
    <w:p w14:paraId="11D1FF86" w14:textId="0D3B890C" w:rsidR="00513050" w:rsidRPr="00A70C90" w:rsidRDefault="00036841" w:rsidP="002520A2">
      <w:pPr>
        <w:jc w:val="both"/>
        <w:rPr>
          <w:rFonts w:ascii="Arial" w:hAnsi="Arial" w:cs="Arial"/>
          <w:sz w:val="24"/>
          <w:szCs w:val="24"/>
        </w:rPr>
      </w:pPr>
      <w:r w:rsidRPr="00574EFD">
        <w:rPr>
          <w:rFonts w:ascii="Arial" w:hAnsi="Arial" w:cs="Arial"/>
          <w:sz w:val="24"/>
          <w:szCs w:val="24"/>
        </w:rPr>
        <w:t>Loyalty performance should therefore be assessed through a combination of repeat-purchase rates, satisfaction feedback, customer retention, referrals and complaints. These measures provide a more balanced picture than sales alone. By prioritising suitability, honesty and relationship quality, the SNEP SPA Brand Ambassador can encourage loyalty while maintaining an ethical and customer-central experience</w:t>
      </w:r>
      <w:r w:rsidR="006E6C87" w:rsidRPr="00574EFD">
        <w:rPr>
          <w:rFonts w:ascii="Arial" w:hAnsi="Arial" w:cs="Arial"/>
          <w:sz w:val="24"/>
          <w:szCs w:val="24"/>
        </w:rPr>
        <w:t xml:space="preserve"> </w:t>
      </w:r>
      <w:r w:rsidR="006E6C87" w:rsidRPr="00574EFD">
        <w:rPr>
          <w:rFonts w:ascii="Arial" w:hAnsi="Arial" w:cs="Arial"/>
          <w:sz w:val="24"/>
          <w:szCs w:val="24"/>
          <w:u w:val="single"/>
        </w:rPr>
        <w:t>(</w:t>
      </w:r>
      <w:r w:rsidR="006E6C87" w:rsidRPr="00A70C90">
        <w:rPr>
          <w:rFonts w:ascii="Arial" w:hAnsi="Arial" w:cs="Arial"/>
          <w:sz w:val="24"/>
          <w:szCs w:val="24"/>
        </w:rPr>
        <w:t xml:space="preserve">see appendix </w:t>
      </w:r>
      <w:r w:rsidR="00A70C90" w:rsidRPr="00A70C90">
        <w:rPr>
          <w:rFonts w:ascii="Arial" w:hAnsi="Arial" w:cs="Arial"/>
          <w:sz w:val="24"/>
          <w:szCs w:val="24"/>
        </w:rPr>
        <w:t>b</w:t>
      </w:r>
      <w:r w:rsidR="006E6C87" w:rsidRPr="00A70C90">
        <w:rPr>
          <w:rFonts w:ascii="Arial" w:hAnsi="Arial" w:cs="Arial"/>
          <w:sz w:val="24"/>
          <w:szCs w:val="24"/>
        </w:rPr>
        <w:t>)</w:t>
      </w:r>
      <w:r w:rsidRPr="00A70C90">
        <w:rPr>
          <w:rFonts w:ascii="Arial" w:hAnsi="Arial" w:cs="Arial"/>
          <w:sz w:val="24"/>
          <w:szCs w:val="24"/>
        </w:rPr>
        <w:t>.</w:t>
      </w:r>
    </w:p>
    <w:p w14:paraId="0E73F40E" w14:textId="77777777" w:rsidR="00513050" w:rsidRPr="00574EFD" w:rsidRDefault="00513050" w:rsidP="00574EFD">
      <w:pPr>
        <w:pStyle w:val="ListParagraph"/>
        <w:spacing w:line="360" w:lineRule="auto"/>
        <w:jc w:val="both"/>
        <w:rPr>
          <w:rFonts w:ascii="Arial" w:hAnsi="Arial" w:cs="Arial"/>
          <w:sz w:val="24"/>
          <w:szCs w:val="24"/>
        </w:rPr>
      </w:pPr>
    </w:p>
    <w:p w14:paraId="033E184D" w14:textId="77777777" w:rsidR="008F74D8" w:rsidRPr="00574EFD" w:rsidRDefault="008F74D8" w:rsidP="00574EFD">
      <w:pPr>
        <w:pStyle w:val="ListParagraph"/>
        <w:spacing w:line="360" w:lineRule="auto"/>
        <w:jc w:val="both"/>
        <w:rPr>
          <w:rFonts w:ascii="Arial" w:hAnsi="Arial" w:cs="Arial"/>
          <w:sz w:val="24"/>
          <w:szCs w:val="24"/>
        </w:rPr>
      </w:pPr>
    </w:p>
    <w:p w14:paraId="747EDDAD" w14:textId="1FBC0E11" w:rsidR="005225BF" w:rsidRDefault="00602713" w:rsidP="00574EFD">
      <w:pPr>
        <w:pStyle w:val="Heading2"/>
        <w:jc w:val="both"/>
        <w:rPr>
          <w:rFonts w:ascii="Arial" w:hAnsi="Arial" w:cs="Arial"/>
          <w:sz w:val="24"/>
          <w:szCs w:val="24"/>
        </w:rPr>
      </w:pPr>
      <w:bookmarkStart w:id="7" w:name="_Toc235957863"/>
      <w:r w:rsidRPr="00574EFD">
        <w:rPr>
          <w:rFonts w:ascii="Arial" w:hAnsi="Arial" w:cs="Arial"/>
          <w:sz w:val="24"/>
          <w:szCs w:val="24"/>
        </w:rPr>
        <w:t>Sectio</w:t>
      </w:r>
      <w:r w:rsidR="00E87E86" w:rsidRPr="00574EFD">
        <w:rPr>
          <w:rFonts w:ascii="Arial" w:hAnsi="Arial" w:cs="Arial"/>
          <w:sz w:val="24"/>
          <w:szCs w:val="24"/>
        </w:rPr>
        <w:t>n 5: Experience, Emotion and Rationality</w:t>
      </w:r>
      <w:bookmarkEnd w:id="7"/>
    </w:p>
    <w:p w14:paraId="3C290625" w14:textId="77777777" w:rsidR="002520A2" w:rsidRPr="002520A2" w:rsidRDefault="002520A2" w:rsidP="002520A2"/>
    <w:p w14:paraId="6A1D0A43" w14:textId="4C6D5257" w:rsidR="00E87E86" w:rsidRPr="00574EFD" w:rsidRDefault="00A257B1" w:rsidP="00574EFD">
      <w:pPr>
        <w:jc w:val="both"/>
        <w:rPr>
          <w:rFonts w:ascii="Arial" w:hAnsi="Arial" w:cs="Arial"/>
          <w:b/>
          <w:bCs/>
          <w:sz w:val="24"/>
          <w:szCs w:val="24"/>
        </w:rPr>
      </w:pPr>
      <w:r w:rsidRPr="00574EFD">
        <w:rPr>
          <w:rFonts w:ascii="Arial" w:hAnsi="Arial" w:cs="Arial"/>
          <w:b/>
          <w:bCs/>
          <w:sz w:val="24"/>
          <w:szCs w:val="24"/>
        </w:rPr>
        <w:t>5.1 Understanding the Customer Experience</w:t>
      </w:r>
    </w:p>
    <w:p w14:paraId="0851C50C" w14:textId="77777777" w:rsidR="008F74D8" w:rsidRPr="00574EFD" w:rsidRDefault="008F74D8" w:rsidP="00574EFD">
      <w:pPr>
        <w:jc w:val="both"/>
        <w:rPr>
          <w:rFonts w:ascii="Arial" w:hAnsi="Arial" w:cs="Arial"/>
          <w:b/>
          <w:bCs/>
          <w:sz w:val="24"/>
          <w:szCs w:val="24"/>
        </w:rPr>
      </w:pPr>
    </w:p>
    <w:p w14:paraId="1E46E03C" w14:textId="77777777" w:rsidR="00647F29" w:rsidRPr="00574EFD" w:rsidRDefault="00647F29" w:rsidP="00574EFD">
      <w:pPr>
        <w:jc w:val="both"/>
        <w:rPr>
          <w:rFonts w:ascii="Arial" w:hAnsi="Arial" w:cs="Arial"/>
          <w:sz w:val="24"/>
          <w:szCs w:val="24"/>
        </w:rPr>
      </w:pPr>
      <w:r w:rsidRPr="00574EFD">
        <w:rPr>
          <w:rFonts w:ascii="Arial" w:hAnsi="Arial" w:cs="Arial"/>
          <w:sz w:val="24"/>
          <w:szCs w:val="24"/>
        </w:rPr>
        <w:t>Customer experience refers to the customer’s cognitive, emotional, behavioural and sensory responses to interactions with an organisation. Gentile et al. (2007) describe it as a multidimensional experience emerging from interactions between customers and organisations that can contribute to value creation. It therefore includes more than the quality of the purchased product.</w:t>
      </w:r>
    </w:p>
    <w:p w14:paraId="20152F3F" w14:textId="77777777" w:rsidR="00647F29" w:rsidRPr="00574EFD" w:rsidRDefault="00647F29" w:rsidP="00574EFD">
      <w:pPr>
        <w:jc w:val="both"/>
        <w:rPr>
          <w:rFonts w:ascii="Arial" w:hAnsi="Arial" w:cs="Arial"/>
          <w:sz w:val="24"/>
          <w:szCs w:val="24"/>
        </w:rPr>
      </w:pPr>
    </w:p>
    <w:p w14:paraId="70C25C76" w14:textId="67C2485E" w:rsidR="005C79E4" w:rsidRPr="00574EFD" w:rsidRDefault="00647F29" w:rsidP="00574EFD">
      <w:pPr>
        <w:jc w:val="both"/>
        <w:rPr>
          <w:rFonts w:ascii="Arial" w:hAnsi="Arial" w:cs="Arial"/>
          <w:sz w:val="24"/>
          <w:szCs w:val="24"/>
        </w:rPr>
      </w:pPr>
      <w:r w:rsidRPr="00574EFD">
        <w:rPr>
          <w:rFonts w:ascii="Arial" w:hAnsi="Arial" w:cs="Arial"/>
          <w:sz w:val="24"/>
          <w:szCs w:val="24"/>
        </w:rPr>
        <w:t>Lemon and Verhoef (2016) position customer experience across three broad phases: pre-purchase, purchase and post-purchase. Within these phases, customers encounter multiple touchpoints, including advertising, social media, conversations with representatives, ordering systems, product use and after-sales support. Some touchpoints are controlled directly by the organisation, while others, such as online reviews and conversations between customers, cannot be fully controlled. Nevertheless, each may influence the customer’s overall judgement.</w:t>
      </w:r>
    </w:p>
    <w:p w14:paraId="71CD38F3" w14:textId="77777777" w:rsidR="00647F29" w:rsidRPr="00574EFD" w:rsidRDefault="00647F29" w:rsidP="00574EFD">
      <w:pPr>
        <w:jc w:val="both"/>
        <w:rPr>
          <w:rFonts w:ascii="Arial" w:hAnsi="Arial" w:cs="Arial"/>
          <w:sz w:val="24"/>
          <w:szCs w:val="24"/>
        </w:rPr>
      </w:pPr>
    </w:p>
    <w:p w14:paraId="14DA8790" w14:textId="77777777" w:rsidR="00B15514" w:rsidRPr="00574EFD" w:rsidRDefault="00B15514" w:rsidP="00574EFD">
      <w:pPr>
        <w:jc w:val="both"/>
        <w:rPr>
          <w:rFonts w:ascii="Arial" w:hAnsi="Arial" w:cs="Arial"/>
          <w:sz w:val="24"/>
          <w:szCs w:val="24"/>
        </w:rPr>
      </w:pPr>
    </w:p>
    <w:p w14:paraId="2E94373D" w14:textId="7CB85F4C" w:rsidR="00A257B1" w:rsidRPr="00574EFD" w:rsidRDefault="00A257B1" w:rsidP="00574EFD">
      <w:pPr>
        <w:jc w:val="both"/>
        <w:rPr>
          <w:rFonts w:ascii="Arial" w:hAnsi="Arial" w:cs="Arial"/>
          <w:b/>
          <w:bCs/>
          <w:sz w:val="24"/>
          <w:szCs w:val="24"/>
        </w:rPr>
      </w:pPr>
      <w:r w:rsidRPr="00574EFD">
        <w:rPr>
          <w:rFonts w:ascii="Arial" w:hAnsi="Arial" w:cs="Arial"/>
          <w:b/>
          <w:bCs/>
          <w:sz w:val="24"/>
          <w:szCs w:val="24"/>
        </w:rPr>
        <w:t xml:space="preserve">5.2 </w:t>
      </w:r>
      <w:r w:rsidR="00D20222" w:rsidRPr="00574EFD">
        <w:rPr>
          <w:rFonts w:ascii="Arial" w:hAnsi="Arial" w:cs="Arial"/>
          <w:b/>
          <w:bCs/>
          <w:sz w:val="24"/>
          <w:szCs w:val="24"/>
        </w:rPr>
        <w:t>Emotional and Rational Influences on Customer Behaviour</w:t>
      </w:r>
    </w:p>
    <w:p w14:paraId="650C1622" w14:textId="77777777" w:rsidR="009B0CC2" w:rsidRPr="00574EFD" w:rsidRDefault="009B0CC2" w:rsidP="00574EFD">
      <w:pPr>
        <w:jc w:val="both"/>
        <w:rPr>
          <w:rFonts w:ascii="Arial" w:hAnsi="Arial" w:cs="Arial"/>
          <w:b/>
          <w:bCs/>
          <w:sz w:val="24"/>
          <w:szCs w:val="24"/>
        </w:rPr>
      </w:pPr>
    </w:p>
    <w:p w14:paraId="3F63CA45" w14:textId="55B75F2A" w:rsidR="00B15514" w:rsidRPr="00574EFD" w:rsidRDefault="00B15514" w:rsidP="00574EFD">
      <w:pPr>
        <w:jc w:val="both"/>
        <w:rPr>
          <w:rFonts w:ascii="Arial" w:hAnsi="Arial" w:cs="Arial"/>
          <w:sz w:val="24"/>
          <w:szCs w:val="24"/>
        </w:rPr>
      </w:pPr>
      <w:r w:rsidRPr="00574EFD">
        <w:rPr>
          <w:rFonts w:ascii="Arial" w:hAnsi="Arial" w:cs="Arial"/>
          <w:sz w:val="24"/>
          <w:szCs w:val="24"/>
        </w:rPr>
        <w:t xml:space="preserve">Customer decisions combine emotional and rational processes. Rational evaluation may involve comparing price, quality, convenience, product information and perceived risk. Emotional evaluation concerns feelings such as trust, confidence, enjoyment, anxiety or belonging. Shiv and </w:t>
      </w:r>
      <w:proofErr w:type="spellStart"/>
      <w:r w:rsidRPr="00574EFD">
        <w:rPr>
          <w:rFonts w:ascii="Arial" w:hAnsi="Arial" w:cs="Arial"/>
          <w:sz w:val="24"/>
          <w:szCs w:val="24"/>
        </w:rPr>
        <w:t>Fedorikhin</w:t>
      </w:r>
      <w:proofErr w:type="spellEnd"/>
      <w:r w:rsidRPr="00574EFD">
        <w:rPr>
          <w:rFonts w:ascii="Arial" w:hAnsi="Arial" w:cs="Arial"/>
          <w:sz w:val="24"/>
          <w:szCs w:val="24"/>
        </w:rPr>
        <w:t xml:space="preserve"> (1999) demonstrate that affective and cognitive processes can compete during consumer decision-making, particularly when customers have limited time or mental resources.</w:t>
      </w:r>
    </w:p>
    <w:p w14:paraId="264EFFE1" w14:textId="77777777" w:rsidR="00F17B0D" w:rsidRPr="00574EFD" w:rsidRDefault="00F17B0D" w:rsidP="00574EFD">
      <w:pPr>
        <w:jc w:val="both"/>
        <w:rPr>
          <w:rFonts w:ascii="Arial" w:hAnsi="Arial" w:cs="Arial"/>
          <w:sz w:val="24"/>
          <w:szCs w:val="24"/>
        </w:rPr>
      </w:pPr>
    </w:p>
    <w:p w14:paraId="2F1CF0A1" w14:textId="77777777" w:rsidR="000F1A40" w:rsidRPr="00574EFD" w:rsidRDefault="000F1A40" w:rsidP="00574EFD">
      <w:pPr>
        <w:jc w:val="both"/>
        <w:rPr>
          <w:rFonts w:ascii="Arial" w:hAnsi="Arial" w:cs="Arial"/>
          <w:sz w:val="24"/>
          <w:szCs w:val="24"/>
        </w:rPr>
      </w:pPr>
    </w:p>
    <w:p w14:paraId="2F185987" w14:textId="14C60C4F" w:rsidR="009B0CC2" w:rsidRPr="00574EFD" w:rsidRDefault="00B15514" w:rsidP="00574EFD">
      <w:pPr>
        <w:jc w:val="both"/>
        <w:rPr>
          <w:rFonts w:ascii="Arial" w:hAnsi="Arial" w:cs="Arial"/>
          <w:sz w:val="24"/>
          <w:szCs w:val="24"/>
        </w:rPr>
      </w:pPr>
      <w:r w:rsidRPr="00574EFD">
        <w:rPr>
          <w:rFonts w:ascii="Arial" w:hAnsi="Arial" w:cs="Arial"/>
          <w:sz w:val="24"/>
          <w:szCs w:val="24"/>
        </w:rPr>
        <w:t xml:space="preserve">Emotional influence should not be interpreted as irrational or unimportant. Emotions can help customers evaluate complex situations and may shape how individual touchpoints are remembered. However, decisions based mainly on immediate emotional appeal may later produce dissatisfaction if product performance, price or service does not support the original impression. Effective customer experiences should therefore balance emotional engagement with sufficient </w:t>
      </w:r>
      <w:r w:rsidR="009B0CC2" w:rsidRPr="00574EFD">
        <w:rPr>
          <w:rFonts w:ascii="Arial" w:hAnsi="Arial" w:cs="Arial"/>
          <w:sz w:val="24"/>
          <w:szCs w:val="24"/>
        </w:rPr>
        <w:t>information</w:t>
      </w:r>
      <w:r w:rsidRPr="00574EFD">
        <w:rPr>
          <w:rFonts w:ascii="Arial" w:hAnsi="Arial" w:cs="Arial"/>
          <w:sz w:val="24"/>
          <w:szCs w:val="24"/>
        </w:rPr>
        <w:t>.</w:t>
      </w:r>
    </w:p>
    <w:p w14:paraId="39DB5653" w14:textId="77777777" w:rsidR="009B0CC2" w:rsidRPr="00574EFD" w:rsidRDefault="009B0CC2" w:rsidP="00574EFD">
      <w:pPr>
        <w:jc w:val="both"/>
        <w:rPr>
          <w:rFonts w:ascii="Arial" w:hAnsi="Arial" w:cs="Arial"/>
          <w:sz w:val="24"/>
          <w:szCs w:val="24"/>
        </w:rPr>
      </w:pPr>
    </w:p>
    <w:p w14:paraId="018B0673" w14:textId="77777777" w:rsidR="00F9436C" w:rsidRPr="00574EFD" w:rsidRDefault="00F9436C" w:rsidP="00574EFD">
      <w:pPr>
        <w:jc w:val="both"/>
        <w:rPr>
          <w:rFonts w:ascii="Arial" w:hAnsi="Arial" w:cs="Arial"/>
          <w:sz w:val="24"/>
          <w:szCs w:val="24"/>
        </w:rPr>
      </w:pPr>
    </w:p>
    <w:p w14:paraId="7D2F7046" w14:textId="7C728046" w:rsidR="00D20222" w:rsidRPr="00574EFD" w:rsidRDefault="00D20222" w:rsidP="00574EFD">
      <w:pPr>
        <w:jc w:val="both"/>
        <w:rPr>
          <w:rFonts w:ascii="Arial" w:hAnsi="Arial" w:cs="Arial"/>
          <w:b/>
          <w:bCs/>
          <w:sz w:val="24"/>
          <w:szCs w:val="24"/>
        </w:rPr>
      </w:pPr>
      <w:r w:rsidRPr="00574EFD">
        <w:rPr>
          <w:rFonts w:ascii="Arial" w:hAnsi="Arial" w:cs="Arial"/>
          <w:b/>
          <w:bCs/>
          <w:sz w:val="24"/>
          <w:szCs w:val="24"/>
        </w:rPr>
        <w:t xml:space="preserve">5.3 </w:t>
      </w:r>
      <w:r w:rsidR="004D5AD9" w:rsidRPr="00574EFD">
        <w:rPr>
          <w:rFonts w:ascii="Arial" w:hAnsi="Arial" w:cs="Arial"/>
          <w:b/>
          <w:bCs/>
          <w:sz w:val="24"/>
          <w:szCs w:val="24"/>
        </w:rPr>
        <w:t xml:space="preserve">Customer Delight </w:t>
      </w:r>
    </w:p>
    <w:p w14:paraId="3B851A95" w14:textId="77777777" w:rsidR="009B0CC2" w:rsidRPr="00574EFD" w:rsidRDefault="009B0CC2" w:rsidP="00574EFD">
      <w:pPr>
        <w:jc w:val="both"/>
        <w:rPr>
          <w:rFonts w:ascii="Arial" w:hAnsi="Arial" w:cs="Arial"/>
          <w:b/>
          <w:bCs/>
          <w:sz w:val="24"/>
          <w:szCs w:val="24"/>
        </w:rPr>
      </w:pPr>
    </w:p>
    <w:p w14:paraId="36C1A73C" w14:textId="77777777" w:rsidR="00A71217" w:rsidRPr="00574EFD" w:rsidRDefault="00A71217" w:rsidP="00574EFD">
      <w:pPr>
        <w:jc w:val="both"/>
        <w:rPr>
          <w:rFonts w:ascii="Arial" w:hAnsi="Arial" w:cs="Arial"/>
          <w:sz w:val="24"/>
          <w:szCs w:val="24"/>
        </w:rPr>
      </w:pPr>
      <w:r w:rsidRPr="00574EFD">
        <w:rPr>
          <w:rFonts w:ascii="Arial" w:hAnsi="Arial" w:cs="Arial"/>
          <w:sz w:val="24"/>
          <w:szCs w:val="24"/>
        </w:rPr>
        <w:t>Customer delight occurs when an experience generates a strongly positive response that exceeds ordinary satisfaction. Torres and Kline (2013) distinguish satisfaction, which generally results from meeting expectations, from delight, which involves exceeding expectations and creating positive surprise. Delight may encourage memorable experiences, advocacy and stronger relationships.</w:t>
      </w:r>
    </w:p>
    <w:p w14:paraId="3E397F7D" w14:textId="77777777" w:rsidR="00A71217" w:rsidRPr="00574EFD" w:rsidRDefault="00A71217" w:rsidP="00574EFD">
      <w:pPr>
        <w:jc w:val="both"/>
        <w:rPr>
          <w:rFonts w:ascii="Arial" w:hAnsi="Arial" w:cs="Arial"/>
          <w:sz w:val="24"/>
          <w:szCs w:val="24"/>
        </w:rPr>
      </w:pPr>
    </w:p>
    <w:p w14:paraId="13D3D05B" w14:textId="3EDCBE52" w:rsidR="009B0CC2" w:rsidRPr="00574EFD" w:rsidRDefault="00A71217" w:rsidP="00574EFD">
      <w:pPr>
        <w:jc w:val="both"/>
        <w:rPr>
          <w:rFonts w:ascii="Arial" w:hAnsi="Arial" w:cs="Arial"/>
          <w:sz w:val="24"/>
          <w:szCs w:val="24"/>
        </w:rPr>
      </w:pPr>
      <w:r w:rsidRPr="00574EFD">
        <w:rPr>
          <w:rFonts w:ascii="Arial" w:hAnsi="Arial" w:cs="Arial"/>
          <w:sz w:val="24"/>
          <w:szCs w:val="24"/>
        </w:rPr>
        <w:t>Nevertheless, attempting to delight every customer at every interaction may be expensive and unsustainable. Repeated additional benefits may also become expected, reducing their ability to create surprise. Organisations should first ensure that essential service requirements are delivered consistently. Delight should complement reliability rather than compensate for weak basic service.</w:t>
      </w:r>
    </w:p>
    <w:p w14:paraId="37AE967C" w14:textId="77777777" w:rsidR="00A71217" w:rsidRPr="00574EFD" w:rsidRDefault="00A71217" w:rsidP="00574EFD">
      <w:pPr>
        <w:jc w:val="both"/>
        <w:rPr>
          <w:rFonts w:ascii="Arial" w:hAnsi="Arial" w:cs="Arial"/>
          <w:sz w:val="24"/>
          <w:szCs w:val="24"/>
        </w:rPr>
      </w:pPr>
    </w:p>
    <w:p w14:paraId="36FDFB35" w14:textId="77777777" w:rsidR="00F9436C" w:rsidRPr="00574EFD" w:rsidRDefault="00F9436C" w:rsidP="00574EFD">
      <w:pPr>
        <w:jc w:val="both"/>
        <w:rPr>
          <w:rFonts w:ascii="Arial" w:hAnsi="Arial" w:cs="Arial"/>
          <w:sz w:val="24"/>
          <w:szCs w:val="24"/>
        </w:rPr>
      </w:pPr>
    </w:p>
    <w:p w14:paraId="2DF27DFB" w14:textId="687A7DD3" w:rsidR="004D5AD9" w:rsidRPr="00574EFD" w:rsidRDefault="004D5AD9" w:rsidP="00574EFD">
      <w:pPr>
        <w:jc w:val="both"/>
        <w:rPr>
          <w:rFonts w:ascii="Arial" w:hAnsi="Arial" w:cs="Arial"/>
          <w:b/>
          <w:bCs/>
          <w:sz w:val="24"/>
          <w:szCs w:val="24"/>
        </w:rPr>
      </w:pPr>
      <w:r w:rsidRPr="00574EFD">
        <w:rPr>
          <w:rFonts w:ascii="Arial" w:hAnsi="Arial" w:cs="Arial"/>
          <w:b/>
          <w:bCs/>
          <w:sz w:val="24"/>
          <w:szCs w:val="24"/>
        </w:rPr>
        <w:t xml:space="preserve">5.4 </w:t>
      </w:r>
      <w:r w:rsidR="00187D8D" w:rsidRPr="00574EFD">
        <w:rPr>
          <w:rFonts w:ascii="Arial" w:hAnsi="Arial" w:cs="Arial"/>
          <w:b/>
          <w:bCs/>
          <w:sz w:val="24"/>
          <w:szCs w:val="24"/>
        </w:rPr>
        <w:t>The S</w:t>
      </w:r>
      <w:r w:rsidR="00C351D5" w:rsidRPr="00574EFD">
        <w:rPr>
          <w:rFonts w:ascii="Arial" w:hAnsi="Arial" w:cs="Arial"/>
          <w:b/>
          <w:bCs/>
          <w:sz w:val="24"/>
          <w:szCs w:val="24"/>
        </w:rPr>
        <w:t>NEP SPA</w:t>
      </w:r>
      <w:r w:rsidR="00187D8D" w:rsidRPr="00574EFD">
        <w:rPr>
          <w:rFonts w:ascii="Arial" w:hAnsi="Arial" w:cs="Arial"/>
          <w:b/>
          <w:bCs/>
          <w:sz w:val="24"/>
          <w:szCs w:val="24"/>
        </w:rPr>
        <w:t xml:space="preserve"> Customer Experience</w:t>
      </w:r>
    </w:p>
    <w:p w14:paraId="26B412A8" w14:textId="77777777" w:rsidR="00A71217" w:rsidRPr="00574EFD" w:rsidRDefault="00A71217" w:rsidP="00574EFD">
      <w:pPr>
        <w:jc w:val="both"/>
        <w:rPr>
          <w:rFonts w:ascii="Arial" w:hAnsi="Arial" w:cs="Arial"/>
          <w:sz w:val="24"/>
          <w:szCs w:val="24"/>
        </w:rPr>
      </w:pPr>
    </w:p>
    <w:p w14:paraId="5AAB3CDA" w14:textId="77777777" w:rsidR="005355DE" w:rsidRPr="00574EFD" w:rsidRDefault="005355DE" w:rsidP="00574EFD">
      <w:pPr>
        <w:jc w:val="both"/>
        <w:rPr>
          <w:rFonts w:ascii="Arial" w:hAnsi="Arial" w:cs="Arial"/>
          <w:sz w:val="24"/>
          <w:szCs w:val="24"/>
        </w:rPr>
      </w:pPr>
      <w:r w:rsidRPr="00574EFD">
        <w:rPr>
          <w:rFonts w:ascii="Arial" w:hAnsi="Arial" w:cs="Arial"/>
          <w:sz w:val="24"/>
          <w:szCs w:val="24"/>
        </w:rPr>
        <w:t>The SNEP SPA customer experience may begin before direct contact with the Brand Ambassador. A prospective customer may encounter social-media content, recommendations, product information or the company website. These touchpoints can create expectations before an enquiry or purchase takes place. The Brand Ambassador should therefore ensure that personal communications are clear and consistent with reliable company information.</w:t>
      </w:r>
    </w:p>
    <w:p w14:paraId="764A6137" w14:textId="77777777" w:rsidR="005355DE" w:rsidRPr="00574EFD" w:rsidRDefault="005355DE" w:rsidP="00574EFD">
      <w:pPr>
        <w:jc w:val="both"/>
        <w:rPr>
          <w:rFonts w:ascii="Arial" w:hAnsi="Arial" w:cs="Arial"/>
          <w:sz w:val="24"/>
          <w:szCs w:val="24"/>
        </w:rPr>
      </w:pPr>
    </w:p>
    <w:p w14:paraId="4F1F7164" w14:textId="77777777" w:rsidR="0039574B" w:rsidRPr="00574EFD" w:rsidRDefault="005355DE" w:rsidP="00574EFD">
      <w:pPr>
        <w:jc w:val="both"/>
        <w:rPr>
          <w:rFonts w:ascii="Arial" w:hAnsi="Arial" w:cs="Arial"/>
          <w:sz w:val="24"/>
          <w:szCs w:val="24"/>
        </w:rPr>
      </w:pPr>
      <w:r w:rsidRPr="00574EFD">
        <w:rPr>
          <w:rFonts w:ascii="Arial" w:hAnsi="Arial" w:cs="Arial"/>
          <w:sz w:val="24"/>
          <w:szCs w:val="24"/>
        </w:rPr>
        <w:t>During the purchase phase, rational value can be supported by explaining relevant characteristics, prices, ordering arrangements and available alternatives. Emotional value can be created through attentive listening, respectful communication and reassurance where a customer is uncertain.</w:t>
      </w:r>
    </w:p>
    <w:p w14:paraId="1E807C02" w14:textId="20B4B20D" w:rsidR="005355DE" w:rsidRPr="00574EFD" w:rsidRDefault="005355DE" w:rsidP="00574EFD">
      <w:pPr>
        <w:jc w:val="both"/>
        <w:rPr>
          <w:rFonts w:ascii="Arial" w:hAnsi="Arial" w:cs="Arial"/>
          <w:sz w:val="24"/>
          <w:szCs w:val="24"/>
        </w:rPr>
      </w:pPr>
      <w:r w:rsidRPr="00574EFD">
        <w:rPr>
          <w:rFonts w:ascii="Arial" w:hAnsi="Arial" w:cs="Arial"/>
          <w:sz w:val="24"/>
          <w:szCs w:val="24"/>
        </w:rPr>
        <w:t xml:space="preserve"> </w:t>
      </w:r>
      <w:r w:rsidR="00881C63" w:rsidRPr="00574EFD">
        <w:rPr>
          <w:rFonts w:ascii="Arial" w:hAnsi="Arial" w:cs="Arial"/>
          <w:sz w:val="24"/>
          <w:szCs w:val="24"/>
        </w:rPr>
        <w:t>Sinek (2025) distinguishes procedural politeness from genuine care, suggesting that customers’ emotional evaluations depend partly on how limitations are communicated. Therefore, empathy should support accurate information rather than replace it or create unrealistic expectations.</w:t>
      </w:r>
    </w:p>
    <w:p w14:paraId="42222A79" w14:textId="77777777" w:rsidR="005355DE" w:rsidRPr="00574EFD" w:rsidRDefault="005355DE" w:rsidP="00574EFD">
      <w:pPr>
        <w:jc w:val="both"/>
        <w:rPr>
          <w:rFonts w:ascii="Arial" w:hAnsi="Arial" w:cs="Arial"/>
          <w:sz w:val="24"/>
          <w:szCs w:val="24"/>
        </w:rPr>
      </w:pPr>
    </w:p>
    <w:p w14:paraId="4E07FF7C" w14:textId="77777777" w:rsidR="00F62296" w:rsidRPr="00574EFD" w:rsidRDefault="00F62296" w:rsidP="00574EFD">
      <w:pPr>
        <w:jc w:val="both"/>
        <w:rPr>
          <w:rFonts w:ascii="Arial" w:hAnsi="Arial" w:cs="Arial"/>
          <w:sz w:val="24"/>
          <w:szCs w:val="24"/>
        </w:rPr>
      </w:pPr>
    </w:p>
    <w:p w14:paraId="33C44451" w14:textId="0D9A6518" w:rsidR="005355DE" w:rsidRPr="00574EFD" w:rsidRDefault="005355DE" w:rsidP="00574EFD">
      <w:pPr>
        <w:jc w:val="both"/>
        <w:rPr>
          <w:rFonts w:ascii="Arial" w:hAnsi="Arial" w:cs="Arial"/>
          <w:sz w:val="24"/>
          <w:szCs w:val="24"/>
        </w:rPr>
      </w:pPr>
      <w:r w:rsidRPr="00574EFD">
        <w:rPr>
          <w:rFonts w:ascii="Arial" w:hAnsi="Arial" w:cs="Arial"/>
          <w:sz w:val="24"/>
          <w:szCs w:val="24"/>
        </w:rPr>
        <w:t xml:space="preserve">Post-purchase contact allows the Brand Ambassador to determine whether the ordering and support experience met expectations. Appropriate follow-up may also identify questions or dissatisfaction before they damage the relationship. A </w:t>
      </w:r>
      <w:r w:rsidR="00E56D15" w:rsidRPr="00574EFD">
        <w:rPr>
          <w:rFonts w:ascii="Arial" w:hAnsi="Arial" w:cs="Arial"/>
          <w:sz w:val="24"/>
          <w:szCs w:val="24"/>
        </w:rPr>
        <w:t>small, personalised</w:t>
      </w:r>
      <w:r w:rsidRPr="00574EFD">
        <w:rPr>
          <w:rFonts w:ascii="Arial" w:hAnsi="Arial" w:cs="Arial"/>
          <w:sz w:val="24"/>
          <w:szCs w:val="24"/>
        </w:rPr>
        <w:t xml:space="preserve"> action, such as remembering the customer’s communication preference or responding promptly to an enquiry, may create delight without requiring a financial reward.</w:t>
      </w:r>
    </w:p>
    <w:p w14:paraId="0B7DA189" w14:textId="77777777" w:rsidR="005355DE" w:rsidRPr="00574EFD" w:rsidRDefault="005355DE" w:rsidP="00574EFD">
      <w:pPr>
        <w:jc w:val="both"/>
        <w:rPr>
          <w:rFonts w:ascii="Arial" w:hAnsi="Arial" w:cs="Arial"/>
          <w:sz w:val="24"/>
          <w:szCs w:val="24"/>
        </w:rPr>
      </w:pPr>
    </w:p>
    <w:p w14:paraId="5C35F339" w14:textId="6DAAAA88" w:rsidR="00A71217" w:rsidRPr="00574EFD" w:rsidRDefault="005355DE" w:rsidP="00574EFD">
      <w:pPr>
        <w:jc w:val="both"/>
        <w:rPr>
          <w:rFonts w:ascii="Arial" w:hAnsi="Arial" w:cs="Arial"/>
          <w:sz w:val="24"/>
          <w:szCs w:val="24"/>
        </w:rPr>
      </w:pPr>
      <w:r w:rsidRPr="00574EFD">
        <w:rPr>
          <w:rFonts w:ascii="Arial" w:hAnsi="Arial" w:cs="Arial"/>
          <w:sz w:val="24"/>
          <w:szCs w:val="24"/>
        </w:rPr>
        <w:t>The customer experience should be evaluated across the complete journey rather than through the sale alone. Feedback can examine the clarity of information, ease of ordering, responsiveness and overall treatment. The Brand Ambassador should also recognise that customer emotions vary: some customers may value warm interaction, while others prefer brief and practical communication. Balancing emotional sensitivity with rational information can therefore create a more inclusive, credible and customer-central SNEP SPA experience.</w:t>
      </w:r>
    </w:p>
    <w:p w14:paraId="243DECF1" w14:textId="77777777" w:rsidR="00D20222" w:rsidRPr="00574EFD" w:rsidRDefault="00D20222" w:rsidP="00574EFD">
      <w:pPr>
        <w:jc w:val="both"/>
        <w:rPr>
          <w:rFonts w:ascii="Arial" w:hAnsi="Arial" w:cs="Arial"/>
          <w:sz w:val="24"/>
          <w:szCs w:val="24"/>
        </w:rPr>
      </w:pPr>
    </w:p>
    <w:p w14:paraId="420B21F8" w14:textId="77777777" w:rsidR="005225BF" w:rsidRPr="00574EFD" w:rsidRDefault="005225BF" w:rsidP="00574EFD">
      <w:pPr>
        <w:spacing w:line="360" w:lineRule="auto"/>
        <w:jc w:val="both"/>
        <w:rPr>
          <w:rFonts w:ascii="Arial" w:hAnsi="Arial" w:cs="Arial"/>
          <w:sz w:val="24"/>
          <w:szCs w:val="24"/>
        </w:rPr>
      </w:pPr>
    </w:p>
    <w:p w14:paraId="52CE6B68" w14:textId="76ACE633" w:rsidR="00885114" w:rsidRPr="00574EFD" w:rsidRDefault="00C06096" w:rsidP="00574EFD">
      <w:pPr>
        <w:pStyle w:val="Heading2"/>
        <w:jc w:val="both"/>
        <w:rPr>
          <w:rFonts w:ascii="Arial" w:hAnsi="Arial" w:cs="Arial"/>
          <w:sz w:val="24"/>
          <w:szCs w:val="24"/>
        </w:rPr>
      </w:pPr>
      <w:bookmarkStart w:id="8" w:name="_Toc456901523"/>
      <w:bookmarkStart w:id="9" w:name="_Toc235957864"/>
      <w:r w:rsidRPr="00574EFD">
        <w:rPr>
          <w:rFonts w:ascii="Arial" w:hAnsi="Arial" w:cs="Arial"/>
          <w:sz w:val="24"/>
          <w:szCs w:val="24"/>
        </w:rPr>
        <w:lastRenderedPageBreak/>
        <w:t>Section 6: Buyer- Seller Relationships</w:t>
      </w:r>
      <w:bookmarkEnd w:id="9"/>
    </w:p>
    <w:p w14:paraId="44C95A53" w14:textId="77777777" w:rsidR="00985137" w:rsidRPr="00574EFD" w:rsidRDefault="00985137" w:rsidP="00574EFD">
      <w:pPr>
        <w:jc w:val="both"/>
        <w:rPr>
          <w:rFonts w:ascii="Arial" w:hAnsi="Arial" w:cs="Arial"/>
          <w:sz w:val="24"/>
          <w:szCs w:val="24"/>
        </w:rPr>
      </w:pPr>
    </w:p>
    <w:p w14:paraId="0215C438" w14:textId="77777777" w:rsidR="00985137" w:rsidRPr="00574EFD" w:rsidRDefault="00985137" w:rsidP="00574EFD">
      <w:pPr>
        <w:jc w:val="both"/>
        <w:rPr>
          <w:rFonts w:ascii="Arial" w:hAnsi="Arial" w:cs="Arial"/>
          <w:b/>
          <w:bCs/>
          <w:sz w:val="24"/>
          <w:szCs w:val="24"/>
        </w:rPr>
      </w:pPr>
    </w:p>
    <w:p w14:paraId="6DF1144D" w14:textId="19FFD7B7" w:rsidR="00C06096" w:rsidRPr="00574EFD" w:rsidRDefault="00864007" w:rsidP="00574EFD">
      <w:pPr>
        <w:jc w:val="both"/>
        <w:rPr>
          <w:rFonts w:ascii="Arial" w:hAnsi="Arial" w:cs="Arial"/>
          <w:b/>
          <w:bCs/>
          <w:sz w:val="24"/>
          <w:szCs w:val="24"/>
        </w:rPr>
      </w:pPr>
      <w:r w:rsidRPr="00574EFD">
        <w:rPr>
          <w:rFonts w:ascii="Arial" w:hAnsi="Arial" w:cs="Arial"/>
          <w:b/>
          <w:bCs/>
          <w:sz w:val="24"/>
          <w:szCs w:val="24"/>
        </w:rPr>
        <w:t>6.1 The</w:t>
      </w:r>
      <w:r w:rsidR="00C01145" w:rsidRPr="00574EFD">
        <w:rPr>
          <w:rFonts w:ascii="Arial" w:hAnsi="Arial" w:cs="Arial"/>
          <w:b/>
          <w:bCs/>
          <w:sz w:val="24"/>
          <w:szCs w:val="24"/>
        </w:rPr>
        <w:t xml:space="preserve"> Development of Buyer- Seller Relationship</w:t>
      </w:r>
    </w:p>
    <w:p w14:paraId="07D5A2F6" w14:textId="77777777" w:rsidR="00770FF9" w:rsidRPr="00574EFD" w:rsidRDefault="00770FF9" w:rsidP="00574EFD">
      <w:pPr>
        <w:jc w:val="both"/>
        <w:rPr>
          <w:rFonts w:ascii="Arial" w:hAnsi="Arial" w:cs="Arial"/>
          <w:b/>
          <w:bCs/>
          <w:sz w:val="24"/>
          <w:szCs w:val="24"/>
        </w:rPr>
      </w:pPr>
    </w:p>
    <w:p w14:paraId="335DD6C1" w14:textId="77777777" w:rsidR="0011073C" w:rsidRPr="00574EFD" w:rsidRDefault="0011073C" w:rsidP="00574EFD">
      <w:pPr>
        <w:jc w:val="both"/>
        <w:rPr>
          <w:rFonts w:ascii="Arial" w:hAnsi="Arial" w:cs="Arial"/>
          <w:sz w:val="24"/>
          <w:szCs w:val="24"/>
        </w:rPr>
      </w:pPr>
      <w:r w:rsidRPr="00574EFD">
        <w:rPr>
          <w:rFonts w:ascii="Arial" w:hAnsi="Arial" w:cs="Arial"/>
          <w:sz w:val="24"/>
          <w:szCs w:val="24"/>
        </w:rPr>
        <w:t>A buyer–seller relationship develops through repeated exchanges between a customer and a provider. Unlike transactional marketing, which concentrates mainly on completing individual sales, relationship marketing focuses on establishing, developing and maintaining successful exchanges over time (Morgan &amp; Hunt, 1994). Buyer–seller relationships may progress from initial awareness and exploration to expansion, commitment and eventual dissolution (Dwyer et al., 1987).</w:t>
      </w:r>
    </w:p>
    <w:p w14:paraId="320482FB" w14:textId="77777777" w:rsidR="0011073C" w:rsidRPr="00574EFD" w:rsidRDefault="0011073C" w:rsidP="00574EFD">
      <w:pPr>
        <w:jc w:val="both"/>
        <w:rPr>
          <w:rFonts w:ascii="Arial" w:hAnsi="Arial" w:cs="Arial"/>
          <w:sz w:val="24"/>
          <w:szCs w:val="24"/>
        </w:rPr>
      </w:pPr>
    </w:p>
    <w:p w14:paraId="08071556" w14:textId="3605D52B" w:rsidR="00985137" w:rsidRPr="00574EFD" w:rsidRDefault="0011073C" w:rsidP="00574EFD">
      <w:pPr>
        <w:jc w:val="both"/>
        <w:rPr>
          <w:rFonts w:ascii="Arial" w:hAnsi="Arial" w:cs="Arial"/>
          <w:sz w:val="24"/>
          <w:szCs w:val="24"/>
        </w:rPr>
      </w:pPr>
      <w:r w:rsidRPr="00574EFD">
        <w:rPr>
          <w:rFonts w:ascii="Arial" w:hAnsi="Arial" w:cs="Arial"/>
          <w:sz w:val="24"/>
          <w:szCs w:val="24"/>
        </w:rPr>
        <w:t>The relationship does not necessarily progress continuously. Customers may remain at an early stage, return after inactivity or end the relationship following a change in requirements. Wilson (1995) also explains that different relational factors become important at different stages. Initial selection may depend on reputation and perceived value, whereas established relationships increasingly depend on satisfaction, cooperation and trust</w:t>
      </w:r>
      <w:r w:rsidR="008F44D4">
        <w:rPr>
          <w:rFonts w:ascii="Arial" w:hAnsi="Arial" w:cs="Arial"/>
          <w:sz w:val="24"/>
          <w:szCs w:val="24"/>
        </w:rPr>
        <w:t xml:space="preserve"> (see appendix a).</w:t>
      </w:r>
    </w:p>
    <w:p w14:paraId="741E701F" w14:textId="77777777" w:rsidR="00985137" w:rsidRPr="00574EFD" w:rsidRDefault="00985137" w:rsidP="00574EFD">
      <w:pPr>
        <w:jc w:val="both"/>
        <w:rPr>
          <w:rFonts w:ascii="Arial" w:hAnsi="Arial" w:cs="Arial"/>
          <w:b/>
          <w:bCs/>
          <w:sz w:val="24"/>
          <w:szCs w:val="24"/>
        </w:rPr>
      </w:pPr>
    </w:p>
    <w:p w14:paraId="7865CB55" w14:textId="77777777" w:rsidR="00F9436C" w:rsidRPr="00574EFD" w:rsidRDefault="00F9436C" w:rsidP="00574EFD">
      <w:pPr>
        <w:jc w:val="both"/>
        <w:rPr>
          <w:rFonts w:ascii="Arial" w:hAnsi="Arial" w:cs="Arial"/>
          <w:b/>
          <w:bCs/>
          <w:sz w:val="24"/>
          <w:szCs w:val="24"/>
        </w:rPr>
      </w:pPr>
    </w:p>
    <w:p w14:paraId="6929249D" w14:textId="77777777" w:rsidR="00F9436C" w:rsidRPr="00574EFD" w:rsidRDefault="00F9436C" w:rsidP="00574EFD">
      <w:pPr>
        <w:jc w:val="both"/>
        <w:rPr>
          <w:rFonts w:ascii="Arial" w:hAnsi="Arial" w:cs="Arial"/>
          <w:b/>
          <w:bCs/>
          <w:sz w:val="24"/>
          <w:szCs w:val="24"/>
        </w:rPr>
      </w:pPr>
    </w:p>
    <w:p w14:paraId="229A9370" w14:textId="00A90412" w:rsidR="00864007" w:rsidRPr="00574EFD" w:rsidRDefault="00864007" w:rsidP="00574EFD">
      <w:pPr>
        <w:jc w:val="both"/>
        <w:rPr>
          <w:rFonts w:ascii="Arial" w:hAnsi="Arial" w:cs="Arial"/>
          <w:b/>
          <w:bCs/>
          <w:sz w:val="24"/>
          <w:szCs w:val="24"/>
        </w:rPr>
      </w:pPr>
      <w:r w:rsidRPr="00574EFD">
        <w:rPr>
          <w:rFonts w:ascii="Arial" w:hAnsi="Arial" w:cs="Arial"/>
          <w:b/>
          <w:bCs/>
          <w:sz w:val="24"/>
          <w:szCs w:val="24"/>
        </w:rPr>
        <w:t xml:space="preserve">6.2 </w:t>
      </w:r>
      <w:r w:rsidR="005316AD" w:rsidRPr="00574EFD">
        <w:rPr>
          <w:rFonts w:ascii="Arial" w:hAnsi="Arial" w:cs="Arial"/>
          <w:b/>
          <w:bCs/>
          <w:sz w:val="24"/>
          <w:szCs w:val="24"/>
        </w:rPr>
        <w:t>Trust, Commitment and Communication</w:t>
      </w:r>
    </w:p>
    <w:p w14:paraId="50BE0C02" w14:textId="77777777" w:rsidR="00770FF9" w:rsidRPr="00574EFD" w:rsidRDefault="00770FF9" w:rsidP="00574EFD">
      <w:pPr>
        <w:jc w:val="both"/>
        <w:rPr>
          <w:rFonts w:ascii="Arial" w:hAnsi="Arial" w:cs="Arial"/>
          <w:b/>
          <w:bCs/>
          <w:sz w:val="24"/>
          <w:szCs w:val="24"/>
        </w:rPr>
      </w:pPr>
    </w:p>
    <w:p w14:paraId="30BC40EA" w14:textId="77777777" w:rsidR="002B5E2D" w:rsidRPr="00574EFD" w:rsidRDefault="002B5E2D" w:rsidP="00574EFD">
      <w:pPr>
        <w:jc w:val="both"/>
        <w:rPr>
          <w:rFonts w:ascii="Arial" w:hAnsi="Arial" w:cs="Arial"/>
          <w:sz w:val="24"/>
          <w:szCs w:val="24"/>
        </w:rPr>
      </w:pPr>
      <w:r w:rsidRPr="00574EFD">
        <w:rPr>
          <w:rFonts w:ascii="Arial" w:hAnsi="Arial" w:cs="Arial"/>
          <w:sz w:val="24"/>
          <w:szCs w:val="24"/>
        </w:rPr>
        <w:t>Trust exists when one party considers the other reliable, honest and unlikely to act opportunistically. Commitment represents a willingness to invest in maintaining a valued relationship. Morgan and Hunt’s (1994) commitment–trust theory positions both factors as central to successful relationship marketing because they can encourage cooperation and reduce uncertainty.</w:t>
      </w:r>
    </w:p>
    <w:p w14:paraId="41131ABD" w14:textId="77777777" w:rsidR="002B5E2D" w:rsidRPr="00574EFD" w:rsidRDefault="002B5E2D" w:rsidP="00574EFD">
      <w:pPr>
        <w:jc w:val="both"/>
        <w:rPr>
          <w:rFonts w:ascii="Arial" w:hAnsi="Arial" w:cs="Arial"/>
          <w:sz w:val="24"/>
          <w:szCs w:val="24"/>
        </w:rPr>
      </w:pPr>
    </w:p>
    <w:p w14:paraId="2EB55BB7" w14:textId="242FDE73" w:rsidR="00F71BEF" w:rsidRPr="00574EFD" w:rsidRDefault="00B8605A" w:rsidP="00574EFD">
      <w:pPr>
        <w:jc w:val="both"/>
        <w:rPr>
          <w:rFonts w:ascii="Arial" w:hAnsi="Arial" w:cs="Arial"/>
          <w:sz w:val="24"/>
          <w:szCs w:val="24"/>
        </w:rPr>
      </w:pPr>
      <w:r w:rsidRPr="00574EFD">
        <w:rPr>
          <w:rFonts w:ascii="Arial" w:hAnsi="Arial" w:cs="Arial"/>
          <w:sz w:val="24"/>
          <w:szCs w:val="24"/>
        </w:rPr>
        <w:t>Communication supports trust when it is accurate, timely and two-way. Johnson’s behavioural-intelligence approach recommends focusing on specific behaviours rather than labelling a person, seeking reasons for conduct and using inclusive language to reduce defensiveness (TEDx Talks, 2018). Applied to complaints, the Brand Ambassador should clarify the concern, manage the response calmly and seek a mutually acceptable solution without withholding information or applying sales pressure.</w:t>
      </w:r>
    </w:p>
    <w:p w14:paraId="68CEBB2A" w14:textId="77777777" w:rsidR="00F71BEF" w:rsidRPr="00574EFD" w:rsidRDefault="00F71BEF" w:rsidP="00574EFD">
      <w:pPr>
        <w:jc w:val="both"/>
        <w:rPr>
          <w:rFonts w:ascii="Arial" w:hAnsi="Arial" w:cs="Arial"/>
          <w:sz w:val="24"/>
          <w:szCs w:val="24"/>
        </w:rPr>
      </w:pPr>
    </w:p>
    <w:p w14:paraId="3D24183B" w14:textId="77777777" w:rsidR="00F71BEF" w:rsidRPr="00574EFD" w:rsidRDefault="00F71BEF" w:rsidP="00574EFD">
      <w:pPr>
        <w:jc w:val="both"/>
        <w:rPr>
          <w:rFonts w:ascii="Arial" w:hAnsi="Arial" w:cs="Arial"/>
          <w:sz w:val="24"/>
          <w:szCs w:val="24"/>
        </w:rPr>
      </w:pPr>
    </w:p>
    <w:p w14:paraId="029C8FAE" w14:textId="0FD6F54A" w:rsidR="005316AD" w:rsidRPr="00574EFD" w:rsidRDefault="005316AD" w:rsidP="00574EFD">
      <w:pPr>
        <w:jc w:val="both"/>
        <w:rPr>
          <w:rFonts w:ascii="Arial" w:hAnsi="Arial" w:cs="Arial"/>
          <w:b/>
          <w:bCs/>
          <w:sz w:val="24"/>
          <w:szCs w:val="24"/>
        </w:rPr>
      </w:pPr>
      <w:r w:rsidRPr="00574EFD">
        <w:rPr>
          <w:rFonts w:ascii="Arial" w:hAnsi="Arial" w:cs="Arial"/>
          <w:b/>
          <w:bCs/>
          <w:sz w:val="24"/>
          <w:szCs w:val="24"/>
        </w:rPr>
        <w:t xml:space="preserve">6.3 </w:t>
      </w:r>
      <w:r w:rsidR="001232C9" w:rsidRPr="00574EFD">
        <w:rPr>
          <w:rFonts w:ascii="Arial" w:hAnsi="Arial" w:cs="Arial"/>
          <w:b/>
          <w:bCs/>
          <w:sz w:val="24"/>
          <w:szCs w:val="24"/>
        </w:rPr>
        <w:t>Value Co- Creation</w:t>
      </w:r>
    </w:p>
    <w:p w14:paraId="0B3506DC" w14:textId="77777777" w:rsidR="00985137" w:rsidRPr="00574EFD" w:rsidRDefault="00985137" w:rsidP="00574EFD">
      <w:pPr>
        <w:jc w:val="both"/>
        <w:rPr>
          <w:rFonts w:ascii="Arial" w:hAnsi="Arial" w:cs="Arial"/>
          <w:sz w:val="24"/>
          <w:szCs w:val="24"/>
        </w:rPr>
      </w:pPr>
    </w:p>
    <w:p w14:paraId="75BFA299" w14:textId="77777777" w:rsidR="00A27756" w:rsidRPr="00574EFD" w:rsidRDefault="00A27756" w:rsidP="00574EFD">
      <w:pPr>
        <w:jc w:val="both"/>
        <w:rPr>
          <w:rFonts w:ascii="Arial" w:hAnsi="Arial" w:cs="Arial"/>
          <w:sz w:val="24"/>
          <w:szCs w:val="24"/>
        </w:rPr>
      </w:pPr>
      <w:r w:rsidRPr="00574EFD">
        <w:rPr>
          <w:rFonts w:ascii="Arial" w:hAnsi="Arial" w:cs="Arial"/>
          <w:sz w:val="24"/>
          <w:szCs w:val="24"/>
        </w:rPr>
        <w:t>Buyer–seller interaction can facilitate value co-creation. Mascarenhas et al. (2004) argue that customer involvement across the value chain can improve feedback, quality assessment and the customer experience. Customers may contribute preferences, experiences and suggestions, while sellers provide information, access and support.</w:t>
      </w:r>
    </w:p>
    <w:p w14:paraId="53CDBDE5" w14:textId="77777777" w:rsidR="00A27756" w:rsidRPr="00574EFD" w:rsidRDefault="00A27756" w:rsidP="00574EFD">
      <w:pPr>
        <w:jc w:val="both"/>
        <w:rPr>
          <w:rFonts w:ascii="Arial" w:hAnsi="Arial" w:cs="Arial"/>
          <w:sz w:val="24"/>
          <w:szCs w:val="24"/>
        </w:rPr>
      </w:pPr>
    </w:p>
    <w:p w14:paraId="2D981611" w14:textId="16FACCD7" w:rsidR="00985137" w:rsidRPr="00574EFD" w:rsidRDefault="00A27756" w:rsidP="00574EFD">
      <w:pPr>
        <w:jc w:val="both"/>
        <w:rPr>
          <w:rFonts w:ascii="Arial" w:hAnsi="Arial" w:cs="Arial"/>
          <w:sz w:val="24"/>
          <w:szCs w:val="24"/>
        </w:rPr>
      </w:pPr>
      <w:r w:rsidRPr="00574EFD">
        <w:rPr>
          <w:rFonts w:ascii="Arial" w:hAnsi="Arial" w:cs="Arial"/>
          <w:sz w:val="24"/>
          <w:szCs w:val="24"/>
        </w:rPr>
        <w:t>However, engagement does not always create value. Zhang et al. (2018) demonstrate that online interactions may produce either value co-creation or value co-destruction. Inaccurate communication, unresolved complaints or inappropriate responses can reduce value and damage trust. Organisations must therefore listen and respond constructively rather than assuming that all engagement is beneficial.</w:t>
      </w:r>
    </w:p>
    <w:p w14:paraId="10A2B0DE" w14:textId="77777777" w:rsidR="00A27756" w:rsidRPr="00574EFD" w:rsidRDefault="00A27756" w:rsidP="00574EFD">
      <w:pPr>
        <w:jc w:val="both"/>
        <w:rPr>
          <w:rFonts w:ascii="Arial" w:hAnsi="Arial" w:cs="Arial"/>
          <w:sz w:val="24"/>
          <w:szCs w:val="24"/>
        </w:rPr>
      </w:pPr>
    </w:p>
    <w:p w14:paraId="4A467987" w14:textId="77777777" w:rsidR="00A27756" w:rsidRPr="00574EFD" w:rsidRDefault="00A27756" w:rsidP="00574EFD">
      <w:pPr>
        <w:jc w:val="both"/>
        <w:rPr>
          <w:rFonts w:ascii="Arial" w:hAnsi="Arial" w:cs="Arial"/>
          <w:sz w:val="24"/>
          <w:szCs w:val="24"/>
        </w:rPr>
      </w:pPr>
    </w:p>
    <w:p w14:paraId="69EC2860" w14:textId="752126E6" w:rsidR="001232C9" w:rsidRPr="00574EFD" w:rsidRDefault="001232C9" w:rsidP="00574EFD">
      <w:pPr>
        <w:jc w:val="both"/>
        <w:rPr>
          <w:rFonts w:ascii="Arial" w:hAnsi="Arial" w:cs="Arial"/>
          <w:b/>
          <w:bCs/>
          <w:sz w:val="24"/>
          <w:szCs w:val="24"/>
        </w:rPr>
      </w:pPr>
      <w:r w:rsidRPr="00574EFD">
        <w:rPr>
          <w:rFonts w:ascii="Arial" w:hAnsi="Arial" w:cs="Arial"/>
          <w:b/>
          <w:bCs/>
          <w:sz w:val="24"/>
          <w:szCs w:val="24"/>
        </w:rPr>
        <w:t xml:space="preserve">6.4 </w:t>
      </w:r>
      <w:r w:rsidR="006822C7" w:rsidRPr="00574EFD">
        <w:rPr>
          <w:rFonts w:ascii="Arial" w:hAnsi="Arial" w:cs="Arial"/>
          <w:b/>
          <w:bCs/>
          <w:sz w:val="24"/>
          <w:szCs w:val="24"/>
        </w:rPr>
        <w:t>The Role of the S</w:t>
      </w:r>
      <w:r w:rsidR="008C2236" w:rsidRPr="00574EFD">
        <w:rPr>
          <w:rFonts w:ascii="Arial" w:hAnsi="Arial" w:cs="Arial"/>
          <w:b/>
          <w:bCs/>
          <w:sz w:val="24"/>
          <w:szCs w:val="24"/>
        </w:rPr>
        <w:t>NEP SPA</w:t>
      </w:r>
      <w:r w:rsidR="006822C7" w:rsidRPr="00574EFD">
        <w:rPr>
          <w:rFonts w:ascii="Arial" w:hAnsi="Arial" w:cs="Arial"/>
          <w:b/>
          <w:bCs/>
          <w:sz w:val="24"/>
          <w:szCs w:val="24"/>
        </w:rPr>
        <w:t xml:space="preserve"> Brand Ambassador</w:t>
      </w:r>
    </w:p>
    <w:p w14:paraId="16F82E34" w14:textId="77777777" w:rsidR="00A27756" w:rsidRPr="00574EFD" w:rsidRDefault="00A27756" w:rsidP="00574EFD">
      <w:pPr>
        <w:jc w:val="both"/>
        <w:rPr>
          <w:rFonts w:ascii="Arial" w:hAnsi="Arial" w:cs="Arial"/>
          <w:sz w:val="24"/>
          <w:szCs w:val="24"/>
        </w:rPr>
      </w:pPr>
    </w:p>
    <w:p w14:paraId="174B2F27" w14:textId="77777777" w:rsidR="00770FF9" w:rsidRPr="00574EFD" w:rsidRDefault="00770FF9" w:rsidP="00574EFD">
      <w:pPr>
        <w:jc w:val="both"/>
        <w:rPr>
          <w:rFonts w:ascii="Arial" w:hAnsi="Arial" w:cs="Arial"/>
          <w:sz w:val="24"/>
          <w:szCs w:val="24"/>
        </w:rPr>
      </w:pPr>
      <w:r w:rsidRPr="00574EFD">
        <w:rPr>
          <w:rFonts w:ascii="Arial" w:hAnsi="Arial" w:cs="Arial"/>
          <w:sz w:val="24"/>
          <w:szCs w:val="24"/>
        </w:rPr>
        <w:t>The SNEP SPA Brand Ambassador occupies an intermediary position between the organisation and the customer. The role involves communicating company and product information while developing direct customer relationships. This creates an opportunity for personalised support but also requires transparency concerning the Ambassador’s commercial role.</w:t>
      </w:r>
    </w:p>
    <w:p w14:paraId="6E87C455" w14:textId="6B1E5B65" w:rsidR="00F23CE8" w:rsidRPr="00574EFD" w:rsidRDefault="00F23CE8" w:rsidP="00574EFD">
      <w:pPr>
        <w:jc w:val="both"/>
        <w:rPr>
          <w:rFonts w:ascii="Arial" w:hAnsi="Arial" w:cs="Arial"/>
          <w:sz w:val="24"/>
          <w:szCs w:val="24"/>
        </w:rPr>
      </w:pPr>
      <w:r w:rsidRPr="00574EFD">
        <w:rPr>
          <w:rFonts w:ascii="Arial" w:hAnsi="Arial" w:cs="Arial"/>
          <w:sz w:val="24"/>
          <w:szCs w:val="24"/>
        </w:rPr>
        <w:t>The SHARE approach may help the Brand Ambassador communicate important information in a customer-relevant and memorable manner, particularly during initial enquiries or product explanations (TEDx Talks, 2025).</w:t>
      </w:r>
    </w:p>
    <w:p w14:paraId="3A5CAD41" w14:textId="77777777" w:rsidR="00770FF9" w:rsidRPr="00574EFD" w:rsidRDefault="00770FF9" w:rsidP="00574EFD">
      <w:pPr>
        <w:jc w:val="both"/>
        <w:rPr>
          <w:rFonts w:ascii="Arial" w:hAnsi="Arial" w:cs="Arial"/>
          <w:sz w:val="24"/>
          <w:szCs w:val="24"/>
        </w:rPr>
      </w:pPr>
    </w:p>
    <w:p w14:paraId="106F7866" w14:textId="77777777" w:rsidR="00770FF9" w:rsidRPr="00574EFD" w:rsidRDefault="00770FF9" w:rsidP="00574EFD">
      <w:pPr>
        <w:jc w:val="both"/>
        <w:rPr>
          <w:rFonts w:ascii="Arial" w:hAnsi="Arial" w:cs="Arial"/>
          <w:sz w:val="24"/>
          <w:szCs w:val="24"/>
        </w:rPr>
      </w:pPr>
      <w:r w:rsidRPr="00574EFD">
        <w:rPr>
          <w:rFonts w:ascii="Arial" w:hAnsi="Arial" w:cs="Arial"/>
          <w:sz w:val="24"/>
          <w:szCs w:val="24"/>
        </w:rPr>
        <w:t>Trust can be developed by making accurate statements, acknowledging when further information is required and avoiding recommendations that do not correspond with customer needs. Commitment may be demonstrated through dependable follow-up and consistent assistance rather than frequent sales messages. Two-way communication can be encouraged through questions, feedback forms and post-purchase conversations.</w:t>
      </w:r>
    </w:p>
    <w:p w14:paraId="1F6A961B" w14:textId="77777777" w:rsidR="00770FF9" w:rsidRPr="00574EFD" w:rsidRDefault="00770FF9" w:rsidP="00574EFD">
      <w:pPr>
        <w:jc w:val="both"/>
        <w:rPr>
          <w:rFonts w:ascii="Arial" w:hAnsi="Arial" w:cs="Arial"/>
          <w:sz w:val="24"/>
          <w:szCs w:val="24"/>
        </w:rPr>
      </w:pPr>
    </w:p>
    <w:p w14:paraId="570D545C" w14:textId="6DCAEBFB" w:rsidR="00770FF9" w:rsidRPr="00574EFD" w:rsidRDefault="00770FF9" w:rsidP="00574EFD">
      <w:pPr>
        <w:jc w:val="both"/>
        <w:rPr>
          <w:rFonts w:ascii="Arial" w:hAnsi="Arial" w:cs="Arial"/>
          <w:sz w:val="24"/>
          <w:szCs w:val="24"/>
        </w:rPr>
      </w:pPr>
      <w:r w:rsidRPr="00574EFD">
        <w:rPr>
          <w:rFonts w:ascii="Arial" w:hAnsi="Arial" w:cs="Arial"/>
          <w:sz w:val="24"/>
          <w:szCs w:val="24"/>
        </w:rPr>
        <w:lastRenderedPageBreak/>
        <w:t>Customer feedback can support co-creation by revealing which information is unclear, which communication channels are preferred and where the ordering experience may be improved. Themes identified from feedback may then be communicated appropriately to the company or used to improve the Ambassador’s own service.</w:t>
      </w:r>
    </w:p>
    <w:p w14:paraId="356A435C" w14:textId="77777777" w:rsidR="00770FF9" w:rsidRPr="00574EFD" w:rsidRDefault="00770FF9" w:rsidP="00574EFD">
      <w:pPr>
        <w:jc w:val="both"/>
        <w:rPr>
          <w:rFonts w:ascii="Arial" w:hAnsi="Arial" w:cs="Arial"/>
          <w:sz w:val="24"/>
          <w:szCs w:val="24"/>
        </w:rPr>
      </w:pPr>
    </w:p>
    <w:p w14:paraId="3323D0A8" w14:textId="48A6F684" w:rsidR="00985137" w:rsidRPr="00574EFD" w:rsidRDefault="00770FF9" w:rsidP="00574EFD">
      <w:pPr>
        <w:jc w:val="both"/>
        <w:rPr>
          <w:rFonts w:ascii="Arial" w:hAnsi="Arial" w:cs="Arial"/>
          <w:sz w:val="24"/>
          <w:szCs w:val="24"/>
        </w:rPr>
      </w:pPr>
      <w:r w:rsidRPr="00574EFD">
        <w:rPr>
          <w:rFonts w:ascii="Arial" w:hAnsi="Arial" w:cs="Arial"/>
          <w:sz w:val="24"/>
          <w:szCs w:val="24"/>
        </w:rPr>
        <w:t>Nevertheless, personal relationships should not be exploited for commercial purposes. Customers within an existing social network may feel uncomfortable refusing an offer or ending contact. The Brand Ambassador should therefore separate supportive communication from pressure and respect decisions not to purchase. When trust, informed choice and mutual benefit are prioritised, the buyer–seller relationship can contribute to a sustainable customer experience rather than remaining a sequence of isolated transactions.</w:t>
      </w:r>
    </w:p>
    <w:p w14:paraId="493FCA35" w14:textId="77777777" w:rsidR="00864007" w:rsidRPr="00574EFD" w:rsidRDefault="00864007" w:rsidP="00574EFD">
      <w:pPr>
        <w:jc w:val="both"/>
        <w:rPr>
          <w:rFonts w:ascii="Arial" w:hAnsi="Arial" w:cs="Arial"/>
          <w:sz w:val="24"/>
          <w:szCs w:val="24"/>
        </w:rPr>
      </w:pPr>
    </w:p>
    <w:p w14:paraId="067ED370" w14:textId="7A42BC5F" w:rsidR="0030173B" w:rsidRPr="00574EFD" w:rsidRDefault="0030173B" w:rsidP="00574EFD">
      <w:pPr>
        <w:jc w:val="both"/>
        <w:rPr>
          <w:rFonts w:ascii="Arial" w:eastAsiaTheme="majorEastAsia" w:hAnsi="Arial" w:cs="Arial"/>
          <w:color w:val="2E74B5" w:themeColor="accent1" w:themeShade="BF"/>
          <w:sz w:val="24"/>
          <w:szCs w:val="24"/>
        </w:rPr>
      </w:pPr>
    </w:p>
    <w:p w14:paraId="24C0E20B" w14:textId="1240108C" w:rsidR="00885114" w:rsidRPr="00574EFD" w:rsidRDefault="004C75D9" w:rsidP="00574EFD">
      <w:pPr>
        <w:pStyle w:val="Heading2"/>
        <w:jc w:val="both"/>
        <w:rPr>
          <w:rFonts w:ascii="Arial" w:hAnsi="Arial" w:cs="Arial"/>
          <w:sz w:val="24"/>
          <w:szCs w:val="24"/>
        </w:rPr>
      </w:pPr>
      <w:bookmarkStart w:id="10" w:name="_Toc235957865"/>
      <w:r w:rsidRPr="00574EFD">
        <w:rPr>
          <w:rFonts w:ascii="Arial" w:hAnsi="Arial" w:cs="Arial"/>
          <w:sz w:val="24"/>
          <w:szCs w:val="24"/>
        </w:rPr>
        <w:t xml:space="preserve">Section 7: </w:t>
      </w:r>
      <w:r w:rsidR="000E2E0E" w:rsidRPr="00574EFD">
        <w:rPr>
          <w:rFonts w:ascii="Arial" w:hAnsi="Arial" w:cs="Arial"/>
          <w:sz w:val="24"/>
          <w:szCs w:val="24"/>
        </w:rPr>
        <w:t>Quality Framework</w:t>
      </w:r>
      <w:bookmarkEnd w:id="10"/>
    </w:p>
    <w:p w14:paraId="02A5CE95" w14:textId="77777777" w:rsidR="00676DAD" w:rsidRPr="00574EFD" w:rsidRDefault="00676DAD" w:rsidP="00574EFD">
      <w:pPr>
        <w:jc w:val="both"/>
        <w:rPr>
          <w:rFonts w:ascii="Arial" w:hAnsi="Arial" w:cs="Arial"/>
          <w:sz w:val="24"/>
          <w:szCs w:val="24"/>
        </w:rPr>
      </w:pPr>
    </w:p>
    <w:p w14:paraId="45EE6718" w14:textId="77777777" w:rsidR="00C92840" w:rsidRPr="00574EFD" w:rsidRDefault="00C92840" w:rsidP="00574EFD">
      <w:pPr>
        <w:jc w:val="both"/>
        <w:rPr>
          <w:rFonts w:ascii="Arial" w:hAnsi="Arial" w:cs="Arial"/>
          <w:sz w:val="24"/>
          <w:szCs w:val="24"/>
        </w:rPr>
      </w:pPr>
    </w:p>
    <w:p w14:paraId="7A31822C" w14:textId="2C9FEBF1" w:rsidR="00F126BA" w:rsidRPr="00574EFD" w:rsidRDefault="00F126BA" w:rsidP="00574EFD">
      <w:pPr>
        <w:jc w:val="both"/>
        <w:rPr>
          <w:rFonts w:ascii="Arial" w:hAnsi="Arial" w:cs="Arial"/>
          <w:b/>
          <w:bCs/>
          <w:sz w:val="24"/>
          <w:szCs w:val="24"/>
        </w:rPr>
      </w:pPr>
      <w:r w:rsidRPr="00574EFD">
        <w:rPr>
          <w:rFonts w:ascii="Arial" w:hAnsi="Arial" w:cs="Arial"/>
          <w:b/>
          <w:bCs/>
          <w:sz w:val="24"/>
          <w:szCs w:val="24"/>
        </w:rPr>
        <w:t xml:space="preserve">7.1 </w:t>
      </w:r>
      <w:r w:rsidR="000D51D0" w:rsidRPr="00574EFD">
        <w:rPr>
          <w:rFonts w:ascii="Arial" w:hAnsi="Arial" w:cs="Arial"/>
          <w:b/>
          <w:bCs/>
          <w:sz w:val="24"/>
          <w:szCs w:val="24"/>
        </w:rPr>
        <w:t>Understanding Service Quality</w:t>
      </w:r>
    </w:p>
    <w:p w14:paraId="0862609F" w14:textId="77777777" w:rsidR="00B5543C" w:rsidRPr="00574EFD" w:rsidRDefault="00B5543C" w:rsidP="00574EFD">
      <w:pPr>
        <w:jc w:val="both"/>
        <w:rPr>
          <w:rFonts w:ascii="Arial" w:hAnsi="Arial" w:cs="Arial"/>
          <w:sz w:val="24"/>
          <w:szCs w:val="24"/>
        </w:rPr>
      </w:pPr>
    </w:p>
    <w:p w14:paraId="3C1BD607" w14:textId="77777777" w:rsidR="00B5543C" w:rsidRPr="00574EFD" w:rsidRDefault="00B5543C" w:rsidP="00574EFD">
      <w:pPr>
        <w:jc w:val="both"/>
        <w:rPr>
          <w:rFonts w:ascii="Arial" w:hAnsi="Arial" w:cs="Arial"/>
          <w:sz w:val="24"/>
          <w:szCs w:val="24"/>
        </w:rPr>
      </w:pPr>
      <w:r w:rsidRPr="00574EFD">
        <w:rPr>
          <w:rFonts w:ascii="Arial" w:hAnsi="Arial" w:cs="Arial"/>
          <w:sz w:val="24"/>
          <w:szCs w:val="24"/>
        </w:rPr>
        <w:t>Quality concerns the extent to which a product, service or process is suitable for its intended purpose and consistently meets customer requirements. Within customer experience, quality includes both the product offering and the standard of service surrounding it. Parasuraman et al. (1988) identify five dimensions of perceived service quality: reliability, assurance, tangibles, empathy and responsiveness. These dimensions demonstrate that customers assess not only outcomes but also how confidently, dependably and considerately the service is delivered.</w:t>
      </w:r>
    </w:p>
    <w:p w14:paraId="12EEAA4E" w14:textId="77777777" w:rsidR="00B5543C" w:rsidRPr="00574EFD" w:rsidRDefault="00B5543C" w:rsidP="00574EFD">
      <w:pPr>
        <w:jc w:val="both"/>
        <w:rPr>
          <w:rFonts w:ascii="Arial" w:hAnsi="Arial" w:cs="Arial"/>
          <w:sz w:val="24"/>
          <w:szCs w:val="24"/>
        </w:rPr>
      </w:pPr>
    </w:p>
    <w:p w14:paraId="576069AC" w14:textId="69082B0E" w:rsidR="00676DAD" w:rsidRPr="00574EFD" w:rsidRDefault="00B5543C" w:rsidP="00574EFD">
      <w:pPr>
        <w:jc w:val="both"/>
        <w:rPr>
          <w:rFonts w:ascii="Arial" w:hAnsi="Arial" w:cs="Arial"/>
          <w:sz w:val="24"/>
          <w:szCs w:val="24"/>
        </w:rPr>
      </w:pPr>
      <w:r w:rsidRPr="00574EFD">
        <w:rPr>
          <w:rFonts w:ascii="Arial" w:hAnsi="Arial" w:cs="Arial"/>
          <w:sz w:val="24"/>
          <w:szCs w:val="24"/>
        </w:rPr>
        <w:t>Quality management should therefore be continuous rather than limited to responding after a customer complains. A structured framework can help identify customer requirements, monitor performance and prevent recurring service failures.</w:t>
      </w:r>
    </w:p>
    <w:p w14:paraId="6E17F10F" w14:textId="77777777" w:rsidR="00C92840" w:rsidRDefault="00C92840" w:rsidP="00574EFD">
      <w:pPr>
        <w:jc w:val="both"/>
        <w:rPr>
          <w:rFonts w:ascii="Arial" w:hAnsi="Arial" w:cs="Arial"/>
          <w:sz w:val="24"/>
          <w:szCs w:val="24"/>
        </w:rPr>
      </w:pPr>
    </w:p>
    <w:p w14:paraId="667394B9" w14:textId="77777777" w:rsidR="008623D6" w:rsidRDefault="008623D6" w:rsidP="00574EFD">
      <w:pPr>
        <w:jc w:val="both"/>
        <w:rPr>
          <w:rFonts w:ascii="Arial" w:hAnsi="Arial" w:cs="Arial"/>
          <w:sz w:val="24"/>
          <w:szCs w:val="24"/>
        </w:rPr>
      </w:pPr>
    </w:p>
    <w:p w14:paraId="3455A2D8" w14:textId="77777777" w:rsidR="008623D6" w:rsidRPr="00574EFD" w:rsidRDefault="008623D6" w:rsidP="00574EFD">
      <w:pPr>
        <w:jc w:val="both"/>
        <w:rPr>
          <w:rFonts w:ascii="Arial" w:hAnsi="Arial" w:cs="Arial"/>
          <w:sz w:val="24"/>
          <w:szCs w:val="24"/>
        </w:rPr>
      </w:pPr>
    </w:p>
    <w:p w14:paraId="1F447A1B" w14:textId="77777777" w:rsidR="00C92840" w:rsidRPr="00574EFD" w:rsidRDefault="00C92840" w:rsidP="00574EFD">
      <w:pPr>
        <w:jc w:val="both"/>
        <w:rPr>
          <w:rFonts w:ascii="Arial" w:hAnsi="Arial" w:cs="Arial"/>
          <w:sz w:val="24"/>
          <w:szCs w:val="24"/>
        </w:rPr>
      </w:pPr>
    </w:p>
    <w:p w14:paraId="431B9BD1" w14:textId="4D01998A" w:rsidR="00FB5ED5" w:rsidRPr="00574EFD" w:rsidRDefault="00FB5ED5" w:rsidP="00574EFD">
      <w:pPr>
        <w:jc w:val="both"/>
        <w:rPr>
          <w:rFonts w:ascii="Arial" w:hAnsi="Arial" w:cs="Arial"/>
          <w:b/>
          <w:bCs/>
          <w:sz w:val="24"/>
          <w:szCs w:val="24"/>
        </w:rPr>
      </w:pPr>
      <w:r w:rsidRPr="00574EFD">
        <w:rPr>
          <w:rFonts w:ascii="Arial" w:hAnsi="Arial" w:cs="Arial"/>
          <w:b/>
          <w:bCs/>
          <w:sz w:val="24"/>
          <w:szCs w:val="24"/>
        </w:rPr>
        <w:lastRenderedPageBreak/>
        <w:t>7.2 The Juran Model</w:t>
      </w:r>
    </w:p>
    <w:p w14:paraId="76B7FE66" w14:textId="77777777" w:rsidR="0076232F" w:rsidRPr="00574EFD" w:rsidRDefault="0076232F" w:rsidP="00574EFD">
      <w:pPr>
        <w:jc w:val="both"/>
        <w:rPr>
          <w:rFonts w:ascii="Arial" w:hAnsi="Arial" w:cs="Arial"/>
          <w:sz w:val="24"/>
          <w:szCs w:val="24"/>
        </w:rPr>
      </w:pPr>
    </w:p>
    <w:p w14:paraId="5EFB241B" w14:textId="547FD835" w:rsidR="0076232F" w:rsidRPr="00574EFD" w:rsidRDefault="0076232F" w:rsidP="00574EFD">
      <w:pPr>
        <w:jc w:val="both"/>
        <w:rPr>
          <w:rFonts w:ascii="Arial" w:hAnsi="Arial" w:cs="Arial"/>
          <w:sz w:val="24"/>
          <w:szCs w:val="24"/>
        </w:rPr>
      </w:pPr>
      <w:r w:rsidRPr="00574EFD">
        <w:rPr>
          <w:rFonts w:ascii="Arial" w:hAnsi="Arial" w:cs="Arial"/>
          <w:sz w:val="24"/>
          <w:szCs w:val="24"/>
        </w:rPr>
        <w:t>Juran’s (1986) quality trilogy consists of quality planning, quality control and quality improvement</w:t>
      </w:r>
      <w:r w:rsidR="00D15C98" w:rsidRPr="00574EFD">
        <w:rPr>
          <w:rFonts w:ascii="Arial" w:hAnsi="Arial" w:cs="Arial"/>
          <w:sz w:val="24"/>
          <w:szCs w:val="24"/>
        </w:rPr>
        <w:t xml:space="preserve"> </w:t>
      </w:r>
      <w:r w:rsidR="00D15C98" w:rsidRPr="00574EFD">
        <w:rPr>
          <w:rFonts w:ascii="Arial" w:hAnsi="Arial" w:cs="Arial"/>
          <w:sz w:val="24"/>
          <w:szCs w:val="24"/>
          <w:u w:val="single"/>
        </w:rPr>
        <w:t>(</w:t>
      </w:r>
      <w:r w:rsidR="00D15C98" w:rsidRPr="00BB6F26">
        <w:rPr>
          <w:rFonts w:ascii="Arial" w:hAnsi="Arial" w:cs="Arial"/>
          <w:sz w:val="24"/>
          <w:szCs w:val="24"/>
        </w:rPr>
        <w:t>see appe</w:t>
      </w:r>
      <w:r w:rsidR="00455F8A" w:rsidRPr="00BB6F26">
        <w:rPr>
          <w:rFonts w:ascii="Arial" w:hAnsi="Arial" w:cs="Arial"/>
          <w:sz w:val="24"/>
          <w:szCs w:val="24"/>
        </w:rPr>
        <w:t xml:space="preserve">ndix </w:t>
      </w:r>
      <w:r w:rsidR="00BB6F26">
        <w:rPr>
          <w:rFonts w:ascii="Arial" w:hAnsi="Arial" w:cs="Arial"/>
          <w:sz w:val="24"/>
          <w:szCs w:val="24"/>
        </w:rPr>
        <w:t>c</w:t>
      </w:r>
      <w:r w:rsidR="00455F8A" w:rsidRPr="00574EFD">
        <w:rPr>
          <w:rFonts w:ascii="Arial" w:hAnsi="Arial" w:cs="Arial"/>
          <w:sz w:val="24"/>
          <w:szCs w:val="24"/>
        </w:rPr>
        <w:t>)</w:t>
      </w:r>
      <w:r w:rsidRPr="00574EFD">
        <w:rPr>
          <w:rFonts w:ascii="Arial" w:hAnsi="Arial" w:cs="Arial"/>
          <w:sz w:val="24"/>
          <w:szCs w:val="24"/>
        </w:rPr>
        <w:t>. Quality planning involves identifying customers, understanding their needs and designing processes capable of meeting those needs. This stage establishes the standards against which performance can later be evaluated.</w:t>
      </w:r>
    </w:p>
    <w:p w14:paraId="63A518D1" w14:textId="77777777" w:rsidR="0076232F" w:rsidRPr="00574EFD" w:rsidRDefault="0076232F" w:rsidP="00574EFD">
      <w:pPr>
        <w:jc w:val="both"/>
        <w:rPr>
          <w:rFonts w:ascii="Arial" w:hAnsi="Arial" w:cs="Arial"/>
          <w:sz w:val="24"/>
          <w:szCs w:val="24"/>
        </w:rPr>
      </w:pPr>
    </w:p>
    <w:p w14:paraId="4FB5F12D" w14:textId="77777777" w:rsidR="0076232F" w:rsidRPr="00574EFD" w:rsidRDefault="0076232F" w:rsidP="00574EFD">
      <w:pPr>
        <w:jc w:val="both"/>
        <w:rPr>
          <w:rFonts w:ascii="Arial" w:hAnsi="Arial" w:cs="Arial"/>
          <w:sz w:val="24"/>
          <w:szCs w:val="24"/>
        </w:rPr>
      </w:pPr>
      <w:r w:rsidRPr="00574EFD">
        <w:rPr>
          <w:rFonts w:ascii="Arial" w:hAnsi="Arial" w:cs="Arial"/>
          <w:sz w:val="24"/>
          <w:szCs w:val="24"/>
        </w:rPr>
        <w:t>Quality control compares actual performance with the planned standard. It can involve monitoring errors, customer feedback, response times and complaints. Where performance does not meet the required standard, corrective action is necessary.</w:t>
      </w:r>
    </w:p>
    <w:p w14:paraId="11F230BB" w14:textId="77777777" w:rsidR="0076232F" w:rsidRPr="00574EFD" w:rsidRDefault="0076232F" w:rsidP="00574EFD">
      <w:pPr>
        <w:jc w:val="both"/>
        <w:rPr>
          <w:rFonts w:ascii="Arial" w:hAnsi="Arial" w:cs="Arial"/>
          <w:sz w:val="24"/>
          <w:szCs w:val="24"/>
        </w:rPr>
      </w:pPr>
    </w:p>
    <w:p w14:paraId="232F24FE" w14:textId="13442032" w:rsidR="00B5543C" w:rsidRPr="00574EFD" w:rsidRDefault="0076232F" w:rsidP="00574EFD">
      <w:pPr>
        <w:jc w:val="both"/>
        <w:rPr>
          <w:rFonts w:ascii="Arial" w:hAnsi="Arial" w:cs="Arial"/>
          <w:sz w:val="24"/>
          <w:szCs w:val="24"/>
        </w:rPr>
      </w:pPr>
      <w:r w:rsidRPr="00574EFD">
        <w:rPr>
          <w:rFonts w:ascii="Arial" w:hAnsi="Arial" w:cs="Arial"/>
          <w:sz w:val="24"/>
          <w:szCs w:val="24"/>
        </w:rPr>
        <w:t>Quality improvement involves identifying the underlying causes of recurring problems and making changes that raise performance beyond its previous level. The three processes are interdependent: planning establishes expectations, control identifies performance gaps, and improvement reduces or removes those gaps. However, the framework requires reliable information. Poorly designed measures may encourage superficial compliance without improving the customer’s actual experience.</w:t>
      </w:r>
    </w:p>
    <w:p w14:paraId="53794080" w14:textId="77777777" w:rsidR="00B5543C" w:rsidRPr="00574EFD" w:rsidRDefault="00B5543C" w:rsidP="00574EFD">
      <w:pPr>
        <w:jc w:val="both"/>
        <w:rPr>
          <w:rFonts w:ascii="Arial" w:hAnsi="Arial" w:cs="Arial"/>
          <w:sz w:val="24"/>
          <w:szCs w:val="24"/>
        </w:rPr>
      </w:pPr>
    </w:p>
    <w:p w14:paraId="705B37BD" w14:textId="77777777" w:rsidR="003B201C" w:rsidRPr="00574EFD" w:rsidRDefault="003B201C" w:rsidP="00574EFD">
      <w:pPr>
        <w:jc w:val="both"/>
        <w:rPr>
          <w:rFonts w:ascii="Arial" w:hAnsi="Arial" w:cs="Arial"/>
          <w:sz w:val="24"/>
          <w:szCs w:val="24"/>
        </w:rPr>
      </w:pPr>
    </w:p>
    <w:p w14:paraId="3A921A49" w14:textId="4D64AF45" w:rsidR="00FB5ED5" w:rsidRPr="00574EFD" w:rsidRDefault="00FB5ED5" w:rsidP="00574EFD">
      <w:pPr>
        <w:jc w:val="both"/>
        <w:rPr>
          <w:rFonts w:ascii="Arial" w:hAnsi="Arial" w:cs="Arial"/>
          <w:b/>
          <w:bCs/>
          <w:sz w:val="24"/>
          <w:szCs w:val="24"/>
        </w:rPr>
      </w:pPr>
      <w:r w:rsidRPr="00574EFD">
        <w:rPr>
          <w:rFonts w:ascii="Arial" w:hAnsi="Arial" w:cs="Arial"/>
          <w:b/>
          <w:bCs/>
          <w:sz w:val="24"/>
          <w:szCs w:val="24"/>
        </w:rPr>
        <w:t xml:space="preserve">7.3 </w:t>
      </w:r>
      <w:r w:rsidR="00917F26" w:rsidRPr="00574EFD">
        <w:rPr>
          <w:rFonts w:ascii="Arial" w:hAnsi="Arial" w:cs="Arial"/>
          <w:b/>
          <w:bCs/>
          <w:sz w:val="24"/>
          <w:szCs w:val="24"/>
        </w:rPr>
        <w:t>Applying the Juran Model to S</w:t>
      </w:r>
      <w:r w:rsidR="008C2236" w:rsidRPr="00574EFD">
        <w:rPr>
          <w:rFonts w:ascii="Arial" w:hAnsi="Arial" w:cs="Arial"/>
          <w:b/>
          <w:bCs/>
          <w:sz w:val="24"/>
          <w:szCs w:val="24"/>
        </w:rPr>
        <w:t>NEP SPA</w:t>
      </w:r>
    </w:p>
    <w:p w14:paraId="34DC77FC" w14:textId="77777777" w:rsidR="0076232F" w:rsidRPr="00574EFD" w:rsidRDefault="0076232F" w:rsidP="00574EFD">
      <w:pPr>
        <w:jc w:val="both"/>
        <w:rPr>
          <w:rFonts w:ascii="Arial" w:hAnsi="Arial" w:cs="Arial"/>
          <w:sz w:val="24"/>
          <w:szCs w:val="24"/>
        </w:rPr>
      </w:pPr>
    </w:p>
    <w:p w14:paraId="0342FC51" w14:textId="77777777" w:rsidR="00604546" w:rsidRPr="00574EFD" w:rsidRDefault="00604546" w:rsidP="00574EFD">
      <w:pPr>
        <w:jc w:val="both"/>
        <w:rPr>
          <w:rFonts w:ascii="Arial" w:hAnsi="Arial" w:cs="Arial"/>
          <w:sz w:val="24"/>
          <w:szCs w:val="24"/>
        </w:rPr>
      </w:pPr>
      <w:r w:rsidRPr="00574EFD">
        <w:rPr>
          <w:rFonts w:ascii="Arial" w:hAnsi="Arial" w:cs="Arial"/>
          <w:sz w:val="24"/>
          <w:szCs w:val="24"/>
        </w:rPr>
        <w:t>For the SNEP SPA Brand Ambassador, quality planning could begin by identifying customer expectations concerning communication, product information, ordering and follow-up. Service standards might include accurate explanations, timely responses and respectful treatment. The existing Microsoft Forms questionnaire could help identify these expectations.</w:t>
      </w:r>
    </w:p>
    <w:p w14:paraId="3BD665D3" w14:textId="77777777" w:rsidR="00604546" w:rsidRPr="00574EFD" w:rsidRDefault="00604546" w:rsidP="00574EFD">
      <w:pPr>
        <w:jc w:val="both"/>
        <w:rPr>
          <w:rFonts w:ascii="Arial" w:hAnsi="Arial" w:cs="Arial"/>
          <w:sz w:val="24"/>
          <w:szCs w:val="24"/>
        </w:rPr>
      </w:pPr>
    </w:p>
    <w:p w14:paraId="2B0D248D" w14:textId="77777777" w:rsidR="00604546" w:rsidRPr="00574EFD" w:rsidRDefault="00604546" w:rsidP="00574EFD">
      <w:pPr>
        <w:jc w:val="both"/>
        <w:rPr>
          <w:rFonts w:ascii="Arial" w:hAnsi="Arial" w:cs="Arial"/>
          <w:sz w:val="24"/>
          <w:szCs w:val="24"/>
        </w:rPr>
      </w:pPr>
      <w:r w:rsidRPr="00574EFD">
        <w:rPr>
          <w:rFonts w:ascii="Arial" w:hAnsi="Arial" w:cs="Arial"/>
          <w:sz w:val="24"/>
          <w:szCs w:val="24"/>
        </w:rPr>
        <w:t>Quality control could involve reviewing customer feedback, unresolved enquiries, ordering difficulties and communication response times. An Excel record may help identify patterns, although numerical measures should be supported by qualitative comments explaining why a customer experienced a problem.</w:t>
      </w:r>
    </w:p>
    <w:p w14:paraId="323FF7FC" w14:textId="77777777" w:rsidR="00604546" w:rsidRDefault="00604546" w:rsidP="00574EFD">
      <w:pPr>
        <w:jc w:val="both"/>
        <w:rPr>
          <w:rFonts w:ascii="Arial" w:hAnsi="Arial" w:cs="Arial"/>
          <w:sz w:val="24"/>
          <w:szCs w:val="24"/>
        </w:rPr>
      </w:pPr>
    </w:p>
    <w:p w14:paraId="5E8F73AA" w14:textId="77777777" w:rsidR="008623D6" w:rsidRPr="00574EFD" w:rsidRDefault="008623D6" w:rsidP="00574EFD">
      <w:pPr>
        <w:jc w:val="both"/>
        <w:rPr>
          <w:rFonts w:ascii="Arial" w:hAnsi="Arial" w:cs="Arial"/>
          <w:sz w:val="24"/>
          <w:szCs w:val="24"/>
        </w:rPr>
      </w:pPr>
    </w:p>
    <w:p w14:paraId="5B195251" w14:textId="45A80EBE" w:rsidR="00604546" w:rsidRPr="00574EFD" w:rsidRDefault="00604546" w:rsidP="00574EFD">
      <w:pPr>
        <w:jc w:val="both"/>
        <w:rPr>
          <w:rFonts w:ascii="Arial" w:hAnsi="Arial" w:cs="Arial"/>
          <w:sz w:val="24"/>
          <w:szCs w:val="24"/>
        </w:rPr>
      </w:pPr>
      <w:r w:rsidRPr="00574EFD">
        <w:rPr>
          <w:rFonts w:ascii="Arial" w:hAnsi="Arial" w:cs="Arial"/>
          <w:sz w:val="24"/>
          <w:szCs w:val="24"/>
        </w:rPr>
        <w:lastRenderedPageBreak/>
        <w:t>Quality improvement would require action based on those findings. If customers frequently misunderstand information, the Brand Ambassador could revise the explanation or supporting materials. If responses are delayed, a clearer system for recording and prioritising enquiries could be introduced. Recurring issues outside the Ambassador’s control should be communicated through appropriate company channels.</w:t>
      </w:r>
    </w:p>
    <w:p w14:paraId="7577CA1C" w14:textId="77777777" w:rsidR="00604546" w:rsidRPr="00574EFD" w:rsidRDefault="00604546" w:rsidP="00574EFD">
      <w:pPr>
        <w:jc w:val="both"/>
        <w:rPr>
          <w:rFonts w:ascii="Arial" w:hAnsi="Arial" w:cs="Arial"/>
          <w:sz w:val="24"/>
          <w:szCs w:val="24"/>
        </w:rPr>
      </w:pPr>
    </w:p>
    <w:p w14:paraId="0CDE09DB" w14:textId="0F918877" w:rsidR="0076232F" w:rsidRPr="00574EFD" w:rsidRDefault="00604546" w:rsidP="00574EFD">
      <w:pPr>
        <w:jc w:val="both"/>
        <w:rPr>
          <w:rFonts w:ascii="Arial" w:hAnsi="Arial" w:cs="Arial"/>
          <w:sz w:val="24"/>
          <w:szCs w:val="24"/>
        </w:rPr>
      </w:pPr>
      <w:r w:rsidRPr="00574EFD">
        <w:rPr>
          <w:rFonts w:ascii="Arial" w:hAnsi="Arial" w:cs="Arial"/>
          <w:sz w:val="24"/>
          <w:szCs w:val="24"/>
        </w:rPr>
        <w:t>The Juran model can therefore transform customer feedback into a continuous improvement process. Nevertheless, quality should not be measured only through the absence of complaints, because dissatisfied customers may leave without providing feedback. Proactive but proportionate evaluation is necessary. By planning customer-focused standards, monitoring delivery and improving weak processes, the Brand Ambassador can contribute to a more consistent and reliable SNEP SPA customer experience.</w:t>
      </w:r>
    </w:p>
    <w:p w14:paraId="2A13A425" w14:textId="77777777" w:rsidR="003B201C" w:rsidRPr="00574EFD" w:rsidRDefault="003B201C" w:rsidP="00574EFD">
      <w:pPr>
        <w:jc w:val="both"/>
        <w:rPr>
          <w:rFonts w:ascii="Arial" w:hAnsi="Arial" w:cs="Arial"/>
          <w:sz w:val="24"/>
          <w:szCs w:val="24"/>
        </w:rPr>
      </w:pPr>
    </w:p>
    <w:p w14:paraId="595ECBF8" w14:textId="77777777" w:rsidR="003B201C" w:rsidRPr="00574EFD" w:rsidRDefault="003B201C" w:rsidP="00574EFD">
      <w:pPr>
        <w:jc w:val="both"/>
        <w:rPr>
          <w:rFonts w:ascii="Arial" w:hAnsi="Arial" w:cs="Arial"/>
          <w:sz w:val="24"/>
          <w:szCs w:val="24"/>
        </w:rPr>
      </w:pPr>
    </w:p>
    <w:p w14:paraId="1766E2D5" w14:textId="77777777" w:rsidR="003B201C" w:rsidRPr="00574EFD" w:rsidRDefault="003B201C" w:rsidP="00574EFD">
      <w:pPr>
        <w:jc w:val="both"/>
        <w:rPr>
          <w:rFonts w:ascii="Arial" w:hAnsi="Arial" w:cs="Arial"/>
          <w:sz w:val="24"/>
          <w:szCs w:val="24"/>
        </w:rPr>
      </w:pPr>
    </w:p>
    <w:p w14:paraId="1202B5C4" w14:textId="568B32F0" w:rsidR="00885114" w:rsidRPr="00574EFD" w:rsidRDefault="00917F26" w:rsidP="00574EFD">
      <w:pPr>
        <w:pStyle w:val="Heading2"/>
        <w:jc w:val="both"/>
        <w:rPr>
          <w:rFonts w:ascii="Arial" w:hAnsi="Arial" w:cs="Arial"/>
          <w:sz w:val="24"/>
          <w:szCs w:val="24"/>
        </w:rPr>
      </w:pPr>
      <w:bookmarkStart w:id="11" w:name="_Toc235957866"/>
      <w:r w:rsidRPr="00574EFD">
        <w:rPr>
          <w:rFonts w:ascii="Arial" w:hAnsi="Arial" w:cs="Arial"/>
          <w:sz w:val="24"/>
          <w:szCs w:val="24"/>
        </w:rPr>
        <w:t>Section 8:</w:t>
      </w:r>
      <w:r w:rsidR="00B80642" w:rsidRPr="00574EFD">
        <w:rPr>
          <w:rFonts w:ascii="Arial" w:hAnsi="Arial" w:cs="Arial"/>
          <w:sz w:val="24"/>
          <w:szCs w:val="24"/>
        </w:rPr>
        <w:t xml:space="preserve"> Segmentation and Targeting</w:t>
      </w:r>
      <w:bookmarkEnd w:id="11"/>
    </w:p>
    <w:p w14:paraId="15B3A060" w14:textId="77777777" w:rsidR="007439F5" w:rsidRPr="00574EFD" w:rsidRDefault="007439F5" w:rsidP="00574EFD">
      <w:pPr>
        <w:jc w:val="both"/>
        <w:rPr>
          <w:rFonts w:ascii="Arial" w:hAnsi="Arial" w:cs="Arial"/>
          <w:sz w:val="24"/>
          <w:szCs w:val="24"/>
        </w:rPr>
      </w:pPr>
    </w:p>
    <w:p w14:paraId="45A3447B" w14:textId="77777777" w:rsidR="00A83780" w:rsidRPr="00574EFD" w:rsidRDefault="00A83780" w:rsidP="00574EFD">
      <w:pPr>
        <w:jc w:val="both"/>
        <w:rPr>
          <w:rFonts w:ascii="Arial" w:hAnsi="Arial" w:cs="Arial"/>
          <w:sz w:val="24"/>
          <w:szCs w:val="24"/>
        </w:rPr>
      </w:pPr>
    </w:p>
    <w:p w14:paraId="74DD76F7" w14:textId="0AF9B5D4" w:rsidR="007439F5" w:rsidRPr="00574EFD" w:rsidRDefault="00B80642" w:rsidP="00574EFD">
      <w:pPr>
        <w:jc w:val="both"/>
        <w:rPr>
          <w:rFonts w:ascii="Arial" w:hAnsi="Arial" w:cs="Arial"/>
          <w:b/>
          <w:bCs/>
          <w:sz w:val="24"/>
          <w:szCs w:val="24"/>
        </w:rPr>
      </w:pPr>
      <w:r w:rsidRPr="00574EFD">
        <w:rPr>
          <w:rFonts w:ascii="Arial" w:hAnsi="Arial" w:cs="Arial"/>
          <w:b/>
          <w:bCs/>
          <w:sz w:val="24"/>
          <w:szCs w:val="24"/>
        </w:rPr>
        <w:t xml:space="preserve">8.1 </w:t>
      </w:r>
      <w:r w:rsidR="00EA76C7" w:rsidRPr="00574EFD">
        <w:rPr>
          <w:rFonts w:ascii="Arial" w:hAnsi="Arial" w:cs="Arial"/>
          <w:b/>
          <w:bCs/>
          <w:sz w:val="24"/>
          <w:szCs w:val="24"/>
        </w:rPr>
        <w:t>Customer Segmentation</w:t>
      </w:r>
    </w:p>
    <w:p w14:paraId="5E9F6394" w14:textId="77777777" w:rsidR="003D30C7" w:rsidRPr="00574EFD" w:rsidRDefault="003D30C7" w:rsidP="00574EFD">
      <w:pPr>
        <w:jc w:val="both"/>
        <w:rPr>
          <w:rFonts w:ascii="Arial" w:hAnsi="Arial" w:cs="Arial"/>
          <w:sz w:val="24"/>
          <w:szCs w:val="24"/>
        </w:rPr>
      </w:pPr>
    </w:p>
    <w:p w14:paraId="4E5FB6B2" w14:textId="77777777" w:rsidR="007541A7" w:rsidRPr="00574EFD" w:rsidRDefault="007541A7" w:rsidP="00574EFD">
      <w:pPr>
        <w:jc w:val="both"/>
        <w:rPr>
          <w:rFonts w:ascii="Arial" w:hAnsi="Arial" w:cs="Arial"/>
          <w:sz w:val="24"/>
          <w:szCs w:val="24"/>
        </w:rPr>
      </w:pPr>
    </w:p>
    <w:p w14:paraId="660E39A6" w14:textId="77777777" w:rsidR="003D30C7" w:rsidRPr="00574EFD" w:rsidRDefault="003D30C7" w:rsidP="00574EFD">
      <w:pPr>
        <w:jc w:val="both"/>
        <w:rPr>
          <w:rFonts w:ascii="Arial" w:hAnsi="Arial" w:cs="Arial"/>
          <w:sz w:val="24"/>
          <w:szCs w:val="24"/>
        </w:rPr>
      </w:pPr>
      <w:r w:rsidRPr="00574EFD">
        <w:rPr>
          <w:rFonts w:ascii="Arial" w:hAnsi="Arial" w:cs="Arial"/>
          <w:sz w:val="24"/>
          <w:szCs w:val="24"/>
        </w:rPr>
        <w:t>Market segmentation is the process of dividing a broad and heterogeneous market into smaller groups whose members share relevant characteristics, needs or behaviours. Smith (1956) established segmentation as an alternative to treating the market as though all customers require the same offering. Wedel and Kamakura (2000) similarly argue that segmentation enables organisations to recognise differences in customer needs and develop more appropriate marketing activities.</w:t>
      </w:r>
    </w:p>
    <w:p w14:paraId="4AC6943C" w14:textId="77777777" w:rsidR="003D30C7" w:rsidRPr="00574EFD" w:rsidRDefault="003D30C7" w:rsidP="00574EFD">
      <w:pPr>
        <w:jc w:val="both"/>
        <w:rPr>
          <w:rFonts w:ascii="Arial" w:hAnsi="Arial" w:cs="Arial"/>
          <w:sz w:val="24"/>
          <w:szCs w:val="24"/>
        </w:rPr>
      </w:pPr>
    </w:p>
    <w:p w14:paraId="14E66670" w14:textId="3F319019" w:rsidR="007439F5" w:rsidRPr="00574EFD" w:rsidRDefault="003D30C7" w:rsidP="00574EFD">
      <w:pPr>
        <w:jc w:val="both"/>
        <w:rPr>
          <w:rFonts w:ascii="Arial" w:hAnsi="Arial" w:cs="Arial"/>
          <w:sz w:val="24"/>
          <w:szCs w:val="24"/>
        </w:rPr>
      </w:pPr>
      <w:r w:rsidRPr="00574EFD">
        <w:rPr>
          <w:rFonts w:ascii="Arial" w:hAnsi="Arial" w:cs="Arial"/>
          <w:sz w:val="24"/>
          <w:szCs w:val="24"/>
        </w:rPr>
        <w:t>Customers may be segmented using demographic, geographic, psychographic or behavioural variables. Demographic segmentation considers characteristics such as age or household circumstances, while geographic segmentation concerns location. Psychographic segmentation considers interests, lifestyles and values. Behavioural segmentation examines factors such as desired benefits, purchasing frequency, previous engagement and loyalty.</w:t>
      </w:r>
    </w:p>
    <w:p w14:paraId="53733F27" w14:textId="77777777" w:rsidR="00026C80" w:rsidRPr="00574EFD" w:rsidRDefault="00026C80" w:rsidP="00574EFD">
      <w:pPr>
        <w:jc w:val="both"/>
        <w:rPr>
          <w:rFonts w:ascii="Arial" w:hAnsi="Arial" w:cs="Arial"/>
          <w:sz w:val="24"/>
          <w:szCs w:val="24"/>
        </w:rPr>
      </w:pPr>
    </w:p>
    <w:p w14:paraId="26FA485C" w14:textId="613D8B73" w:rsidR="000B106F" w:rsidRPr="00574EFD" w:rsidRDefault="00026C80" w:rsidP="00574EFD">
      <w:pPr>
        <w:jc w:val="both"/>
        <w:rPr>
          <w:rFonts w:ascii="Arial" w:hAnsi="Arial" w:cs="Arial"/>
          <w:sz w:val="24"/>
          <w:szCs w:val="24"/>
        </w:rPr>
      </w:pPr>
      <w:r w:rsidRPr="00574EFD">
        <w:rPr>
          <w:rFonts w:ascii="Arial" w:hAnsi="Arial" w:cs="Arial"/>
          <w:sz w:val="24"/>
          <w:szCs w:val="24"/>
        </w:rPr>
        <w:lastRenderedPageBreak/>
        <w:t>However, demographic characteristics alone may not explain customer preferences. Individuals within the same demographic group can have substantially different interests, expectations and purchasing behaviours. Effective segments should be identifiable, sufficiently distinct, reachable and useful for decision-making.</w:t>
      </w:r>
    </w:p>
    <w:p w14:paraId="6DB39DB7" w14:textId="77777777" w:rsidR="000B106F" w:rsidRPr="00574EFD" w:rsidRDefault="000B106F" w:rsidP="00574EFD">
      <w:pPr>
        <w:jc w:val="both"/>
        <w:rPr>
          <w:rFonts w:ascii="Arial" w:hAnsi="Arial" w:cs="Arial"/>
          <w:b/>
          <w:bCs/>
          <w:sz w:val="24"/>
          <w:szCs w:val="24"/>
        </w:rPr>
      </w:pPr>
    </w:p>
    <w:p w14:paraId="7FA6571B" w14:textId="77777777" w:rsidR="0077140D" w:rsidRPr="00574EFD" w:rsidRDefault="0077140D" w:rsidP="00574EFD">
      <w:pPr>
        <w:jc w:val="both"/>
        <w:rPr>
          <w:rFonts w:ascii="Arial" w:hAnsi="Arial" w:cs="Arial"/>
          <w:sz w:val="24"/>
          <w:szCs w:val="24"/>
        </w:rPr>
      </w:pPr>
    </w:p>
    <w:p w14:paraId="7C431490" w14:textId="33382473" w:rsidR="00FA6226" w:rsidRPr="00574EFD" w:rsidRDefault="00FA6226" w:rsidP="00574EFD">
      <w:pPr>
        <w:jc w:val="both"/>
        <w:rPr>
          <w:rFonts w:ascii="Arial" w:hAnsi="Arial" w:cs="Arial"/>
          <w:b/>
          <w:bCs/>
          <w:sz w:val="24"/>
          <w:szCs w:val="24"/>
        </w:rPr>
      </w:pPr>
      <w:r w:rsidRPr="00574EFD">
        <w:rPr>
          <w:rFonts w:ascii="Arial" w:hAnsi="Arial" w:cs="Arial"/>
          <w:b/>
          <w:bCs/>
          <w:sz w:val="24"/>
          <w:szCs w:val="24"/>
        </w:rPr>
        <w:t>8.</w:t>
      </w:r>
      <w:r w:rsidR="00455366" w:rsidRPr="00574EFD">
        <w:rPr>
          <w:rFonts w:ascii="Arial" w:hAnsi="Arial" w:cs="Arial"/>
          <w:b/>
          <w:bCs/>
          <w:sz w:val="24"/>
          <w:szCs w:val="24"/>
        </w:rPr>
        <w:t>2</w:t>
      </w:r>
      <w:r w:rsidRPr="00574EFD">
        <w:rPr>
          <w:rFonts w:ascii="Arial" w:hAnsi="Arial" w:cs="Arial"/>
          <w:b/>
          <w:bCs/>
          <w:sz w:val="24"/>
          <w:szCs w:val="24"/>
        </w:rPr>
        <w:t xml:space="preserve"> S</w:t>
      </w:r>
      <w:r w:rsidR="008C2236" w:rsidRPr="00574EFD">
        <w:rPr>
          <w:rFonts w:ascii="Arial" w:hAnsi="Arial" w:cs="Arial"/>
          <w:b/>
          <w:bCs/>
          <w:sz w:val="24"/>
          <w:szCs w:val="24"/>
        </w:rPr>
        <w:t>NEP SPA</w:t>
      </w:r>
      <w:r w:rsidRPr="00574EFD">
        <w:rPr>
          <w:rFonts w:ascii="Arial" w:hAnsi="Arial" w:cs="Arial"/>
          <w:b/>
          <w:bCs/>
          <w:sz w:val="24"/>
          <w:szCs w:val="24"/>
        </w:rPr>
        <w:t xml:space="preserve"> Customer Segments</w:t>
      </w:r>
    </w:p>
    <w:p w14:paraId="2214DC10" w14:textId="77777777" w:rsidR="0077140D" w:rsidRPr="00574EFD" w:rsidRDefault="0077140D" w:rsidP="00574EFD">
      <w:pPr>
        <w:jc w:val="both"/>
        <w:rPr>
          <w:rFonts w:ascii="Arial" w:hAnsi="Arial" w:cs="Arial"/>
          <w:sz w:val="24"/>
          <w:szCs w:val="24"/>
        </w:rPr>
      </w:pPr>
    </w:p>
    <w:p w14:paraId="34DF23CB" w14:textId="77777777" w:rsidR="004472F2" w:rsidRPr="00574EFD" w:rsidRDefault="004472F2" w:rsidP="00574EFD">
      <w:pPr>
        <w:jc w:val="both"/>
        <w:rPr>
          <w:rFonts w:ascii="Arial" w:hAnsi="Arial" w:cs="Arial"/>
          <w:sz w:val="24"/>
          <w:szCs w:val="24"/>
        </w:rPr>
      </w:pPr>
      <w:r w:rsidRPr="00574EFD">
        <w:rPr>
          <w:rFonts w:ascii="Arial" w:hAnsi="Arial" w:cs="Arial"/>
          <w:sz w:val="24"/>
          <w:szCs w:val="24"/>
        </w:rPr>
        <w:t>SNEP SPA serves customers with differing product interests, budgets, communication preferences and levels of familiarity with the organisation. The Brand Ambassador could therefore use needs-based and behavioural segmentation. Possible segments include prospective customers seeking introductory information, first-time customers requiring purchasing support, returning customers interested in relevant updates and inactive customers who should receive only proportionate communication.</w:t>
      </w:r>
    </w:p>
    <w:p w14:paraId="6F6CF9F6" w14:textId="77777777" w:rsidR="004472F2" w:rsidRPr="00574EFD" w:rsidRDefault="004472F2" w:rsidP="00574EFD">
      <w:pPr>
        <w:jc w:val="both"/>
        <w:rPr>
          <w:rFonts w:ascii="Arial" w:hAnsi="Arial" w:cs="Arial"/>
          <w:sz w:val="24"/>
          <w:szCs w:val="24"/>
        </w:rPr>
      </w:pPr>
    </w:p>
    <w:p w14:paraId="42BE3CB1" w14:textId="77777777" w:rsidR="004472F2" w:rsidRPr="00574EFD" w:rsidRDefault="004472F2" w:rsidP="00574EFD">
      <w:pPr>
        <w:jc w:val="both"/>
        <w:rPr>
          <w:rFonts w:ascii="Arial" w:hAnsi="Arial" w:cs="Arial"/>
          <w:sz w:val="24"/>
          <w:szCs w:val="24"/>
        </w:rPr>
      </w:pPr>
      <w:r w:rsidRPr="00574EFD">
        <w:rPr>
          <w:rFonts w:ascii="Arial" w:hAnsi="Arial" w:cs="Arial"/>
          <w:sz w:val="24"/>
          <w:szCs w:val="24"/>
        </w:rPr>
        <w:t>The Microsoft Forms preference questionnaire may help identify preferred product categories, communication channels and the type of support customers expect. These findings could be organised in Excel to identify broad patterns. Nevertheless, customers should be informed about the purpose of data collection, and only necessary information should be retained.</w:t>
      </w:r>
    </w:p>
    <w:p w14:paraId="172B228D" w14:textId="77777777" w:rsidR="004472F2" w:rsidRPr="00574EFD" w:rsidRDefault="004472F2" w:rsidP="00574EFD">
      <w:pPr>
        <w:jc w:val="both"/>
        <w:rPr>
          <w:rFonts w:ascii="Arial" w:hAnsi="Arial" w:cs="Arial"/>
          <w:sz w:val="24"/>
          <w:szCs w:val="24"/>
        </w:rPr>
      </w:pPr>
    </w:p>
    <w:p w14:paraId="6CD9434D" w14:textId="77777777" w:rsidR="004472F2" w:rsidRPr="00574EFD" w:rsidRDefault="004472F2" w:rsidP="00574EFD">
      <w:pPr>
        <w:jc w:val="both"/>
        <w:rPr>
          <w:rFonts w:ascii="Arial" w:hAnsi="Arial" w:cs="Arial"/>
          <w:sz w:val="24"/>
          <w:szCs w:val="24"/>
        </w:rPr>
      </w:pPr>
      <w:r w:rsidRPr="00574EFD">
        <w:rPr>
          <w:rFonts w:ascii="Arial" w:hAnsi="Arial" w:cs="Arial"/>
          <w:sz w:val="24"/>
          <w:szCs w:val="24"/>
        </w:rPr>
        <w:t>Targeted communication could then be adapted to each segment. New customers may require clear introductory information, while established customers may value concise updates connected to previously expressed interests. Customers who prefer limited contact should not receive frequent messages. Segmentation would therefore support customer centrality by increasing relevance and reducing inappropriate mass promotion.</w:t>
      </w:r>
    </w:p>
    <w:p w14:paraId="65F7D722" w14:textId="77777777" w:rsidR="004472F2" w:rsidRPr="00574EFD" w:rsidRDefault="004472F2" w:rsidP="00574EFD">
      <w:pPr>
        <w:jc w:val="both"/>
        <w:rPr>
          <w:rFonts w:ascii="Arial" w:hAnsi="Arial" w:cs="Arial"/>
          <w:sz w:val="24"/>
          <w:szCs w:val="24"/>
        </w:rPr>
      </w:pPr>
    </w:p>
    <w:p w14:paraId="7C418097" w14:textId="70051E6C" w:rsidR="0077140D" w:rsidRPr="00574EFD" w:rsidRDefault="004472F2" w:rsidP="00574EFD">
      <w:pPr>
        <w:jc w:val="both"/>
        <w:rPr>
          <w:rFonts w:ascii="Arial" w:hAnsi="Arial" w:cs="Arial"/>
          <w:sz w:val="24"/>
          <w:szCs w:val="24"/>
        </w:rPr>
      </w:pPr>
      <w:r w:rsidRPr="00574EFD">
        <w:rPr>
          <w:rFonts w:ascii="Arial" w:hAnsi="Arial" w:cs="Arial"/>
          <w:sz w:val="24"/>
          <w:szCs w:val="24"/>
        </w:rPr>
        <w:t>The effectiveness of each segment should be reviewed through engagement, satisfaction, repeat enquiries and feedback rather than sales alone. As preferences change, customers may move between segments. A flexible and ethical approach can help the Brand Ambassador allocate limited resources effectively while preserving customer choice and trust.</w:t>
      </w:r>
    </w:p>
    <w:p w14:paraId="5DEFC231" w14:textId="77777777" w:rsidR="009A6AFB" w:rsidRPr="00574EFD" w:rsidRDefault="009A6AFB" w:rsidP="00574EFD">
      <w:pPr>
        <w:jc w:val="both"/>
        <w:rPr>
          <w:rFonts w:ascii="Arial" w:hAnsi="Arial" w:cs="Arial"/>
          <w:sz w:val="24"/>
          <w:szCs w:val="24"/>
        </w:rPr>
      </w:pPr>
    </w:p>
    <w:p w14:paraId="5B34B4D6" w14:textId="77777777" w:rsidR="00CA25A7" w:rsidRPr="00574EFD" w:rsidRDefault="00CA25A7" w:rsidP="00574EFD">
      <w:pPr>
        <w:jc w:val="both"/>
        <w:rPr>
          <w:rFonts w:ascii="Arial" w:hAnsi="Arial" w:cs="Arial"/>
          <w:sz w:val="24"/>
          <w:szCs w:val="24"/>
        </w:rPr>
      </w:pPr>
    </w:p>
    <w:p w14:paraId="3E59E22A" w14:textId="77777777" w:rsidR="00CA25A7" w:rsidRPr="00574EFD" w:rsidRDefault="00CA25A7" w:rsidP="00574EFD">
      <w:pPr>
        <w:jc w:val="both"/>
        <w:rPr>
          <w:rFonts w:ascii="Arial" w:hAnsi="Arial" w:cs="Arial"/>
          <w:sz w:val="24"/>
          <w:szCs w:val="24"/>
        </w:rPr>
      </w:pPr>
    </w:p>
    <w:p w14:paraId="6AC50527" w14:textId="77777777" w:rsidR="00CA25A7" w:rsidRPr="00574EFD" w:rsidRDefault="00CA25A7" w:rsidP="00574EFD">
      <w:pPr>
        <w:jc w:val="both"/>
        <w:rPr>
          <w:rFonts w:ascii="Arial" w:hAnsi="Arial" w:cs="Arial"/>
          <w:sz w:val="24"/>
          <w:szCs w:val="24"/>
        </w:rPr>
      </w:pPr>
    </w:p>
    <w:p w14:paraId="36CFE904" w14:textId="77777777" w:rsidR="00CA25A7" w:rsidRPr="00574EFD" w:rsidRDefault="00CA25A7" w:rsidP="00574EFD">
      <w:pPr>
        <w:jc w:val="both"/>
        <w:rPr>
          <w:rFonts w:ascii="Arial" w:hAnsi="Arial" w:cs="Arial"/>
          <w:sz w:val="24"/>
          <w:szCs w:val="24"/>
        </w:rPr>
      </w:pPr>
    </w:p>
    <w:p w14:paraId="674A11E6" w14:textId="77777777" w:rsidR="00CA25A7" w:rsidRPr="00574EFD" w:rsidRDefault="00CA25A7" w:rsidP="00574EFD">
      <w:pPr>
        <w:jc w:val="both"/>
        <w:rPr>
          <w:rFonts w:ascii="Arial" w:hAnsi="Arial" w:cs="Arial"/>
          <w:sz w:val="24"/>
          <w:szCs w:val="24"/>
        </w:rPr>
      </w:pPr>
    </w:p>
    <w:p w14:paraId="690E51E0" w14:textId="77777777" w:rsidR="00CA25A7" w:rsidRPr="00574EFD" w:rsidRDefault="00CA25A7" w:rsidP="00574EFD">
      <w:pPr>
        <w:jc w:val="both"/>
        <w:rPr>
          <w:rFonts w:ascii="Arial" w:hAnsi="Arial" w:cs="Arial"/>
          <w:sz w:val="24"/>
          <w:szCs w:val="24"/>
        </w:rPr>
      </w:pPr>
    </w:p>
    <w:p w14:paraId="46D646F6" w14:textId="77777777" w:rsidR="00F9436C" w:rsidRPr="00574EFD" w:rsidRDefault="00F9436C" w:rsidP="00574EFD">
      <w:pPr>
        <w:jc w:val="both"/>
        <w:rPr>
          <w:rFonts w:ascii="Arial" w:hAnsi="Arial" w:cs="Arial"/>
          <w:sz w:val="24"/>
          <w:szCs w:val="24"/>
        </w:rPr>
      </w:pPr>
    </w:p>
    <w:p w14:paraId="67980FA8" w14:textId="77777777" w:rsidR="00F9436C" w:rsidRPr="00574EFD" w:rsidRDefault="00F9436C" w:rsidP="00574EFD">
      <w:pPr>
        <w:jc w:val="both"/>
        <w:rPr>
          <w:rFonts w:ascii="Arial" w:hAnsi="Arial" w:cs="Arial"/>
          <w:sz w:val="24"/>
          <w:szCs w:val="24"/>
        </w:rPr>
      </w:pPr>
    </w:p>
    <w:p w14:paraId="1068BFC7" w14:textId="77777777" w:rsidR="00CA25A7" w:rsidRPr="00574EFD" w:rsidRDefault="00CA25A7" w:rsidP="00574EFD">
      <w:pPr>
        <w:jc w:val="both"/>
        <w:rPr>
          <w:rFonts w:ascii="Arial" w:hAnsi="Arial" w:cs="Arial"/>
          <w:sz w:val="24"/>
          <w:szCs w:val="24"/>
        </w:rPr>
      </w:pPr>
    </w:p>
    <w:p w14:paraId="3B28B415" w14:textId="10C330CC" w:rsidR="0030173B" w:rsidRPr="00574EFD" w:rsidRDefault="00EB05A7" w:rsidP="00574EFD">
      <w:pPr>
        <w:pStyle w:val="Heading2"/>
        <w:jc w:val="both"/>
        <w:rPr>
          <w:rFonts w:ascii="Arial" w:hAnsi="Arial" w:cs="Arial"/>
          <w:sz w:val="24"/>
          <w:szCs w:val="24"/>
        </w:rPr>
      </w:pPr>
      <w:bookmarkStart w:id="12" w:name="_Toc235957867"/>
      <w:bookmarkEnd w:id="8"/>
      <w:r w:rsidRPr="00574EFD">
        <w:rPr>
          <w:rFonts w:ascii="Arial" w:hAnsi="Arial" w:cs="Arial"/>
          <w:sz w:val="24"/>
          <w:szCs w:val="24"/>
        </w:rPr>
        <w:t>Conclusion</w:t>
      </w:r>
      <w:bookmarkEnd w:id="12"/>
    </w:p>
    <w:p w14:paraId="3F66DE6B" w14:textId="77777777" w:rsidR="00952FB2" w:rsidRPr="00574EFD" w:rsidRDefault="00952FB2" w:rsidP="00574EFD">
      <w:pPr>
        <w:jc w:val="both"/>
        <w:rPr>
          <w:rFonts w:ascii="Arial" w:hAnsi="Arial" w:cs="Arial"/>
          <w:sz w:val="24"/>
          <w:szCs w:val="24"/>
        </w:rPr>
      </w:pPr>
    </w:p>
    <w:p w14:paraId="0D1055F7" w14:textId="5E8BBF06" w:rsidR="00282216" w:rsidRPr="00574EFD" w:rsidRDefault="00952FB2" w:rsidP="00574EFD">
      <w:pPr>
        <w:jc w:val="both"/>
        <w:rPr>
          <w:rFonts w:ascii="Arial" w:hAnsi="Arial" w:cs="Arial"/>
          <w:sz w:val="24"/>
          <w:szCs w:val="24"/>
        </w:rPr>
      </w:pPr>
      <w:r w:rsidRPr="00574EFD">
        <w:rPr>
          <w:rFonts w:ascii="Arial" w:hAnsi="Arial" w:cs="Arial"/>
          <w:sz w:val="24"/>
          <w:szCs w:val="24"/>
        </w:rPr>
        <w:t>This report has demonstrated that effective customer engagement requires more than completing individual sales. Customer value, CRM, customer centrality, satisfaction, loyalty and relationship quality are interconnected across the complete customer journey. Within SNEP SPA, the Brand Ambassador influences this journey through information, communication, personalised support and post-purchase contact. Sustainable relationships depend on balancing emotional engagement with rational information, maintaining trust and adapting communication to each relationship stage. The Juran model further provides a structured method for planning, controlling and improving service quality, while segmentation enables customer needs to be addressed more appropriately. Overall, the Brand Ambassador should prioritise accuracy, suitability, customer choice and continuous improvement. This customer-central approach can strengthen satisfaction, loyalty and advocacy while creating mutual, ethical and sustainable value for customers, the Brand Ambassador and SNEP SPA.</w:t>
      </w:r>
    </w:p>
    <w:p w14:paraId="198B934C" w14:textId="77777777" w:rsidR="00282216" w:rsidRPr="00574EFD" w:rsidRDefault="00282216" w:rsidP="00574EFD">
      <w:pPr>
        <w:jc w:val="both"/>
        <w:rPr>
          <w:rFonts w:ascii="Arial" w:hAnsi="Arial" w:cs="Arial"/>
          <w:sz w:val="24"/>
          <w:szCs w:val="24"/>
        </w:rPr>
      </w:pPr>
    </w:p>
    <w:p w14:paraId="3948834A" w14:textId="77777777" w:rsidR="00F40698" w:rsidRPr="00574EFD" w:rsidRDefault="00F40698" w:rsidP="00574EFD">
      <w:pPr>
        <w:jc w:val="both"/>
        <w:rPr>
          <w:rFonts w:ascii="Arial" w:hAnsi="Arial" w:cs="Arial"/>
          <w:sz w:val="24"/>
          <w:szCs w:val="24"/>
        </w:rPr>
      </w:pPr>
    </w:p>
    <w:p w14:paraId="3E51E1B4" w14:textId="77777777" w:rsidR="00F40698" w:rsidRPr="00574EFD" w:rsidRDefault="00F40698" w:rsidP="00574EFD">
      <w:pPr>
        <w:jc w:val="both"/>
        <w:rPr>
          <w:rFonts w:ascii="Arial" w:hAnsi="Arial" w:cs="Arial"/>
          <w:sz w:val="24"/>
          <w:szCs w:val="24"/>
        </w:rPr>
      </w:pPr>
    </w:p>
    <w:p w14:paraId="228AF601" w14:textId="77777777" w:rsidR="00F40698" w:rsidRPr="00574EFD" w:rsidRDefault="00F40698" w:rsidP="00574EFD">
      <w:pPr>
        <w:jc w:val="both"/>
        <w:rPr>
          <w:rFonts w:ascii="Arial" w:hAnsi="Arial" w:cs="Arial"/>
          <w:sz w:val="24"/>
          <w:szCs w:val="24"/>
        </w:rPr>
      </w:pPr>
    </w:p>
    <w:p w14:paraId="1A22A99F" w14:textId="77777777" w:rsidR="00F40698" w:rsidRPr="00574EFD" w:rsidRDefault="00F40698" w:rsidP="00574EFD">
      <w:pPr>
        <w:jc w:val="both"/>
        <w:rPr>
          <w:rFonts w:ascii="Arial" w:hAnsi="Arial" w:cs="Arial"/>
          <w:sz w:val="24"/>
          <w:szCs w:val="24"/>
        </w:rPr>
      </w:pPr>
    </w:p>
    <w:p w14:paraId="18D91562" w14:textId="77777777" w:rsidR="00F40698" w:rsidRPr="00574EFD" w:rsidRDefault="00F40698" w:rsidP="00574EFD">
      <w:pPr>
        <w:jc w:val="both"/>
        <w:rPr>
          <w:rFonts w:ascii="Arial" w:hAnsi="Arial" w:cs="Arial"/>
          <w:sz w:val="24"/>
          <w:szCs w:val="24"/>
        </w:rPr>
      </w:pPr>
    </w:p>
    <w:p w14:paraId="78B26D66" w14:textId="77777777" w:rsidR="00F40698" w:rsidRPr="00574EFD" w:rsidRDefault="00F40698" w:rsidP="00574EFD">
      <w:pPr>
        <w:jc w:val="both"/>
        <w:rPr>
          <w:rFonts w:ascii="Arial" w:hAnsi="Arial" w:cs="Arial"/>
          <w:sz w:val="24"/>
          <w:szCs w:val="24"/>
        </w:rPr>
      </w:pPr>
    </w:p>
    <w:p w14:paraId="7587F4F7" w14:textId="77777777" w:rsidR="00F40698" w:rsidRPr="00574EFD" w:rsidRDefault="00F40698" w:rsidP="00574EFD">
      <w:pPr>
        <w:jc w:val="both"/>
        <w:rPr>
          <w:rFonts w:ascii="Arial" w:hAnsi="Arial" w:cs="Arial"/>
          <w:sz w:val="24"/>
          <w:szCs w:val="24"/>
        </w:rPr>
      </w:pPr>
    </w:p>
    <w:p w14:paraId="7EC6DFDD" w14:textId="77777777" w:rsidR="00F9436C" w:rsidRPr="00574EFD" w:rsidRDefault="00F9436C" w:rsidP="00574EFD">
      <w:pPr>
        <w:jc w:val="both"/>
        <w:rPr>
          <w:rFonts w:ascii="Arial" w:hAnsi="Arial" w:cs="Arial"/>
          <w:sz w:val="24"/>
          <w:szCs w:val="24"/>
        </w:rPr>
      </w:pPr>
    </w:p>
    <w:p w14:paraId="1336120D" w14:textId="77777777" w:rsidR="00F9436C" w:rsidRPr="00574EFD" w:rsidRDefault="00F9436C" w:rsidP="00574EFD">
      <w:pPr>
        <w:jc w:val="both"/>
        <w:rPr>
          <w:rFonts w:ascii="Arial" w:hAnsi="Arial" w:cs="Arial"/>
          <w:sz w:val="24"/>
          <w:szCs w:val="24"/>
        </w:rPr>
      </w:pPr>
    </w:p>
    <w:p w14:paraId="0C4CF4BE" w14:textId="77777777" w:rsidR="00F9436C" w:rsidRPr="00574EFD" w:rsidRDefault="00F9436C" w:rsidP="00574EFD">
      <w:pPr>
        <w:jc w:val="both"/>
        <w:rPr>
          <w:rFonts w:ascii="Arial" w:hAnsi="Arial" w:cs="Arial"/>
          <w:sz w:val="24"/>
          <w:szCs w:val="24"/>
        </w:rPr>
      </w:pPr>
    </w:p>
    <w:p w14:paraId="1CF84FF9" w14:textId="77777777" w:rsidR="00F9436C" w:rsidRPr="00574EFD" w:rsidRDefault="00F9436C" w:rsidP="00574EFD">
      <w:pPr>
        <w:jc w:val="both"/>
        <w:rPr>
          <w:rFonts w:ascii="Arial" w:hAnsi="Arial" w:cs="Arial"/>
          <w:sz w:val="24"/>
          <w:szCs w:val="24"/>
        </w:rPr>
      </w:pPr>
    </w:p>
    <w:p w14:paraId="6C7B3075" w14:textId="77777777" w:rsidR="00F9436C" w:rsidRPr="00574EFD" w:rsidRDefault="00F9436C" w:rsidP="00574EFD">
      <w:pPr>
        <w:jc w:val="both"/>
        <w:rPr>
          <w:rFonts w:ascii="Arial" w:hAnsi="Arial" w:cs="Arial"/>
          <w:sz w:val="24"/>
          <w:szCs w:val="24"/>
        </w:rPr>
      </w:pPr>
    </w:p>
    <w:p w14:paraId="6AB51F3A" w14:textId="77777777" w:rsidR="00F9436C" w:rsidRPr="00574EFD" w:rsidRDefault="00F9436C" w:rsidP="00574EFD">
      <w:pPr>
        <w:jc w:val="both"/>
        <w:rPr>
          <w:rFonts w:ascii="Arial" w:hAnsi="Arial" w:cs="Arial"/>
          <w:sz w:val="24"/>
          <w:szCs w:val="24"/>
        </w:rPr>
      </w:pPr>
    </w:p>
    <w:p w14:paraId="1C514655" w14:textId="77777777" w:rsidR="00F40698" w:rsidRPr="00574EFD" w:rsidRDefault="00F40698" w:rsidP="00574EFD">
      <w:pPr>
        <w:jc w:val="both"/>
        <w:rPr>
          <w:rFonts w:ascii="Arial" w:hAnsi="Arial" w:cs="Arial"/>
          <w:sz w:val="24"/>
          <w:szCs w:val="24"/>
        </w:rPr>
      </w:pPr>
    </w:p>
    <w:p w14:paraId="315C1063" w14:textId="77777777" w:rsidR="00F40698" w:rsidRPr="00574EFD" w:rsidRDefault="00F40698" w:rsidP="00574EFD">
      <w:pPr>
        <w:jc w:val="both"/>
        <w:rPr>
          <w:rFonts w:ascii="Arial" w:hAnsi="Arial" w:cs="Arial"/>
          <w:sz w:val="24"/>
          <w:szCs w:val="24"/>
        </w:rPr>
      </w:pPr>
    </w:p>
    <w:p w14:paraId="35D77B57" w14:textId="77777777" w:rsidR="00F40698" w:rsidRPr="00574EFD" w:rsidRDefault="00F40698" w:rsidP="00574EFD">
      <w:pPr>
        <w:jc w:val="both"/>
        <w:rPr>
          <w:rFonts w:ascii="Arial" w:hAnsi="Arial" w:cs="Arial"/>
          <w:sz w:val="24"/>
          <w:szCs w:val="24"/>
        </w:rPr>
      </w:pPr>
    </w:p>
    <w:p w14:paraId="52CE686E" w14:textId="2654049E" w:rsidR="003F69D6" w:rsidRPr="00574EFD" w:rsidRDefault="003F69D6" w:rsidP="00574EFD">
      <w:pPr>
        <w:pStyle w:val="Heading2"/>
        <w:jc w:val="both"/>
        <w:rPr>
          <w:rFonts w:ascii="Arial" w:hAnsi="Arial" w:cs="Arial"/>
          <w:sz w:val="24"/>
          <w:szCs w:val="24"/>
        </w:rPr>
      </w:pPr>
      <w:r w:rsidRPr="00574EFD">
        <w:rPr>
          <w:rFonts w:ascii="Arial" w:hAnsi="Arial" w:cs="Arial"/>
          <w:sz w:val="24"/>
          <w:szCs w:val="24"/>
        </w:rPr>
        <w:t xml:space="preserve"> </w:t>
      </w:r>
      <w:bookmarkStart w:id="13" w:name="_Toc235957868"/>
      <w:r w:rsidR="000500F9" w:rsidRPr="00574EFD">
        <w:rPr>
          <w:rFonts w:ascii="Arial" w:hAnsi="Arial" w:cs="Arial"/>
          <w:sz w:val="24"/>
          <w:szCs w:val="24"/>
        </w:rPr>
        <w:t>References</w:t>
      </w:r>
      <w:bookmarkEnd w:id="13"/>
    </w:p>
    <w:p w14:paraId="312E896F" w14:textId="77777777" w:rsidR="00F40698" w:rsidRPr="00574EFD" w:rsidRDefault="00F40698" w:rsidP="00574EFD">
      <w:pPr>
        <w:jc w:val="both"/>
        <w:rPr>
          <w:rFonts w:ascii="Arial" w:hAnsi="Arial" w:cs="Arial"/>
          <w:sz w:val="24"/>
          <w:szCs w:val="24"/>
        </w:rPr>
      </w:pPr>
    </w:p>
    <w:p w14:paraId="5975E9FF" w14:textId="77777777" w:rsidR="00F40698" w:rsidRPr="00574EFD" w:rsidRDefault="00F40698" w:rsidP="00574EFD">
      <w:pPr>
        <w:jc w:val="both"/>
        <w:rPr>
          <w:rFonts w:ascii="Arial" w:hAnsi="Arial" w:cs="Arial"/>
          <w:sz w:val="24"/>
          <w:szCs w:val="24"/>
        </w:rPr>
      </w:pPr>
    </w:p>
    <w:p w14:paraId="1B9EAF7C" w14:textId="77777777" w:rsidR="00F40698" w:rsidRPr="00574EFD" w:rsidRDefault="00F40698" w:rsidP="00574EFD">
      <w:pPr>
        <w:spacing w:line="360" w:lineRule="auto"/>
        <w:contextualSpacing/>
        <w:jc w:val="both"/>
        <w:rPr>
          <w:rFonts w:ascii="Arial" w:hAnsi="Arial" w:cs="Arial"/>
          <w:sz w:val="24"/>
          <w:szCs w:val="24"/>
        </w:rPr>
      </w:pPr>
    </w:p>
    <w:p w14:paraId="311B1090" w14:textId="1F81EB30" w:rsidR="00CB349A" w:rsidRPr="00574EFD" w:rsidRDefault="00F40698" w:rsidP="00574EFD">
      <w:pPr>
        <w:spacing w:line="360" w:lineRule="auto"/>
        <w:contextualSpacing/>
        <w:jc w:val="both"/>
        <w:rPr>
          <w:rFonts w:ascii="Arial" w:hAnsi="Arial" w:cs="Arial"/>
          <w:sz w:val="24"/>
          <w:szCs w:val="24"/>
        </w:rPr>
      </w:pPr>
      <w:r w:rsidRPr="00574EFD">
        <w:rPr>
          <w:rFonts w:ascii="Arial" w:hAnsi="Arial" w:cs="Arial"/>
          <w:sz w:val="24"/>
          <w:szCs w:val="24"/>
        </w:rPr>
        <w:t xml:space="preserve">Almquist, E., Senior, J., &amp; Bloch, N. (2016). </w:t>
      </w:r>
      <w:r w:rsidRPr="004016D7">
        <w:rPr>
          <w:rFonts w:ascii="Arial" w:hAnsi="Arial" w:cs="Arial"/>
          <w:i/>
          <w:iCs/>
          <w:sz w:val="24"/>
          <w:szCs w:val="24"/>
        </w:rPr>
        <w:t>The elements of value. Harvard Business Review</w:t>
      </w:r>
      <w:r w:rsidRPr="00574EFD">
        <w:rPr>
          <w:rFonts w:ascii="Arial" w:hAnsi="Arial" w:cs="Arial"/>
          <w:sz w:val="24"/>
          <w:szCs w:val="24"/>
        </w:rPr>
        <w:t xml:space="preserve">, 94(9), 46–53. </w:t>
      </w:r>
      <w:hyperlink r:id="rId10" w:history="1">
        <w:r w:rsidR="00CB349A" w:rsidRPr="00574EFD">
          <w:rPr>
            <w:rStyle w:val="Hyperlink"/>
            <w:rFonts w:ascii="Arial" w:hAnsi="Arial" w:cs="Arial"/>
            <w:sz w:val="24"/>
            <w:szCs w:val="24"/>
          </w:rPr>
          <w:t>https://hbr.org/2016/09/the-elements-of-value</w:t>
        </w:r>
      </w:hyperlink>
    </w:p>
    <w:p w14:paraId="65E80D69" w14:textId="77777777" w:rsidR="009B7F5A" w:rsidRPr="00574EFD" w:rsidRDefault="009B7F5A" w:rsidP="00574EFD">
      <w:pPr>
        <w:spacing w:line="360" w:lineRule="auto"/>
        <w:contextualSpacing/>
        <w:jc w:val="both"/>
        <w:rPr>
          <w:rFonts w:ascii="Arial" w:hAnsi="Arial" w:cs="Arial"/>
          <w:sz w:val="24"/>
          <w:szCs w:val="24"/>
        </w:rPr>
      </w:pPr>
    </w:p>
    <w:p w14:paraId="07690BC8" w14:textId="66159547" w:rsidR="00CB349A" w:rsidRPr="00574EFD" w:rsidRDefault="00F40698" w:rsidP="00574EFD">
      <w:pPr>
        <w:spacing w:line="360" w:lineRule="auto"/>
        <w:contextualSpacing/>
        <w:jc w:val="both"/>
        <w:rPr>
          <w:rFonts w:ascii="Arial" w:hAnsi="Arial" w:cs="Arial"/>
          <w:sz w:val="24"/>
          <w:szCs w:val="24"/>
        </w:rPr>
      </w:pPr>
      <w:r w:rsidRPr="00574EFD">
        <w:rPr>
          <w:rFonts w:ascii="Arial" w:hAnsi="Arial" w:cs="Arial"/>
          <w:sz w:val="24"/>
          <w:szCs w:val="24"/>
        </w:rPr>
        <w:t xml:space="preserve">Dick, A. S., &amp; Basu, K. (1994). </w:t>
      </w:r>
      <w:r w:rsidRPr="004016D7">
        <w:rPr>
          <w:rFonts w:ascii="Arial" w:hAnsi="Arial" w:cs="Arial"/>
          <w:i/>
          <w:iCs/>
          <w:sz w:val="24"/>
          <w:szCs w:val="24"/>
        </w:rPr>
        <w:t>Customer loyalty: Toward an integrated conceptual framework</w:t>
      </w:r>
      <w:r w:rsidRPr="00574EFD">
        <w:rPr>
          <w:rFonts w:ascii="Arial" w:hAnsi="Arial" w:cs="Arial"/>
          <w:sz w:val="24"/>
          <w:szCs w:val="24"/>
        </w:rPr>
        <w:t xml:space="preserve">. Journal of the Academy of Marketing Science, 22(2), 99–113. </w:t>
      </w:r>
      <w:hyperlink r:id="rId11" w:history="1">
        <w:r w:rsidR="00CB349A" w:rsidRPr="00574EFD">
          <w:rPr>
            <w:rStyle w:val="Hyperlink"/>
            <w:rFonts w:ascii="Arial" w:hAnsi="Arial" w:cs="Arial"/>
            <w:sz w:val="24"/>
            <w:szCs w:val="24"/>
          </w:rPr>
          <w:t>https://doi.org/10.1177/0092070394222001</w:t>
        </w:r>
      </w:hyperlink>
    </w:p>
    <w:p w14:paraId="4DAD60C6" w14:textId="77777777" w:rsidR="009B7F5A" w:rsidRPr="00574EFD" w:rsidRDefault="009B7F5A" w:rsidP="00574EFD">
      <w:pPr>
        <w:spacing w:line="360" w:lineRule="auto"/>
        <w:contextualSpacing/>
        <w:jc w:val="both"/>
        <w:rPr>
          <w:rFonts w:ascii="Arial" w:hAnsi="Arial" w:cs="Arial"/>
          <w:sz w:val="24"/>
          <w:szCs w:val="24"/>
        </w:rPr>
      </w:pPr>
    </w:p>
    <w:p w14:paraId="30CCBA81" w14:textId="3F4BFCAD" w:rsidR="00CB349A" w:rsidRPr="00574EFD" w:rsidRDefault="00F40698" w:rsidP="00574EFD">
      <w:pPr>
        <w:spacing w:line="360" w:lineRule="auto"/>
        <w:contextualSpacing/>
        <w:jc w:val="both"/>
        <w:rPr>
          <w:rFonts w:ascii="Arial" w:hAnsi="Arial" w:cs="Arial"/>
          <w:sz w:val="24"/>
          <w:szCs w:val="24"/>
        </w:rPr>
      </w:pPr>
      <w:r w:rsidRPr="00574EFD">
        <w:rPr>
          <w:rFonts w:ascii="Arial" w:hAnsi="Arial" w:cs="Arial"/>
          <w:sz w:val="24"/>
          <w:szCs w:val="24"/>
        </w:rPr>
        <w:t xml:space="preserve">Dwyer, F. R., Schurr, P. H., &amp; Oh, S. (1987). </w:t>
      </w:r>
      <w:r w:rsidRPr="004016D7">
        <w:rPr>
          <w:rFonts w:ascii="Arial" w:hAnsi="Arial" w:cs="Arial"/>
          <w:i/>
          <w:iCs/>
          <w:sz w:val="24"/>
          <w:szCs w:val="24"/>
        </w:rPr>
        <w:t>Developing buyer–seller relationships.</w:t>
      </w:r>
      <w:r w:rsidRPr="00574EFD">
        <w:rPr>
          <w:rFonts w:ascii="Arial" w:hAnsi="Arial" w:cs="Arial"/>
          <w:sz w:val="24"/>
          <w:szCs w:val="24"/>
        </w:rPr>
        <w:t xml:space="preserve"> Journal of Marketing, 51(2), 11–27. </w:t>
      </w:r>
      <w:hyperlink r:id="rId12" w:history="1">
        <w:r w:rsidR="00CB349A" w:rsidRPr="00574EFD">
          <w:rPr>
            <w:rStyle w:val="Hyperlink"/>
            <w:rFonts w:ascii="Arial" w:hAnsi="Arial" w:cs="Arial"/>
            <w:sz w:val="24"/>
            <w:szCs w:val="24"/>
          </w:rPr>
          <w:t>https://doi.org/10.1177/002224298705100202</w:t>
        </w:r>
      </w:hyperlink>
    </w:p>
    <w:p w14:paraId="34852E5D" w14:textId="77777777" w:rsidR="009B7F5A" w:rsidRPr="00574EFD" w:rsidRDefault="009B7F5A" w:rsidP="00574EFD">
      <w:pPr>
        <w:spacing w:line="360" w:lineRule="auto"/>
        <w:contextualSpacing/>
        <w:jc w:val="both"/>
        <w:rPr>
          <w:rFonts w:ascii="Arial" w:hAnsi="Arial" w:cs="Arial"/>
          <w:sz w:val="24"/>
          <w:szCs w:val="24"/>
        </w:rPr>
      </w:pPr>
    </w:p>
    <w:p w14:paraId="7025F828" w14:textId="124A0CB6" w:rsidR="00451E13" w:rsidRPr="00574EFD" w:rsidRDefault="00F40698" w:rsidP="00574EFD">
      <w:pPr>
        <w:spacing w:line="360" w:lineRule="auto"/>
        <w:contextualSpacing/>
        <w:jc w:val="both"/>
        <w:rPr>
          <w:rFonts w:ascii="Arial" w:hAnsi="Arial" w:cs="Arial"/>
          <w:sz w:val="24"/>
          <w:szCs w:val="24"/>
        </w:rPr>
      </w:pPr>
      <w:r w:rsidRPr="00574EFD">
        <w:rPr>
          <w:rFonts w:ascii="Arial" w:hAnsi="Arial" w:cs="Arial"/>
          <w:sz w:val="24"/>
          <w:szCs w:val="24"/>
        </w:rPr>
        <w:t xml:space="preserve">Gallarza, M. G., Gil-Saura, I., &amp; Holbrook, M. B. (2011). </w:t>
      </w:r>
      <w:r w:rsidRPr="004016D7">
        <w:rPr>
          <w:rFonts w:ascii="Arial" w:hAnsi="Arial" w:cs="Arial"/>
          <w:i/>
          <w:iCs/>
          <w:sz w:val="24"/>
          <w:szCs w:val="24"/>
        </w:rPr>
        <w:t>The value of value: Further excursions on the meaning and role of customer value</w:t>
      </w:r>
      <w:r w:rsidRPr="00574EFD">
        <w:rPr>
          <w:rFonts w:ascii="Arial" w:hAnsi="Arial" w:cs="Arial"/>
          <w:sz w:val="24"/>
          <w:szCs w:val="24"/>
        </w:rPr>
        <w:t xml:space="preserve">. Journal of Consumer Behaviour, 10(4), 179–191. </w:t>
      </w:r>
      <w:hyperlink r:id="rId13" w:history="1">
        <w:r w:rsidR="00451E13" w:rsidRPr="00574EFD">
          <w:rPr>
            <w:rStyle w:val="Hyperlink"/>
            <w:rFonts w:ascii="Arial" w:hAnsi="Arial" w:cs="Arial"/>
            <w:sz w:val="24"/>
            <w:szCs w:val="24"/>
          </w:rPr>
          <w:t>https://doi.org/10.1002/cb.328</w:t>
        </w:r>
      </w:hyperlink>
    </w:p>
    <w:p w14:paraId="2E466779" w14:textId="77777777" w:rsidR="009B7F5A" w:rsidRPr="00574EFD" w:rsidRDefault="009B7F5A" w:rsidP="00574EFD">
      <w:pPr>
        <w:spacing w:line="360" w:lineRule="auto"/>
        <w:contextualSpacing/>
        <w:jc w:val="both"/>
        <w:rPr>
          <w:rFonts w:ascii="Arial" w:hAnsi="Arial" w:cs="Arial"/>
          <w:sz w:val="24"/>
          <w:szCs w:val="24"/>
        </w:rPr>
      </w:pPr>
    </w:p>
    <w:p w14:paraId="28829A0C" w14:textId="669E5A81" w:rsidR="00451E13" w:rsidRPr="00574EFD" w:rsidRDefault="00F40698" w:rsidP="00574EFD">
      <w:pPr>
        <w:spacing w:line="360" w:lineRule="auto"/>
        <w:contextualSpacing/>
        <w:jc w:val="both"/>
        <w:rPr>
          <w:rFonts w:ascii="Arial" w:hAnsi="Arial" w:cs="Arial"/>
          <w:sz w:val="24"/>
          <w:szCs w:val="24"/>
        </w:rPr>
      </w:pPr>
      <w:r w:rsidRPr="00574EFD">
        <w:rPr>
          <w:rFonts w:ascii="Arial" w:hAnsi="Arial" w:cs="Arial"/>
          <w:sz w:val="24"/>
          <w:szCs w:val="24"/>
        </w:rPr>
        <w:t xml:space="preserve">Gentile, C., Spiller, N., &amp; </w:t>
      </w:r>
      <w:proofErr w:type="spellStart"/>
      <w:r w:rsidRPr="00574EFD">
        <w:rPr>
          <w:rFonts w:ascii="Arial" w:hAnsi="Arial" w:cs="Arial"/>
          <w:sz w:val="24"/>
          <w:szCs w:val="24"/>
        </w:rPr>
        <w:t>Noci</w:t>
      </w:r>
      <w:proofErr w:type="spellEnd"/>
      <w:r w:rsidRPr="00574EFD">
        <w:rPr>
          <w:rFonts w:ascii="Arial" w:hAnsi="Arial" w:cs="Arial"/>
          <w:sz w:val="24"/>
          <w:szCs w:val="24"/>
        </w:rPr>
        <w:t>, G. (2007</w:t>
      </w:r>
      <w:r w:rsidRPr="0044719E">
        <w:rPr>
          <w:rFonts w:ascii="Arial" w:hAnsi="Arial" w:cs="Arial"/>
          <w:i/>
          <w:iCs/>
          <w:sz w:val="24"/>
          <w:szCs w:val="24"/>
        </w:rPr>
        <w:t>). How to sustain the customer experience: An overview of experience components that co-create value with the customer</w:t>
      </w:r>
      <w:r w:rsidRPr="00574EFD">
        <w:rPr>
          <w:rFonts w:ascii="Arial" w:hAnsi="Arial" w:cs="Arial"/>
          <w:sz w:val="24"/>
          <w:szCs w:val="24"/>
        </w:rPr>
        <w:t xml:space="preserve">. European Management Journal, 25(5), 395–410. </w:t>
      </w:r>
      <w:hyperlink r:id="rId14" w:history="1">
        <w:r w:rsidR="00451E13" w:rsidRPr="00574EFD">
          <w:rPr>
            <w:rStyle w:val="Hyperlink"/>
            <w:rFonts w:ascii="Arial" w:hAnsi="Arial" w:cs="Arial"/>
            <w:sz w:val="24"/>
            <w:szCs w:val="24"/>
          </w:rPr>
          <w:t>https://doi.org/10.1016/j.emj.2007.08.005</w:t>
        </w:r>
      </w:hyperlink>
    </w:p>
    <w:p w14:paraId="790AF4E5" w14:textId="77777777" w:rsidR="009B7F5A" w:rsidRPr="00574EFD" w:rsidRDefault="009B7F5A" w:rsidP="00574EFD">
      <w:pPr>
        <w:spacing w:line="360" w:lineRule="auto"/>
        <w:contextualSpacing/>
        <w:jc w:val="both"/>
        <w:rPr>
          <w:rFonts w:ascii="Arial" w:hAnsi="Arial" w:cs="Arial"/>
          <w:sz w:val="24"/>
          <w:szCs w:val="24"/>
        </w:rPr>
      </w:pPr>
    </w:p>
    <w:p w14:paraId="5BABD4CD" w14:textId="77777777" w:rsidR="00F40698" w:rsidRPr="00574EFD" w:rsidRDefault="00F40698" w:rsidP="00574EFD">
      <w:pPr>
        <w:spacing w:line="360" w:lineRule="auto"/>
        <w:contextualSpacing/>
        <w:jc w:val="both"/>
        <w:rPr>
          <w:rFonts w:ascii="Arial" w:hAnsi="Arial" w:cs="Arial"/>
          <w:sz w:val="24"/>
          <w:szCs w:val="24"/>
        </w:rPr>
      </w:pPr>
      <w:r w:rsidRPr="00574EFD">
        <w:rPr>
          <w:rFonts w:ascii="Arial" w:hAnsi="Arial" w:cs="Arial"/>
          <w:sz w:val="24"/>
          <w:szCs w:val="24"/>
        </w:rPr>
        <w:t>Goodman, J. A. (2009</w:t>
      </w:r>
      <w:r w:rsidRPr="0044719E">
        <w:rPr>
          <w:rFonts w:ascii="Arial" w:hAnsi="Arial" w:cs="Arial"/>
          <w:i/>
          <w:iCs/>
          <w:sz w:val="24"/>
          <w:szCs w:val="24"/>
        </w:rPr>
        <w:t>). Strategic customer service: Managing the customer experience to increase positive word of mouth, build loyalty, and maximize profits</w:t>
      </w:r>
      <w:r w:rsidRPr="00574EFD">
        <w:rPr>
          <w:rFonts w:ascii="Arial" w:hAnsi="Arial" w:cs="Arial"/>
          <w:sz w:val="24"/>
          <w:szCs w:val="24"/>
        </w:rPr>
        <w:t>. AMACOM.</w:t>
      </w:r>
    </w:p>
    <w:p w14:paraId="18EF8092" w14:textId="77777777" w:rsidR="005D14EB" w:rsidRPr="00574EFD" w:rsidRDefault="005D14EB" w:rsidP="00574EFD">
      <w:pPr>
        <w:spacing w:line="360" w:lineRule="auto"/>
        <w:contextualSpacing/>
        <w:jc w:val="both"/>
        <w:rPr>
          <w:rFonts w:ascii="Arial" w:hAnsi="Arial" w:cs="Arial"/>
          <w:sz w:val="24"/>
          <w:szCs w:val="24"/>
        </w:rPr>
      </w:pPr>
    </w:p>
    <w:p w14:paraId="3B254868" w14:textId="54AC2DDB" w:rsidR="00451E13" w:rsidRPr="00574EFD" w:rsidRDefault="00F40698" w:rsidP="00574EFD">
      <w:pPr>
        <w:spacing w:line="360" w:lineRule="auto"/>
        <w:contextualSpacing/>
        <w:jc w:val="both"/>
        <w:rPr>
          <w:rFonts w:ascii="Arial" w:hAnsi="Arial" w:cs="Arial"/>
          <w:sz w:val="24"/>
          <w:szCs w:val="24"/>
        </w:rPr>
      </w:pPr>
      <w:r w:rsidRPr="00574EFD">
        <w:rPr>
          <w:rFonts w:ascii="Arial" w:hAnsi="Arial" w:cs="Arial"/>
          <w:sz w:val="24"/>
          <w:szCs w:val="24"/>
        </w:rPr>
        <w:lastRenderedPageBreak/>
        <w:t xml:space="preserve">Hollensbe, E., Wookey, C., Hickey, L., George, G., &amp; Nichols, C. V. (2014). </w:t>
      </w:r>
      <w:r w:rsidRPr="0044719E">
        <w:rPr>
          <w:rFonts w:ascii="Arial" w:hAnsi="Arial" w:cs="Arial"/>
          <w:i/>
          <w:iCs/>
          <w:sz w:val="24"/>
          <w:szCs w:val="24"/>
        </w:rPr>
        <w:t>Organizations with purpose</w:t>
      </w:r>
      <w:r w:rsidRPr="00574EFD">
        <w:rPr>
          <w:rFonts w:ascii="Arial" w:hAnsi="Arial" w:cs="Arial"/>
          <w:sz w:val="24"/>
          <w:szCs w:val="24"/>
        </w:rPr>
        <w:t xml:space="preserve">. Academy of Management Journal, 57(5), 1227–1234. </w:t>
      </w:r>
      <w:hyperlink r:id="rId15" w:history="1">
        <w:r w:rsidR="00451E13" w:rsidRPr="00574EFD">
          <w:rPr>
            <w:rStyle w:val="Hyperlink"/>
            <w:rFonts w:ascii="Arial" w:hAnsi="Arial" w:cs="Arial"/>
            <w:sz w:val="24"/>
            <w:szCs w:val="24"/>
          </w:rPr>
          <w:t>https://doi.org/10.5465/amj.2014.4005</w:t>
        </w:r>
      </w:hyperlink>
    </w:p>
    <w:p w14:paraId="64B7EC61" w14:textId="77777777" w:rsidR="009B7F5A" w:rsidRPr="00574EFD" w:rsidRDefault="009B7F5A" w:rsidP="00574EFD">
      <w:pPr>
        <w:spacing w:line="360" w:lineRule="auto"/>
        <w:contextualSpacing/>
        <w:jc w:val="both"/>
        <w:rPr>
          <w:rFonts w:ascii="Arial" w:hAnsi="Arial" w:cs="Arial"/>
          <w:sz w:val="24"/>
          <w:szCs w:val="24"/>
        </w:rPr>
      </w:pPr>
    </w:p>
    <w:p w14:paraId="5F667481" w14:textId="43E6B629" w:rsidR="00451E13" w:rsidRPr="00574EFD" w:rsidRDefault="00F40698" w:rsidP="00574EFD">
      <w:pPr>
        <w:spacing w:line="360" w:lineRule="auto"/>
        <w:contextualSpacing/>
        <w:jc w:val="both"/>
        <w:rPr>
          <w:rFonts w:ascii="Arial" w:hAnsi="Arial" w:cs="Arial"/>
          <w:sz w:val="24"/>
          <w:szCs w:val="24"/>
        </w:rPr>
      </w:pPr>
      <w:r w:rsidRPr="00574EFD">
        <w:rPr>
          <w:rFonts w:ascii="Arial" w:hAnsi="Arial" w:cs="Arial"/>
          <w:sz w:val="24"/>
          <w:szCs w:val="24"/>
        </w:rPr>
        <w:t xml:space="preserve">Iglesias, O., Markovic, S., Bagherzadeh, M., &amp; Singh, J. J. (2020). </w:t>
      </w:r>
      <w:r w:rsidRPr="0044719E">
        <w:rPr>
          <w:rFonts w:ascii="Arial" w:hAnsi="Arial" w:cs="Arial"/>
          <w:i/>
          <w:iCs/>
          <w:sz w:val="24"/>
          <w:szCs w:val="24"/>
        </w:rPr>
        <w:t>Co-creation: A key link between corporate social responsibility, customer trust, and customer loyalty</w:t>
      </w:r>
      <w:r w:rsidRPr="00574EFD">
        <w:rPr>
          <w:rFonts w:ascii="Arial" w:hAnsi="Arial" w:cs="Arial"/>
          <w:sz w:val="24"/>
          <w:szCs w:val="24"/>
        </w:rPr>
        <w:t xml:space="preserve">. Journal of Business Ethics, 163(1), 151–166. </w:t>
      </w:r>
      <w:hyperlink r:id="rId16" w:history="1">
        <w:r w:rsidR="00451E13" w:rsidRPr="00574EFD">
          <w:rPr>
            <w:rStyle w:val="Hyperlink"/>
            <w:rFonts w:ascii="Arial" w:hAnsi="Arial" w:cs="Arial"/>
            <w:sz w:val="24"/>
            <w:szCs w:val="24"/>
          </w:rPr>
          <w:t>https://doi.org/10.1007/s10551-018-4015-y</w:t>
        </w:r>
      </w:hyperlink>
    </w:p>
    <w:p w14:paraId="41385568" w14:textId="77777777" w:rsidR="009B7F5A" w:rsidRPr="00574EFD" w:rsidRDefault="009B7F5A" w:rsidP="00574EFD">
      <w:pPr>
        <w:spacing w:line="360" w:lineRule="auto"/>
        <w:contextualSpacing/>
        <w:jc w:val="both"/>
        <w:rPr>
          <w:rFonts w:ascii="Arial" w:hAnsi="Arial" w:cs="Arial"/>
          <w:sz w:val="24"/>
          <w:szCs w:val="24"/>
        </w:rPr>
      </w:pPr>
    </w:p>
    <w:p w14:paraId="0D62B78A" w14:textId="77777777" w:rsidR="00F40698" w:rsidRPr="00574EFD" w:rsidRDefault="00F40698" w:rsidP="00574EFD">
      <w:pPr>
        <w:spacing w:line="360" w:lineRule="auto"/>
        <w:contextualSpacing/>
        <w:jc w:val="both"/>
        <w:rPr>
          <w:rFonts w:ascii="Arial" w:hAnsi="Arial" w:cs="Arial"/>
          <w:sz w:val="24"/>
          <w:szCs w:val="24"/>
        </w:rPr>
      </w:pPr>
      <w:r w:rsidRPr="00574EFD">
        <w:rPr>
          <w:rFonts w:ascii="Arial" w:hAnsi="Arial" w:cs="Arial"/>
          <w:sz w:val="24"/>
          <w:szCs w:val="24"/>
        </w:rPr>
        <w:t xml:space="preserve">Juran, J. M. (1986). </w:t>
      </w:r>
      <w:r w:rsidRPr="0044719E">
        <w:rPr>
          <w:rFonts w:ascii="Arial" w:hAnsi="Arial" w:cs="Arial"/>
          <w:i/>
          <w:iCs/>
          <w:sz w:val="24"/>
          <w:szCs w:val="24"/>
        </w:rPr>
        <w:t>The quality trilogy</w:t>
      </w:r>
      <w:r w:rsidRPr="00574EFD">
        <w:rPr>
          <w:rFonts w:ascii="Arial" w:hAnsi="Arial" w:cs="Arial"/>
          <w:sz w:val="24"/>
          <w:szCs w:val="24"/>
        </w:rPr>
        <w:t>. Quality Progress, 19(8), 19–24.</w:t>
      </w:r>
    </w:p>
    <w:p w14:paraId="54E092C0" w14:textId="6BBEFB3F" w:rsidR="00FE1FCA" w:rsidRPr="00574EFD" w:rsidRDefault="00F40698" w:rsidP="00574EFD">
      <w:pPr>
        <w:spacing w:line="360" w:lineRule="auto"/>
        <w:contextualSpacing/>
        <w:jc w:val="both"/>
        <w:rPr>
          <w:rFonts w:ascii="Arial" w:hAnsi="Arial" w:cs="Arial"/>
          <w:sz w:val="24"/>
          <w:szCs w:val="24"/>
        </w:rPr>
      </w:pPr>
      <w:r w:rsidRPr="00574EFD">
        <w:rPr>
          <w:rFonts w:ascii="Arial" w:hAnsi="Arial" w:cs="Arial"/>
          <w:sz w:val="24"/>
          <w:szCs w:val="24"/>
        </w:rPr>
        <w:t xml:space="preserve">Kumar, V., &amp; Reinartz, W. (2016). Creating enduring customer value. Journal of Marketing, 80(6), 36–68. </w:t>
      </w:r>
      <w:hyperlink r:id="rId17" w:history="1">
        <w:r w:rsidR="00FE1FCA" w:rsidRPr="00574EFD">
          <w:rPr>
            <w:rStyle w:val="Hyperlink"/>
            <w:rFonts w:ascii="Arial" w:hAnsi="Arial" w:cs="Arial"/>
            <w:sz w:val="24"/>
            <w:szCs w:val="24"/>
          </w:rPr>
          <w:t>https://doi.org/10.1509/jm.15.0414</w:t>
        </w:r>
      </w:hyperlink>
    </w:p>
    <w:p w14:paraId="44567D33" w14:textId="77777777" w:rsidR="009B7F5A" w:rsidRPr="00574EFD" w:rsidRDefault="009B7F5A" w:rsidP="00574EFD">
      <w:pPr>
        <w:spacing w:line="360" w:lineRule="auto"/>
        <w:contextualSpacing/>
        <w:jc w:val="both"/>
        <w:rPr>
          <w:rFonts w:ascii="Arial" w:hAnsi="Arial" w:cs="Arial"/>
          <w:sz w:val="24"/>
          <w:szCs w:val="24"/>
        </w:rPr>
      </w:pPr>
    </w:p>
    <w:p w14:paraId="628B70A0" w14:textId="1060500A" w:rsidR="00B21A10" w:rsidRPr="00574EFD" w:rsidRDefault="00F40698" w:rsidP="00574EFD">
      <w:pPr>
        <w:spacing w:line="360" w:lineRule="auto"/>
        <w:contextualSpacing/>
        <w:jc w:val="both"/>
        <w:rPr>
          <w:rFonts w:ascii="Arial" w:hAnsi="Arial" w:cs="Arial"/>
          <w:sz w:val="24"/>
          <w:szCs w:val="24"/>
        </w:rPr>
      </w:pPr>
      <w:r w:rsidRPr="00574EFD">
        <w:rPr>
          <w:rFonts w:ascii="Arial" w:hAnsi="Arial" w:cs="Arial"/>
          <w:sz w:val="24"/>
          <w:szCs w:val="24"/>
        </w:rPr>
        <w:t xml:space="preserve">Lemon, K. N., &amp; Verhoef, P. C. (2016). </w:t>
      </w:r>
      <w:r w:rsidRPr="009B3559">
        <w:rPr>
          <w:rFonts w:ascii="Arial" w:hAnsi="Arial" w:cs="Arial"/>
          <w:i/>
          <w:iCs/>
          <w:sz w:val="24"/>
          <w:szCs w:val="24"/>
        </w:rPr>
        <w:t>Understanding customer experience throughout the customer journey.</w:t>
      </w:r>
      <w:r w:rsidRPr="00574EFD">
        <w:rPr>
          <w:rFonts w:ascii="Arial" w:hAnsi="Arial" w:cs="Arial"/>
          <w:sz w:val="24"/>
          <w:szCs w:val="24"/>
        </w:rPr>
        <w:t xml:space="preserve"> Journal of Marketing, 80(6), 69–96. </w:t>
      </w:r>
      <w:hyperlink r:id="rId18" w:history="1">
        <w:r w:rsidR="00B21A10" w:rsidRPr="00574EFD">
          <w:rPr>
            <w:rStyle w:val="Hyperlink"/>
            <w:rFonts w:ascii="Arial" w:hAnsi="Arial" w:cs="Arial"/>
            <w:sz w:val="24"/>
            <w:szCs w:val="24"/>
          </w:rPr>
          <w:t>https://doi.org/10.1509/jm.15.0420</w:t>
        </w:r>
      </w:hyperlink>
    </w:p>
    <w:p w14:paraId="1E1D99A9" w14:textId="77777777" w:rsidR="009B7F5A" w:rsidRPr="00574EFD" w:rsidRDefault="009B7F5A" w:rsidP="00574EFD">
      <w:pPr>
        <w:spacing w:line="360" w:lineRule="auto"/>
        <w:contextualSpacing/>
        <w:jc w:val="both"/>
        <w:rPr>
          <w:rFonts w:ascii="Arial" w:hAnsi="Arial" w:cs="Arial"/>
          <w:sz w:val="24"/>
          <w:szCs w:val="24"/>
        </w:rPr>
      </w:pPr>
    </w:p>
    <w:p w14:paraId="5AB54456" w14:textId="5D054910" w:rsidR="00F40698" w:rsidRPr="00574EFD" w:rsidRDefault="00F40698" w:rsidP="00574EFD">
      <w:pPr>
        <w:spacing w:line="360" w:lineRule="auto"/>
        <w:contextualSpacing/>
        <w:jc w:val="both"/>
        <w:rPr>
          <w:rFonts w:ascii="Arial" w:hAnsi="Arial" w:cs="Arial"/>
          <w:sz w:val="24"/>
          <w:szCs w:val="24"/>
        </w:rPr>
      </w:pPr>
      <w:r w:rsidRPr="00574EFD">
        <w:rPr>
          <w:rFonts w:ascii="Arial" w:hAnsi="Arial" w:cs="Arial"/>
          <w:sz w:val="24"/>
          <w:szCs w:val="24"/>
        </w:rPr>
        <w:t xml:space="preserve">Mascarenhas, O. A., Kesavan, R., &amp; Bernacchi, M. (2004). </w:t>
      </w:r>
      <w:r w:rsidRPr="009B3559">
        <w:rPr>
          <w:rFonts w:ascii="Arial" w:hAnsi="Arial" w:cs="Arial"/>
          <w:i/>
          <w:iCs/>
          <w:sz w:val="24"/>
          <w:szCs w:val="24"/>
        </w:rPr>
        <w:t>Customer value-chain involvement for co-creating customer delight</w:t>
      </w:r>
      <w:r w:rsidRPr="00574EFD">
        <w:rPr>
          <w:rFonts w:ascii="Arial" w:hAnsi="Arial" w:cs="Arial"/>
          <w:sz w:val="24"/>
          <w:szCs w:val="24"/>
        </w:rPr>
        <w:t xml:space="preserve">. Journal of Consumer Marketing, 21(7), 486–496. </w:t>
      </w:r>
      <w:hyperlink r:id="rId19" w:history="1">
        <w:r w:rsidR="00B21A10" w:rsidRPr="00574EFD">
          <w:rPr>
            <w:rStyle w:val="Hyperlink"/>
            <w:rFonts w:ascii="Arial" w:hAnsi="Arial" w:cs="Arial"/>
            <w:sz w:val="24"/>
            <w:szCs w:val="24"/>
          </w:rPr>
          <w:t>https://doi.org/10.1108/07363760410568707</w:t>
        </w:r>
      </w:hyperlink>
    </w:p>
    <w:p w14:paraId="2211BD32" w14:textId="77777777" w:rsidR="00B21A10" w:rsidRPr="00574EFD" w:rsidRDefault="00B21A10" w:rsidP="00574EFD">
      <w:pPr>
        <w:spacing w:line="360" w:lineRule="auto"/>
        <w:contextualSpacing/>
        <w:jc w:val="both"/>
        <w:rPr>
          <w:rFonts w:ascii="Arial" w:hAnsi="Arial" w:cs="Arial"/>
          <w:sz w:val="24"/>
          <w:szCs w:val="24"/>
        </w:rPr>
      </w:pPr>
    </w:p>
    <w:p w14:paraId="32DECACF" w14:textId="64E62058" w:rsidR="00B21A10" w:rsidRPr="00574EFD" w:rsidRDefault="00F40698" w:rsidP="00574EFD">
      <w:pPr>
        <w:spacing w:line="360" w:lineRule="auto"/>
        <w:contextualSpacing/>
        <w:jc w:val="both"/>
        <w:rPr>
          <w:rFonts w:ascii="Arial" w:hAnsi="Arial" w:cs="Arial"/>
          <w:sz w:val="24"/>
          <w:szCs w:val="24"/>
        </w:rPr>
      </w:pPr>
      <w:r w:rsidRPr="00574EFD">
        <w:rPr>
          <w:rFonts w:ascii="Arial" w:hAnsi="Arial" w:cs="Arial"/>
          <w:sz w:val="24"/>
          <w:szCs w:val="24"/>
        </w:rPr>
        <w:t xml:space="preserve">Mascarenhas, O. A., Kesavan, R., &amp; Bernacchi, M. (2006). </w:t>
      </w:r>
      <w:r w:rsidRPr="009B3559">
        <w:rPr>
          <w:rFonts w:ascii="Arial" w:hAnsi="Arial" w:cs="Arial"/>
          <w:i/>
          <w:iCs/>
          <w:sz w:val="24"/>
          <w:szCs w:val="24"/>
        </w:rPr>
        <w:t>Lasting customer loyalty: A total customer experience approach</w:t>
      </w:r>
      <w:r w:rsidRPr="00574EFD">
        <w:rPr>
          <w:rFonts w:ascii="Arial" w:hAnsi="Arial" w:cs="Arial"/>
          <w:sz w:val="24"/>
          <w:szCs w:val="24"/>
        </w:rPr>
        <w:t xml:space="preserve">. Journal of Consumer Marketing, 23(7), 397–405. </w:t>
      </w:r>
      <w:hyperlink r:id="rId20" w:history="1">
        <w:r w:rsidR="00B21A10" w:rsidRPr="00574EFD">
          <w:rPr>
            <w:rStyle w:val="Hyperlink"/>
            <w:rFonts w:ascii="Arial" w:hAnsi="Arial" w:cs="Arial"/>
            <w:sz w:val="24"/>
            <w:szCs w:val="24"/>
          </w:rPr>
          <w:t>https://doi.org/10.1108/07363760610712939</w:t>
        </w:r>
      </w:hyperlink>
    </w:p>
    <w:p w14:paraId="1E106763" w14:textId="77777777" w:rsidR="009B7F5A" w:rsidRPr="00574EFD" w:rsidRDefault="009B7F5A" w:rsidP="00574EFD">
      <w:pPr>
        <w:spacing w:line="360" w:lineRule="auto"/>
        <w:contextualSpacing/>
        <w:jc w:val="both"/>
        <w:rPr>
          <w:rFonts w:ascii="Arial" w:hAnsi="Arial" w:cs="Arial"/>
          <w:sz w:val="24"/>
          <w:szCs w:val="24"/>
        </w:rPr>
      </w:pPr>
    </w:p>
    <w:p w14:paraId="6923F93B" w14:textId="6B274722" w:rsidR="00B21A10" w:rsidRPr="00574EFD" w:rsidRDefault="00F40698" w:rsidP="00574EFD">
      <w:pPr>
        <w:spacing w:line="360" w:lineRule="auto"/>
        <w:contextualSpacing/>
        <w:jc w:val="both"/>
        <w:rPr>
          <w:rFonts w:ascii="Arial" w:hAnsi="Arial" w:cs="Arial"/>
          <w:sz w:val="24"/>
          <w:szCs w:val="24"/>
        </w:rPr>
      </w:pPr>
      <w:r w:rsidRPr="00574EFD">
        <w:rPr>
          <w:rFonts w:ascii="Arial" w:hAnsi="Arial" w:cs="Arial"/>
          <w:sz w:val="24"/>
          <w:szCs w:val="24"/>
        </w:rPr>
        <w:t xml:space="preserve">Morgan, R. M., &amp; Hunt, S. D. (1994). </w:t>
      </w:r>
      <w:r w:rsidRPr="009B3559">
        <w:rPr>
          <w:rFonts w:ascii="Arial" w:hAnsi="Arial" w:cs="Arial"/>
          <w:i/>
          <w:iCs/>
          <w:sz w:val="24"/>
          <w:szCs w:val="24"/>
        </w:rPr>
        <w:t>The commitment–trust theory of relationship marketing</w:t>
      </w:r>
      <w:r w:rsidRPr="00574EFD">
        <w:rPr>
          <w:rFonts w:ascii="Arial" w:hAnsi="Arial" w:cs="Arial"/>
          <w:sz w:val="24"/>
          <w:szCs w:val="24"/>
        </w:rPr>
        <w:t xml:space="preserve">. Journal of Marketing, 58(3), 20–38. </w:t>
      </w:r>
      <w:hyperlink r:id="rId21" w:history="1">
        <w:r w:rsidR="00B21A10" w:rsidRPr="00574EFD">
          <w:rPr>
            <w:rStyle w:val="Hyperlink"/>
            <w:rFonts w:ascii="Arial" w:hAnsi="Arial" w:cs="Arial"/>
            <w:sz w:val="24"/>
            <w:szCs w:val="24"/>
          </w:rPr>
          <w:t>https://doi.org/10.1177/002224299405800302</w:t>
        </w:r>
      </w:hyperlink>
    </w:p>
    <w:p w14:paraId="0EB3C8D6" w14:textId="77777777" w:rsidR="009B7F5A" w:rsidRPr="00574EFD" w:rsidRDefault="009B7F5A" w:rsidP="00574EFD">
      <w:pPr>
        <w:spacing w:line="360" w:lineRule="auto"/>
        <w:contextualSpacing/>
        <w:jc w:val="both"/>
        <w:rPr>
          <w:rFonts w:ascii="Arial" w:hAnsi="Arial" w:cs="Arial"/>
          <w:sz w:val="24"/>
          <w:szCs w:val="24"/>
        </w:rPr>
      </w:pPr>
    </w:p>
    <w:p w14:paraId="669AD457" w14:textId="53B02216" w:rsidR="00B21A10" w:rsidRPr="00574EFD" w:rsidRDefault="00F40698" w:rsidP="00574EFD">
      <w:pPr>
        <w:spacing w:line="360" w:lineRule="auto"/>
        <w:contextualSpacing/>
        <w:jc w:val="both"/>
        <w:rPr>
          <w:rFonts w:ascii="Arial" w:hAnsi="Arial" w:cs="Arial"/>
          <w:sz w:val="24"/>
          <w:szCs w:val="24"/>
        </w:rPr>
      </w:pPr>
      <w:r w:rsidRPr="00574EFD">
        <w:rPr>
          <w:rFonts w:ascii="Arial" w:hAnsi="Arial" w:cs="Arial"/>
          <w:sz w:val="24"/>
          <w:szCs w:val="24"/>
        </w:rPr>
        <w:t xml:space="preserve">Oliver, R. L. (1980). </w:t>
      </w:r>
      <w:r w:rsidRPr="002D4448">
        <w:rPr>
          <w:rFonts w:ascii="Arial" w:hAnsi="Arial" w:cs="Arial"/>
          <w:i/>
          <w:iCs/>
          <w:sz w:val="24"/>
          <w:szCs w:val="24"/>
        </w:rPr>
        <w:t>A cognitive model of the antecedents and consequences of satisfaction decisions</w:t>
      </w:r>
      <w:r w:rsidRPr="00574EFD">
        <w:rPr>
          <w:rFonts w:ascii="Arial" w:hAnsi="Arial" w:cs="Arial"/>
          <w:sz w:val="24"/>
          <w:szCs w:val="24"/>
        </w:rPr>
        <w:t xml:space="preserve">. Journal of Marketing Research, 17(4), 460–469. </w:t>
      </w:r>
      <w:hyperlink r:id="rId22" w:history="1">
        <w:r w:rsidR="00B21A10" w:rsidRPr="00574EFD">
          <w:rPr>
            <w:rStyle w:val="Hyperlink"/>
            <w:rFonts w:ascii="Arial" w:hAnsi="Arial" w:cs="Arial"/>
            <w:sz w:val="24"/>
            <w:szCs w:val="24"/>
          </w:rPr>
          <w:t>https://doi.org/10.1177/002224378001700405</w:t>
        </w:r>
      </w:hyperlink>
    </w:p>
    <w:p w14:paraId="76B982B4" w14:textId="77777777" w:rsidR="009B7F5A" w:rsidRPr="00574EFD" w:rsidRDefault="009B7F5A" w:rsidP="00574EFD">
      <w:pPr>
        <w:spacing w:line="360" w:lineRule="auto"/>
        <w:contextualSpacing/>
        <w:jc w:val="both"/>
        <w:rPr>
          <w:rFonts w:ascii="Arial" w:hAnsi="Arial" w:cs="Arial"/>
          <w:sz w:val="24"/>
          <w:szCs w:val="24"/>
        </w:rPr>
      </w:pPr>
    </w:p>
    <w:p w14:paraId="4B790DC5" w14:textId="07B6C806" w:rsidR="00282146" w:rsidRPr="00574EFD" w:rsidRDefault="00F40698" w:rsidP="00574EFD">
      <w:pPr>
        <w:spacing w:line="360" w:lineRule="auto"/>
        <w:contextualSpacing/>
        <w:jc w:val="both"/>
        <w:rPr>
          <w:rFonts w:ascii="Arial" w:hAnsi="Arial" w:cs="Arial"/>
          <w:sz w:val="24"/>
          <w:szCs w:val="24"/>
        </w:rPr>
      </w:pPr>
      <w:r w:rsidRPr="00574EFD">
        <w:rPr>
          <w:rFonts w:ascii="Arial" w:hAnsi="Arial" w:cs="Arial"/>
          <w:sz w:val="24"/>
          <w:szCs w:val="24"/>
        </w:rPr>
        <w:t xml:space="preserve">Oliver, R. L. (1999). </w:t>
      </w:r>
      <w:r w:rsidRPr="006A6580">
        <w:rPr>
          <w:rFonts w:ascii="Arial" w:hAnsi="Arial" w:cs="Arial"/>
          <w:i/>
          <w:iCs/>
          <w:sz w:val="24"/>
          <w:szCs w:val="24"/>
        </w:rPr>
        <w:t>Whence consumer loyalty?</w:t>
      </w:r>
      <w:r w:rsidRPr="00574EFD">
        <w:rPr>
          <w:rFonts w:ascii="Arial" w:hAnsi="Arial" w:cs="Arial"/>
          <w:sz w:val="24"/>
          <w:szCs w:val="24"/>
        </w:rPr>
        <w:t xml:space="preserve"> Journal of Marketing, 63(Special Issue), 33–44. </w:t>
      </w:r>
      <w:hyperlink r:id="rId23" w:history="1">
        <w:r w:rsidR="00282146" w:rsidRPr="00574EFD">
          <w:rPr>
            <w:rStyle w:val="Hyperlink"/>
            <w:rFonts w:ascii="Arial" w:hAnsi="Arial" w:cs="Arial"/>
            <w:sz w:val="24"/>
            <w:szCs w:val="24"/>
          </w:rPr>
          <w:t>https://doi.org/10.1177/00222429990634s105</w:t>
        </w:r>
      </w:hyperlink>
    </w:p>
    <w:p w14:paraId="2792A7BB" w14:textId="77777777" w:rsidR="009B7F5A" w:rsidRPr="00574EFD" w:rsidRDefault="009B7F5A" w:rsidP="00574EFD">
      <w:pPr>
        <w:spacing w:line="360" w:lineRule="auto"/>
        <w:contextualSpacing/>
        <w:jc w:val="both"/>
        <w:rPr>
          <w:rFonts w:ascii="Arial" w:hAnsi="Arial" w:cs="Arial"/>
          <w:sz w:val="24"/>
          <w:szCs w:val="24"/>
        </w:rPr>
      </w:pPr>
    </w:p>
    <w:p w14:paraId="3072B385" w14:textId="77777777" w:rsidR="00F40698" w:rsidRPr="00574EFD" w:rsidRDefault="00F40698" w:rsidP="00574EFD">
      <w:pPr>
        <w:spacing w:line="360" w:lineRule="auto"/>
        <w:contextualSpacing/>
        <w:jc w:val="both"/>
        <w:rPr>
          <w:rFonts w:ascii="Arial" w:hAnsi="Arial" w:cs="Arial"/>
          <w:sz w:val="24"/>
          <w:szCs w:val="24"/>
        </w:rPr>
      </w:pPr>
      <w:r w:rsidRPr="00574EFD">
        <w:rPr>
          <w:rFonts w:ascii="Arial" w:hAnsi="Arial" w:cs="Arial"/>
          <w:sz w:val="24"/>
          <w:szCs w:val="24"/>
        </w:rPr>
        <w:t xml:space="preserve">Parasuraman, A., Zeithaml, V. A., &amp; Berry, L. L. (1988). </w:t>
      </w:r>
      <w:r w:rsidRPr="006A6580">
        <w:rPr>
          <w:rFonts w:ascii="Arial" w:hAnsi="Arial" w:cs="Arial"/>
          <w:i/>
          <w:iCs/>
          <w:sz w:val="24"/>
          <w:szCs w:val="24"/>
        </w:rPr>
        <w:t>SERVQUAL: A multiple-item scale for measuring consumer perceptions of service quality</w:t>
      </w:r>
      <w:r w:rsidRPr="00574EFD">
        <w:rPr>
          <w:rFonts w:ascii="Arial" w:hAnsi="Arial" w:cs="Arial"/>
          <w:sz w:val="24"/>
          <w:szCs w:val="24"/>
        </w:rPr>
        <w:t>. Journal of Retailing, 64(1), 12–40.</w:t>
      </w:r>
    </w:p>
    <w:p w14:paraId="008CA29A" w14:textId="77777777" w:rsidR="005D14EB" w:rsidRPr="00574EFD" w:rsidRDefault="005D14EB" w:rsidP="00574EFD">
      <w:pPr>
        <w:spacing w:line="360" w:lineRule="auto"/>
        <w:contextualSpacing/>
        <w:jc w:val="both"/>
        <w:rPr>
          <w:rFonts w:ascii="Arial" w:hAnsi="Arial" w:cs="Arial"/>
          <w:sz w:val="24"/>
          <w:szCs w:val="24"/>
        </w:rPr>
      </w:pPr>
    </w:p>
    <w:p w14:paraId="6971E6EB" w14:textId="60867A29" w:rsidR="00282146" w:rsidRPr="00574EFD" w:rsidRDefault="00F40698" w:rsidP="00574EFD">
      <w:pPr>
        <w:spacing w:line="360" w:lineRule="auto"/>
        <w:contextualSpacing/>
        <w:jc w:val="both"/>
        <w:rPr>
          <w:rFonts w:ascii="Arial" w:hAnsi="Arial" w:cs="Arial"/>
          <w:sz w:val="24"/>
          <w:szCs w:val="24"/>
        </w:rPr>
      </w:pPr>
      <w:r w:rsidRPr="00574EFD">
        <w:rPr>
          <w:rFonts w:ascii="Arial" w:hAnsi="Arial" w:cs="Arial"/>
          <w:sz w:val="24"/>
          <w:szCs w:val="24"/>
        </w:rPr>
        <w:t xml:space="preserve">Payne, A. F., </w:t>
      </w:r>
      <w:proofErr w:type="spellStart"/>
      <w:r w:rsidRPr="00574EFD">
        <w:rPr>
          <w:rFonts w:ascii="Arial" w:hAnsi="Arial" w:cs="Arial"/>
          <w:sz w:val="24"/>
          <w:szCs w:val="24"/>
        </w:rPr>
        <w:t>Storbacka</w:t>
      </w:r>
      <w:proofErr w:type="spellEnd"/>
      <w:r w:rsidRPr="00574EFD">
        <w:rPr>
          <w:rFonts w:ascii="Arial" w:hAnsi="Arial" w:cs="Arial"/>
          <w:sz w:val="24"/>
          <w:szCs w:val="24"/>
        </w:rPr>
        <w:t xml:space="preserve">, K., &amp; Frow, P. (2008). </w:t>
      </w:r>
      <w:r w:rsidRPr="006A6580">
        <w:rPr>
          <w:rFonts w:ascii="Arial" w:hAnsi="Arial" w:cs="Arial"/>
          <w:i/>
          <w:iCs/>
          <w:sz w:val="24"/>
          <w:szCs w:val="24"/>
        </w:rPr>
        <w:t>Managing the co-creation of value</w:t>
      </w:r>
      <w:r w:rsidRPr="00574EFD">
        <w:rPr>
          <w:rFonts w:ascii="Arial" w:hAnsi="Arial" w:cs="Arial"/>
          <w:sz w:val="24"/>
          <w:szCs w:val="24"/>
        </w:rPr>
        <w:t xml:space="preserve">. Journal of the Academy of Marketing Science, 36(1), 83–96. </w:t>
      </w:r>
      <w:hyperlink r:id="rId24" w:history="1">
        <w:r w:rsidR="00282146" w:rsidRPr="00574EFD">
          <w:rPr>
            <w:rStyle w:val="Hyperlink"/>
            <w:rFonts w:ascii="Arial" w:hAnsi="Arial" w:cs="Arial"/>
            <w:sz w:val="24"/>
            <w:szCs w:val="24"/>
          </w:rPr>
          <w:t>https://doi.org/10.1007/s11747-007-0070-0</w:t>
        </w:r>
      </w:hyperlink>
    </w:p>
    <w:p w14:paraId="603C173A" w14:textId="77777777" w:rsidR="00C16832" w:rsidRPr="00574EFD" w:rsidRDefault="00C16832" w:rsidP="00574EFD">
      <w:pPr>
        <w:spacing w:line="360" w:lineRule="auto"/>
        <w:contextualSpacing/>
        <w:jc w:val="both"/>
        <w:rPr>
          <w:rFonts w:ascii="Arial" w:hAnsi="Arial" w:cs="Arial"/>
          <w:sz w:val="24"/>
          <w:szCs w:val="24"/>
        </w:rPr>
      </w:pPr>
    </w:p>
    <w:p w14:paraId="48F11760" w14:textId="3F9C9154" w:rsidR="00282146" w:rsidRPr="00574EFD" w:rsidRDefault="00F40698" w:rsidP="00574EFD">
      <w:pPr>
        <w:spacing w:line="360" w:lineRule="auto"/>
        <w:contextualSpacing/>
        <w:jc w:val="both"/>
        <w:rPr>
          <w:rFonts w:ascii="Arial" w:hAnsi="Arial" w:cs="Arial"/>
          <w:sz w:val="24"/>
          <w:szCs w:val="24"/>
        </w:rPr>
      </w:pPr>
      <w:r w:rsidRPr="00574EFD">
        <w:rPr>
          <w:rFonts w:ascii="Arial" w:hAnsi="Arial" w:cs="Arial"/>
          <w:sz w:val="24"/>
          <w:szCs w:val="24"/>
        </w:rPr>
        <w:t xml:space="preserve">Payne, A., &amp; Frow, P. (2005). </w:t>
      </w:r>
      <w:r w:rsidRPr="006A6580">
        <w:rPr>
          <w:rFonts w:ascii="Arial" w:hAnsi="Arial" w:cs="Arial"/>
          <w:i/>
          <w:iCs/>
          <w:sz w:val="24"/>
          <w:szCs w:val="24"/>
        </w:rPr>
        <w:t>A strategic framework for customer relationship management</w:t>
      </w:r>
      <w:r w:rsidRPr="00574EFD">
        <w:rPr>
          <w:rFonts w:ascii="Arial" w:hAnsi="Arial" w:cs="Arial"/>
          <w:sz w:val="24"/>
          <w:szCs w:val="24"/>
        </w:rPr>
        <w:t xml:space="preserve">. Journal of Marketing, 69(4), 167–176. </w:t>
      </w:r>
      <w:hyperlink r:id="rId25" w:history="1">
        <w:r w:rsidR="00282146" w:rsidRPr="00574EFD">
          <w:rPr>
            <w:rStyle w:val="Hyperlink"/>
            <w:rFonts w:ascii="Arial" w:hAnsi="Arial" w:cs="Arial"/>
            <w:sz w:val="24"/>
            <w:szCs w:val="24"/>
          </w:rPr>
          <w:t>https://doi.org/10.1509/jmkg.2005.69.4.167</w:t>
        </w:r>
      </w:hyperlink>
    </w:p>
    <w:p w14:paraId="6A020F04" w14:textId="77777777" w:rsidR="00C16832" w:rsidRPr="00574EFD" w:rsidRDefault="00C16832" w:rsidP="00574EFD">
      <w:pPr>
        <w:spacing w:line="360" w:lineRule="auto"/>
        <w:contextualSpacing/>
        <w:jc w:val="both"/>
        <w:rPr>
          <w:rFonts w:ascii="Arial" w:hAnsi="Arial" w:cs="Arial"/>
          <w:sz w:val="24"/>
          <w:szCs w:val="24"/>
        </w:rPr>
      </w:pPr>
    </w:p>
    <w:p w14:paraId="1ABA5F50" w14:textId="2007B36A" w:rsidR="00282146" w:rsidRPr="00574EFD" w:rsidRDefault="00F40698" w:rsidP="00574EFD">
      <w:pPr>
        <w:spacing w:line="360" w:lineRule="auto"/>
        <w:contextualSpacing/>
        <w:jc w:val="both"/>
        <w:rPr>
          <w:rFonts w:ascii="Arial" w:hAnsi="Arial" w:cs="Arial"/>
          <w:sz w:val="24"/>
          <w:szCs w:val="24"/>
        </w:rPr>
      </w:pPr>
      <w:r w:rsidRPr="00574EFD">
        <w:rPr>
          <w:rFonts w:ascii="Arial" w:hAnsi="Arial" w:cs="Arial"/>
          <w:sz w:val="24"/>
          <w:szCs w:val="24"/>
        </w:rPr>
        <w:t xml:space="preserve">Rintamäki, T., Kuusela, H., &amp; </w:t>
      </w:r>
      <w:proofErr w:type="spellStart"/>
      <w:r w:rsidRPr="00574EFD">
        <w:rPr>
          <w:rFonts w:ascii="Arial" w:hAnsi="Arial" w:cs="Arial"/>
          <w:sz w:val="24"/>
          <w:szCs w:val="24"/>
        </w:rPr>
        <w:t>Mitronen</w:t>
      </w:r>
      <w:proofErr w:type="spellEnd"/>
      <w:r w:rsidRPr="00574EFD">
        <w:rPr>
          <w:rFonts w:ascii="Arial" w:hAnsi="Arial" w:cs="Arial"/>
          <w:sz w:val="24"/>
          <w:szCs w:val="24"/>
        </w:rPr>
        <w:t xml:space="preserve">, L. (2007). </w:t>
      </w:r>
      <w:r w:rsidRPr="00613E9D">
        <w:rPr>
          <w:rFonts w:ascii="Arial" w:hAnsi="Arial" w:cs="Arial"/>
          <w:i/>
          <w:iCs/>
          <w:sz w:val="24"/>
          <w:szCs w:val="24"/>
        </w:rPr>
        <w:t>Identifying competitive customer value propositions in retailing</w:t>
      </w:r>
      <w:r w:rsidRPr="00574EFD">
        <w:rPr>
          <w:rFonts w:ascii="Arial" w:hAnsi="Arial" w:cs="Arial"/>
          <w:sz w:val="24"/>
          <w:szCs w:val="24"/>
        </w:rPr>
        <w:t xml:space="preserve">. Managing Service Quality, 17(6), 621–634. </w:t>
      </w:r>
      <w:hyperlink r:id="rId26" w:history="1">
        <w:r w:rsidR="00282146" w:rsidRPr="00574EFD">
          <w:rPr>
            <w:rStyle w:val="Hyperlink"/>
            <w:rFonts w:ascii="Arial" w:hAnsi="Arial" w:cs="Arial"/>
            <w:sz w:val="24"/>
            <w:szCs w:val="24"/>
          </w:rPr>
          <w:t>https://doi.org/10.1108/09604520710834975</w:t>
        </w:r>
      </w:hyperlink>
    </w:p>
    <w:p w14:paraId="6AF92B87" w14:textId="77777777" w:rsidR="00C16832" w:rsidRPr="00574EFD" w:rsidRDefault="00C16832" w:rsidP="00574EFD">
      <w:pPr>
        <w:spacing w:line="360" w:lineRule="auto"/>
        <w:contextualSpacing/>
        <w:jc w:val="both"/>
        <w:rPr>
          <w:rFonts w:ascii="Arial" w:hAnsi="Arial" w:cs="Arial"/>
          <w:sz w:val="24"/>
          <w:szCs w:val="24"/>
        </w:rPr>
      </w:pPr>
    </w:p>
    <w:p w14:paraId="3FC2B180" w14:textId="43864F0D" w:rsidR="00282146" w:rsidRPr="00574EFD" w:rsidRDefault="00F40698" w:rsidP="00574EFD">
      <w:pPr>
        <w:spacing w:line="360" w:lineRule="auto"/>
        <w:contextualSpacing/>
        <w:jc w:val="both"/>
        <w:rPr>
          <w:rFonts w:ascii="Arial" w:hAnsi="Arial" w:cs="Arial"/>
          <w:sz w:val="24"/>
          <w:szCs w:val="24"/>
        </w:rPr>
      </w:pPr>
      <w:r w:rsidRPr="00574EFD">
        <w:rPr>
          <w:rFonts w:ascii="Arial" w:hAnsi="Arial" w:cs="Arial"/>
          <w:sz w:val="24"/>
          <w:szCs w:val="24"/>
        </w:rPr>
        <w:t>Sales-</w:t>
      </w:r>
      <w:proofErr w:type="spellStart"/>
      <w:r w:rsidRPr="00574EFD">
        <w:rPr>
          <w:rFonts w:ascii="Arial" w:hAnsi="Arial" w:cs="Arial"/>
          <w:sz w:val="24"/>
          <w:szCs w:val="24"/>
        </w:rPr>
        <w:t>Vivó</w:t>
      </w:r>
      <w:proofErr w:type="spellEnd"/>
      <w:r w:rsidRPr="00574EFD">
        <w:rPr>
          <w:rFonts w:ascii="Arial" w:hAnsi="Arial" w:cs="Arial"/>
          <w:sz w:val="24"/>
          <w:szCs w:val="24"/>
        </w:rPr>
        <w:t>, V., Gil-Saura, I., &amp; Gallarza, M. G. (2021</w:t>
      </w:r>
      <w:r w:rsidRPr="00613E9D">
        <w:rPr>
          <w:rFonts w:ascii="Arial" w:hAnsi="Arial" w:cs="Arial"/>
          <w:i/>
          <w:iCs/>
          <w:sz w:val="24"/>
          <w:szCs w:val="24"/>
        </w:rPr>
        <w:t>). Value co-creation and satisfaction in B2B context: A triadic study in the furniture industry.</w:t>
      </w:r>
      <w:r w:rsidRPr="00574EFD">
        <w:rPr>
          <w:rFonts w:ascii="Arial" w:hAnsi="Arial" w:cs="Arial"/>
          <w:sz w:val="24"/>
          <w:szCs w:val="24"/>
        </w:rPr>
        <w:t xml:space="preserve"> Sustainability, 13(1), Article 152. </w:t>
      </w:r>
      <w:hyperlink r:id="rId27" w:history="1">
        <w:r w:rsidR="00282146" w:rsidRPr="00574EFD">
          <w:rPr>
            <w:rStyle w:val="Hyperlink"/>
            <w:rFonts w:ascii="Arial" w:hAnsi="Arial" w:cs="Arial"/>
            <w:sz w:val="24"/>
            <w:szCs w:val="24"/>
          </w:rPr>
          <w:t>https://doi.org/10.3390/su13010152</w:t>
        </w:r>
      </w:hyperlink>
    </w:p>
    <w:p w14:paraId="32303C50" w14:textId="77777777" w:rsidR="00C16832" w:rsidRPr="00574EFD" w:rsidRDefault="00C16832" w:rsidP="00574EFD">
      <w:pPr>
        <w:spacing w:line="360" w:lineRule="auto"/>
        <w:contextualSpacing/>
        <w:jc w:val="both"/>
        <w:rPr>
          <w:rFonts w:ascii="Arial" w:hAnsi="Arial" w:cs="Arial"/>
          <w:sz w:val="24"/>
          <w:szCs w:val="24"/>
        </w:rPr>
      </w:pPr>
    </w:p>
    <w:p w14:paraId="3D755F67" w14:textId="2B576576" w:rsidR="00282146" w:rsidRPr="00574EFD" w:rsidRDefault="00F40698" w:rsidP="00574EFD">
      <w:pPr>
        <w:spacing w:line="360" w:lineRule="auto"/>
        <w:contextualSpacing/>
        <w:jc w:val="both"/>
        <w:rPr>
          <w:rFonts w:ascii="Arial" w:hAnsi="Arial" w:cs="Arial"/>
          <w:sz w:val="24"/>
          <w:szCs w:val="24"/>
        </w:rPr>
      </w:pPr>
      <w:r w:rsidRPr="00574EFD">
        <w:rPr>
          <w:rFonts w:ascii="Arial" w:hAnsi="Arial" w:cs="Arial"/>
          <w:sz w:val="24"/>
          <w:szCs w:val="24"/>
        </w:rPr>
        <w:t xml:space="preserve">Shah, D., Rust, R. T., Parasuraman, A., </w:t>
      </w:r>
      <w:proofErr w:type="spellStart"/>
      <w:r w:rsidRPr="00574EFD">
        <w:rPr>
          <w:rFonts w:ascii="Arial" w:hAnsi="Arial" w:cs="Arial"/>
          <w:sz w:val="24"/>
          <w:szCs w:val="24"/>
        </w:rPr>
        <w:t>Staelin</w:t>
      </w:r>
      <w:proofErr w:type="spellEnd"/>
      <w:r w:rsidRPr="00574EFD">
        <w:rPr>
          <w:rFonts w:ascii="Arial" w:hAnsi="Arial" w:cs="Arial"/>
          <w:sz w:val="24"/>
          <w:szCs w:val="24"/>
        </w:rPr>
        <w:t xml:space="preserve">, R., &amp; Day, G. S. (2006). </w:t>
      </w:r>
      <w:r w:rsidRPr="00613E9D">
        <w:rPr>
          <w:rFonts w:ascii="Arial" w:hAnsi="Arial" w:cs="Arial"/>
          <w:i/>
          <w:iCs/>
          <w:sz w:val="24"/>
          <w:szCs w:val="24"/>
        </w:rPr>
        <w:t>The path to customer centricity</w:t>
      </w:r>
      <w:r w:rsidRPr="00574EFD">
        <w:rPr>
          <w:rFonts w:ascii="Arial" w:hAnsi="Arial" w:cs="Arial"/>
          <w:sz w:val="24"/>
          <w:szCs w:val="24"/>
        </w:rPr>
        <w:t xml:space="preserve">. Journal of Service Research, 9(2), 113–124. </w:t>
      </w:r>
      <w:hyperlink r:id="rId28" w:history="1">
        <w:r w:rsidR="00282146" w:rsidRPr="00574EFD">
          <w:rPr>
            <w:rStyle w:val="Hyperlink"/>
            <w:rFonts w:ascii="Arial" w:hAnsi="Arial" w:cs="Arial"/>
            <w:sz w:val="24"/>
            <w:szCs w:val="24"/>
          </w:rPr>
          <w:t>https://doi.org/10.1177/1094670506294666</w:t>
        </w:r>
      </w:hyperlink>
    </w:p>
    <w:p w14:paraId="64E28898" w14:textId="77777777" w:rsidR="00C16832" w:rsidRPr="00574EFD" w:rsidRDefault="00C16832" w:rsidP="00574EFD">
      <w:pPr>
        <w:spacing w:line="360" w:lineRule="auto"/>
        <w:contextualSpacing/>
        <w:jc w:val="both"/>
        <w:rPr>
          <w:rFonts w:ascii="Arial" w:hAnsi="Arial" w:cs="Arial"/>
          <w:sz w:val="24"/>
          <w:szCs w:val="24"/>
        </w:rPr>
      </w:pPr>
    </w:p>
    <w:p w14:paraId="11C5602E" w14:textId="342B30F5" w:rsidR="00F40698" w:rsidRPr="00574EFD" w:rsidRDefault="00F40698" w:rsidP="00574EFD">
      <w:pPr>
        <w:spacing w:line="360" w:lineRule="auto"/>
        <w:contextualSpacing/>
        <w:jc w:val="both"/>
        <w:rPr>
          <w:rFonts w:ascii="Arial" w:hAnsi="Arial" w:cs="Arial"/>
          <w:sz w:val="24"/>
          <w:szCs w:val="24"/>
        </w:rPr>
      </w:pPr>
      <w:r w:rsidRPr="00574EFD">
        <w:rPr>
          <w:rFonts w:ascii="Arial" w:hAnsi="Arial" w:cs="Arial"/>
          <w:sz w:val="24"/>
          <w:szCs w:val="24"/>
        </w:rPr>
        <w:t xml:space="preserve">Shiv, B., &amp; </w:t>
      </w:r>
      <w:proofErr w:type="spellStart"/>
      <w:r w:rsidRPr="00574EFD">
        <w:rPr>
          <w:rFonts w:ascii="Arial" w:hAnsi="Arial" w:cs="Arial"/>
          <w:sz w:val="24"/>
          <w:szCs w:val="24"/>
        </w:rPr>
        <w:t>Fedorikhin</w:t>
      </w:r>
      <w:proofErr w:type="spellEnd"/>
      <w:r w:rsidRPr="00574EFD">
        <w:rPr>
          <w:rFonts w:ascii="Arial" w:hAnsi="Arial" w:cs="Arial"/>
          <w:sz w:val="24"/>
          <w:szCs w:val="24"/>
        </w:rPr>
        <w:t xml:space="preserve">, A. (1999). </w:t>
      </w:r>
      <w:r w:rsidRPr="00613E9D">
        <w:rPr>
          <w:rFonts w:ascii="Arial" w:hAnsi="Arial" w:cs="Arial"/>
          <w:i/>
          <w:iCs/>
          <w:sz w:val="24"/>
          <w:szCs w:val="24"/>
        </w:rPr>
        <w:t>Heart and mind in conflict: The interplay of affect and cognition in consumer decision making</w:t>
      </w:r>
      <w:r w:rsidRPr="00574EFD">
        <w:rPr>
          <w:rFonts w:ascii="Arial" w:hAnsi="Arial" w:cs="Arial"/>
          <w:sz w:val="24"/>
          <w:szCs w:val="24"/>
        </w:rPr>
        <w:t xml:space="preserve">. Journal of Consumer Research, 26(3), 278–292. </w:t>
      </w:r>
      <w:hyperlink r:id="rId29" w:history="1">
        <w:r w:rsidR="00C16832" w:rsidRPr="00574EFD">
          <w:rPr>
            <w:rStyle w:val="Hyperlink"/>
            <w:rFonts w:ascii="Arial" w:hAnsi="Arial" w:cs="Arial"/>
            <w:sz w:val="24"/>
            <w:szCs w:val="24"/>
          </w:rPr>
          <w:t>https://doi.org/10.1086/209563</w:t>
        </w:r>
      </w:hyperlink>
    </w:p>
    <w:p w14:paraId="0E9D9BDF" w14:textId="77777777" w:rsidR="00C16832" w:rsidRPr="00574EFD" w:rsidRDefault="00C16832" w:rsidP="00574EFD">
      <w:pPr>
        <w:spacing w:line="360" w:lineRule="auto"/>
        <w:contextualSpacing/>
        <w:jc w:val="both"/>
        <w:rPr>
          <w:rFonts w:ascii="Arial" w:hAnsi="Arial" w:cs="Arial"/>
          <w:sz w:val="24"/>
          <w:szCs w:val="24"/>
        </w:rPr>
      </w:pPr>
    </w:p>
    <w:p w14:paraId="5C0775B6" w14:textId="77777777" w:rsidR="00F40698" w:rsidRPr="00574EFD" w:rsidRDefault="00F40698" w:rsidP="00574EFD">
      <w:pPr>
        <w:spacing w:line="360" w:lineRule="auto"/>
        <w:contextualSpacing/>
        <w:jc w:val="both"/>
        <w:rPr>
          <w:rFonts w:ascii="Arial" w:hAnsi="Arial" w:cs="Arial"/>
          <w:sz w:val="24"/>
          <w:szCs w:val="24"/>
        </w:rPr>
      </w:pPr>
      <w:r w:rsidRPr="00574EFD">
        <w:rPr>
          <w:rFonts w:ascii="Arial" w:hAnsi="Arial" w:cs="Arial"/>
          <w:sz w:val="24"/>
          <w:szCs w:val="24"/>
        </w:rPr>
        <w:t xml:space="preserve">Sinek, S. (2025). </w:t>
      </w:r>
      <w:r w:rsidRPr="00613E9D">
        <w:rPr>
          <w:rFonts w:ascii="Arial" w:hAnsi="Arial" w:cs="Arial"/>
          <w:i/>
          <w:iCs/>
          <w:sz w:val="24"/>
          <w:szCs w:val="24"/>
        </w:rPr>
        <w:t>The secret to great customer service</w:t>
      </w:r>
      <w:r w:rsidRPr="00574EFD">
        <w:rPr>
          <w:rFonts w:ascii="Arial" w:hAnsi="Arial" w:cs="Arial"/>
          <w:sz w:val="24"/>
          <w:szCs w:val="24"/>
        </w:rPr>
        <w:t xml:space="preserve"> [Video]. YouTube. </w:t>
      </w:r>
      <w:hyperlink r:id="rId30" w:history="1">
        <w:r w:rsidRPr="00574EFD">
          <w:rPr>
            <w:rStyle w:val="Hyperlink"/>
            <w:rFonts w:ascii="Arial" w:hAnsi="Arial" w:cs="Arial"/>
            <w:sz w:val="24"/>
            <w:szCs w:val="24"/>
          </w:rPr>
          <w:t>https://www.youtube.com/watch?v=7dQYLzW-7yU</w:t>
        </w:r>
      </w:hyperlink>
    </w:p>
    <w:p w14:paraId="01044A02" w14:textId="77777777" w:rsidR="00D14E02" w:rsidRPr="00574EFD" w:rsidRDefault="00D14E02" w:rsidP="00574EFD">
      <w:pPr>
        <w:spacing w:line="360" w:lineRule="auto"/>
        <w:contextualSpacing/>
        <w:jc w:val="both"/>
        <w:rPr>
          <w:rFonts w:ascii="Arial" w:hAnsi="Arial" w:cs="Arial"/>
          <w:sz w:val="24"/>
          <w:szCs w:val="24"/>
        </w:rPr>
      </w:pPr>
    </w:p>
    <w:p w14:paraId="253BBF61" w14:textId="7E90C341" w:rsidR="00F40698" w:rsidRPr="00574EFD" w:rsidRDefault="00F40698" w:rsidP="00574EFD">
      <w:pPr>
        <w:spacing w:line="360" w:lineRule="auto"/>
        <w:contextualSpacing/>
        <w:jc w:val="both"/>
        <w:rPr>
          <w:rFonts w:ascii="Arial" w:hAnsi="Arial" w:cs="Arial"/>
          <w:sz w:val="24"/>
          <w:szCs w:val="24"/>
        </w:rPr>
      </w:pPr>
      <w:r w:rsidRPr="00574EFD">
        <w:rPr>
          <w:rFonts w:ascii="Arial" w:hAnsi="Arial" w:cs="Arial"/>
          <w:sz w:val="24"/>
          <w:szCs w:val="24"/>
        </w:rPr>
        <w:t xml:space="preserve">Smith, W. R. (1956). </w:t>
      </w:r>
      <w:r w:rsidRPr="00613E9D">
        <w:rPr>
          <w:rFonts w:ascii="Arial" w:hAnsi="Arial" w:cs="Arial"/>
          <w:i/>
          <w:iCs/>
          <w:sz w:val="24"/>
          <w:szCs w:val="24"/>
        </w:rPr>
        <w:t>Product differentiation and market segmentation as alternative marketing strategies</w:t>
      </w:r>
      <w:r w:rsidRPr="00574EFD">
        <w:rPr>
          <w:rFonts w:ascii="Arial" w:hAnsi="Arial" w:cs="Arial"/>
          <w:sz w:val="24"/>
          <w:szCs w:val="24"/>
        </w:rPr>
        <w:t xml:space="preserve">. Journal of Marketing, 21(1), 3–8. </w:t>
      </w:r>
      <w:hyperlink r:id="rId31" w:history="1">
        <w:r w:rsidR="00080D6B" w:rsidRPr="00574EFD">
          <w:rPr>
            <w:rStyle w:val="Hyperlink"/>
            <w:rFonts w:ascii="Arial" w:hAnsi="Arial" w:cs="Arial"/>
            <w:sz w:val="24"/>
            <w:szCs w:val="24"/>
          </w:rPr>
          <w:t>https://doi.org/10.1177/002224295602100102</w:t>
        </w:r>
      </w:hyperlink>
    </w:p>
    <w:p w14:paraId="0D11E405" w14:textId="77777777" w:rsidR="00080D6B" w:rsidRPr="00574EFD" w:rsidRDefault="00080D6B" w:rsidP="00574EFD">
      <w:pPr>
        <w:spacing w:line="360" w:lineRule="auto"/>
        <w:contextualSpacing/>
        <w:jc w:val="both"/>
        <w:rPr>
          <w:rFonts w:ascii="Arial" w:hAnsi="Arial" w:cs="Arial"/>
          <w:sz w:val="24"/>
          <w:szCs w:val="24"/>
        </w:rPr>
      </w:pPr>
    </w:p>
    <w:p w14:paraId="0029B42C" w14:textId="5B6298C6" w:rsidR="00F40698" w:rsidRPr="00574EFD" w:rsidRDefault="00F40698" w:rsidP="00574EFD">
      <w:pPr>
        <w:spacing w:line="360" w:lineRule="auto"/>
        <w:contextualSpacing/>
        <w:jc w:val="both"/>
        <w:rPr>
          <w:rFonts w:ascii="Arial" w:hAnsi="Arial" w:cs="Arial"/>
          <w:sz w:val="24"/>
          <w:szCs w:val="24"/>
        </w:rPr>
      </w:pPr>
      <w:r w:rsidRPr="00574EFD">
        <w:rPr>
          <w:rFonts w:ascii="Arial" w:hAnsi="Arial" w:cs="Arial"/>
          <w:sz w:val="24"/>
          <w:szCs w:val="24"/>
        </w:rPr>
        <w:t xml:space="preserve">SNEP S.p.A. (n.d.). SNEP S.p.A. </w:t>
      </w:r>
      <w:r w:rsidR="00080D6B" w:rsidRPr="00574EFD">
        <w:rPr>
          <w:rFonts w:ascii="Arial" w:hAnsi="Arial" w:cs="Arial"/>
          <w:sz w:val="24"/>
          <w:szCs w:val="24"/>
        </w:rPr>
        <w:t>Accessed on</w:t>
      </w:r>
      <w:r w:rsidRPr="00574EFD">
        <w:rPr>
          <w:rFonts w:ascii="Arial" w:hAnsi="Arial" w:cs="Arial"/>
          <w:sz w:val="24"/>
          <w:szCs w:val="24"/>
        </w:rPr>
        <w:t xml:space="preserve"> July 22, 2026, from </w:t>
      </w:r>
      <w:hyperlink r:id="rId32" w:history="1">
        <w:r w:rsidR="00B65B35" w:rsidRPr="00574EFD">
          <w:rPr>
            <w:rStyle w:val="Hyperlink"/>
            <w:rFonts w:ascii="Arial" w:hAnsi="Arial" w:cs="Arial"/>
            <w:sz w:val="24"/>
            <w:szCs w:val="24"/>
          </w:rPr>
          <w:t>https://www.mysnep.com/</w:t>
        </w:r>
      </w:hyperlink>
    </w:p>
    <w:p w14:paraId="7BB80A98" w14:textId="77777777" w:rsidR="00B65B35" w:rsidRPr="00574EFD" w:rsidRDefault="00B65B35" w:rsidP="00574EFD">
      <w:pPr>
        <w:spacing w:line="360" w:lineRule="auto"/>
        <w:contextualSpacing/>
        <w:jc w:val="both"/>
        <w:rPr>
          <w:rFonts w:ascii="Arial" w:hAnsi="Arial" w:cs="Arial"/>
          <w:sz w:val="24"/>
          <w:szCs w:val="24"/>
        </w:rPr>
      </w:pPr>
    </w:p>
    <w:p w14:paraId="5AF1BDD8" w14:textId="775CBEF3" w:rsidR="00F40698" w:rsidRPr="00574EFD" w:rsidRDefault="00F40698" w:rsidP="00574EFD">
      <w:pPr>
        <w:spacing w:line="360" w:lineRule="auto"/>
        <w:contextualSpacing/>
        <w:jc w:val="both"/>
        <w:rPr>
          <w:rFonts w:ascii="Arial" w:hAnsi="Arial" w:cs="Arial"/>
          <w:sz w:val="24"/>
          <w:szCs w:val="24"/>
        </w:rPr>
      </w:pPr>
      <w:r w:rsidRPr="00574EFD">
        <w:rPr>
          <w:rFonts w:ascii="Arial" w:hAnsi="Arial" w:cs="Arial"/>
          <w:sz w:val="24"/>
          <w:szCs w:val="24"/>
        </w:rPr>
        <w:t>Sweeney, J. C., &amp; Soutar, G. N. (2001</w:t>
      </w:r>
      <w:r w:rsidRPr="001E5735">
        <w:rPr>
          <w:rFonts w:ascii="Arial" w:hAnsi="Arial" w:cs="Arial"/>
          <w:i/>
          <w:iCs/>
          <w:sz w:val="24"/>
          <w:szCs w:val="24"/>
        </w:rPr>
        <w:t>). Consumer perceived value: The development of a multiple-item scale</w:t>
      </w:r>
      <w:r w:rsidRPr="00574EFD">
        <w:rPr>
          <w:rFonts w:ascii="Arial" w:hAnsi="Arial" w:cs="Arial"/>
          <w:sz w:val="24"/>
          <w:szCs w:val="24"/>
        </w:rPr>
        <w:t xml:space="preserve">. Journal of Retailing, 77(2), 203–220. </w:t>
      </w:r>
      <w:hyperlink r:id="rId33" w:history="1">
        <w:r w:rsidR="00B65B35" w:rsidRPr="00574EFD">
          <w:rPr>
            <w:rStyle w:val="Hyperlink"/>
            <w:rFonts w:ascii="Arial" w:hAnsi="Arial" w:cs="Arial"/>
            <w:sz w:val="24"/>
            <w:szCs w:val="24"/>
          </w:rPr>
          <w:t>https://doi.org/10.1016/S0022-4359(01)00041-0</w:t>
        </w:r>
      </w:hyperlink>
    </w:p>
    <w:p w14:paraId="0ACB31E0" w14:textId="77777777" w:rsidR="00B65B35" w:rsidRPr="00574EFD" w:rsidRDefault="00B65B35" w:rsidP="00574EFD">
      <w:pPr>
        <w:spacing w:line="360" w:lineRule="auto"/>
        <w:contextualSpacing/>
        <w:jc w:val="both"/>
        <w:rPr>
          <w:rFonts w:ascii="Arial" w:hAnsi="Arial" w:cs="Arial"/>
          <w:sz w:val="24"/>
          <w:szCs w:val="24"/>
        </w:rPr>
      </w:pPr>
    </w:p>
    <w:p w14:paraId="4588E5FE" w14:textId="23A86C33" w:rsidR="00B65B35" w:rsidRPr="00574EFD" w:rsidRDefault="00F40698" w:rsidP="00574EFD">
      <w:pPr>
        <w:spacing w:line="360" w:lineRule="auto"/>
        <w:contextualSpacing/>
        <w:jc w:val="both"/>
        <w:rPr>
          <w:rFonts w:ascii="Arial" w:hAnsi="Arial" w:cs="Arial"/>
          <w:sz w:val="24"/>
          <w:szCs w:val="24"/>
        </w:rPr>
      </w:pPr>
      <w:r w:rsidRPr="00574EFD">
        <w:rPr>
          <w:rFonts w:ascii="Arial" w:hAnsi="Arial" w:cs="Arial"/>
          <w:sz w:val="24"/>
          <w:szCs w:val="24"/>
        </w:rPr>
        <w:t xml:space="preserve">Szymanski, D. M., &amp; Henard, D. H. (2001). </w:t>
      </w:r>
      <w:r w:rsidRPr="001E5735">
        <w:rPr>
          <w:rFonts w:ascii="Arial" w:hAnsi="Arial" w:cs="Arial"/>
          <w:i/>
          <w:iCs/>
          <w:sz w:val="24"/>
          <w:szCs w:val="24"/>
        </w:rPr>
        <w:t>Customer satisfaction: A meta-analysis of the empirical evidence</w:t>
      </w:r>
      <w:r w:rsidRPr="00574EFD">
        <w:rPr>
          <w:rFonts w:ascii="Arial" w:hAnsi="Arial" w:cs="Arial"/>
          <w:sz w:val="24"/>
          <w:szCs w:val="24"/>
        </w:rPr>
        <w:t xml:space="preserve">. Journal of the Academy of Marketing Science, 29(1), 16–35. </w:t>
      </w:r>
      <w:hyperlink r:id="rId34" w:history="1">
        <w:r w:rsidR="00B65B35" w:rsidRPr="00574EFD">
          <w:rPr>
            <w:rStyle w:val="Hyperlink"/>
            <w:rFonts w:ascii="Arial" w:hAnsi="Arial" w:cs="Arial"/>
            <w:sz w:val="24"/>
            <w:szCs w:val="24"/>
          </w:rPr>
          <w:t>https://doi.org/10.1177/009207030102900102</w:t>
        </w:r>
      </w:hyperlink>
    </w:p>
    <w:p w14:paraId="73FE8F57" w14:textId="77777777" w:rsidR="00D14E02" w:rsidRPr="00574EFD" w:rsidRDefault="00D14E02" w:rsidP="00574EFD">
      <w:pPr>
        <w:spacing w:line="360" w:lineRule="auto"/>
        <w:contextualSpacing/>
        <w:jc w:val="both"/>
        <w:rPr>
          <w:rFonts w:ascii="Arial" w:hAnsi="Arial" w:cs="Arial"/>
          <w:sz w:val="24"/>
          <w:szCs w:val="24"/>
        </w:rPr>
      </w:pPr>
    </w:p>
    <w:p w14:paraId="3FA20FE6" w14:textId="2064444F" w:rsidR="00B65B35" w:rsidRPr="00574EFD" w:rsidRDefault="00F40698" w:rsidP="00574EFD">
      <w:pPr>
        <w:spacing w:line="360" w:lineRule="auto"/>
        <w:contextualSpacing/>
        <w:jc w:val="both"/>
        <w:rPr>
          <w:rFonts w:ascii="Arial" w:hAnsi="Arial" w:cs="Arial"/>
          <w:sz w:val="24"/>
          <w:szCs w:val="24"/>
        </w:rPr>
      </w:pPr>
      <w:r w:rsidRPr="00574EFD">
        <w:rPr>
          <w:rFonts w:ascii="Arial" w:hAnsi="Arial" w:cs="Arial"/>
          <w:sz w:val="24"/>
          <w:szCs w:val="24"/>
        </w:rPr>
        <w:t xml:space="preserve">TEDx Talks. (2018). </w:t>
      </w:r>
      <w:r w:rsidRPr="001E5735">
        <w:rPr>
          <w:rFonts w:ascii="Arial" w:hAnsi="Arial" w:cs="Arial"/>
          <w:i/>
          <w:iCs/>
          <w:sz w:val="24"/>
          <w:szCs w:val="24"/>
        </w:rPr>
        <w:t>How to deal with difficult people</w:t>
      </w:r>
      <w:r w:rsidRPr="00574EFD">
        <w:rPr>
          <w:rFonts w:ascii="Arial" w:hAnsi="Arial" w:cs="Arial"/>
          <w:sz w:val="24"/>
          <w:szCs w:val="24"/>
        </w:rPr>
        <w:t xml:space="preserve"> | Jay Johnson | </w:t>
      </w:r>
      <w:proofErr w:type="spellStart"/>
      <w:r w:rsidRPr="00574EFD">
        <w:rPr>
          <w:rFonts w:ascii="Arial" w:hAnsi="Arial" w:cs="Arial"/>
          <w:sz w:val="24"/>
          <w:szCs w:val="24"/>
        </w:rPr>
        <w:t>TEDxLivoniaCCLibrary</w:t>
      </w:r>
      <w:proofErr w:type="spellEnd"/>
      <w:r w:rsidRPr="00574EFD">
        <w:rPr>
          <w:rFonts w:ascii="Arial" w:hAnsi="Arial" w:cs="Arial"/>
          <w:sz w:val="24"/>
          <w:szCs w:val="24"/>
        </w:rPr>
        <w:t xml:space="preserve"> [Video]. YouTube. </w:t>
      </w:r>
      <w:hyperlink r:id="rId35" w:history="1">
        <w:r w:rsidR="00B65B35" w:rsidRPr="00574EFD">
          <w:rPr>
            <w:rStyle w:val="Hyperlink"/>
            <w:rFonts w:ascii="Arial" w:hAnsi="Arial" w:cs="Arial"/>
            <w:sz w:val="24"/>
            <w:szCs w:val="24"/>
          </w:rPr>
          <w:t>https://www.youtube.com/watch?v=kARkOdRHaj8</w:t>
        </w:r>
      </w:hyperlink>
    </w:p>
    <w:p w14:paraId="6AC4025C" w14:textId="77777777" w:rsidR="00D14E02" w:rsidRPr="00574EFD" w:rsidRDefault="00D14E02" w:rsidP="00574EFD">
      <w:pPr>
        <w:spacing w:line="360" w:lineRule="auto"/>
        <w:contextualSpacing/>
        <w:jc w:val="both"/>
        <w:rPr>
          <w:rFonts w:ascii="Arial" w:hAnsi="Arial" w:cs="Arial"/>
          <w:sz w:val="24"/>
          <w:szCs w:val="24"/>
        </w:rPr>
      </w:pPr>
    </w:p>
    <w:p w14:paraId="046DF9E4" w14:textId="77777777" w:rsidR="00F40698" w:rsidRPr="00574EFD" w:rsidRDefault="00F40698" w:rsidP="00574EFD">
      <w:pPr>
        <w:spacing w:line="360" w:lineRule="auto"/>
        <w:contextualSpacing/>
        <w:jc w:val="both"/>
        <w:rPr>
          <w:rFonts w:ascii="Arial" w:hAnsi="Arial" w:cs="Arial"/>
          <w:sz w:val="24"/>
          <w:szCs w:val="24"/>
        </w:rPr>
      </w:pPr>
      <w:r w:rsidRPr="00574EFD">
        <w:rPr>
          <w:rFonts w:ascii="Arial" w:hAnsi="Arial" w:cs="Arial"/>
          <w:sz w:val="24"/>
          <w:szCs w:val="24"/>
        </w:rPr>
        <w:t xml:space="preserve">TEDx Talks. (2025). </w:t>
      </w:r>
      <w:r w:rsidRPr="00BC0379">
        <w:rPr>
          <w:rFonts w:ascii="Arial" w:hAnsi="Arial" w:cs="Arial"/>
          <w:i/>
          <w:iCs/>
          <w:sz w:val="24"/>
          <w:szCs w:val="24"/>
        </w:rPr>
        <w:t>How to speak so people remember you</w:t>
      </w:r>
      <w:r w:rsidRPr="00574EFD">
        <w:rPr>
          <w:rFonts w:ascii="Arial" w:hAnsi="Arial" w:cs="Arial"/>
          <w:sz w:val="24"/>
          <w:szCs w:val="24"/>
        </w:rPr>
        <w:t xml:space="preserve"> | Yasir Khan | </w:t>
      </w:r>
      <w:proofErr w:type="spellStart"/>
      <w:r w:rsidRPr="00574EFD">
        <w:rPr>
          <w:rFonts w:ascii="Arial" w:hAnsi="Arial" w:cs="Arial"/>
          <w:sz w:val="24"/>
          <w:szCs w:val="24"/>
        </w:rPr>
        <w:t>TEDxCentreville</w:t>
      </w:r>
      <w:proofErr w:type="spellEnd"/>
      <w:r w:rsidRPr="00574EFD">
        <w:rPr>
          <w:rFonts w:ascii="Arial" w:hAnsi="Arial" w:cs="Arial"/>
          <w:sz w:val="24"/>
          <w:szCs w:val="24"/>
        </w:rPr>
        <w:t xml:space="preserve"> Chicopee Youth [Video]. YouTube. </w:t>
      </w:r>
      <w:hyperlink r:id="rId36" w:history="1">
        <w:r w:rsidRPr="00574EFD">
          <w:rPr>
            <w:rStyle w:val="Hyperlink"/>
            <w:rFonts w:ascii="Arial" w:hAnsi="Arial" w:cs="Arial"/>
            <w:sz w:val="24"/>
            <w:szCs w:val="24"/>
          </w:rPr>
          <w:t>https://www.youtube.com/watch?v=FHIo77y12gA</w:t>
        </w:r>
      </w:hyperlink>
    </w:p>
    <w:p w14:paraId="45BDD0DE" w14:textId="77777777" w:rsidR="00D14E02" w:rsidRPr="00574EFD" w:rsidRDefault="00D14E02" w:rsidP="00574EFD">
      <w:pPr>
        <w:spacing w:line="360" w:lineRule="auto"/>
        <w:contextualSpacing/>
        <w:jc w:val="both"/>
        <w:rPr>
          <w:rFonts w:ascii="Arial" w:hAnsi="Arial" w:cs="Arial"/>
          <w:sz w:val="24"/>
          <w:szCs w:val="24"/>
        </w:rPr>
      </w:pPr>
    </w:p>
    <w:p w14:paraId="0A186238" w14:textId="77777777" w:rsidR="00F40698" w:rsidRPr="00574EFD" w:rsidRDefault="00F40698" w:rsidP="00574EFD">
      <w:pPr>
        <w:spacing w:line="360" w:lineRule="auto"/>
        <w:contextualSpacing/>
        <w:jc w:val="both"/>
        <w:rPr>
          <w:rFonts w:ascii="Arial" w:hAnsi="Arial" w:cs="Arial"/>
          <w:sz w:val="24"/>
          <w:szCs w:val="24"/>
        </w:rPr>
      </w:pPr>
      <w:r w:rsidRPr="00574EFD">
        <w:rPr>
          <w:rFonts w:ascii="Arial" w:hAnsi="Arial" w:cs="Arial"/>
          <w:sz w:val="24"/>
          <w:szCs w:val="24"/>
        </w:rPr>
        <w:t>Torres, E. N., &amp; Kline, S. (2013</w:t>
      </w:r>
      <w:r w:rsidRPr="00BC0379">
        <w:rPr>
          <w:rFonts w:ascii="Arial" w:hAnsi="Arial" w:cs="Arial"/>
          <w:i/>
          <w:iCs/>
          <w:sz w:val="24"/>
          <w:szCs w:val="24"/>
        </w:rPr>
        <w:t>). From customer satisfaction to customer delight: Creating a new standard of service for the hotel industry</w:t>
      </w:r>
      <w:r w:rsidRPr="00574EFD">
        <w:rPr>
          <w:rFonts w:ascii="Arial" w:hAnsi="Arial" w:cs="Arial"/>
          <w:sz w:val="24"/>
          <w:szCs w:val="24"/>
        </w:rPr>
        <w:t>. International Journal of Contemporary Hospitality Management, 25(5), 642–659.</w:t>
      </w:r>
    </w:p>
    <w:p w14:paraId="695AF8B4" w14:textId="77777777" w:rsidR="003D1AB4" w:rsidRPr="00574EFD" w:rsidRDefault="003D1AB4" w:rsidP="00574EFD">
      <w:pPr>
        <w:spacing w:line="360" w:lineRule="auto"/>
        <w:contextualSpacing/>
        <w:jc w:val="both"/>
        <w:rPr>
          <w:rFonts w:ascii="Arial" w:hAnsi="Arial" w:cs="Arial"/>
          <w:sz w:val="24"/>
          <w:szCs w:val="24"/>
        </w:rPr>
      </w:pPr>
    </w:p>
    <w:p w14:paraId="59DC1CE9" w14:textId="0614D9FA" w:rsidR="00655D47" w:rsidRPr="00574EFD" w:rsidRDefault="00F40698" w:rsidP="00574EFD">
      <w:pPr>
        <w:spacing w:line="360" w:lineRule="auto"/>
        <w:contextualSpacing/>
        <w:jc w:val="both"/>
        <w:rPr>
          <w:rFonts w:ascii="Arial" w:hAnsi="Arial" w:cs="Arial"/>
          <w:sz w:val="24"/>
          <w:szCs w:val="24"/>
        </w:rPr>
      </w:pPr>
      <w:r w:rsidRPr="00574EFD">
        <w:rPr>
          <w:rFonts w:ascii="Arial" w:hAnsi="Arial" w:cs="Arial"/>
          <w:sz w:val="24"/>
          <w:szCs w:val="24"/>
        </w:rPr>
        <w:lastRenderedPageBreak/>
        <w:t>Vargo, S. L., &amp; Lusch, R. F. (2004</w:t>
      </w:r>
      <w:r w:rsidRPr="00D1280D">
        <w:rPr>
          <w:rFonts w:ascii="Arial" w:hAnsi="Arial" w:cs="Arial"/>
          <w:i/>
          <w:iCs/>
          <w:sz w:val="24"/>
          <w:szCs w:val="24"/>
        </w:rPr>
        <w:t>). Evolving to a new dominant logic for marketing</w:t>
      </w:r>
      <w:r w:rsidRPr="00574EFD">
        <w:rPr>
          <w:rFonts w:ascii="Arial" w:hAnsi="Arial" w:cs="Arial"/>
          <w:sz w:val="24"/>
          <w:szCs w:val="24"/>
        </w:rPr>
        <w:t xml:space="preserve">. Journal of Marketing, 68(1), 1–17. </w:t>
      </w:r>
      <w:hyperlink r:id="rId37" w:history="1">
        <w:r w:rsidR="00655D47" w:rsidRPr="00574EFD">
          <w:rPr>
            <w:rStyle w:val="Hyperlink"/>
            <w:rFonts w:ascii="Arial" w:hAnsi="Arial" w:cs="Arial"/>
            <w:sz w:val="24"/>
            <w:szCs w:val="24"/>
          </w:rPr>
          <w:t>https://doi.org/10.1509/jmkg.68.1.1.24036</w:t>
        </w:r>
      </w:hyperlink>
    </w:p>
    <w:p w14:paraId="3DE90441" w14:textId="77777777" w:rsidR="003D1AB4" w:rsidRPr="00574EFD" w:rsidRDefault="003D1AB4" w:rsidP="00574EFD">
      <w:pPr>
        <w:spacing w:line="360" w:lineRule="auto"/>
        <w:contextualSpacing/>
        <w:jc w:val="both"/>
        <w:rPr>
          <w:rFonts w:ascii="Arial" w:hAnsi="Arial" w:cs="Arial"/>
          <w:sz w:val="24"/>
          <w:szCs w:val="24"/>
        </w:rPr>
      </w:pPr>
    </w:p>
    <w:p w14:paraId="3370B2B3" w14:textId="3E29C1F0" w:rsidR="00655D47" w:rsidRPr="00574EFD" w:rsidRDefault="00F40698" w:rsidP="00574EFD">
      <w:pPr>
        <w:spacing w:line="360" w:lineRule="auto"/>
        <w:contextualSpacing/>
        <w:jc w:val="both"/>
        <w:rPr>
          <w:rFonts w:ascii="Arial" w:hAnsi="Arial" w:cs="Arial"/>
          <w:sz w:val="24"/>
          <w:szCs w:val="24"/>
        </w:rPr>
      </w:pPr>
      <w:r w:rsidRPr="00574EFD">
        <w:rPr>
          <w:rFonts w:ascii="Arial" w:hAnsi="Arial" w:cs="Arial"/>
          <w:sz w:val="24"/>
          <w:szCs w:val="24"/>
        </w:rPr>
        <w:t xml:space="preserve">Verhoef, P. C. (2003). </w:t>
      </w:r>
      <w:r w:rsidRPr="00D1280D">
        <w:rPr>
          <w:rFonts w:ascii="Arial" w:hAnsi="Arial" w:cs="Arial"/>
          <w:i/>
          <w:iCs/>
          <w:sz w:val="24"/>
          <w:szCs w:val="24"/>
        </w:rPr>
        <w:t>Understanding the effect of customer relationship management efforts on customer retention and customer share development</w:t>
      </w:r>
      <w:r w:rsidRPr="00574EFD">
        <w:rPr>
          <w:rFonts w:ascii="Arial" w:hAnsi="Arial" w:cs="Arial"/>
          <w:sz w:val="24"/>
          <w:szCs w:val="24"/>
        </w:rPr>
        <w:t xml:space="preserve">. Journal of Marketing, 67(4), 30–45. </w:t>
      </w:r>
      <w:hyperlink r:id="rId38" w:history="1">
        <w:r w:rsidR="00655D47" w:rsidRPr="00574EFD">
          <w:rPr>
            <w:rStyle w:val="Hyperlink"/>
            <w:rFonts w:ascii="Arial" w:hAnsi="Arial" w:cs="Arial"/>
            <w:sz w:val="24"/>
            <w:szCs w:val="24"/>
          </w:rPr>
          <w:t>https://doi.org/10.1509/jmkg.67.4.30.18685</w:t>
        </w:r>
      </w:hyperlink>
    </w:p>
    <w:p w14:paraId="70E9971B" w14:textId="77777777" w:rsidR="003D1AB4" w:rsidRPr="00574EFD" w:rsidRDefault="003D1AB4" w:rsidP="00574EFD">
      <w:pPr>
        <w:spacing w:line="360" w:lineRule="auto"/>
        <w:contextualSpacing/>
        <w:jc w:val="both"/>
        <w:rPr>
          <w:rFonts w:ascii="Arial" w:hAnsi="Arial" w:cs="Arial"/>
          <w:sz w:val="24"/>
          <w:szCs w:val="24"/>
        </w:rPr>
      </w:pPr>
    </w:p>
    <w:p w14:paraId="074252C9" w14:textId="09C48A7E" w:rsidR="00655D47" w:rsidRPr="00574EFD" w:rsidRDefault="00F40698" w:rsidP="00574EFD">
      <w:pPr>
        <w:spacing w:line="360" w:lineRule="auto"/>
        <w:contextualSpacing/>
        <w:jc w:val="both"/>
        <w:rPr>
          <w:rFonts w:ascii="Arial" w:hAnsi="Arial" w:cs="Arial"/>
          <w:sz w:val="24"/>
          <w:szCs w:val="24"/>
        </w:rPr>
      </w:pPr>
      <w:r w:rsidRPr="00574EFD">
        <w:rPr>
          <w:rFonts w:ascii="Arial" w:hAnsi="Arial" w:cs="Arial"/>
          <w:sz w:val="24"/>
          <w:szCs w:val="24"/>
        </w:rPr>
        <w:t>Wedel, M., &amp; Kamakura, W. A. (2000</w:t>
      </w:r>
      <w:r w:rsidRPr="00D1280D">
        <w:rPr>
          <w:rFonts w:ascii="Arial" w:hAnsi="Arial" w:cs="Arial"/>
          <w:i/>
          <w:iCs/>
          <w:sz w:val="24"/>
          <w:szCs w:val="24"/>
        </w:rPr>
        <w:t>). Market segmentation: Conceptual and methodological foundations</w:t>
      </w:r>
      <w:r w:rsidRPr="00574EFD">
        <w:rPr>
          <w:rFonts w:ascii="Arial" w:hAnsi="Arial" w:cs="Arial"/>
          <w:sz w:val="24"/>
          <w:szCs w:val="24"/>
        </w:rPr>
        <w:t xml:space="preserve"> (2nd ed.). Springer. </w:t>
      </w:r>
      <w:hyperlink r:id="rId39" w:history="1">
        <w:r w:rsidR="00655D47" w:rsidRPr="00574EFD">
          <w:rPr>
            <w:rStyle w:val="Hyperlink"/>
            <w:rFonts w:ascii="Arial" w:hAnsi="Arial" w:cs="Arial"/>
            <w:sz w:val="24"/>
            <w:szCs w:val="24"/>
          </w:rPr>
          <w:t>https://doi.org/10.1007/978-1-4615-4651-1</w:t>
        </w:r>
      </w:hyperlink>
    </w:p>
    <w:p w14:paraId="7C320A1E" w14:textId="77777777" w:rsidR="003D1AB4" w:rsidRPr="00574EFD" w:rsidRDefault="003D1AB4" w:rsidP="00574EFD">
      <w:pPr>
        <w:spacing w:line="360" w:lineRule="auto"/>
        <w:contextualSpacing/>
        <w:jc w:val="both"/>
        <w:rPr>
          <w:rFonts w:ascii="Arial" w:hAnsi="Arial" w:cs="Arial"/>
          <w:sz w:val="24"/>
          <w:szCs w:val="24"/>
        </w:rPr>
      </w:pPr>
    </w:p>
    <w:p w14:paraId="2F7C1DCF" w14:textId="5C1EE3B2" w:rsidR="00F40698" w:rsidRPr="00574EFD" w:rsidRDefault="00F40698" w:rsidP="00574EFD">
      <w:pPr>
        <w:spacing w:line="360" w:lineRule="auto"/>
        <w:contextualSpacing/>
        <w:jc w:val="both"/>
        <w:rPr>
          <w:rFonts w:ascii="Arial" w:hAnsi="Arial" w:cs="Arial"/>
          <w:sz w:val="24"/>
          <w:szCs w:val="24"/>
        </w:rPr>
      </w:pPr>
      <w:r w:rsidRPr="00574EFD">
        <w:rPr>
          <w:rFonts w:ascii="Arial" w:hAnsi="Arial" w:cs="Arial"/>
          <w:sz w:val="24"/>
          <w:szCs w:val="24"/>
        </w:rPr>
        <w:t xml:space="preserve">Wilson, D. T. (1995). </w:t>
      </w:r>
      <w:r w:rsidRPr="00D1280D">
        <w:rPr>
          <w:rFonts w:ascii="Arial" w:hAnsi="Arial" w:cs="Arial"/>
          <w:i/>
          <w:iCs/>
          <w:sz w:val="24"/>
          <w:szCs w:val="24"/>
        </w:rPr>
        <w:t>An integrated model of buyer–seller relationships</w:t>
      </w:r>
      <w:r w:rsidRPr="00574EFD">
        <w:rPr>
          <w:rFonts w:ascii="Arial" w:hAnsi="Arial" w:cs="Arial"/>
          <w:sz w:val="24"/>
          <w:szCs w:val="24"/>
        </w:rPr>
        <w:t xml:space="preserve">. Journal of the Academy of Marketing Science, 23(4), 335–345. </w:t>
      </w:r>
      <w:hyperlink r:id="rId40" w:history="1">
        <w:r w:rsidR="003D1AB4" w:rsidRPr="00574EFD">
          <w:rPr>
            <w:rStyle w:val="Hyperlink"/>
            <w:rFonts w:ascii="Arial" w:hAnsi="Arial" w:cs="Arial"/>
            <w:sz w:val="24"/>
            <w:szCs w:val="24"/>
          </w:rPr>
          <w:t>https://doi.org/10.1177/009207039502300414</w:t>
        </w:r>
      </w:hyperlink>
    </w:p>
    <w:p w14:paraId="0D5281EE" w14:textId="77777777" w:rsidR="003D1AB4" w:rsidRPr="00574EFD" w:rsidRDefault="003D1AB4" w:rsidP="00574EFD">
      <w:pPr>
        <w:spacing w:line="360" w:lineRule="auto"/>
        <w:contextualSpacing/>
        <w:jc w:val="both"/>
        <w:rPr>
          <w:rFonts w:ascii="Arial" w:hAnsi="Arial" w:cs="Arial"/>
          <w:sz w:val="24"/>
          <w:szCs w:val="24"/>
        </w:rPr>
      </w:pPr>
    </w:p>
    <w:p w14:paraId="47905EBF" w14:textId="257B6358" w:rsidR="00F40698" w:rsidRPr="00574EFD" w:rsidRDefault="00F40698" w:rsidP="00574EFD">
      <w:pPr>
        <w:spacing w:line="360" w:lineRule="auto"/>
        <w:contextualSpacing/>
        <w:jc w:val="both"/>
        <w:rPr>
          <w:rFonts w:ascii="Arial" w:hAnsi="Arial" w:cs="Arial"/>
          <w:sz w:val="24"/>
          <w:szCs w:val="24"/>
        </w:rPr>
      </w:pPr>
      <w:r w:rsidRPr="00574EFD">
        <w:rPr>
          <w:rFonts w:ascii="Arial" w:hAnsi="Arial" w:cs="Arial"/>
          <w:sz w:val="24"/>
          <w:szCs w:val="24"/>
        </w:rPr>
        <w:t xml:space="preserve">Woodruff, R. B. (1997). </w:t>
      </w:r>
      <w:r w:rsidRPr="00D1280D">
        <w:rPr>
          <w:rFonts w:ascii="Arial" w:hAnsi="Arial" w:cs="Arial"/>
          <w:i/>
          <w:iCs/>
          <w:sz w:val="24"/>
          <w:szCs w:val="24"/>
        </w:rPr>
        <w:t>Customer value: The next source for competitive advantage</w:t>
      </w:r>
      <w:r w:rsidRPr="00574EFD">
        <w:rPr>
          <w:rFonts w:ascii="Arial" w:hAnsi="Arial" w:cs="Arial"/>
          <w:sz w:val="24"/>
          <w:szCs w:val="24"/>
        </w:rPr>
        <w:t xml:space="preserve">. Journal of the Academy of Marketing Science, 25(2), 139–153. </w:t>
      </w:r>
      <w:hyperlink r:id="rId41" w:history="1">
        <w:r w:rsidR="003D1AB4" w:rsidRPr="00574EFD">
          <w:rPr>
            <w:rStyle w:val="Hyperlink"/>
            <w:rFonts w:ascii="Arial" w:hAnsi="Arial" w:cs="Arial"/>
            <w:sz w:val="24"/>
            <w:szCs w:val="24"/>
          </w:rPr>
          <w:t>https://doi.org/10.1007/BF02894350</w:t>
        </w:r>
      </w:hyperlink>
    </w:p>
    <w:p w14:paraId="5AC3CE24" w14:textId="77777777" w:rsidR="003D1AB4" w:rsidRPr="00574EFD" w:rsidRDefault="003D1AB4" w:rsidP="00574EFD">
      <w:pPr>
        <w:spacing w:line="360" w:lineRule="auto"/>
        <w:contextualSpacing/>
        <w:jc w:val="both"/>
        <w:rPr>
          <w:rFonts w:ascii="Arial" w:hAnsi="Arial" w:cs="Arial"/>
          <w:sz w:val="24"/>
          <w:szCs w:val="24"/>
        </w:rPr>
      </w:pPr>
    </w:p>
    <w:p w14:paraId="088FA958" w14:textId="6A5C4A1A" w:rsidR="00F40698" w:rsidRPr="00574EFD" w:rsidRDefault="00F40698" w:rsidP="00574EFD">
      <w:pPr>
        <w:spacing w:line="360" w:lineRule="auto"/>
        <w:contextualSpacing/>
        <w:jc w:val="both"/>
        <w:rPr>
          <w:rFonts w:ascii="Arial" w:hAnsi="Arial" w:cs="Arial"/>
          <w:sz w:val="24"/>
          <w:szCs w:val="24"/>
        </w:rPr>
      </w:pPr>
      <w:r w:rsidRPr="00574EFD">
        <w:rPr>
          <w:rFonts w:ascii="Arial" w:hAnsi="Arial" w:cs="Arial"/>
          <w:sz w:val="24"/>
          <w:szCs w:val="24"/>
        </w:rPr>
        <w:t xml:space="preserve">Yim, C. K. (Bennett), Tse, D. K., &amp; Chan, K. W. (2008). </w:t>
      </w:r>
      <w:r w:rsidRPr="00D1280D">
        <w:rPr>
          <w:rFonts w:ascii="Arial" w:hAnsi="Arial" w:cs="Arial"/>
          <w:i/>
          <w:iCs/>
          <w:sz w:val="24"/>
          <w:szCs w:val="24"/>
        </w:rPr>
        <w:t>Strengthening customer loyalty through intimacy and passion: Roles of customer–firm affection and customer–staff relationships in services</w:t>
      </w:r>
      <w:r w:rsidRPr="00574EFD">
        <w:rPr>
          <w:rFonts w:ascii="Arial" w:hAnsi="Arial" w:cs="Arial"/>
          <w:sz w:val="24"/>
          <w:szCs w:val="24"/>
        </w:rPr>
        <w:t xml:space="preserve">. Journal of Marketing Research, 45(6), 741–756. </w:t>
      </w:r>
      <w:hyperlink r:id="rId42" w:history="1">
        <w:r w:rsidR="003D1AB4" w:rsidRPr="00574EFD">
          <w:rPr>
            <w:rStyle w:val="Hyperlink"/>
            <w:rFonts w:ascii="Arial" w:hAnsi="Arial" w:cs="Arial"/>
            <w:sz w:val="24"/>
            <w:szCs w:val="24"/>
          </w:rPr>
          <w:t>https://doi.org/10.1509/jmkr.45.6.741</w:t>
        </w:r>
      </w:hyperlink>
    </w:p>
    <w:p w14:paraId="31FCB0A0" w14:textId="77777777" w:rsidR="003D1AB4" w:rsidRPr="00574EFD" w:rsidRDefault="003D1AB4" w:rsidP="00574EFD">
      <w:pPr>
        <w:spacing w:line="360" w:lineRule="auto"/>
        <w:contextualSpacing/>
        <w:jc w:val="both"/>
        <w:rPr>
          <w:rFonts w:ascii="Arial" w:hAnsi="Arial" w:cs="Arial"/>
          <w:sz w:val="24"/>
          <w:szCs w:val="24"/>
        </w:rPr>
      </w:pPr>
    </w:p>
    <w:p w14:paraId="0A605449" w14:textId="407F09F6" w:rsidR="00F40698" w:rsidRPr="00574EFD" w:rsidRDefault="00F40698" w:rsidP="00574EFD">
      <w:pPr>
        <w:spacing w:line="360" w:lineRule="auto"/>
        <w:contextualSpacing/>
        <w:jc w:val="both"/>
        <w:rPr>
          <w:rFonts w:ascii="Arial" w:hAnsi="Arial" w:cs="Arial"/>
          <w:sz w:val="24"/>
          <w:szCs w:val="24"/>
        </w:rPr>
      </w:pPr>
      <w:r w:rsidRPr="00574EFD">
        <w:rPr>
          <w:rFonts w:ascii="Arial" w:hAnsi="Arial" w:cs="Arial"/>
          <w:sz w:val="24"/>
          <w:szCs w:val="24"/>
        </w:rPr>
        <w:t xml:space="preserve">Zeithaml, V. A. (1988). </w:t>
      </w:r>
      <w:r w:rsidRPr="00D1280D">
        <w:rPr>
          <w:rFonts w:ascii="Arial" w:hAnsi="Arial" w:cs="Arial"/>
          <w:i/>
          <w:iCs/>
          <w:sz w:val="24"/>
          <w:szCs w:val="24"/>
        </w:rPr>
        <w:t>Consumer perceptions of price, quality, and value: A means–end model and synthesis of evidence.</w:t>
      </w:r>
      <w:r w:rsidRPr="00574EFD">
        <w:rPr>
          <w:rFonts w:ascii="Arial" w:hAnsi="Arial" w:cs="Arial"/>
          <w:sz w:val="24"/>
          <w:szCs w:val="24"/>
        </w:rPr>
        <w:t xml:space="preserve"> Journal of Marketing, 52(3), 2–22. </w:t>
      </w:r>
      <w:hyperlink r:id="rId43" w:history="1">
        <w:r w:rsidR="003D1AB4" w:rsidRPr="00574EFD">
          <w:rPr>
            <w:rStyle w:val="Hyperlink"/>
            <w:rFonts w:ascii="Arial" w:hAnsi="Arial" w:cs="Arial"/>
            <w:sz w:val="24"/>
            <w:szCs w:val="24"/>
          </w:rPr>
          <w:t>https://doi.org/10.1177/002224298805200302</w:t>
        </w:r>
      </w:hyperlink>
    </w:p>
    <w:p w14:paraId="418B0481" w14:textId="77777777" w:rsidR="003D1AB4" w:rsidRPr="00574EFD" w:rsidRDefault="003D1AB4" w:rsidP="00574EFD">
      <w:pPr>
        <w:spacing w:line="360" w:lineRule="auto"/>
        <w:contextualSpacing/>
        <w:jc w:val="both"/>
        <w:rPr>
          <w:rFonts w:ascii="Arial" w:hAnsi="Arial" w:cs="Arial"/>
          <w:sz w:val="24"/>
          <w:szCs w:val="24"/>
        </w:rPr>
      </w:pPr>
    </w:p>
    <w:p w14:paraId="2C8E3AA7" w14:textId="00743F33" w:rsidR="00F40698" w:rsidRPr="00574EFD" w:rsidRDefault="00F40698" w:rsidP="00574EFD">
      <w:pPr>
        <w:spacing w:line="360" w:lineRule="auto"/>
        <w:contextualSpacing/>
        <w:jc w:val="both"/>
        <w:rPr>
          <w:rFonts w:ascii="Arial" w:hAnsi="Arial" w:cs="Arial"/>
          <w:sz w:val="24"/>
          <w:szCs w:val="24"/>
        </w:rPr>
      </w:pPr>
      <w:r w:rsidRPr="00574EFD">
        <w:rPr>
          <w:rFonts w:ascii="Arial" w:hAnsi="Arial" w:cs="Arial"/>
          <w:sz w:val="24"/>
          <w:szCs w:val="24"/>
        </w:rPr>
        <w:t xml:space="preserve">Zhang, T., Lu, C., Torres, E., &amp; Chen, P.-J. (2018). </w:t>
      </w:r>
      <w:r w:rsidRPr="00D1280D">
        <w:rPr>
          <w:rFonts w:ascii="Arial" w:hAnsi="Arial" w:cs="Arial"/>
          <w:i/>
          <w:iCs/>
          <w:sz w:val="24"/>
          <w:szCs w:val="24"/>
        </w:rPr>
        <w:t>Engaging customers in value co-creation or co-destruction online.</w:t>
      </w:r>
      <w:r w:rsidRPr="00574EFD">
        <w:rPr>
          <w:rFonts w:ascii="Arial" w:hAnsi="Arial" w:cs="Arial"/>
          <w:sz w:val="24"/>
          <w:szCs w:val="24"/>
        </w:rPr>
        <w:t xml:space="preserve"> Journal of Services Marketing, 32(1), 57–69. </w:t>
      </w:r>
      <w:hyperlink r:id="rId44" w:history="1">
        <w:r w:rsidR="00D14E02" w:rsidRPr="00574EFD">
          <w:rPr>
            <w:rStyle w:val="Hyperlink"/>
            <w:rFonts w:ascii="Arial" w:hAnsi="Arial" w:cs="Arial"/>
            <w:sz w:val="24"/>
            <w:szCs w:val="24"/>
          </w:rPr>
          <w:t>https://doi.org/10.1108/JSM-01-2017-0027</w:t>
        </w:r>
      </w:hyperlink>
    </w:p>
    <w:p w14:paraId="287C5074" w14:textId="77777777" w:rsidR="00D14E02" w:rsidRDefault="00D14E02" w:rsidP="00CB349A">
      <w:pPr>
        <w:spacing w:line="360" w:lineRule="auto"/>
        <w:contextualSpacing/>
      </w:pPr>
    </w:p>
    <w:p w14:paraId="7CA84240" w14:textId="77777777" w:rsidR="00B67B11" w:rsidRDefault="00B67B11" w:rsidP="00CB349A">
      <w:pPr>
        <w:spacing w:line="360" w:lineRule="auto"/>
        <w:contextualSpacing/>
      </w:pPr>
    </w:p>
    <w:p w14:paraId="5ABE7B84" w14:textId="3BF1DEB8" w:rsidR="0030173B" w:rsidRDefault="0030173B" w:rsidP="006825FC">
      <w:pPr>
        <w:spacing w:line="360" w:lineRule="auto"/>
        <w:contextualSpacing/>
      </w:pPr>
    </w:p>
    <w:p w14:paraId="64576004" w14:textId="621D1D1F" w:rsidR="00BB0BAE" w:rsidRPr="00A60AFD" w:rsidRDefault="002049FE" w:rsidP="00BB0BAE">
      <w:pPr>
        <w:pStyle w:val="Heading2"/>
        <w:rPr>
          <w:rFonts w:ascii="Arial" w:hAnsi="Arial" w:cs="Arial"/>
          <w:sz w:val="24"/>
          <w:szCs w:val="24"/>
        </w:rPr>
      </w:pPr>
      <w:bookmarkStart w:id="14" w:name="_Toc235957869"/>
      <w:r w:rsidRPr="00A60AFD">
        <w:rPr>
          <w:rFonts w:ascii="Arial" w:hAnsi="Arial" w:cs="Arial"/>
          <w:sz w:val="24"/>
          <w:szCs w:val="24"/>
        </w:rPr>
        <w:t>Ap</w:t>
      </w:r>
      <w:r w:rsidR="00BB0BAE" w:rsidRPr="00A60AFD">
        <w:rPr>
          <w:rFonts w:ascii="Arial" w:hAnsi="Arial" w:cs="Arial"/>
          <w:sz w:val="24"/>
          <w:szCs w:val="24"/>
        </w:rPr>
        <w:t>pe</w:t>
      </w:r>
      <w:r w:rsidRPr="00A60AFD">
        <w:rPr>
          <w:rFonts w:ascii="Arial" w:hAnsi="Arial" w:cs="Arial"/>
          <w:sz w:val="24"/>
          <w:szCs w:val="24"/>
        </w:rPr>
        <w:t>ndi</w:t>
      </w:r>
      <w:r w:rsidR="00002E83" w:rsidRPr="00A60AFD">
        <w:rPr>
          <w:rFonts w:ascii="Arial" w:hAnsi="Arial" w:cs="Arial"/>
          <w:sz w:val="24"/>
          <w:szCs w:val="24"/>
        </w:rPr>
        <w:t>ces</w:t>
      </w:r>
      <w:bookmarkEnd w:id="14"/>
    </w:p>
    <w:p w14:paraId="65BF7E83" w14:textId="77777777" w:rsidR="00574EFD" w:rsidRPr="00A60AFD" w:rsidRDefault="00574EFD" w:rsidP="00574EFD">
      <w:pPr>
        <w:rPr>
          <w:rFonts w:ascii="Arial" w:hAnsi="Arial" w:cs="Arial"/>
          <w:sz w:val="24"/>
          <w:szCs w:val="24"/>
        </w:rPr>
      </w:pPr>
    </w:p>
    <w:p w14:paraId="3705B707" w14:textId="382C45A8" w:rsidR="00002E83" w:rsidRDefault="00002E83" w:rsidP="00002E83">
      <w:pPr>
        <w:rPr>
          <w:rFonts w:ascii="Arial" w:hAnsi="Arial" w:cs="Arial"/>
          <w:sz w:val="24"/>
          <w:szCs w:val="24"/>
        </w:rPr>
      </w:pPr>
      <w:r w:rsidRPr="00A60AFD">
        <w:rPr>
          <w:rFonts w:ascii="Arial" w:hAnsi="Arial" w:cs="Arial"/>
          <w:sz w:val="24"/>
          <w:szCs w:val="24"/>
        </w:rPr>
        <w:t xml:space="preserve">Appendix </w:t>
      </w:r>
      <w:r w:rsidR="00EB067F" w:rsidRPr="00A60AFD">
        <w:rPr>
          <w:rFonts w:ascii="Arial" w:hAnsi="Arial" w:cs="Arial"/>
          <w:sz w:val="24"/>
          <w:szCs w:val="24"/>
        </w:rPr>
        <w:t>a</w:t>
      </w:r>
      <w:r w:rsidRPr="00A60AFD">
        <w:rPr>
          <w:rFonts w:ascii="Arial" w:hAnsi="Arial" w:cs="Arial"/>
          <w:sz w:val="24"/>
          <w:szCs w:val="24"/>
        </w:rPr>
        <w:t>:</w:t>
      </w:r>
      <w:r w:rsidR="008F0AF8">
        <w:rPr>
          <w:rFonts w:ascii="Arial" w:hAnsi="Arial" w:cs="Arial"/>
          <w:sz w:val="24"/>
          <w:szCs w:val="24"/>
        </w:rPr>
        <w:t xml:space="preserve"> </w:t>
      </w:r>
      <w:r w:rsidR="009E7440">
        <w:rPr>
          <w:rFonts w:ascii="Arial" w:hAnsi="Arial" w:cs="Arial"/>
          <w:sz w:val="24"/>
          <w:szCs w:val="24"/>
        </w:rPr>
        <w:t xml:space="preserve">Customer Relationship </w:t>
      </w:r>
    </w:p>
    <w:p w14:paraId="409A7CDA" w14:textId="67B90518" w:rsidR="00C86FD6" w:rsidRDefault="005259D9" w:rsidP="00002E83">
      <w:pPr>
        <w:rPr>
          <w:rFonts w:ascii="Arial" w:hAnsi="Arial" w:cs="Arial"/>
          <w:sz w:val="24"/>
          <w:szCs w:val="24"/>
        </w:rPr>
      </w:pPr>
      <w:r>
        <w:rPr>
          <w:rFonts w:ascii="Arial" w:hAnsi="Arial" w:cs="Arial"/>
          <w:sz w:val="24"/>
          <w:szCs w:val="24"/>
        </w:rPr>
        <w:t xml:space="preserve">Source: </w:t>
      </w:r>
      <w:hyperlink r:id="rId45" w:anchor="6" w:history="1">
        <w:r w:rsidRPr="000F698D">
          <w:rPr>
            <w:rStyle w:val="Hyperlink"/>
            <w:rFonts w:ascii="Arial" w:hAnsi="Arial" w:cs="Arial"/>
            <w:sz w:val="24"/>
            <w:szCs w:val="24"/>
          </w:rPr>
          <w:t>https://www.slideshare.net/slideshow/customer-relationship-39121077/39121077#6</w:t>
        </w:r>
      </w:hyperlink>
    </w:p>
    <w:p w14:paraId="57BEDABE" w14:textId="77777777" w:rsidR="00A60AFD" w:rsidRDefault="00A60AFD" w:rsidP="00002E83">
      <w:pPr>
        <w:rPr>
          <w:rFonts w:ascii="Arial" w:hAnsi="Arial" w:cs="Arial"/>
          <w:sz w:val="24"/>
          <w:szCs w:val="24"/>
        </w:rPr>
      </w:pPr>
    </w:p>
    <w:p w14:paraId="0DAC1E03" w14:textId="77777777" w:rsidR="00A60AFD" w:rsidRPr="00A60AFD" w:rsidRDefault="00A60AFD" w:rsidP="00002E83">
      <w:pPr>
        <w:rPr>
          <w:rFonts w:ascii="Arial" w:hAnsi="Arial" w:cs="Arial"/>
          <w:sz w:val="24"/>
          <w:szCs w:val="24"/>
        </w:rPr>
      </w:pPr>
    </w:p>
    <w:p w14:paraId="4FEE44E8" w14:textId="48B63D5D" w:rsidR="00002E83" w:rsidRDefault="00002E83" w:rsidP="00002E83">
      <w:pPr>
        <w:rPr>
          <w:rFonts w:ascii="Arial" w:hAnsi="Arial" w:cs="Arial"/>
          <w:sz w:val="24"/>
          <w:szCs w:val="24"/>
        </w:rPr>
      </w:pPr>
      <w:r w:rsidRPr="00A60AFD">
        <w:rPr>
          <w:rFonts w:ascii="Arial" w:hAnsi="Arial" w:cs="Arial"/>
          <w:sz w:val="24"/>
          <w:szCs w:val="24"/>
        </w:rPr>
        <w:t xml:space="preserve">Appendix </w:t>
      </w:r>
      <w:r w:rsidR="00EB067F" w:rsidRPr="00A60AFD">
        <w:rPr>
          <w:rFonts w:ascii="Arial" w:hAnsi="Arial" w:cs="Arial"/>
          <w:sz w:val="24"/>
          <w:szCs w:val="24"/>
        </w:rPr>
        <w:t>b</w:t>
      </w:r>
      <w:r w:rsidRPr="00A60AFD">
        <w:rPr>
          <w:rFonts w:ascii="Arial" w:hAnsi="Arial" w:cs="Arial"/>
          <w:sz w:val="24"/>
          <w:szCs w:val="24"/>
        </w:rPr>
        <w:t>:</w:t>
      </w:r>
      <w:r w:rsidR="009F76DF">
        <w:rPr>
          <w:rFonts w:ascii="Arial" w:hAnsi="Arial" w:cs="Arial"/>
          <w:sz w:val="24"/>
          <w:szCs w:val="24"/>
        </w:rPr>
        <w:t xml:space="preserve"> SNEP SPA reviews on Trust Pilot</w:t>
      </w:r>
    </w:p>
    <w:p w14:paraId="140E07B4" w14:textId="0E15C5FA" w:rsidR="009F76DF" w:rsidRDefault="005259D9" w:rsidP="00002E83">
      <w:pPr>
        <w:rPr>
          <w:rFonts w:ascii="Arial" w:hAnsi="Arial" w:cs="Arial"/>
          <w:sz w:val="24"/>
          <w:szCs w:val="24"/>
        </w:rPr>
      </w:pPr>
      <w:r>
        <w:rPr>
          <w:rFonts w:ascii="Arial" w:hAnsi="Arial" w:cs="Arial"/>
          <w:sz w:val="24"/>
          <w:szCs w:val="24"/>
        </w:rPr>
        <w:t xml:space="preserve">Source: </w:t>
      </w:r>
      <w:hyperlink r:id="rId46" w:history="1">
        <w:r w:rsidRPr="000F698D">
          <w:rPr>
            <w:rStyle w:val="Hyperlink"/>
            <w:rFonts w:ascii="Arial" w:hAnsi="Arial" w:cs="Arial"/>
            <w:sz w:val="24"/>
            <w:szCs w:val="24"/>
          </w:rPr>
          <w:t>https://uk.trustpilot.com/review/www.mysnep.com</w:t>
        </w:r>
      </w:hyperlink>
    </w:p>
    <w:p w14:paraId="2DA1F129" w14:textId="77777777" w:rsidR="007B4A20" w:rsidRDefault="007B4A20" w:rsidP="00002E83">
      <w:pPr>
        <w:rPr>
          <w:rFonts w:ascii="Arial" w:hAnsi="Arial" w:cs="Arial"/>
          <w:sz w:val="24"/>
          <w:szCs w:val="24"/>
        </w:rPr>
      </w:pPr>
    </w:p>
    <w:p w14:paraId="718C42DC" w14:textId="77777777" w:rsidR="007B4A20" w:rsidRPr="00A60AFD" w:rsidRDefault="007B4A20" w:rsidP="00002E83">
      <w:pPr>
        <w:rPr>
          <w:rFonts w:ascii="Arial" w:hAnsi="Arial" w:cs="Arial"/>
          <w:sz w:val="24"/>
          <w:szCs w:val="24"/>
        </w:rPr>
      </w:pPr>
    </w:p>
    <w:p w14:paraId="4AD37631" w14:textId="0D17E893" w:rsidR="00002E83" w:rsidRDefault="00002E83" w:rsidP="00002E83">
      <w:pPr>
        <w:rPr>
          <w:rFonts w:ascii="Arial" w:hAnsi="Arial" w:cs="Arial"/>
          <w:sz w:val="24"/>
          <w:szCs w:val="24"/>
        </w:rPr>
      </w:pPr>
      <w:r w:rsidRPr="00A60AFD">
        <w:rPr>
          <w:rFonts w:ascii="Arial" w:hAnsi="Arial" w:cs="Arial"/>
          <w:sz w:val="24"/>
          <w:szCs w:val="24"/>
        </w:rPr>
        <w:t xml:space="preserve">Appendix </w:t>
      </w:r>
      <w:r w:rsidR="00EB067F" w:rsidRPr="00A60AFD">
        <w:rPr>
          <w:rFonts w:ascii="Arial" w:hAnsi="Arial" w:cs="Arial"/>
          <w:sz w:val="24"/>
          <w:szCs w:val="24"/>
        </w:rPr>
        <w:t>c</w:t>
      </w:r>
      <w:r w:rsidRPr="00A60AFD">
        <w:rPr>
          <w:rFonts w:ascii="Arial" w:hAnsi="Arial" w:cs="Arial"/>
          <w:sz w:val="24"/>
          <w:szCs w:val="24"/>
        </w:rPr>
        <w:t xml:space="preserve">: </w:t>
      </w:r>
      <w:r w:rsidR="00FC3AB9">
        <w:rPr>
          <w:rFonts w:ascii="Arial" w:hAnsi="Arial" w:cs="Arial"/>
          <w:sz w:val="24"/>
          <w:szCs w:val="24"/>
        </w:rPr>
        <w:t>The Juran Model</w:t>
      </w:r>
    </w:p>
    <w:p w14:paraId="033969F4" w14:textId="7E9D0222" w:rsidR="005259D9" w:rsidRPr="00A60AFD" w:rsidRDefault="005259D9" w:rsidP="00002E83">
      <w:pPr>
        <w:rPr>
          <w:rFonts w:ascii="Arial" w:hAnsi="Arial" w:cs="Arial"/>
          <w:sz w:val="24"/>
          <w:szCs w:val="24"/>
        </w:rPr>
      </w:pPr>
      <w:r>
        <w:rPr>
          <w:rFonts w:ascii="Arial" w:hAnsi="Arial" w:cs="Arial"/>
          <w:sz w:val="24"/>
          <w:szCs w:val="24"/>
        </w:rPr>
        <w:t xml:space="preserve">Source: </w:t>
      </w:r>
      <w:hyperlink r:id="rId47" w:history="1">
        <w:r w:rsidRPr="000F698D">
          <w:rPr>
            <w:rStyle w:val="Hyperlink"/>
            <w:rFonts w:ascii="Arial" w:hAnsi="Arial" w:cs="Arial"/>
            <w:sz w:val="24"/>
            <w:szCs w:val="24"/>
          </w:rPr>
          <w:t>https://www.qualitygurus.com/jurans-quality-trilogy-a-comprehensive-guide/</w:t>
        </w:r>
      </w:hyperlink>
    </w:p>
    <w:p w14:paraId="376F0AC9" w14:textId="123BE94C" w:rsidR="00EB067F" w:rsidRPr="00A60AFD" w:rsidRDefault="005259D9" w:rsidP="00002E83">
      <w:pPr>
        <w:rPr>
          <w:rFonts w:ascii="Arial" w:hAnsi="Arial" w:cs="Arial"/>
          <w:sz w:val="24"/>
          <w:szCs w:val="24"/>
        </w:rPr>
      </w:pPr>
      <w:r>
        <w:rPr>
          <w:rFonts w:ascii="Arial" w:hAnsi="Arial" w:cs="Arial"/>
          <w:noProof/>
          <w:sz w:val="24"/>
          <w:szCs w:val="24"/>
        </w:rPr>
        <w:drawing>
          <wp:inline distT="0" distB="0" distL="0" distR="0" wp14:anchorId="1F71CCB9" wp14:editId="6C195A72">
            <wp:extent cx="5943600" cy="3178175"/>
            <wp:effectExtent l="0" t="0" r="0" b="3175"/>
            <wp:docPr id="5561351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6135136" name="Picture 556135136"/>
                    <pic:cNvPicPr/>
                  </pic:nvPicPr>
                  <pic:blipFill>
                    <a:blip r:embed="rId48">
                      <a:extLst>
                        <a:ext uri="{28A0092B-C50C-407E-A947-70E740481C1C}">
                          <a14:useLocalDpi xmlns:a14="http://schemas.microsoft.com/office/drawing/2010/main" val="0"/>
                        </a:ext>
                      </a:extLst>
                    </a:blip>
                    <a:stretch>
                      <a:fillRect/>
                    </a:stretch>
                  </pic:blipFill>
                  <pic:spPr>
                    <a:xfrm>
                      <a:off x="0" y="0"/>
                      <a:ext cx="5943600" cy="3178175"/>
                    </a:xfrm>
                    <a:prstGeom prst="rect">
                      <a:avLst/>
                    </a:prstGeom>
                  </pic:spPr>
                </pic:pic>
              </a:graphicData>
            </a:graphic>
          </wp:inline>
        </w:drawing>
      </w:r>
    </w:p>
    <w:sectPr w:rsidR="00EB067F" w:rsidRPr="00A60AFD"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5"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9"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1307012335">
    <w:abstractNumId w:val="5"/>
  </w:num>
  <w:num w:numId="2" w16cid:durableId="1961064212">
    <w:abstractNumId w:val="9"/>
  </w:num>
  <w:num w:numId="3" w16cid:durableId="2013215748">
    <w:abstractNumId w:val="3"/>
  </w:num>
  <w:num w:numId="4" w16cid:durableId="1288007324">
    <w:abstractNumId w:val="7"/>
  </w:num>
  <w:num w:numId="5" w16cid:durableId="608973884">
    <w:abstractNumId w:val="1"/>
  </w:num>
  <w:num w:numId="6" w16cid:durableId="252978621">
    <w:abstractNumId w:val="4"/>
  </w:num>
  <w:num w:numId="7" w16cid:durableId="1863980981">
    <w:abstractNumId w:val="0"/>
  </w:num>
  <w:num w:numId="8" w16cid:durableId="261575294">
    <w:abstractNumId w:val="11"/>
  </w:num>
  <w:num w:numId="9" w16cid:durableId="1553228900">
    <w:abstractNumId w:val="6"/>
  </w:num>
  <w:num w:numId="10" w16cid:durableId="1405183693">
    <w:abstractNumId w:val="10"/>
  </w:num>
  <w:num w:numId="11" w16cid:durableId="2102796411">
    <w:abstractNumId w:val="8"/>
  </w:num>
  <w:num w:numId="12" w16cid:durableId="171233797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AwNDc3M7YwNLA0NTFR0lEKTi0uzszPAykwqQUA/DQtEiwAAAA="/>
  </w:docVars>
  <w:rsids>
    <w:rsidRoot w:val="00A930CB"/>
    <w:rsid w:val="00000A73"/>
    <w:rsid w:val="00002E83"/>
    <w:rsid w:val="000142F7"/>
    <w:rsid w:val="00016992"/>
    <w:rsid w:val="000178FF"/>
    <w:rsid w:val="000229C7"/>
    <w:rsid w:val="00026C80"/>
    <w:rsid w:val="00036841"/>
    <w:rsid w:val="00040414"/>
    <w:rsid w:val="00045C47"/>
    <w:rsid w:val="000500F9"/>
    <w:rsid w:val="000578CE"/>
    <w:rsid w:val="0006008A"/>
    <w:rsid w:val="0007735C"/>
    <w:rsid w:val="00080D6B"/>
    <w:rsid w:val="00080FC1"/>
    <w:rsid w:val="00083F63"/>
    <w:rsid w:val="00092C46"/>
    <w:rsid w:val="00097CE2"/>
    <w:rsid w:val="000A18DF"/>
    <w:rsid w:val="000A61C9"/>
    <w:rsid w:val="000B106F"/>
    <w:rsid w:val="000B407F"/>
    <w:rsid w:val="000C5E1B"/>
    <w:rsid w:val="000D0F62"/>
    <w:rsid w:val="000D2086"/>
    <w:rsid w:val="000D51D0"/>
    <w:rsid w:val="000E2E0E"/>
    <w:rsid w:val="000F1A40"/>
    <w:rsid w:val="0011073C"/>
    <w:rsid w:val="001130F2"/>
    <w:rsid w:val="001232C9"/>
    <w:rsid w:val="0015027C"/>
    <w:rsid w:val="00171357"/>
    <w:rsid w:val="0018141A"/>
    <w:rsid w:val="001828EE"/>
    <w:rsid w:val="001836B1"/>
    <w:rsid w:val="00187D8D"/>
    <w:rsid w:val="00191540"/>
    <w:rsid w:val="001A0C68"/>
    <w:rsid w:val="001E5735"/>
    <w:rsid w:val="001E6EFA"/>
    <w:rsid w:val="001F5437"/>
    <w:rsid w:val="00201CE3"/>
    <w:rsid w:val="002049FE"/>
    <w:rsid w:val="0021380A"/>
    <w:rsid w:val="0023241E"/>
    <w:rsid w:val="002461EE"/>
    <w:rsid w:val="002520A2"/>
    <w:rsid w:val="00252E68"/>
    <w:rsid w:val="00255FC4"/>
    <w:rsid w:val="0027000B"/>
    <w:rsid w:val="00276A31"/>
    <w:rsid w:val="00282146"/>
    <w:rsid w:val="00282216"/>
    <w:rsid w:val="00284720"/>
    <w:rsid w:val="002855F3"/>
    <w:rsid w:val="00285D09"/>
    <w:rsid w:val="00293B95"/>
    <w:rsid w:val="0029465D"/>
    <w:rsid w:val="00296FAF"/>
    <w:rsid w:val="002B5E2D"/>
    <w:rsid w:val="002C4CAC"/>
    <w:rsid w:val="002D4448"/>
    <w:rsid w:val="002E227D"/>
    <w:rsid w:val="002F34B9"/>
    <w:rsid w:val="002F57C7"/>
    <w:rsid w:val="0030173B"/>
    <w:rsid w:val="0030202B"/>
    <w:rsid w:val="00306AEC"/>
    <w:rsid w:val="00314DBB"/>
    <w:rsid w:val="00322C2E"/>
    <w:rsid w:val="00331B7F"/>
    <w:rsid w:val="003426C4"/>
    <w:rsid w:val="00370AEC"/>
    <w:rsid w:val="0037137F"/>
    <w:rsid w:val="00376120"/>
    <w:rsid w:val="003860FB"/>
    <w:rsid w:val="00386FE0"/>
    <w:rsid w:val="00391011"/>
    <w:rsid w:val="00394C19"/>
    <w:rsid w:val="0039574B"/>
    <w:rsid w:val="003B201C"/>
    <w:rsid w:val="003B3CE4"/>
    <w:rsid w:val="003B602D"/>
    <w:rsid w:val="003B725D"/>
    <w:rsid w:val="003B72BB"/>
    <w:rsid w:val="003C3B33"/>
    <w:rsid w:val="003C4A80"/>
    <w:rsid w:val="003D1AB4"/>
    <w:rsid w:val="003D30C7"/>
    <w:rsid w:val="003D34E8"/>
    <w:rsid w:val="003F64EA"/>
    <w:rsid w:val="003F69D6"/>
    <w:rsid w:val="00400A98"/>
    <w:rsid w:val="004016D7"/>
    <w:rsid w:val="00407231"/>
    <w:rsid w:val="00412391"/>
    <w:rsid w:val="004241F2"/>
    <w:rsid w:val="004407EE"/>
    <w:rsid w:val="0044431A"/>
    <w:rsid w:val="00444E30"/>
    <w:rsid w:val="0044719E"/>
    <w:rsid w:val="004472F2"/>
    <w:rsid w:val="004505A2"/>
    <w:rsid w:val="00451E13"/>
    <w:rsid w:val="00455366"/>
    <w:rsid w:val="00455F8A"/>
    <w:rsid w:val="0046229B"/>
    <w:rsid w:val="0047287D"/>
    <w:rsid w:val="004768F4"/>
    <w:rsid w:val="00481CB5"/>
    <w:rsid w:val="00482905"/>
    <w:rsid w:val="004B0685"/>
    <w:rsid w:val="004C75D9"/>
    <w:rsid w:val="004D2D4E"/>
    <w:rsid w:val="004D5AD9"/>
    <w:rsid w:val="004F03CD"/>
    <w:rsid w:val="0051013F"/>
    <w:rsid w:val="00513050"/>
    <w:rsid w:val="005225BF"/>
    <w:rsid w:val="005259D9"/>
    <w:rsid w:val="005316AD"/>
    <w:rsid w:val="005355DE"/>
    <w:rsid w:val="00556364"/>
    <w:rsid w:val="00574EFD"/>
    <w:rsid w:val="00586056"/>
    <w:rsid w:val="0059562E"/>
    <w:rsid w:val="005A72CC"/>
    <w:rsid w:val="005B3F0F"/>
    <w:rsid w:val="005C79E4"/>
    <w:rsid w:val="005D14EB"/>
    <w:rsid w:val="005D5E30"/>
    <w:rsid w:val="00602713"/>
    <w:rsid w:val="00604546"/>
    <w:rsid w:val="00613E9D"/>
    <w:rsid w:val="00622CBB"/>
    <w:rsid w:val="0062316A"/>
    <w:rsid w:val="0062657F"/>
    <w:rsid w:val="00634AE8"/>
    <w:rsid w:val="00647F29"/>
    <w:rsid w:val="0065395F"/>
    <w:rsid w:val="00655D47"/>
    <w:rsid w:val="006653B1"/>
    <w:rsid w:val="00670D2E"/>
    <w:rsid w:val="00671CBC"/>
    <w:rsid w:val="00676DAD"/>
    <w:rsid w:val="006822C7"/>
    <w:rsid w:val="006825FC"/>
    <w:rsid w:val="006A1A3E"/>
    <w:rsid w:val="006A5546"/>
    <w:rsid w:val="006A6580"/>
    <w:rsid w:val="006B2157"/>
    <w:rsid w:val="006C237A"/>
    <w:rsid w:val="006C78DC"/>
    <w:rsid w:val="006E6C87"/>
    <w:rsid w:val="006E6FE8"/>
    <w:rsid w:val="006F5C35"/>
    <w:rsid w:val="006F798D"/>
    <w:rsid w:val="00701065"/>
    <w:rsid w:val="00715A8B"/>
    <w:rsid w:val="00731F87"/>
    <w:rsid w:val="00736D10"/>
    <w:rsid w:val="007439F5"/>
    <w:rsid w:val="0075131B"/>
    <w:rsid w:val="007541A7"/>
    <w:rsid w:val="0075469A"/>
    <w:rsid w:val="007566CC"/>
    <w:rsid w:val="007609A7"/>
    <w:rsid w:val="0076232F"/>
    <w:rsid w:val="00770FF9"/>
    <w:rsid w:val="0077140D"/>
    <w:rsid w:val="00771C17"/>
    <w:rsid w:val="007A0F0B"/>
    <w:rsid w:val="007A7DB8"/>
    <w:rsid w:val="007B4A20"/>
    <w:rsid w:val="007C3F80"/>
    <w:rsid w:val="007D20B7"/>
    <w:rsid w:val="007E4E98"/>
    <w:rsid w:val="007E734B"/>
    <w:rsid w:val="007F6D91"/>
    <w:rsid w:val="008138EC"/>
    <w:rsid w:val="0082117C"/>
    <w:rsid w:val="0083040E"/>
    <w:rsid w:val="008346D5"/>
    <w:rsid w:val="008571B0"/>
    <w:rsid w:val="008623D6"/>
    <w:rsid w:val="00863145"/>
    <w:rsid w:val="00864007"/>
    <w:rsid w:val="008724D4"/>
    <w:rsid w:val="00877534"/>
    <w:rsid w:val="00881C63"/>
    <w:rsid w:val="00885114"/>
    <w:rsid w:val="008A1155"/>
    <w:rsid w:val="008A4AD2"/>
    <w:rsid w:val="008B1A15"/>
    <w:rsid w:val="008B34DB"/>
    <w:rsid w:val="008B498D"/>
    <w:rsid w:val="008B7279"/>
    <w:rsid w:val="008B7D60"/>
    <w:rsid w:val="008C2236"/>
    <w:rsid w:val="008C2930"/>
    <w:rsid w:val="008C37DB"/>
    <w:rsid w:val="008E29F3"/>
    <w:rsid w:val="008F0AF8"/>
    <w:rsid w:val="008F2B5B"/>
    <w:rsid w:val="008F44D4"/>
    <w:rsid w:val="008F51C2"/>
    <w:rsid w:val="008F74D8"/>
    <w:rsid w:val="009127B5"/>
    <w:rsid w:val="00917305"/>
    <w:rsid w:val="00917F26"/>
    <w:rsid w:val="00952FB2"/>
    <w:rsid w:val="009556EE"/>
    <w:rsid w:val="00964538"/>
    <w:rsid w:val="00983456"/>
    <w:rsid w:val="00985137"/>
    <w:rsid w:val="009A5C58"/>
    <w:rsid w:val="009A6AFB"/>
    <w:rsid w:val="009B0CC2"/>
    <w:rsid w:val="009B23B9"/>
    <w:rsid w:val="009B3559"/>
    <w:rsid w:val="009B7F5A"/>
    <w:rsid w:val="009D0524"/>
    <w:rsid w:val="009D3911"/>
    <w:rsid w:val="009E7440"/>
    <w:rsid w:val="009F0F55"/>
    <w:rsid w:val="009F2ABD"/>
    <w:rsid w:val="009F76DF"/>
    <w:rsid w:val="00A07499"/>
    <w:rsid w:val="00A257B1"/>
    <w:rsid w:val="00A262ED"/>
    <w:rsid w:val="00A27756"/>
    <w:rsid w:val="00A3471E"/>
    <w:rsid w:val="00A4397C"/>
    <w:rsid w:val="00A43CC0"/>
    <w:rsid w:val="00A45277"/>
    <w:rsid w:val="00A47A59"/>
    <w:rsid w:val="00A51F56"/>
    <w:rsid w:val="00A54FD6"/>
    <w:rsid w:val="00A60AFD"/>
    <w:rsid w:val="00A70C90"/>
    <w:rsid w:val="00A71217"/>
    <w:rsid w:val="00A83780"/>
    <w:rsid w:val="00A90A1F"/>
    <w:rsid w:val="00A91384"/>
    <w:rsid w:val="00A930CB"/>
    <w:rsid w:val="00A976D8"/>
    <w:rsid w:val="00AB2338"/>
    <w:rsid w:val="00AB4149"/>
    <w:rsid w:val="00AD754F"/>
    <w:rsid w:val="00AE557A"/>
    <w:rsid w:val="00AE79EE"/>
    <w:rsid w:val="00B02818"/>
    <w:rsid w:val="00B15514"/>
    <w:rsid w:val="00B21A10"/>
    <w:rsid w:val="00B220CB"/>
    <w:rsid w:val="00B26C7E"/>
    <w:rsid w:val="00B40ABB"/>
    <w:rsid w:val="00B5295E"/>
    <w:rsid w:val="00B550FA"/>
    <w:rsid w:val="00B5543C"/>
    <w:rsid w:val="00B6475F"/>
    <w:rsid w:val="00B65B35"/>
    <w:rsid w:val="00B67B11"/>
    <w:rsid w:val="00B80642"/>
    <w:rsid w:val="00B8605A"/>
    <w:rsid w:val="00B90D63"/>
    <w:rsid w:val="00BB07BE"/>
    <w:rsid w:val="00BB0BAE"/>
    <w:rsid w:val="00BB6F26"/>
    <w:rsid w:val="00BB760E"/>
    <w:rsid w:val="00BC0379"/>
    <w:rsid w:val="00BD3AA5"/>
    <w:rsid w:val="00BF2C08"/>
    <w:rsid w:val="00C01145"/>
    <w:rsid w:val="00C045C3"/>
    <w:rsid w:val="00C06096"/>
    <w:rsid w:val="00C10461"/>
    <w:rsid w:val="00C161BF"/>
    <w:rsid w:val="00C16832"/>
    <w:rsid w:val="00C351D5"/>
    <w:rsid w:val="00C468BE"/>
    <w:rsid w:val="00C53B1A"/>
    <w:rsid w:val="00C54749"/>
    <w:rsid w:val="00C74EB7"/>
    <w:rsid w:val="00C80AF8"/>
    <w:rsid w:val="00C82642"/>
    <w:rsid w:val="00C86FD6"/>
    <w:rsid w:val="00C92840"/>
    <w:rsid w:val="00CA25A7"/>
    <w:rsid w:val="00CA44F7"/>
    <w:rsid w:val="00CB349A"/>
    <w:rsid w:val="00CB64D4"/>
    <w:rsid w:val="00CC6920"/>
    <w:rsid w:val="00CD3D71"/>
    <w:rsid w:val="00CE788A"/>
    <w:rsid w:val="00CF2FFB"/>
    <w:rsid w:val="00CF644C"/>
    <w:rsid w:val="00D01FF9"/>
    <w:rsid w:val="00D1280D"/>
    <w:rsid w:val="00D14E02"/>
    <w:rsid w:val="00D15315"/>
    <w:rsid w:val="00D15C98"/>
    <w:rsid w:val="00D15FF5"/>
    <w:rsid w:val="00D20222"/>
    <w:rsid w:val="00D2291D"/>
    <w:rsid w:val="00D40D9F"/>
    <w:rsid w:val="00D450BB"/>
    <w:rsid w:val="00D62B28"/>
    <w:rsid w:val="00D67E1F"/>
    <w:rsid w:val="00D914DA"/>
    <w:rsid w:val="00D94850"/>
    <w:rsid w:val="00DA3853"/>
    <w:rsid w:val="00DA5B0D"/>
    <w:rsid w:val="00DB31AF"/>
    <w:rsid w:val="00DD3304"/>
    <w:rsid w:val="00DE4EC1"/>
    <w:rsid w:val="00DF1BF5"/>
    <w:rsid w:val="00DF21D0"/>
    <w:rsid w:val="00E014E3"/>
    <w:rsid w:val="00E10902"/>
    <w:rsid w:val="00E24560"/>
    <w:rsid w:val="00E30D12"/>
    <w:rsid w:val="00E362BD"/>
    <w:rsid w:val="00E516E4"/>
    <w:rsid w:val="00E56D15"/>
    <w:rsid w:val="00E642D3"/>
    <w:rsid w:val="00E750E6"/>
    <w:rsid w:val="00E82EAC"/>
    <w:rsid w:val="00E87E86"/>
    <w:rsid w:val="00E90FDA"/>
    <w:rsid w:val="00E9178F"/>
    <w:rsid w:val="00E9394F"/>
    <w:rsid w:val="00EA3ACC"/>
    <w:rsid w:val="00EA76C7"/>
    <w:rsid w:val="00EB05A7"/>
    <w:rsid w:val="00EB067F"/>
    <w:rsid w:val="00EB1FDF"/>
    <w:rsid w:val="00EC64A7"/>
    <w:rsid w:val="00EC674C"/>
    <w:rsid w:val="00EC7101"/>
    <w:rsid w:val="00EF3ED4"/>
    <w:rsid w:val="00F00169"/>
    <w:rsid w:val="00F126BA"/>
    <w:rsid w:val="00F17B0D"/>
    <w:rsid w:val="00F23CE8"/>
    <w:rsid w:val="00F334D8"/>
    <w:rsid w:val="00F40698"/>
    <w:rsid w:val="00F47122"/>
    <w:rsid w:val="00F53EF8"/>
    <w:rsid w:val="00F60F92"/>
    <w:rsid w:val="00F62296"/>
    <w:rsid w:val="00F66AF2"/>
    <w:rsid w:val="00F71BEF"/>
    <w:rsid w:val="00F72420"/>
    <w:rsid w:val="00F75D71"/>
    <w:rsid w:val="00F91F18"/>
    <w:rsid w:val="00F9436C"/>
    <w:rsid w:val="00FA3DD1"/>
    <w:rsid w:val="00FA3F78"/>
    <w:rsid w:val="00FA6226"/>
    <w:rsid w:val="00FB42C7"/>
    <w:rsid w:val="00FB5ED5"/>
    <w:rsid w:val="00FC3AB9"/>
    <w:rsid w:val="00FC4F27"/>
    <w:rsid w:val="00FC54F4"/>
    <w:rsid w:val="00FC78DD"/>
    <w:rsid w:val="00FD6CCD"/>
    <w:rsid w:val="00FE1FCA"/>
    <w:rsid w:val="00FE6F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character" w:styleId="UnresolvedMention">
    <w:name w:val="Unresolved Mention"/>
    <w:basedOn w:val="DefaultParagraphFont"/>
    <w:uiPriority w:val="99"/>
    <w:semiHidden/>
    <w:unhideWhenUsed/>
    <w:rsid w:val="00306AE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02/cb.328" TargetMode="External"/><Relationship Id="rId18" Type="http://schemas.openxmlformats.org/officeDocument/2006/relationships/hyperlink" Target="https://doi.org/10.1509/jm.15.0420" TargetMode="External"/><Relationship Id="rId26" Type="http://schemas.openxmlformats.org/officeDocument/2006/relationships/hyperlink" Target="https://doi.org/10.1108/09604520710834975" TargetMode="External"/><Relationship Id="rId39" Type="http://schemas.openxmlformats.org/officeDocument/2006/relationships/hyperlink" Target="https://doi.org/10.1007/978-1-4615-4651-1" TargetMode="External"/><Relationship Id="rId21" Type="http://schemas.openxmlformats.org/officeDocument/2006/relationships/hyperlink" Target="https://doi.org/10.1177/002224299405800302" TargetMode="External"/><Relationship Id="rId34" Type="http://schemas.openxmlformats.org/officeDocument/2006/relationships/hyperlink" Target="https://doi.org/10.1177/009207030102900102" TargetMode="External"/><Relationship Id="rId42" Type="http://schemas.openxmlformats.org/officeDocument/2006/relationships/hyperlink" Target="https://doi.org/10.1509/jmkr.45.6.741" TargetMode="External"/><Relationship Id="rId47" Type="http://schemas.openxmlformats.org/officeDocument/2006/relationships/hyperlink" Target="https://www.qualitygurus.com/jurans-quality-trilogy-a-comprehensive-guide/" TargetMode="External"/><Relationship Id="rId50"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doi.org/10.1007/s10551-018-4015-y" TargetMode="External"/><Relationship Id="rId29" Type="http://schemas.openxmlformats.org/officeDocument/2006/relationships/hyperlink" Target="https://doi.org/10.1086/209563" TargetMode="External"/><Relationship Id="rId11" Type="http://schemas.openxmlformats.org/officeDocument/2006/relationships/hyperlink" Target="https://doi.org/10.1177/0092070394222001" TargetMode="External"/><Relationship Id="rId24" Type="http://schemas.openxmlformats.org/officeDocument/2006/relationships/hyperlink" Target="https://doi.org/10.1007/s11747-007-0070-0" TargetMode="External"/><Relationship Id="rId32" Type="http://schemas.openxmlformats.org/officeDocument/2006/relationships/hyperlink" Target="https://www.mysnep.com/" TargetMode="External"/><Relationship Id="rId37" Type="http://schemas.openxmlformats.org/officeDocument/2006/relationships/hyperlink" Target="https://doi.org/10.1509/jmkg.68.1.1.24036" TargetMode="External"/><Relationship Id="rId40" Type="http://schemas.openxmlformats.org/officeDocument/2006/relationships/hyperlink" Target="https://doi.org/10.1177/009207039502300414" TargetMode="External"/><Relationship Id="rId45" Type="http://schemas.openxmlformats.org/officeDocument/2006/relationships/hyperlink" Target="https://www.slideshare.net/slideshow/customer-relationship-39121077/39121077" TargetMode="External"/><Relationship Id="rId5" Type="http://schemas.openxmlformats.org/officeDocument/2006/relationships/numbering" Target="numbering.xml"/><Relationship Id="rId15" Type="http://schemas.openxmlformats.org/officeDocument/2006/relationships/hyperlink" Target="https://doi.org/10.5465/amj.2014.4005" TargetMode="External"/><Relationship Id="rId23" Type="http://schemas.openxmlformats.org/officeDocument/2006/relationships/hyperlink" Target="https://doi.org/10.1177/00222429990634s105" TargetMode="External"/><Relationship Id="rId28" Type="http://schemas.openxmlformats.org/officeDocument/2006/relationships/hyperlink" Target="https://doi.org/10.1177/1094670506294666" TargetMode="External"/><Relationship Id="rId36" Type="http://schemas.openxmlformats.org/officeDocument/2006/relationships/hyperlink" Target="https://www.youtube.com/watch?v=FHIo77y12gA" TargetMode="External"/><Relationship Id="rId49" Type="http://schemas.openxmlformats.org/officeDocument/2006/relationships/fontTable" Target="fontTable.xml"/><Relationship Id="rId10" Type="http://schemas.openxmlformats.org/officeDocument/2006/relationships/hyperlink" Target="https://hbr.org/2016/09/the-elements-of-value" TargetMode="External"/><Relationship Id="rId19" Type="http://schemas.openxmlformats.org/officeDocument/2006/relationships/hyperlink" Target="https://doi.org/10.1108/07363760410568707" TargetMode="External"/><Relationship Id="rId31" Type="http://schemas.openxmlformats.org/officeDocument/2006/relationships/hyperlink" Target="https://doi.org/10.1177/002224295602100102" TargetMode="External"/><Relationship Id="rId44" Type="http://schemas.openxmlformats.org/officeDocument/2006/relationships/hyperlink" Target="https://doi.org/10.1108/JSM-01-2017-0027" TargetMode="External"/><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hyperlink" Target="https://doi.org/10.1016/j.emj.2007.08.005" TargetMode="External"/><Relationship Id="rId22" Type="http://schemas.openxmlformats.org/officeDocument/2006/relationships/hyperlink" Target="https://doi.org/10.1177/002224378001700405" TargetMode="External"/><Relationship Id="rId27" Type="http://schemas.openxmlformats.org/officeDocument/2006/relationships/hyperlink" Target="https://doi.org/10.3390/su13010152" TargetMode="External"/><Relationship Id="rId30" Type="http://schemas.openxmlformats.org/officeDocument/2006/relationships/hyperlink" Target="https://www.youtube.com/watch?v=7dQYLzW-7yU" TargetMode="External"/><Relationship Id="rId35" Type="http://schemas.openxmlformats.org/officeDocument/2006/relationships/hyperlink" Target="https://www.youtube.com/watch?v=kARkOdRHaj8" TargetMode="External"/><Relationship Id="rId43" Type="http://schemas.openxmlformats.org/officeDocument/2006/relationships/hyperlink" Target="https://doi.org/10.1177/002224298805200302" TargetMode="External"/><Relationship Id="rId48" Type="http://schemas.openxmlformats.org/officeDocument/2006/relationships/image" Target="media/image2.png"/><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doi.org/10.1177/002224298705100202" TargetMode="External"/><Relationship Id="rId17" Type="http://schemas.openxmlformats.org/officeDocument/2006/relationships/hyperlink" Target="https://doi.org/10.1509/jm.15.0414" TargetMode="External"/><Relationship Id="rId25" Type="http://schemas.openxmlformats.org/officeDocument/2006/relationships/hyperlink" Target="https://doi.org/10.1509/jmkg.2005.69.4.167" TargetMode="External"/><Relationship Id="rId33" Type="http://schemas.openxmlformats.org/officeDocument/2006/relationships/hyperlink" Target="https://doi.org/10.1016/S0022-4359(01)00041-0" TargetMode="External"/><Relationship Id="rId38" Type="http://schemas.openxmlformats.org/officeDocument/2006/relationships/hyperlink" Target="https://doi.org/10.1509/jmkg.67.4.30.18685" TargetMode="External"/><Relationship Id="rId46" Type="http://schemas.openxmlformats.org/officeDocument/2006/relationships/hyperlink" Target="https://uk.trustpilot.com/review/www.mysnep.com" TargetMode="External"/><Relationship Id="rId20" Type="http://schemas.openxmlformats.org/officeDocument/2006/relationships/hyperlink" Target="https://doi.org/10.1108/07363760610712939" TargetMode="External"/><Relationship Id="rId41" Type="http://schemas.openxmlformats.org/officeDocument/2006/relationships/hyperlink" Target="https://doi.org/10.1007/BF02894350" TargetMode="External"/><Relationship Id="rId1" Type="http://schemas.openxmlformats.org/officeDocument/2006/relationships/customXml" Target="../customXml/item1.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7" ma:contentTypeDescription="Create a new document." ma:contentTypeScope="" ma:versionID="745031b7136e6d0b314959d7b3aab4cc">
  <xsd:schema xmlns:xsd="http://www.w3.org/2001/XMLSchema" xmlns:xs="http://www.w3.org/2001/XMLSchema" xmlns:p="http://schemas.microsoft.com/office/2006/metadata/properties" xmlns:ns2="f66716c4-314f-46c1-b01e-5a44c61897d8" xmlns:ns3="a908d394-d138-480e-87a3-ff44c37f991a" targetNamespace="http://schemas.microsoft.com/office/2006/metadata/properties" ma:root="true" ma:fieldsID="48d543818a17c4c1e3adee1e8de4930a" ns2:_="" ns3:_="">
    <xsd:import namespace="f66716c4-314f-46c1-b01e-5a44c61897d8"/>
    <xsd:import namespace="a908d394-d138-480e-87a3-ff44c37f991a"/>
    <xsd:element name="properties">
      <xsd:complexType>
        <xsd:sequence>
          <xsd:element name="documentManagement">
            <xsd:complexType>
              <xsd:all>
                <xsd:element ref="ns2:SharedWithUsers" minOccurs="0"/>
                <xsd:element ref="ns2:SharingHintHash" minOccurs="0"/>
                <xsd:element ref="ns2:SharedWithDetails" minOccurs="0"/>
                <xsd:element ref="ns3:MediaServiceMetadata" minOccurs="0"/>
                <xsd:element ref="ns3:MediaServiceFastMetadata" minOccurs="0"/>
                <xsd:element ref="ns3:MediaServiceDateTaken" minOccurs="0"/>
                <xsd:element ref="ns3: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908d394-d138-480e-87a3-ff44c37f991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E374F0B-055F-4C2C-A404-9F292475A2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a908d394-d138-480e-87a3-ff44c37f991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4.xml><?xml version="1.0" encoding="utf-8"?>
<ds:datastoreItem xmlns:ds="http://schemas.openxmlformats.org/officeDocument/2006/customXml" ds:itemID="{1EC1A735-55B1-4C9F-ABD8-CAB29B999E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200</TotalTime>
  <Pages>30</Pages>
  <Words>7604</Words>
  <Characters>43349</Characters>
  <Application>Microsoft Office Word</Application>
  <DocSecurity>0</DocSecurity>
  <Lines>361</Lines>
  <Paragraphs>101</Paragraphs>
  <ScaleCrop>false</ScaleCrop>
  <HeadingPairs>
    <vt:vector size="2" baseType="variant">
      <vt:variant>
        <vt:lpstr>Title</vt:lpstr>
      </vt:variant>
      <vt:variant>
        <vt:i4>1</vt:i4>
      </vt:variant>
    </vt:vector>
  </HeadingPairs>
  <TitlesOfParts>
    <vt:vector size="1" baseType="lpstr">
      <vt:lpstr>SfWP Assignment template 2017-2018</vt:lpstr>
    </vt:vector>
  </TitlesOfParts>
  <Company/>
  <LinksUpToDate>false</LinksUpToDate>
  <CharactersWithSpaces>50852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Assignmant template 2022</dc:title>
  <dc:subject>Assignmant template 2022</dc:subject>
  <dc:creator>Julia Ault</dc:creator>
  <cp:keywords/>
  <dc:description/>
  <cp:lastModifiedBy>Alexandra Moise</cp:lastModifiedBy>
  <cp:revision>93</cp:revision>
  <dcterms:created xsi:type="dcterms:W3CDTF">2026-07-22T02:16:00Z</dcterms:created>
  <dcterms:modified xsi:type="dcterms:W3CDTF">2026-07-26T10:32:00Z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