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008AA" w14:textId="77777777" w:rsidR="00C352EB" w:rsidRDefault="00C352EB" w:rsidP="00C95A03">
      <w:pPr>
        <w:pStyle w:val="Heading1"/>
        <w:spacing w:line="360" w:lineRule="auto"/>
        <w:rPr>
          <w:rFonts w:ascii="Arial" w:hAnsi="Arial" w:cs="Arial"/>
          <w:b/>
          <w:color w:val="auto"/>
          <w:sz w:val="24"/>
          <w:szCs w:val="24"/>
        </w:rPr>
      </w:pPr>
      <w:r>
        <w:rPr>
          <w:rFonts w:ascii="Arial" w:hAnsi="Arial" w:cs="Arial"/>
          <w:b/>
          <w:color w:val="auto"/>
          <w:sz w:val="24"/>
          <w:szCs w:val="24"/>
        </w:rPr>
        <w:t xml:space="preserve">Student name: Sandra </w:t>
      </w:r>
      <w:proofErr w:type="spellStart"/>
      <w:r>
        <w:rPr>
          <w:rFonts w:ascii="Arial" w:hAnsi="Arial" w:cs="Arial"/>
          <w:b/>
          <w:color w:val="auto"/>
          <w:sz w:val="24"/>
          <w:szCs w:val="24"/>
        </w:rPr>
        <w:t>Gorolova</w:t>
      </w:r>
      <w:proofErr w:type="spellEnd"/>
    </w:p>
    <w:p w14:paraId="4CFC0292" w14:textId="77777777" w:rsidR="00C352EB" w:rsidRDefault="00C352EB" w:rsidP="00C95A03">
      <w:pPr>
        <w:pStyle w:val="Heading1"/>
        <w:spacing w:line="360" w:lineRule="auto"/>
        <w:rPr>
          <w:rFonts w:ascii="Arial" w:hAnsi="Arial" w:cs="Arial"/>
          <w:b/>
          <w:color w:val="auto"/>
          <w:sz w:val="24"/>
          <w:szCs w:val="24"/>
        </w:rPr>
      </w:pPr>
      <w:r>
        <w:rPr>
          <w:rFonts w:ascii="Arial" w:hAnsi="Arial" w:cs="Arial"/>
          <w:b/>
          <w:color w:val="auto"/>
          <w:sz w:val="24"/>
          <w:szCs w:val="24"/>
        </w:rPr>
        <w:t>Date: 28/02/2024</w:t>
      </w:r>
    </w:p>
    <w:p w14:paraId="1CD960BD" w14:textId="77777777" w:rsidR="00C352EB" w:rsidRDefault="00C352EB" w:rsidP="00C95A03">
      <w:pPr>
        <w:pStyle w:val="Heading1"/>
        <w:spacing w:line="360" w:lineRule="auto"/>
        <w:rPr>
          <w:rFonts w:ascii="Arial" w:hAnsi="Arial" w:cs="Arial"/>
          <w:b/>
          <w:color w:val="auto"/>
          <w:sz w:val="24"/>
          <w:szCs w:val="24"/>
        </w:rPr>
      </w:pPr>
    </w:p>
    <w:p w14:paraId="3F5B5573" w14:textId="7AFB7C38" w:rsidR="009F5DED" w:rsidRPr="00C95A03" w:rsidRDefault="00C95A03" w:rsidP="00C95A03">
      <w:pPr>
        <w:pStyle w:val="Heading1"/>
        <w:spacing w:line="360" w:lineRule="auto"/>
        <w:rPr>
          <w:rFonts w:ascii="Arial" w:hAnsi="Arial" w:cs="Arial"/>
          <w:b/>
          <w:color w:val="auto"/>
          <w:sz w:val="24"/>
          <w:szCs w:val="24"/>
        </w:rPr>
      </w:pPr>
      <w:r w:rsidRPr="00C95A03">
        <w:rPr>
          <w:rFonts w:ascii="Arial" w:hAnsi="Arial" w:cs="Arial"/>
          <w:b/>
          <w:color w:val="auto"/>
          <w:sz w:val="24"/>
          <w:szCs w:val="24"/>
        </w:rPr>
        <w:t>Hybrid Workplace</w:t>
      </w:r>
    </w:p>
    <w:p w14:paraId="2DE9E216" w14:textId="20829AEB" w:rsidR="009F5DED" w:rsidRPr="00C95A03" w:rsidRDefault="00DA0581" w:rsidP="00C95A03">
      <w:pPr>
        <w:autoSpaceDE w:val="0"/>
        <w:autoSpaceDN w:val="0"/>
        <w:adjustRightInd w:val="0"/>
        <w:spacing w:after="0" w:line="360" w:lineRule="auto"/>
        <w:jc w:val="both"/>
        <w:rPr>
          <w:rFonts w:ascii="Arial" w:hAnsi="Arial" w:cs="Arial"/>
          <w:color w:val="000000"/>
          <w:sz w:val="24"/>
          <w:szCs w:val="24"/>
        </w:rPr>
      </w:pPr>
      <w:r w:rsidRPr="00DA0581">
        <w:rPr>
          <w:rFonts w:ascii="Arial" w:hAnsi="Arial" w:cs="Arial"/>
          <w:color w:val="000000"/>
          <w:sz w:val="24"/>
          <w:szCs w:val="24"/>
        </w:rPr>
        <w:t>Ghio</w:t>
      </w:r>
      <w:r>
        <w:rPr>
          <w:rFonts w:ascii="Arial" w:hAnsi="Arial" w:cs="Arial"/>
          <w:color w:val="000000"/>
          <w:sz w:val="24"/>
          <w:szCs w:val="24"/>
        </w:rPr>
        <w:t xml:space="preserve"> </w:t>
      </w:r>
      <w:r w:rsidRPr="00DA0581">
        <w:rPr>
          <w:rFonts w:ascii="Arial" w:hAnsi="Arial" w:cs="Arial"/>
          <w:color w:val="000000"/>
          <w:sz w:val="24"/>
          <w:szCs w:val="24"/>
        </w:rPr>
        <w:t xml:space="preserve">and Verona </w:t>
      </w:r>
      <w:r w:rsidR="009F5DED" w:rsidRPr="00C95A03">
        <w:rPr>
          <w:rFonts w:ascii="Arial" w:hAnsi="Arial" w:cs="Arial"/>
          <w:color w:val="000000"/>
          <w:sz w:val="24"/>
          <w:szCs w:val="24"/>
        </w:rPr>
        <w:t>(20</w:t>
      </w:r>
      <w:r>
        <w:rPr>
          <w:rFonts w:ascii="Arial" w:hAnsi="Arial" w:cs="Arial"/>
          <w:color w:val="000000"/>
          <w:sz w:val="24"/>
          <w:szCs w:val="24"/>
        </w:rPr>
        <w:t>22</w:t>
      </w:r>
      <w:r w:rsidR="009F5DED" w:rsidRPr="00C95A03">
        <w:rPr>
          <w:rFonts w:ascii="Arial" w:hAnsi="Arial" w:cs="Arial"/>
          <w:color w:val="000000"/>
          <w:sz w:val="24"/>
          <w:szCs w:val="24"/>
        </w:rPr>
        <w:t xml:space="preserve">) define hybrid work as a combination of office and remote work. In order to sustain hybridity through deliberate flexibility in the face of change, new leadership strategies and </w:t>
      </w:r>
      <w:proofErr w:type="spellStart"/>
      <w:r w:rsidR="00963FEC" w:rsidRPr="00C95A03">
        <w:rPr>
          <w:rFonts w:ascii="Arial" w:hAnsi="Arial" w:cs="Arial"/>
          <w:color w:val="000000"/>
          <w:sz w:val="24"/>
          <w:szCs w:val="24"/>
        </w:rPr>
        <w:t>organi</w:t>
      </w:r>
      <w:r w:rsidR="00963FEC">
        <w:rPr>
          <w:rFonts w:ascii="Arial" w:hAnsi="Arial" w:cs="Arial"/>
          <w:color w:val="000000"/>
          <w:sz w:val="24"/>
          <w:szCs w:val="24"/>
        </w:rPr>
        <w:t>s</w:t>
      </w:r>
      <w:r w:rsidR="00963FEC" w:rsidRPr="00C95A03">
        <w:rPr>
          <w:rFonts w:ascii="Arial" w:hAnsi="Arial" w:cs="Arial"/>
          <w:color w:val="000000"/>
          <w:sz w:val="24"/>
          <w:szCs w:val="24"/>
        </w:rPr>
        <w:t>ational</w:t>
      </w:r>
      <w:proofErr w:type="spellEnd"/>
      <w:r w:rsidR="009F5DED" w:rsidRPr="00C95A03">
        <w:rPr>
          <w:rFonts w:ascii="Arial" w:hAnsi="Arial" w:cs="Arial"/>
          <w:color w:val="000000"/>
          <w:sz w:val="24"/>
          <w:szCs w:val="24"/>
        </w:rPr>
        <w:t xml:space="preserve"> structures are required. According to </w:t>
      </w:r>
      <w:r w:rsidRPr="00DA0581">
        <w:rPr>
          <w:rFonts w:ascii="Arial" w:hAnsi="Arial" w:cs="Arial"/>
          <w:color w:val="000000"/>
          <w:sz w:val="24"/>
          <w:szCs w:val="24"/>
        </w:rPr>
        <w:t>Khan</w:t>
      </w:r>
      <w:r>
        <w:rPr>
          <w:rFonts w:ascii="Arial" w:hAnsi="Arial" w:cs="Arial"/>
          <w:color w:val="000000"/>
          <w:sz w:val="24"/>
          <w:szCs w:val="24"/>
        </w:rPr>
        <w:t xml:space="preserve"> et al. </w:t>
      </w:r>
      <w:r w:rsidR="009F5DED" w:rsidRPr="00C95A03">
        <w:rPr>
          <w:rFonts w:ascii="Arial" w:hAnsi="Arial" w:cs="Arial"/>
          <w:color w:val="000000"/>
          <w:sz w:val="24"/>
          <w:szCs w:val="24"/>
        </w:rPr>
        <w:t>(202</w:t>
      </w:r>
      <w:r>
        <w:rPr>
          <w:rFonts w:ascii="Arial" w:hAnsi="Arial" w:cs="Arial"/>
          <w:color w:val="000000"/>
          <w:sz w:val="24"/>
          <w:szCs w:val="24"/>
        </w:rPr>
        <w:t>4</w:t>
      </w:r>
      <w:r w:rsidR="009F5DED" w:rsidRPr="00C95A03">
        <w:rPr>
          <w:rFonts w:ascii="Arial" w:hAnsi="Arial" w:cs="Arial"/>
          <w:color w:val="000000"/>
          <w:sz w:val="24"/>
          <w:szCs w:val="24"/>
        </w:rPr>
        <w:t xml:space="preserve">), diversified leadership improves both team performance and alignment. It's critical to distinguish between teams and groups here. You may find it easier to lead and collaborate if you use Belbin's team roles and Tuckman's stages of team development. According to </w:t>
      </w:r>
      <w:r w:rsidRPr="00DA0581">
        <w:rPr>
          <w:rFonts w:ascii="Arial" w:hAnsi="Arial" w:cs="Arial"/>
          <w:color w:val="000000"/>
          <w:sz w:val="24"/>
          <w:szCs w:val="24"/>
        </w:rPr>
        <w:t>Cichosz</w:t>
      </w:r>
      <w:r w:rsidR="009F5DED" w:rsidRPr="00C95A03">
        <w:rPr>
          <w:rFonts w:ascii="Arial" w:hAnsi="Arial" w:cs="Arial"/>
          <w:color w:val="000000"/>
          <w:sz w:val="24"/>
          <w:szCs w:val="24"/>
        </w:rPr>
        <w:t xml:space="preserve"> et al. (202</w:t>
      </w:r>
      <w:r>
        <w:rPr>
          <w:rFonts w:ascii="Arial" w:hAnsi="Arial" w:cs="Arial"/>
          <w:color w:val="000000"/>
          <w:sz w:val="24"/>
          <w:szCs w:val="24"/>
        </w:rPr>
        <w:t>0</w:t>
      </w:r>
      <w:r w:rsidR="009F5DED" w:rsidRPr="00C95A03">
        <w:rPr>
          <w:rFonts w:ascii="Arial" w:hAnsi="Arial" w:cs="Arial"/>
          <w:color w:val="000000"/>
          <w:sz w:val="24"/>
          <w:szCs w:val="24"/>
        </w:rPr>
        <w:t xml:space="preserve">), these models help to streamline leadership and team procedures. In their essay, </w:t>
      </w:r>
      <w:r w:rsidRPr="00DA0581">
        <w:rPr>
          <w:rFonts w:ascii="Arial" w:hAnsi="Arial" w:cs="Arial"/>
          <w:color w:val="000000"/>
          <w:sz w:val="24"/>
          <w:szCs w:val="24"/>
        </w:rPr>
        <w:t xml:space="preserve">Chanana and Sangeeta </w:t>
      </w:r>
      <w:r>
        <w:rPr>
          <w:rFonts w:ascii="Arial" w:hAnsi="Arial" w:cs="Arial"/>
          <w:color w:val="000000"/>
          <w:sz w:val="24"/>
          <w:szCs w:val="24"/>
        </w:rPr>
        <w:t>(</w:t>
      </w:r>
      <w:r w:rsidRPr="00C95A03">
        <w:rPr>
          <w:rFonts w:ascii="Arial" w:hAnsi="Arial" w:cs="Arial"/>
          <w:color w:val="000000"/>
          <w:sz w:val="24"/>
          <w:szCs w:val="24"/>
        </w:rPr>
        <w:t>2023</w:t>
      </w:r>
      <w:r>
        <w:rPr>
          <w:rFonts w:ascii="Arial" w:hAnsi="Arial" w:cs="Arial"/>
          <w:color w:val="000000"/>
          <w:sz w:val="24"/>
          <w:szCs w:val="24"/>
        </w:rPr>
        <w:t xml:space="preserve">) </w:t>
      </w:r>
      <w:r w:rsidR="009F5DED" w:rsidRPr="00C95A03">
        <w:rPr>
          <w:rFonts w:ascii="Arial" w:hAnsi="Arial" w:cs="Arial"/>
          <w:color w:val="000000"/>
          <w:sz w:val="24"/>
          <w:szCs w:val="24"/>
        </w:rPr>
        <w:t xml:space="preserve">claim that mixed-tasking has both advantages and disadvantages. </w:t>
      </w:r>
      <w:r w:rsidRPr="00C95A03">
        <w:rPr>
          <w:rFonts w:ascii="Arial" w:hAnsi="Arial" w:cs="Arial"/>
          <w:color w:val="000000"/>
          <w:sz w:val="24"/>
          <w:szCs w:val="24"/>
        </w:rPr>
        <w:t>Some of these considerations include having fun at work and being satisfied with one's employment</w:t>
      </w:r>
      <w:r w:rsidR="009F5DED" w:rsidRPr="00C95A03">
        <w:rPr>
          <w:rFonts w:ascii="Arial" w:hAnsi="Arial" w:cs="Arial"/>
          <w:color w:val="000000"/>
          <w:sz w:val="24"/>
          <w:szCs w:val="24"/>
        </w:rPr>
        <w:t xml:space="preserve">. To overcome these obstacles, companies must modify and regroup. Alterations can be </w:t>
      </w:r>
      <w:proofErr w:type="spellStart"/>
      <w:r w:rsidR="009F5DED" w:rsidRPr="00C95A03">
        <w:rPr>
          <w:rFonts w:ascii="Arial" w:hAnsi="Arial" w:cs="Arial"/>
          <w:color w:val="000000"/>
          <w:sz w:val="24"/>
          <w:szCs w:val="24"/>
        </w:rPr>
        <w:t>visualised</w:t>
      </w:r>
      <w:proofErr w:type="spellEnd"/>
      <w:r w:rsidR="009F5DED" w:rsidRPr="00C95A03">
        <w:rPr>
          <w:rFonts w:ascii="Arial" w:hAnsi="Arial" w:cs="Arial"/>
          <w:color w:val="000000"/>
          <w:sz w:val="24"/>
          <w:szCs w:val="24"/>
        </w:rPr>
        <w:t xml:space="preserve"> by graphing the hybrid work model. In today's workplace, it is critical to establish a balance between flexibility, collaboration, and effective leadership.</w:t>
      </w:r>
    </w:p>
    <w:p w14:paraId="00934082" w14:textId="77777777" w:rsidR="00C95A03" w:rsidRPr="00C95A03" w:rsidRDefault="00C95A03" w:rsidP="00C95A03">
      <w:pPr>
        <w:pStyle w:val="Heading1"/>
        <w:spacing w:line="360" w:lineRule="auto"/>
        <w:rPr>
          <w:rFonts w:ascii="Arial" w:hAnsi="Arial" w:cs="Arial"/>
          <w:b/>
          <w:color w:val="auto"/>
          <w:sz w:val="24"/>
          <w:szCs w:val="24"/>
        </w:rPr>
      </w:pPr>
      <w:r w:rsidRPr="00C95A03">
        <w:rPr>
          <w:rFonts w:ascii="Arial" w:hAnsi="Arial" w:cs="Arial"/>
          <w:b/>
          <w:color w:val="auto"/>
          <w:sz w:val="24"/>
          <w:szCs w:val="24"/>
        </w:rPr>
        <w:t xml:space="preserve">Understanding </w:t>
      </w:r>
      <w:r w:rsidR="00DA0581">
        <w:rPr>
          <w:rFonts w:ascii="Arial" w:hAnsi="Arial" w:cs="Arial"/>
          <w:b/>
          <w:color w:val="auto"/>
          <w:sz w:val="24"/>
          <w:szCs w:val="24"/>
        </w:rPr>
        <w:t>Teams</w:t>
      </w:r>
      <w:r w:rsidRPr="00C95A03">
        <w:rPr>
          <w:rFonts w:ascii="Arial" w:hAnsi="Arial" w:cs="Arial"/>
          <w:b/>
          <w:color w:val="auto"/>
          <w:sz w:val="24"/>
          <w:szCs w:val="24"/>
        </w:rPr>
        <w:t xml:space="preserve"> and Their Dynamics</w:t>
      </w:r>
    </w:p>
    <w:p w14:paraId="2C1E7EE3" w14:textId="77777777" w:rsidR="009F5DED" w:rsidRPr="00C95A03" w:rsidRDefault="009F5DED" w:rsidP="00C95A03">
      <w:pPr>
        <w:spacing w:line="360" w:lineRule="auto"/>
        <w:jc w:val="both"/>
        <w:rPr>
          <w:rFonts w:ascii="Arial" w:hAnsi="Arial" w:cs="Arial"/>
          <w:sz w:val="24"/>
          <w:szCs w:val="24"/>
        </w:rPr>
      </w:pPr>
      <w:r w:rsidRPr="00C95A03">
        <w:rPr>
          <w:rFonts w:ascii="Arial" w:hAnsi="Arial" w:cs="Arial"/>
          <w:color w:val="000000"/>
          <w:sz w:val="24"/>
          <w:szCs w:val="24"/>
        </w:rPr>
        <w:t>Cooperative groups and teams are not synonymous in the context of human interaction. Tuckman's stages of group development, which include forming, raging, norming, performing, and adjourning, provide as examples of these periods. The execution of these tactics by groups results in successful inception, progression, and conclusion (</w:t>
      </w:r>
      <w:proofErr w:type="spellStart"/>
      <w:r w:rsidR="00DA0581" w:rsidRPr="00DA0581">
        <w:rPr>
          <w:rFonts w:ascii="Arial" w:hAnsi="Arial" w:cs="Arial"/>
          <w:color w:val="000000"/>
          <w:sz w:val="24"/>
          <w:szCs w:val="24"/>
        </w:rPr>
        <w:t>Walunas</w:t>
      </w:r>
      <w:proofErr w:type="spellEnd"/>
      <w:r w:rsidRPr="00C95A03">
        <w:rPr>
          <w:rFonts w:ascii="Arial" w:hAnsi="Arial" w:cs="Arial"/>
          <w:color w:val="000000"/>
          <w:sz w:val="24"/>
          <w:szCs w:val="24"/>
        </w:rPr>
        <w:t xml:space="preserve"> et al., 2021). Innovative groups achieve their objectives, overcome obstacles, and improve overall performance. Improved communication, trust, and esteem between team members can be beneficial (</w:t>
      </w:r>
      <w:r w:rsidR="00DA0581" w:rsidRPr="00DA0581">
        <w:rPr>
          <w:rFonts w:ascii="Arial" w:hAnsi="Arial" w:cs="Arial"/>
          <w:color w:val="000000"/>
          <w:sz w:val="24"/>
          <w:szCs w:val="24"/>
        </w:rPr>
        <w:t>Rizzi</w:t>
      </w:r>
      <w:r w:rsidR="00DA0581">
        <w:rPr>
          <w:rFonts w:ascii="Arial" w:hAnsi="Arial" w:cs="Arial"/>
          <w:color w:val="000000"/>
          <w:sz w:val="24"/>
          <w:szCs w:val="24"/>
        </w:rPr>
        <w:t xml:space="preserve"> et al.</w:t>
      </w:r>
      <w:r w:rsidRPr="00C95A03">
        <w:rPr>
          <w:rFonts w:ascii="Arial" w:hAnsi="Arial" w:cs="Arial"/>
          <w:color w:val="000000"/>
          <w:sz w:val="24"/>
          <w:szCs w:val="24"/>
        </w:rPr>
        <w:t>, 202</w:t>
      </w:r>
      <w:r w:rsidR="00DA0581">
        <w:rPr>
          <w:rFonts w:ascii="Arial" w:hAnsi="Arial" w:cs="Arial"/>
          <w:color w:val="000000"/>
          <w:sz w:val="24"/>
          <w:szCs w:val="24"/>
        </w:rPr>
        <w:t>0</w:t>
      </w:r>
      <w:r w:rsidRPr="00C95A03">
        <w:rPr>
          <w:rFonts w:ascii="Arial" w:hAnsi="Arial" w:cs="Arial"/>
          <w:color w:val="000000"/>
          <w:sz w:val="24"/>
          <w:szCs w:val="24"/>
        </w:rPr>
        <w:t xml:space="preserve">). Belbin's three roles—shapers, implementers, and coordinators—help to increase the dynamic by defining clear obligations for each team member in order to maintain harmony and productivity. Using this data, forming strategic teams becomes simple, allowing for equitable participation </w:t>
      </w:r>
      <w:r w:rsidRPr="00C95A03">
        <w:rPr>
          <w:rFonts w:ascii="Arial" w:hAnsi="Arial" w:cs="Arial"/>
          <w:color w:val="000000"/>
          <w:sz w:val="24"/>
          <w:szCs w:val="24"/>
        </w:rPr>
        <w:lastRenderedPageBreak/>
        <w:t>from all members (</w:t>
      </w:r>
      <w:r w:rsidR="00DA0581" w:rsidRPr="00DA0581">
        <w:rPr>
          <w:rFonts w:ascii="Arial" w:hAnsi="Arial" w:cs="Arial"/>
          <w:color w:val="000000"/>
          <w:sz w:val="24"/>
          <w:szCs w:val="24"/>
        </w:rPr>
        <w:t xml:space="preserve">Kania </w:t>
      </w:r>
      <w:r w:rsidRPr="00C95A03">
        <w:rPr>
          <w:rFonts w:ascii="Arial" w:hAnsi="Arial" w:cs="Arial"/>
          <w:color w:val="000000"/>
          <w:sz w:val="24"/>
          <w:szCs w:val="24"/>
        </w:rPr>
        <w:t xml:space="preserve">et al., 2022). Integrating Belbin's responsibilities with Tuckman's developmental framework allows for a more holistic approach to </w:t>
      </w:r>
      <w:proofErr w:type="spellStart"/>
      <w:r w:rsidRPr="00C95A03">
        <w:rPr>
          <w:rFonts w:ascii="Arial" w:hAnsi="Arial" w:cs="Arial"/>
          <w:color w:val="000000"/>
          <w:sz w:val="24"/>
          <w:szCs w:val="24"/>
        </w:rPr>
        <w:t>maximising</w:t>
      </w:r>
      <w:proofErr w:type="spellEnd"/>
      <w:r w:rsidRPr="00C95A03">
        <w:rPr>
          <w:rFonts w:ascii="Arial" w:hAnsi="Arial" w:cs="Arial"/>
          <w:color w:val="000000"/>
          <w:sz w:val="24"/>
          <w:szCs w:val="24"/>
        </w:rPr>
        <w:t xml:space="preserve"> collaboration and achieving goals.</w:t>
      </w:r>
    </w:p>
    <w:p w14:paraId="28F6A522" w14:textId="77777777" w:rsidR="009F5DED" w:rsidRPr="00C95A03" w:rsidRDefault="00C95A03" w:rsidP="00C95A03">
      <w:pPr>
        <w:pStyle w:val="Heading1"/>
        <w:spacing w:line="360" w:lineRule="auto"/>
        <w:rPr>
          <w:rFonts w:ascii="Arial" w:hAnsi="Arial" w:cs="Arial"/>
          <w:b/>
          <w:color w:val="auto"/>
          <w:sz w:val="24"/>
          <w:szCs w:val="24"/>
        </w:rPr>
      </w:pPr>
      <w:r w:rsidRPr="00C95A03">
        <w:rPr>
          <w:rFonts w:ascii="Arial" w:hAnsi="Arial" w:cs="Arial"/>
          <w:b/>
          <w:color w:val="auto"/>
          <w:sz w:val="24"/>
          <w:szCs w:val="24"/>
        </w:rPr>
        <w:t>Challenges Overcoming</w:t>
      </w:r>
    </w:p>
    <w:p w14:paraId="1929C017" w14:textId="77777777" w:rsidR="009F5DED" w:rsidRPr="00C95A03" w:rsidRDefault="009F5DED" w:rsidP="00C95A03">
      <w:pPr>
        <w:autoSpaceDE w:val="0"/>
        <w:autoSpaceDN w:val="0"/>
        <w:adjustRightInd w:val="0"/>
        <w:spacing w:after="0" w:line="360" w:lineRule="auto"/>
        <w:jc w:val="both"/>
        <w:rPr>
          <w:rFonts w:ascii="Arial" w:hAnsi="Arial" w:cs="Arial"/>
          <w:color w:val="000000"/>
          <w:sz w:val="24"/>
          <w:szCs w:val="24"/>
        </w:rPr>
      </w:pPr>
      <w:r w:rsidRPr="00C95A03">
        <w:rPr>
          <w:rFonts w:ascii="Arial" w:hAnsi="Arial" w:cs="Arial"/>
          <w:color w:val="000000"/>
          <w:sz w:val="24"/>
          <w:szCs w:val="24"/>
        </w:rPr>
        <w:t xml:space="preserve">Because of the unusual blend of </w:t>
      </w:r>
      <w:r w:rsidR="00DA0581">
        <w:rPr>
          <w:rFonts w:ascii="Arial" w:hAnsi="Arial" w:cs="Arial"/>
          <w:color w:val="000000"/>
          <w:sz w:val="24"/>
          <w:szCs w:val="24"/>
        </w:rPr>
        <w:t>face-to-face</w:t>
      </w:r>
      <w:r w:rsidRPr="00C95A03">
        <w:rPr>
          <w:rFonts w:ascii="Arial" w:hAnsi="Arial" w:cs="Arial"/>
          <w:color w:val="000000"/>
          <w:sz w:val="24"/>
          <w:szCs w:val="24"/>
        </w:rPr>
        <w:t xml:space="preserve"> and distant contacts, hybrid teams face new obstacles in cooperation, communication, and team cohesiveness. These concerns stem primarily from the hybrid team's composition. Consistent virtual interactions and digital resources can foster effective task delegation, open communication protocols, and harmonious group dynamics (</w:t>
      </w:r>
      <w:r w:rsidR="00DA0581" w:rsidRPr="00DA0581">
        <w:rPr>
          <w:rFonts w:ascii="Arial" w:hAnsi="Arial" w:cs="Arial"/>
          <w:color w:val="000000"/>
          <w:sz w:val="24"/>
          <w:szCs w:val="24"/>
        </w:rPr>
        <w:t>Swart</w:t>
      </w:r>
      <w:r w:rsidRPr="00C95A03">
        <w:rPr>
          <w:rFonts w:ascii="Arial" w:hAnsi="Arial" w:cs="Arial"/>
          <w:color w:val="000000"/>
          <w:sz w:val="24"/>
          <w:szCs w:val="24"/>
        </w:rPr>
        <w:t xml:space="preserve"> et al., 202</w:t>
      </w:r>
      <w:r w:rsidR="00DA0581">
        <w:rPr>
          <w:rFonts w:ascii="Arial" w:hAnsi="Arial" w:cs="Arial"/>
          <w:color w:val="000000"/>
          <w:sz w:val="24"/>
          <w:szCs w:val="24"/>
        </w:rPr>
        <w:t>2</w:t>
      </w:r>
      <w:r w:rsidRPr="00C95A03">
        <w:rPr>
          <w:rFonts w:ascii="Arial" w:hAnsi="Arial" w:cs="Arial"/>
          <w:color w:val="000000"/>
          <w:sz w:val="24"/>
          <w:szCs w:val="24"/>
        </w:rPr>
        <w:t>). These problems can be solved using the offered solutions. In hybrid environments, equitable contribution evaluations are critical for maintaining optimal performance and inspiring team members (</w:t>
      </w:r>
      <w:r w:rsidR="00DA0581" w:rsidRPr="00DA0581">
        <w:rPr>
          <w:rFonts w:ascii="Arial" w:hAnsi="Arial" w:cs="Arial"/>
          <w:color w:val="000000"/>
          <w:sz w:val="24"/>
          <w:szCs w:val="24"/>
        </w:rPr>
        <w:t>Haque</w:t>
      </w:r>
      <w:r w:rsidRPr="00C95A03">
        <w:rPr>
          <w:rFonts w:ascii="Arial" w:hAnsi="Arial" w:cs="Arial"/>
          <w:color w:val="000000"/>
          <w:sz w:val="24"/>
          <w:szCs w:val="24"/>
        </w:rPr>
        <w:t>, 202</w:t>
      </w:r>
      <w:r w:rsidR="00DA0581">
        <w:rPr>
          <w:rFonts w:ascii="Arial" w:hAnsi="Arial" w:cs="Arial"/>
          <w:color w:val="000000"/>
          <w:sz w:val="24"/>
          <w:szCs w:val="24"/>
        </w:rPr>
        <w:t>3</w:t>
      </w:r>
      <w:r w:rsidRPr="00C95A03">
        <w:rPr>
          <w:rFonts w:ascii="Arial" w:hAnsi="Arial" w:cs="Arial"/>
          <w:color w:val="000000"/>
          <w:sz w:val="24"/>
          <w:szCs w:val="24"/>
        </w:rPr>
        <w:t>). Effective implementation of mixed work policies requires strong foundations and adaptable leadership. IBM and Ericsson overcame challenges through digital collaboration, adaptation, and confidence (</w:t>
      </w:r>
      <w:r w:rsidR="00DA0581" w:rsidRPr="00DA0581">
        <w:rPr>
          <w:rFonts w:ascii="Arial" w:hAnsi="Arial" w:cs="Arial"/>
          <w:color w:val="000000"/>
          <w:sz w:val="24"/>
          <w:szCs w:val="24"/>
        </w:rPr>
        <w:t>Shi</w:t>
      </w:r>
      <w:r w:rsidR="00DA0581">
        <w:rPr>
          <w:rFonts w:ascii="Arial" w:hAnsi="Arial" w:cs="Arial"/>
          <w:color w:val="000000"/>
          <w:sz w:val="24"/>
          <w:szCs w:val="24"/>
        </w:rPr>
        <w:t xml:space="preserve"> et al.</w:t>
      </w:r>
      <w:r w:rsidRPr="00C95A03">
        <w:rPr>
          <w:rFonts w:ascii="Arial" w:hAnsi="Arial" w:cs="Arial"/>
          <w:color w:val="000000"/>
          <w:sz w:val="24"/>
          <w:szCs w:val="24"/>
        </w:rPr>
        <w:t>, 2023). The ultimate goal of this comprehensive hybrid methodology for team management is to increase productivity and cohesion by intentionally implementing cooperation, acknowledgment, and communication.</w:t>
      </w:r>
    </w:p>
    <w:p w14:paraId="71BAED0F" w14:textId="77777777" w:rsidR="009F5DED" w:rsidRPr="00C95A03" w:rsidRDefault="00C95A03" w:rsidP="00C95A03">
      <w:pPr>
        <w:pStyle w:val="Heading1"/>
        <w:spacing w:line="360" w:lineRule="auto"/>
        <w:rPr>
          <w:rFonts w:ascii="Arial" w:hAnsi="Arial" w:cs="Arial"/>
          <w:b/>
          <w:color w:val="auto"/>
          <w:sz w:val="24"/>
          <w:szCs w:val="24"/>
        </w:rPr>
      </w:pPr>
      <w:r w:rsidRPr="00C95A03">
        <w:rPr>
          <w:rFonts w:ascii="Arial" w:hAnsi="Arial" w:cs="Arial"/>
          <w:b/>
          <w:color w:val="auto"/>
          <w:sz w:val="24"/>
          <w:szCs w:val="24"/>
        </w:rPr>
        <w:t>Effective Teamwork</w:t>
      </w:r>
    </w:p>
    <w:p w14:paraId="2B255193" w14:textId="77777777" w:rsidR="009F5DED" w:rsidRPr="00C95A03" w:rsidRDefault="009F5DED" w:rsidP="00C95A03">
      <w:pPr>
        <w:autoSpaceDE w:val="0"/>
        <w:autoSpaceDN w:val="0"/>
        <w:adjustRightInd w:val="0"/>
        <w:spacing w:after="0" w:line="360" w:lineRule="auto"/>
        <w:jc w:val="both"/>
        <w:rPr>
          <w:rFonts w:ascii="Arial" w:hAnsi="Arial" w:cs="Arial"/>
          <w:color w:val="000000"/>
          <w:sz w:val="24"/>
          <w:szCs w:val="24"/>
        </w:rPr>
      </w:pPr>
      <w:r w:rsidRPr="00C95A03">
        <w:rPr>
          <w:rFonts w:ascii="Arial" w:hAnsi="Arial" w:cs="Arial"/>
          <w:color w:val="000000"/>
          <w:sz w:val="24"/>
          <w:szCs w:val="24"/>
        </w:rPr>
        <w:t xml:space="preserve">Hybrid work settings benefit employees by using motivating strategies, strong team relationships, and compassionate </w:t>
      </w:r>
      <w:proofErr w:type="spellStart"/>
      <w:r w:rsidRPr="00C95A03">
        <w:rPr>
          <w:rFonts w:ascii="Arial" w:hAnsi="Arial" w:cs="Arial"/>
          <w:color w:val="000000"/>
          <w:sz w:val="24"/>
          <w:szCs w:val="24"/>
        </w:rPr>
        <w:t>behaviour</w:t>
      </w:r>
      <w:proofErr w:type="spellEnd"/>
      <w:r w:rsidRPr="00C95A03">
        <w:rPr>
          <w:rFonts w:ascii="Arial" w:hAnsi="Arial" w:cs="Arial"/>
          <w:color w:val="000000"/>
          <w:sz w:val="24"/>
          <w:szCs w:val="24"/>
        </w:rPr>
        <w:t xml:space="preserve">. According to </w:t>
      </w:r>
      <w:proofErr w:type="spellStart"/>
      <w:r w:rsidR="00DA0581" w:rsidRPr="00DA0581">
        <w:rPr>
          <w:rFonts w:ascii="Arial" w:hAnsi="Arial" w:cs="Arial"/>
          <w:color w:val="000000"/>
          <w:sz w:val="24"/>
          <w:szCs w:val="24"/>
        </w:rPr>
        <w:t>Kikani</w:t>
      </w:r>
      <w:proofErr w:type="spellEnd"/>
      <w:r w:rsidR="00DA0581" w:rsidRPr="00DA0581">
        <w:rPr>
          <w:rFonts w:ascii="Arial" w:hAnsi="Arial" w:cs="Arial"/>
          <w:color w:val="000000"/>
          <w:sz w:val="24"/>
          <w:szCs w:val="24"/>
        </w:rPr>
        <w:t xml:space="preserve"> </w:t>
      </w:r>
      <w:r w:rsidRPr="00C95A03">
        <w:rPr>
          <w:rFonts w:ascii="Arial" w:hAnsi="Arial" w:cs="Arial"/>
          <w:color w:val="000000"/>
          <w:sz w:val="24"/>
          <w:szCs w:val="24"/>
        </w:rPr>
        <w:t>(20</w:t>
      </w:r>
      <w:r w:rsidR="00DA0581">
        <w:rPr>
          <w:rFonts w:ascii="Arial" w:hAnsi="Arial" w:cs="Arial"/>
          <w:color w:val="000000"/>
          <w:sz w:val="24"/>
          <w:szCs w:val="24"/>
        </w:rPr>
        <w:t>23</w:t>
      </w:r>
      <w:r w:rsidRPr="00C95A03">
        <w:rPr>
          <w:rFonts w:ascii="Arial" w:hAnsi="Arial" w:cs="Arial"/>
          <w:color w:val="000000"/>
          <w:sz w:val="24"/>
          <w:szCs w:val="24"/>
        </w:rPr>
        <w:t xml:space="preserve">), an internet-based strategy called "online applause" that allows coworkers to approve one another's work increased workplace engagement and esprit de corps. Giving employees access to electronic communication is one method. Belbin suggests assigning reciprocal responsibilities to promote team cohesion. To increase project production and speed completion timelines, successful university work teams pick overseers and implementers who divide responsibilities fairly and keep the group informed of updates via monthly online meetings, as stated by </w:t>
      </w:r>
      <w:r w:rsidR="00DA0581" w:rsidRPr="00DA0581">
        <w:rPr>
          <w:rFonts w:ascii="Arial" w:hAnsi="Arial" w:cs="Arial"/>
          <w:color w:val="000000"/>
          <w:sz w:val="24"/>
          <w:szCs w:val="24"/>
        </w:rPr>
        <w:t>Barton</w:t>
      </w:r>
      <w:r w:rsidRPr="00C95A03">
        <w:rPr>
          <w:rFonts w:ascii="Arial" w:hAnsi="Arial" w:cs="Arial"/>
          <w:color w:val="000000"/>
          <w:sz w:val="24"/>
          <w:szCs w:val="24"/>
        </w:rPr>
        <w:t xml:space="preserve"> (202</w:t>
      </w:r>
      <w:r w:rsidR="00DA0581">
        <w:rPr>
          <w:rFonts w:ascii="Arial" w:hAnsi="Arial" w:cs="Arial"/>
          <w:color w:val="000000"/>
          <w:sz w:val="24"/>
          <w:szCs w:val="24"/>
        </w:rPr>
        <w:t>0</w:t>
      </w:r>
      <w:r w:rsidRPr="00C95A03">
        <w:rPr>
          <w:rFonts w:ascii="Arial" w:hAnsi="Arial" w:cs="Arial"/>
          <w:color w:val="000000"/>
          <w:sz w:val="24"/>
          <w:szCs w:val="24"/>
        </w:rPr>
        <w:t xml:space="preserve">). Sharing obligations and resolving conflicts have become essential in digital correspondence. The importance of responsibility and openness in achieving goals and pleasing the team is highlighted by adaptive ways for splitting work and leadership, as well as frequent virtual meetings to discuss issues, in </w:t>
      </w:r>
      <w:r w:rsidRPr="00C95A03">
        <w:rPr>
          <w:rFonts w:ascii="Arial" w:hAnsi="Arial" w:cs="Arial"/>
          <w:color w:val="000000"/>
          <w:sz w:val="24"/>
          <w:szCs w:val="24"/>
        </w:rPr>
        <w:lastRenderedPageBreak/>
        <w:t xml:space="preserve">accordance with </w:t>
      </w:r>
      <w:r w:rsidR="00DA0581" w:rsidRPr="00DA0581">
        <w:rPr>
          <w:rFonts w:ascii="Arial" w:hAnsi="Arial" w:cs="Arial"/>
          <w:color w:val="000000"/>
          <w:sz w:val="24"/>
          <w:szCs w:val="24"/>
        </w:rPr>
        <w:t>Tyagi</w:t>
      </w:r>
      <w:r w:rsidRPr="00C95A03">
        <w:rPr>
          <w:rFonts w:ascii="Arial" w:hAnsi="Arial" w:cs="Arial"/>
          <w:color w:val="000000"/>
          <w:sz w:val="24"/>
          <w:szCs w:val="24"/>
        </w:rPr>
        <w:t xml:space="preserve"> et al. (202</w:t>
      </w:r>
      <w:r w:rsidR="00DA0581">
        <w:rPr>
          <w:rFonts w:ascii="Arial" w:hAnsi="Arial" w:cs="Arial"/>
          <w:color w:val="000000"/>
          <w:sz w:val="24"/>
          <w:szCs w:val="24"/>
        </w:rPr>
        <w:t>2</w:t>
      </w:r>
      <w:r w:rsidRPr="00C95A03">
        <w:rPr>
          <w:rFonts w:ascii="Arial" w:hAnsi="Arial" w:cs="Arial"/>
          <w:color w:val="000000"/>
          <w:sz w:val="24"/>
          <w:szCs w:val="24"/>
        </w:rPr>
        <w:t xml:space="preserve">). To overcome difficulties and </w:t>
      </w:r>
      <w:proofErr w:type="spellStart"/>
      <w:r w:rsidRPr="00C95A03">
        <w:rPr>
          <w:rFonts w:ascii="Arial" w:hAnsi="Arial" w:cs="Arial"/>
          <w:color w:val="000000"/>
          <w:sz w:val="24"/>
          <w:szCs w:val="24"/>
        </w:rPr>
        <w:t>maximise</w:t>
      </w:r>
      <w:proofErr w:type="spellEnd"/>
      <w:r w:rsidRPr="00C95A03">
        <w:rPr>
          <w:rFonts w:ascii="Arial" w:hAnsi="Arial" w:cs="Arial"/>
          <w:color w:val="000000"/>
          <w:sz w:val="24"/>
          <w:szCs w:val="24"/>
        </w:rPr>
        <w:t xml:space="preserve"> benefits, hybrid work requires teamwork, clever reward systems, and transparent engagement.</w:t>
      </w:r>
    </w:p>
    <w:p w14:paraId="51B72CAC" w14:textId="77777777" w:rsidR="009F5DED" w:rsidRPr="00C95A03" w:rsidRDefault="00C95A03" w:rsidP="00C95A03">
      <w:pPr>
        <w:pStyle w:val="Heading1"/>
        <w:spacing w:line="360" w:lineRule="auto"/>
        <w:rPr>
          <w:rFonts w:ascii="Arial" w:hAnsi="Arial" w:cs="Arial"/>
          <w:b/>
          <w:color w:val="auto"/>
          <w:sz w:val="24"/>
          <w:szCs w:val="24"/>
        </w:rPr>
      </w:pPr>
      <w:r w:rsidRPr="00C95A03">
        <w:rPr>
          <w:rFonts w:ascii="Arial" w:hAnsi="Arial" w:cs="Arial"/>
          <w:b/>
          <w:color w:val="auto"/>
          <w:sz w:val="24"/>
          <w:szCs w:val="24"/>
        </w:rPr>
        <w:t>References</w:t>
      </w:r>
    </w:p>
    <w:p w14:paraId="7B39AC21" w14:textId="77777777" w:rsidR="00DA0581" w:rsidRPr="00DA0581" w:rsidRDefault="00DA0581" w:rsidP="00DA0581">
      <w:pPr>
        <w:spacing w:line="360" w:lineRule="auto"/>
        <w:ind w:left="720" w:hanging="720"/>
        <w:jc w:val="both"/>
        <w:rPr>
          <w:rFonts w:ascii="Arial" w:hAnsi="Arial" w:cs="Arial"/>
          <w:sz w:val="24"/>
          <w:szCs w:val="24"/>
        </w:rPr>
      </w:pPr>
      <w:r w:rsidRPr="00DA0581">
        <w:rPr>
          <w:rFonts w:ascii="Arial" w:hAnsi="Arial" w:cs="Arial"/>
          <w:sz w:val="24"/>
          <w:szCs w:val="24"/>
        </w:rPr>
        <w:t>Barton, G.G., 2020. EVIDENCE INFORMED STRATEGY TO IMPROVE ORGANIZATIONAL LEARNING ENGAGEMENT.</w:t>
      </w:r>
    </w:p>
    <w:p w14:paraId="6E8D7289" w14:textId="77777777" w:rsidR="00DA0581" w:rsidRPr="00DA0581" w:rsidRDefault="00DA0581" w:rsidP="00DA0581">
      <w:pPr>
        <w:spacing w:line="360" w:lineRule="auto"/>
        <w:ind w:left="720" w:hanging="720"/>
        <w:jc w:val="both"/>
        <w:rPr>
          <w:rFonts w:ascii="Arial" w:hAnsi="Arial" w:cs="Arial"/>
          <w:sz w:val="24"/>
          <w:szCs w:val="24"/>
        </w:rPr>
      </w:pPr>
      <w:r w:rsidRPr="00DA0581">
        <w:rPr>
          <w:rFonts w:ascii="Arial" w:hAnsi="Arial" w:cs="Arial"/>
          <w:sz w:val="24"/>
          <w:szCs w:val="24"/>
        </w:rPr>
        <w:t>Chanana, N. and Sangeeta, 2021. Employee engagement practices during COVID</w:t>
      </w:r>
      <w:r w:rsidRPr="00DA0581">
        <w:rPr>
          <w:rFonts w:ascii="Cambria Math" w:hAnsi="Cambria Math" w:cs="Cambria Math"/>
          <w:sz w:val="24"/>
          <w:szCs w:val="24"/>
        </w:rPr>
        <w:t>‐</w:t>
      </w:r>
      <w:r w:rsidRPr="00DA0581">
        <w:rPr>
          <w:rFonts w:ascii="Arial" w:hAnsi="Arial" w:cs="Arial"/>
          <w:sz w:val="24"/>
          <w:szCs w:val="24"/>
        </w:rPr>
        <w:t>19 lockdown. </w:t>
      </w:r>
      <w:r w:rsidRPr="00DA0581">
        <w:rPr>
          <w:rFonts w:ascii="Arial" w:hAnsi="Arial" w:cs="Arial"/>
          <w:i/>
          <w:iCs/>
          <w:sz w:val="24"/>
          <w:szCs w:val="24"/>
        </w:rPr>
        <w:t>Journal of public affairs</w:t>
      </w:r>
      <w:r w:rsidRPr="00DA0581">
        <w:rPr>
          <w:rFonts w:ascii="Arial" w:hAnsi="Arial" w:cs="Arial"/>
          <w:sz w:val="24"/>
          <w:szCs w:val="24"/>
        </w:rPr>
        <w:t>, </w:t>
      </w:r>
      <w:r w:rsidRPr="00DA0581">
        <w:rPr>
          <w:rFonts w:ascii="Arial" w:hAnsi="Arial" w:cs="Arial"/>
          <w:i/>
          <w:iCs/>
          <w:sz w:val="24"/>
          <w:szCs w:val="24"/>
        </w:rPr>
        <w:t>21</w:t>
      </w:r>
      <w:r w:rsidRPr="00DA0581">
        <w:rPr>
          <w:rFonts w:ascii="Arial" w:hAnsi="Arial" w:cs="Arial"/>
          <w:sz w:val="24"/>
          <w:szCs w:val="24"/>
        </w:rPr>
        <w:t>(4), p.e2508.</w:t>
      </w:r>
    </w:p>
    <w:p w14:paraId="436FD80C" w14:textId="77777777" w:rsidR="00DA0581" w:rsidRPr="00DA0581" w:rsidRDefault="00DA0581" w:rsidP="00DA0581">
      <w:pPr>
        <w:spacing w:line="360" w:lineRule="auto"/>
        <w:ind w:left="720" w:hanging="720"/>
        <w:jc w:val="both"/>
        <w:rPr>
          <w:rFonts w:ascii="Arial" w:hAnsi="Arial" w:cs="Arial"/>
          <w:sz w:val="24"/>
          <w:szCs w:val="24"/>
        </w:rPr>
      </w:pPr>
      <w:r w:rsidRPr="00DA0581">
        <w:rPr>
          <w:rFonts w:ascii="Arial" w:hAnsi="Arial" w:cs="Arial"/>
          <w:sz w:val="24"/>
          <w:szCs w:val="24"/>
        </w:rPr>
        <w:t xml:space="preserve">Cichosz, M., Wallenburg, C.M. and </w:t>
      </w:r>
      <w:proofErr w:type="spellStart"/>
      <w:r w:rsidRPr="00DA0581">
        <w:rPr>
          <w:rFonts w:ascii="Arial" w:hAnsi="Arial" w:cs="Arial"/>
          <w:sz w:val="24"/>
          <w:szCs w:val="24"/>
        </w:rPr>
        <w:t>Knemeyer</w:t>
      </w:r>
      <w:proofErr w:type="spellEnd"/>
      <w:r w:rsidRPr="00DA0581">
        <w:rPr>
          <w:rFonts w:ascii="Arial" w:hAnsi="Arial" w:cs="Arial"/>
          <w:sz w:val="24"/>
          <w:szCs w:val="24"/>
        </w:rPr>
        <w:t>, A.M., 2020. Digital transformation at logistics service providers: barriers, success factors and leading practices. </w:t>
      </w:r>
      <w:r w:rsidRPr="00DA0581">
        <w:rPr>
          <w:rFonts w:ascii="Arial" w:hAnsi="Arial" w:cs="Arial"/>
          <w:i/>
          <w:iCs/>
          <w:sz w:val="24"/>
          <w:szCs w:val="24"/>
        </w:rPr>
        <w:t>The International Journal of Logistics Management</w:t>
      </w:r>
      <w:r w:rsidRPr="00DA0581">
        <w:rPr>
          <w:rFonts w:ascii="Arial" w:hAnsi="Arial" w:cs="Arial"/>
          <w:sz w:val="24"/>
          <w:szCs w:val="24"/>
        </w:rPr>
        <w:t>, </w:t>
      </w:r>
      <w:r w:rsidRPr="00DA0581">
        <w:rPr>
          <w:rFonts w:ascii="Arial" w:hAnsi="Arial" w:cs="Arial"/>
          <w:i/>
          <w:iCs/>
          <w:sz w:val="24"/>
          <w:szCs w:val="24"/>
        </w:rPr>
        <w:t>31</w:t>
      </w:r>
      <w:r w:rsidRPr="00DA0581">
        <w:rPr>
          <w:rFonts w:ascii="Arial" w:hAnsi="Arial" w:cs="Arial"/>
          <w:sz w:val="24"/>
          <w:szCs w:val="24"/>
        </w:rPr>
        <w:t>(2), pp.209-238.</w:t>
      </w:r>
    </w:p>
    <w:p w14:paraId="34C01BF4" w14:textId="77777777" w:rsidR="00DA0581" w:rsidRPr="00DA0581" w:rsidRDefault="00DA0581" w:rsidP="00DA0581">
      <w:pPr>
        <w:spacing w:line="360" w:lineRule="auto"/>
        <w:ind w:left="720" w:hanging="720"/>
        <w:jc w:val="both"/>
        <w:rPr>
          <w:rFonts w:ascii="Arial" w:hAnsi="Arial" w:cs="Arial"/>
          <w:sz w:val="24"/>
          <w:szCs w:val="24"/>
        </w:rPr>
      </w:pPr>
      <w:r w:rsidRPr="00DA0581">
        <w:rPr>
          <w:rFonts w:ascii="Arial" w:hAnsi="Arial" w:cs="Arial"/>
          <w:sz w:val="24"/>
          <w:szCs w:val="24"/>
        </w:rPr>
        <w:t>Ghio, A. and Verona, R., 2022. Unfolding institutional plurality in hybrid organizations through practices: The case of a cooperative bank. </w:t>
      </w:r>
      <w:r w:rsidRPr="00DA0581">
        <w:rPr>
          <w:rFonts w:ascii="Arial" w:hAnsi="Arial" w:cs="Arial"/>
          <w:i/>
          <w:iCs/>
          <w:sz w:val="24"/>
          <w:szCs w:val="24"/>
        </w:rPr>
        <w:t>The British Accounting Review</w:t>
      </w:r>
      <w:r w:rsidRPr="00DA0581">
        <w:rPr>
          <w:rFonts w:ascii="Arial" w:hAnsi="Arial" w:cs="Arial"/>
          <w:sz w:val="24"/>
          <w:szCs w:val="24"/>
        </w:rPr>
        <w:t>, </w:t>
      </w:r>
      <w:r w:rsidRPr="00DA0581">
        <w:rPr>
          <w:rFonts w:ascii="Arial" w:hAnsi="Arial" w:cs="Arial"/>
          <w:i/>
          <w:iCs/>
          <w:sz w:val="24"/>
          <w:szCs w:val="24"/>
        </w:rPr>
        <w:t>54</w:t>
      </w:r>
      <w:r w:rsidRPr="00DA0581">
        <w:rPr>
          <w:rFonts w:ascii="Arial" w:hAnsi="Arial" w:cs="Arial"/>
          <w:sz w:val="24"/>
          <w:szCs w:val="24"/>
        </w:rPr>
        <w:t>(4), p.101041.</w:t>
      </w:r>
    </w:p>
    <w:p w14:paraId="48FD2014" w14:textId="77777777" w:rsidR="00DA0581" w:rsidRPr="00DA0581" w:rsidRDefault="00DA0581" w:rsidP="00DA0581">
      <w:pPr>
        <w:spacing w:line="360" w:lineRule="auto"/>
        <w:ind w:left="720" w:hanging="720"/>
        <w:jc w:val="both"/>
        <w:rPr>
          <w:rFonts w:ascii="Arial" w:hAnsi="Arial" w:cs="Arial"/>
          <w:sz w:val="24"/>
          <w:szCs w:val="24"/>
        </w:rPr>
      </w:pPr>
      <w:r w:rsidRPr="00DA0581">
        <w:rPr>
          <w:rFonts w:ascii="Arial" w:hAnsi="Arial" w:cs="Arial"/>
          <w:sz w:val="24"/>
          <w:szCs w:val="24"/>
        </w:rPr>
        <w:t xml:space="preserve">Haque, S.M.S., 2023. The impact of remote work on </w:t>
      </w:r>
      <w:proofErr w:type="spellStart"/>
      <w:r w:rsidRPr="00DA0581">
        <w:rPr>
          <w:rFonts w:ascii="Arial" w:hAnsi="Arial" w:cs="Arial"/>
          <w:sz w:val="24"/>
          <w:szCs w:val="24"/>
        </w:rPr>
        <w:t>hr</w:t>
      </w:r>
      <w:proofErr w:type="spellEnd"/>
      <w:r w:rsidRPr="00DA0581">
        <w:rPr>
          <w:rFonts w:ascii="Arial" w:hAnsi="Arial" w:cs="Arial"/>
          <w:sz w:val="24"/>
          <w:szCs w:val="24"/>
        </w:rPr>
        <w:t xml:space="preserve"> practices: navigating challenges, embracing opportunities. </w:t>
      </w:r>
      <w:r w:rsidRPr="00DA0581">
        <w:rPr>
          <w:rFonts w:ascii="Arial" w:hAnsi="Arial" w:cs="Arial"/>
          <w:i/>
          <w:iCs/>
          <w:sz w:val="24"/>
          <w:szCs w:val="24"/>
        </w:rPr>
        <w:t>European Journal of Human Resource Management Studies</w:t>
      </w:r>
      <w:r w:rsidRPr="00DA0581">
        <w:rPr>
          <w:rFonts w:ascii="Arial" w:hAnsi="Arial" w:cs="Arial"/>
          <w:sz w:val="24"/>
          <w:szCs w:val="24"/>
        </w:rPr>
        <w:t>, </w:t>
      </w:r>
      <w:r w:rsidRPr="00DA0581">
        <w:rPr>
          <w:rFonts w:ascii="Arial" w:hAnsi="Arial" w:cs="Arial"/>
          <w:i/>
          <w:iCs/>
          <w:sz w:val="24"/>
          <w:szCs w:val="24"/>
        </w:rPr>
        <w:t>7</w:t>
      </w:r>
      <w:r w:rsidRPr="00DA0581">
        <w:rPr>
          <w:rFonts w:ascii="Arial" w:hAnsi="Arial" w:cs="Arial"/>
          <w:sz w:val="24"/>
          <w:szCs w:val="24"/>
        </w:rPr>
        <w:t>(1).</w:t>
      </w:r>
    </w:p>
    <w:p w14:paraId="31C48133" w14:textId="77777777" w:rsidR="00DA0581" w:rsidRPr="00DA0581" w:rsidRDefault="00DA0581" w:rsidP="00DA0581">
      <w:pPr>
        <w:spacing w:line="360" w:lineRule="auto"/>
        <w:ind w:left="720" w:hanging="720"/>
        <w:jc w:val="both"/>
        <w:rPr>
          <w:rFonts w:ascii="Arial" w:hAnsi="Arial" w:cs="Arial"/>
          <w:sz w:val="24"/>
          <w:szCs w:val="24"/>
        </w:rPr>
      </w:pPr>
      <w:r w:rsidRPr="00DA0581">
        <w:rPr>
          <w:rFonts w:ascii="Arial" w:hAnsi="Arial" w:cs="Arial"/>
          <w:sz w:val="24"/>
          <w:szCs w:val="24"/>
        </w:rPr>
        <w:t>Kania, J., Williams, J., Schmitz, P., Brady, S., Kramer, M. and Juster, J.S., 2022. Centering equity in collective impact. </w:t>
      </w:r>
      <w:r w:rsidRPr="00DA0581">
        <w:rPr>
          <w:rFonts w:ascii="Arial" w:hAnsi="Arial" w:cs="Arial"/>
          <w:i/>
          <w:iCs/>
          <w:sz w:val="24"/>
          <w:szCs w:val="24"/>
        </w:rPr>
        <w:t>Stanford Social Innovation Review</w:t>
      </w:r>
      <w:r w:rsidRPr="00DA0581">
        <w:rPr>
          <w:rFonts w:ascii="Arial" w:hAnsi="Arial" w:cs="Arial"/>
          <w:sz w:val="24"/>
          <w:szCs w:val="24"/>
        </w:rPr>
        <w:t>, </w:t>
      </w:r>
      <w:r w:rsidRPr="00DA0581">
        <w:rPr>
          <w:rFonts w:ascii="Arial" w:hAnsi="Arial" w:cs="Arial"/>
          <w:i/>
          <w:iCs/>
          <w:sz w:val="24"/>
          <w:szCs w:val="24"/>
        </w:rPr>
        <w:t>20</w:t>
      </w:r>
      <w:r w:rsidRPr="00DA0581">
        <w:rPr>
          <w:rFonts w:ascii="Arial" w:hAnsi="Arial" w:cs="Arial"/>
          <w:sz w:val="24"/>
          <w:szCs w:val="24"/>
        </w:rPr>
        <w:t>(1), pp.38-45.</w:t>
      </w:r>
    </w:p>
    <w:p w14:paraId="5A9D4483" w14:textId="77777777" w:rsidR="00DA0581" w:rsidRPr="00DA0581" w:rsidRDefault="00DA0581" w:rsidP="00DA0581">
      <w:pPr>
        <w:spacing w:line="360" w:lineRule="auto"/>
        <w:ind w:left="720" w:hanging="720"/>
        <w:jc w:val="both"/>
        <w:rPr>
          <w:rFonts w:ascii="Arial" w:hAnsi="Arial" w:cs="Arial"/>
          <w:sz w:val="24"/>
          <w:szCs w:val="24"/>
        </w:rPr>
      </w:pPr>
      <w:r w:rsidRPr="00DA0581">
        <w:rPr>
          <w:rFonts w:ascii="Arial" w:hAnsi="Arial" w:cs="Arial"/>
          <w:sz w:val="24"/>
          <w:szCs w:val="24"/>
        </w:rPr>
        <w:t>Khan, M.A., Latif, K.F., Shahid, S. and Shah, S.A., 2024. Understanding knowledge leadership in improving team outcomes in the health sector: a Covid-19 study. </w:t>
      </w:r>
      <w:r w:rsidRPr="00DA0581">
        <w:rPr>
          <w:rFonts w:ascii="Arial" w:hAnsi="Arial" w:cs="Arial"/>
          <w:i/>
          <w:iCs/>
          <w:sz w:val="24"/>
          <w:szCs w:val="24"/>
        </w:rPr>
        <w:t>Business Process Management Journal</w:t>
      </w:r>
      <w:r w:rsidRPr="00DA0581">
        <w:rPr>
          <w:rFonts w:ascii="Arial" w:hAnsi="Arial" w:cs="Arial"/>
          <w:sz w:val="24"/>
          <w:szCs w:val="24"/>
        </w:rPr>
        <w:t>, </w:t>
      </w:r>
      <w:r w:rsidRPr="00DA0581">
        <w:rPr>
          <w:rFonts w:ascii="Arial" w:hAnsi="Arial" w:cs="Arial"/>
          <w:i/>
          <w:iCs/>
          <w:sz w:val="24"/>
          <w:szCs w:val="24"/>
        </w:rPr>
        <w:t>30</w:t>
      </w:r>
      <w:r w:rsidRPr="00DA0581">
        <w:rPr>
          <w:rFonts w:ascii="Arial" w:hAnsi="Arial" w:cs="Arial"/>
          <w:sz w:val="24"/>
          <w:szCs w:val="24"/>
        </w:rPr>
        <w:t>(1), pp.63-83.</w:t>
      </w:r>
    </w:p>
    <w:p w14:paraId="5E5A3E43" w14:textId="77777777" w:rsidR="00DA0581" w:rsidRPr="00DA0581" w:rsidRDefault="00DA0581" w:rsidP="00DA0581">
      <w:pPr>
        <w:spacing w:line="360" w:lineRule="auto"/>
        <w:ind w:left="720" w:hanging="720"/>
        <w:jc w:val="both"/>
        <w:rPr>
          <w:rFonts w:ascii="Arial" w:hAnsi="Arial" w:cs="Arial"/>
          <w:sz w:val="24"/>
          <w:szCs w:val="24"/>
        </w:rPr>
      </w:pPr>
      <w:proofErr w:type="spellStart"/>
      <w:r w:rsidRPr="00DA0581">
        <w:rPr>
          <w:rFonts w:ascii="Arial" w:hAnsi="Arial" w:cs="Arial"/>
          <w:sz w:val="24"/>
          <w:szCs w:val="24"/>
        </w:rPr>
        <w:t>Kikani</w:t>
      </w:r>
      <w:proofErr w:type="spellEnd"/>
      <w:r w:rsidRPr="00DA0581">
        <w:rPr>
          <w:rFonts w:ascii="Arial" w:hAnsi="Arial" w:cs="Arial"/>
          <w:sz w:val="24"/>
          <w:szCs w:val="24"/>
        </w:rPr>
        <w:t>, D., 2023. Deep Learning for Toxic Comment Detection in Online Platforms.</w:t>
      </w:r>
    </w:p>
    <w:p w14:paraId="47138707" w14:textId="77777777" w:rsidR="00DA0581" w:rsidRPr="00DA0581" w:rsidRDefault="00DA0581" w:rsidP="00DA0581">
      <w:pPr>
        <w:spacing w:line="360" w:lineRule="auto"/>
        <w:ind w:left="720" w:hanging="720"/>
        <w:jc w:val="both"/>
        <w:rPr>
          <w:rFonts w:ascii="Arial" w:hAnsi="Arial" w:cs="Arial"/>
          <w:sz w:val="24"/>
          <w:szCs w:val="24"/>
        </w:rPr>
      </w:pPr>
      <w:r w:rsidRPr="00DA0581">
        <w:rPr>
          <w:rFonts w:ascii="Arial" w:hAnsi="Arial" w:cs="Arial"/>
          <w:sz w:val="24"/>
          <w:szCs w:val="24"/>
        </w:rPr>
        <w:t>Rizzi, V., Pigeon, C., Rony, F. and Fort-</w:t>
      </w:r>
      <w:proofErr w:type="spellStart"/>
      <w:r w:rsidRPr="00DA0581">
        <w:rPr>
          <w:rFonts w:ascii="Arial" w:hAnsi="Arial" w:cs="Arial"/>
          <w:sz w:val="24"/>
          <w:szCs w:val="24"/>
        </w:rPr>
        <w:t>Talabard</w:t>
      </w:r>
      <w:proofErr w:type="spellEnd"/>
      <w:r w:rsidRPr="00DA0581">
        <w:rPr>
          <w:rFonts w:ascii="Arial" w:hAnsi="Arial" w:cs="Arial"/>
          <w:sz w:val="24"/>
          <w:szCs w:val="24"/>
        </w:rPr>
        <w:t>, A., 2020. Designing a creative storytelling workshop to build self-confidence and trust among adolescents. </w:t>
      </w:r>
      <w:r w:rsidRPr="00DA0581">
        <w:rPr>
          <w:rFonts w:ascii="Arial" w:hAnsi="Arial" w:cs="Arial"/>
          <w:i/>
          <w:iCs/>
          <w:sz w:val="24"/>
          <w:szCs w:val="24"/>
        </w:rPr>
        <w:t>Thinking skills and creativity</w:t>
      </w:r>
      <w:r w:rsidRPr="00DA0581">
        <w:rPr>
          <w:rFonts w:ascii="Arial" w:hAnsi="Arial" w:cs="Arial"/>
          <w:sz w:val="24"/>
          <w:szCs w:val="24"/>
        </w:rPr>
        <w:t>, </w:t>
      </w:r>
      <w:r w:rsidRPr="00DA0581">
        <w:rPr>
          <w:rFonts w:ascii="Arial" w:hAnsi="Arial" w:cs="Arial"/>
          <w:i/>
          <w:iCs/>
          <w:sz w:val="24"/>
          <w:szCs w:val="24"/>
        </w:rPr>
        <w:t>38</w:t>
      </w:r>
      <w:r w:rsidRPr="00DA0581">
        <w:rPr>
          <w:rFonts w:ascii="Arial" w:hAnsi="Arial" w:cs="Arial"/>
          <w:sz w:val="24"/>
          <w:szCs w:val="24"/>
        </w:rPr>
        <w:t>, p.100704.</w:t>
      </w:r>
    </w:p>
    <w:p w14:paraId="532FE697" w14:textId="77777777" w:rsidR="00DA0581" w:rsidRPr="00DA0581" w:rsidRDefault="00DA0581" w:rsidP="00DA0581">
      <w:pPr>
        <w:spacing w:line="360" w:lineRule="auto"/>
        <w:ind w:left="720" w:hanging="720"/>
        <w:jc w:val="both"/>
        <w:rPr>
          <w:rFonts w:ascii="Arial" w:hAnsi="Arial" w:cs="Arial"/>
          <w:sz w:val="24"/>
          <w:szCs w:val="24"/>
        </w:rPr>
      </w:pPr>
      <w:r w:rsidRPr="00DA0581">
        <w:rPr>
          <w:rFonts w:ascii="Arial" w:hAnsi="Arial" w:cs="Arial"/>
          <w:sz w:val="24"/>
          <w:szCs w:val="24"/>
        </w:rPr>
        <w:lastRenderedPageBreak/>
        <w:t>Shi, Y., Cui, T. and Kurnia, S., 2023. Value co-creation for digital innovation: An interorganizational boundary-spanning perspective. </w:t>
      </w:r>
      <w:r w:rsidRPr="00DA0581">
        <w:rPr>
          <w:rFonts w:ascii="Arial" w:hAnsi="Arial" w:cs="Arial"/>
          <w:i/>
          <w:iCs/>
          <w:sz w:val="24"/>
          <w:szCs w:val="24"/>
        </w:rPr>
        <w:t>Information &amp; Management</w:t>
      </w:r>
      <w:r w:rsidRPr="00DA0581">
        <w:rPr>
          <w:rFonts w:ascii="Arial" w:hAnsi="Arial" w:cs="Arial"/>
          <w:sz w:val="24"/>
          <w:szCs w:val="24"/>
        </w:rPr>
        <w:t>, </w:t>
      </w:r>
      <w:r w:rsidRPr="00DA0581">
        <w:rPr>
          <w:rFonts w:ascii="Arial" w:hAnsi="Arial" w:cs="Arial"/>
          <w:i/>
          <w:iCs/>
          <w:sz w:val="24"/>
          <w:szCs w:val="24"/>
        </w:rPr>
        <w:t>60</w:t>
      </w:r>
      <w:r w:rsidRPr="00DA0581">
        <w:rPr>
          <w:rFonts w:ascii="Arial" w:hAnsi="Arial" w:cs="Arial"/>
          <w:sz w:val="24"/>
          <w:szCs w:val="24"/>
        </w:rPr>
        <w:t>(5), p.103817.</w:t>
      </w:r>
    </w:p>
    <w:p w14:paraId="6FAE20E5" w14:textId="77777777" w:rsidR="00DA0581" w:rsidRPr="00DA0581" w:rsidRDefault="00DA0581" w:rsidP="00DA0581">
      <w:pPr>
        <w:spacing w:line="360" w:lineRule="auto"/>
        <w:ind w:left="720" w:hanging="720"/>
        <w:jc w:val="both"/>
        <w:rPr>
          <w:rFonts w:ascii="Arial" w:hAnsi="Arial" w:cs="Arial"/>
          <w:sz w:val="24"/>
          <w:szCs w:val="24"/>
        </w:rPr>
      </w:pPr>
      <w:r w:rsidRPr="00DA0581">
        <w:rPr>
          <w:rFonts w:ascii="Arial" w:hAnsi="Arial" w:cs="Arial"/>
          <w:sz w:val="24"/>
          <w:szCs w:val="24"/>
        </w:rPr>
        <w:t>Swart, K., Bond-Barnard, T. and Chugh, R., 2022. Challenges and critical success factors of digital communication, collaboration and knowledge sharing in project management virtual teams: a review. </w:t>
      </w:r>
      <w:r w:rsidRPr="00DA0581">
        <w:rPr>
          <w:rFonts w:ascii="Arial" w:hAnsi="Arial" w:cs="Arial"/>
          <w:i/>
          <w:iCs/>
          <w:sz w:val="24"/>
          <w:szCs w:val="24"/>
        </w:rPr>
        <w:t>International Journal of Information Systems and Project Management</w:t>
      </w:r>
      <w:r w:rsidRPr="00DA0581">
        <w:rPr>
          <w:rFonts w:ascii="Arial" w:hAnsi="Arial" w:cs="Arial"/>
          <w:sz w:val="24"/>
          <w:szCs w:val="24"/>
        </w:rPr>
        <w:t>, </w:t>
      </w:r>
      <w:r w:rsidRPr="00DA0581">
        <w:rPr>
          <w:rFonts w:ascii="Arial" w:hAnsi="Arial" w:cs="Arial"/>
          <w:i/>
          <w:iCs/>
          <w:sz w:val="24"/>
          <w:szCs w:val="24"/>
        </w:rPr>
        <w:t>10</w:t>
      </w:r>
      <w:r w:rsidRPr="00DA0581">
        <w:rPr>
          <w:rFonts w:ascii="Arial" w:hAnsi="Arial" w:cs="Arial"/>
          <w:sz w:val="24"/>
          <w:szCs w:val="24"/>
        </w:rPr>
        <w:t>(4), pp.84-103.</w:t>
      </w:r>
    </w:p>
    <w:p w14:paraId="0630DC91" w14:textId="77777777" w:rsidR="00DA0581" w:rsidRPr="00DA0581" w:rsidRDefault="00DA0581" w:rsidP="00DA0581">
      <w:pPr>
        <w:spacing w:line="360" w:lineRule="auto"/>
        <w:ind w:left="720" w:hanging="720"/>
        <w:jc w:val="both"/>
        <w:rPr>
          <w:rFonts w:ascii="Arial" w:hAnsi="Arial" w:cs="Arial"/>
          <w:sz w:val="24"/>
          <w:szCs w:val="24"/>
        </w:rPr>
      </w:pPr>
      <w:r w:rsidRPr="00DA0581">
        <w:rPr>
          <w:rFonts w:ascii="Arial" w:hAnsi="Arial" w:cs="Arial"/>
          <w:sz w:val="24"/>
          <w:szCs w:val="24"/>
        </w:rPr>
        <w:t>Tyagi, S., Sibal, R. and Suri, B., 2022. Empirically developed framework for building trust in distributed agile teams. </w:t>
      </w:r>
      <w:r w:rsidRPr="00DA0581">
        <w:rPr>
          <w:rFonts w:ascii="Arial" w:hAnsi="Arial" w:cs="Arial"/>
          <w:i/>
          <w:iCs/>
          <w:sz w:val="24"/>
          <w:szCs w:val="24"/>
        </w:rPr>
        <w:t>Information and Software Technology</w:t>
      </w:r>
      <w:r w:rsidRPr="00DA0581">
        <w:rPr>
          <w:rFonts w:ascii="Arial" w:hAnsi="Arial" w:cs="Arial"/>
          <w:sz w:val="24"/>
          <w:szCs w:val="24"/>
        </w:rPr>
        <w:t>, </w:t>
      </w:r>
      <w:r w:rsidRPr="00DA0581">
        <w:rPr>
          <w:rFonts w:ascii="Arial" w:hAnsi="Arial" w:cs="Arial"/>
          <w:i/>
          <w:iCs/>
          <w:sz w:val="24"/>
          <w:szCs w:val="24"/>
        </w:rPr>
        <w:t>145</w:t>
      </w:r>
      <w:r w:rsidRPr="00DA0581">
        <w:rPr>
          <w:rFonts w:ascii="Arial" w:hAnsi="Arial" w:cs="Arial"/>
          <w:sz w:val="24"/>
          <w:szCs w:val="24"/>
        </w:rPr>
        <w:t>, p.106828.</w:t>
      </w:r>
    </w:p>
    <w:p w14:paraId="1B8A6565" w14:textId="77777777" w:rsidR="00DA0581" w:rsidRPr="00DA0581" w:rsidRDefault="00DA0581" w:rsidP="00DA0581">
      <w:pPr>
        <w:spacing w:line="360" w:lineRule="auto"/>
        <w:ind w:left="720" w:hanging="720"/>
        <w:jc w:val="both"/>
        <w:rPr>
          <w:rFonts w:ascii="Arial" w:hAnsi="Arial" w:cs="Arial"/>
          <w:sz w:val="24"/>
          <w:szCs w:val="24"/>
        </w:rPr>
      </w:pPr>
      <w:proofErr w:type="spellStart"/>
      <w:r w:rsidRPr="00DA0581">
        <w:rPr>
          <w:rFonts w:ascii="Arial" w:hAnsi="Arial" w:cs="Arial"/>
          <w:sz w:val="24"/>
          <w:szCs w:val="24"/>
        </w:rPr>
        <w:t>Walunas</w:t>
      </w:r>
      <w:proofErr w:type="spellEnd"/>
      <w:r w:rsidRPr="00DA0581">
        <w:rPr>
          <w:rFonts w:ascii="Arial" w:hAnsi="Arial" w:cs="Arial"/>
          <w:sz w:val="24"/>
          <w:szCs w:val="24"/>
        </w:rPr>
        <w:t xml:space="preserve">, T.L., Ye, J., Bannon, J., Wang, A., Kho, A.N., Smith, J.D. and </w:t>
      </w:r>
      <w:proofErr w:type="spellStart"/>
      <w:r w:rsidRPr="00DA0581">
        <w:rPr>
          <w:rFonts w:ascii="Arial" w:hAnsi="Arial" w:cs="Arial"/>
          <w:sz w:val="24"/>
          <w:szCs w:val="24"/>
        </w:rPr>
        <w:t>Soulakis</w:t>
      </w:r>
      <w:proofErr w:type="spellEnd"/>
      <w:r w:rsidRPr="00DA0581">
        <w:rPr>
          <w:rFonts w:ascii="Arial" w:hAnsi="Arial" w:cs="Arial"/>
          <w:sz w:val="24"/>
          <w:szCs w:val="24"/>
        </w:rPr>
        <w:t>, N., 2021. Does coaching matter? Examining the impact of specific practice facilitation strategies on implementation of quality improvement interventions in the Healthy Hearts in the Heartland study. </w:t>
      </w:r>
      <w:r w:rsidRPr="00DA0581">
        <w:rPr>
          <w:rFonts w:ascii="Arial" w:hAnsi="Arial" w:cs="Arial"/>
          <w:i/>
          <w:iCs/>
          <w:sz w:val="24"/>
          <w:szCs w:val="24"/>
        </w:rPr>
        <w:t>Implementation Science</w:t>
      </w:r>
      <w:r w:rsidRPr="00DA0581">
        <w:rPr>
          <w:rFonts w:ascii="Arial" w:hAnsi="Arial" w:cs="Arial"/>
          <w:sz w:val="24"/>
          <w:szCs w:val="24"/>
        </w:rPr>
        <w:t>, </w:t>
      </w:r>
      <w:r w:rsidRPr="00DA0581">
        <w:rPr>
          <w:rFonts w:ascii="Arial" w:hAnsi="Arial" w:cs="Arial"/>
          <w:i/>
          <w:iCs/>
          <w:sz w:val="24"/>
          <w:szCs w:val="24"/>
        </w:rPr>
        <w:t>16</w:t>
      </w:r>
      <w:r w:rsidRPr="00DA0581">
        <w:rPr>
          <w:rFonts w:ascii="Arial" w:hAnsi="Arial" w:cs="Arial"/>
          <w:sz w:val="24"/>
          <w:szCs w:val="24"/>
        </w:rPr>
        <w:t>, pp.1-12.</w:t>
      </w:r>
    </w:p>
    <w:p w14:paraId="27608871" w14:textId="77777777" w:rsidR="00C95A03" w:rsidRPr="00C95A03" w:rsidRDefault="00C95A03" w:rsidP="00C95A03">
      <w:pPr>
        <w:spacing w:line="360" w:lineRule="auto"/>
        <w:jc w:val="both"/>
        <w:rPr>
          <w:rFonts w:ascii="Arial" w:hAnsi="Arial" w:cs="Arial"/>
          <w:sz w:val="24"/>
          <w:szCs w:val="24"/>
        </w:rPr>
      </w:pPr>
    </w:p>
    <w:sectPr w:rsidR="00C95A03" w:rsidRPr="00C95A0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82E1C" w14:textId="77777777" w:rsidR="00B408DC" w:rsidRDefault="00B408DC" w:rsidP="00DF427F">
      <w:pPr>
        <w:spacing w:after="0" w:line="240" w:lineRule="auto"/>
      </w:pPr>
      <w:r>
        <w:separator/>
      </w:r>
    </w:p>
  </w:endnote>
  <w:endnote w:type="continuationSeparator" w:id="0">
    <w:p w14:paraId="2B91A4D7" w14:textId="77777777" w:rsidR="00B408DC" w:rsidRDefault="00B408DC" w:rsidP="00DF42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EE0FC" w14:textId="77777777" w:rsidR="00B408DC" w:rsidRDefault="00B408DC" w:rsidP="00DF427F">
      <w:pPr>
        <w:spacing w:after="0" w:line="240" w:lineRule="auto"/>
      </w:pPr>
      <w:r>
        <w:separator/>
      </w:r>
    </w:p>
  </w:footnote>
  <w:footnote w:type="continuationSeparator" w:id="0">
    <w:p w14:paraId="2BD2333E" w14:textId="77777777" w:rsidR="00B408DC" w:rsidRDefault="00B408DC" w:rsidP="00DF42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D772E"/>
    <w:multiLevelType w:val="hybridMultilevel"/>
    <w:tmpl w:val="EC7AA5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43639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DED"/>
    <w:rsid w:val="002A0714"/>
    <w:rsid w:val="00963FEC"/>
    <w:rsid w:val="009F5DED"/>
    <w:rsid w:val="00B408DC"/>
    <w:rsid w:val="00C352EB"/>
    <w:rsid w:val="00C37876"/>
    <w:rsid w:val="00C95A03"/>
    <w:rsid w:val="00DA0581"/>
    <w:rsid w:val="00DF427F"/>
    <w:rsid w:val="00E27CE5"/>
    <w:rsid w:val="00EA1A17"/>
    <w:rsid w:val="00FB62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39A5E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5A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42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427F"/>
  </w:style>
  <w:style w:type="paragraph" w:styleId="Footer">
    <w:name w:val="footer"/>
    <w:basedOn w:val="Normal"/>
    <w:link w:val="FooterChar"/>
    <w:uiPriority w:val="99"/>
    <w:unhideWhenUsed/>
    <w:rsid w:val="00DF42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427F"/>
  </w:style>
  <w:style w:type="character" w:customStyle="1" w:styleId="Heading1Char">
    <w:name w:val="Heading 1 Char"/>
    <w:basedOn w:val="DefaultParagraphFont"/>
    <w:link w:val="Heading1"/>
    <w:uiPriority w:val="9"/>
    <w:rsid w:val="00C95A0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95A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464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1033</Words>
  <Characters>5892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2024-02-28T19:53:00Z</dcterms:created>
  <dcterms:modified xsi:type="dcterms:W3CDTF">2024-02-28T19:55:00Z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3bede71e40150de0788dbf73da5ebe081f2051310141be81dd5f207243d7ae56</vt:lpwstr>
  </property>
</Properties>
</file>