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4274A" w14:textId="41405859" w:rsidR="00F02B84" w:rsidRPr="00F02B84" w:rsidRDefault="00F02B84" w:rsidP="00233C7D">
      <w:pPr>
        <w:rPr>
          <w:rFonts w:ascii="Arial" w:hAnsi="Arial" w:cs="Arial"/>
          <w:sz w:val="24"/>
          <w:szCs w:val="24"/>
          <w:u w:val="single"/>
        </w:rPr>
      </w:pPr>
      <w:r w:rsidRPr="00F02B84">
        <w:rPr>
          <w:rFonts w:ascii="Arial" w:hAnsi="Arial" w:cs="Arial"/>
          <w:sz w:val="24"/>
          <w:szCs w:val="24"/>
          <w:u w:val="single"/>
        </w:rPr>
        <w:t xml:space="preserve">Section 4 </w:t>
      </w:r>
    </w:p>
    <w:p w14:paraId="5311719E" w14:textId="77777777" w:rsidR="00F02B84" w:rsidRPr="00F02B84" w:rsidRDefault="00F02B84" w:rsidP="00233C7D">
      <w:pPr>
        <w:rPr>
          <w:rFonts w:ascii="Arial" w:hAnsi="Arial" w:cs="Arial"/>
          <w:sz w:val="24"/>
          <w:szCs w:val="24"/>
          <w:u w:val="single"/>
        </w:rPr>
      </w:pPr>
    </w:p>
    <w:p w14:paraId="587D2732" w14:textId="2843FB6E" w:rsidR="00233C7D" w:rsidRPr="00233C7D" w:rsidRDefault="00233C7D" w:rsidP="00404C5E">
      <w:pPr>
        <w:spacing w:line="360" w:lineRule="auto"/>
        <w:rPr>
          <w:rFonts w:ascii="Arial" w:hAnsi="Arial" w:cs="Arial"/>
          <w:sz w:val="24"/>
          <w:szCs w:val="24"/>
          <w:u w:val="single"/>
        </w:rPr>
      </w:pPr>
      <w:r w:rsidRPr="00233C7D">
        <w:rPr>
          <w:rFonts w:ascii="Arial" w:hAnsi="Arial" w:cs="Arial"/>
          <w:sz w:val="24"/>
          <w:szCs w:val="24"/>
          <w:u w:val="single"/>
        </w:rPr>
        <w:t>Introduction</w:t>
      </w:r>
    </w:p>
    <w:p w14:paraId="70BA8195" w14:textId="78FCD3CC"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t>The key focus is on the adult’s role as observer scaffolder</w:t>
      </w:r>
      <w:r w:rsidR="002E51A9" w:rsidRPr="00F02B84">
        <w:rPr>
          <w:rFonts w:ascii="Arial" w:hAnsi="Arial" w:cs="Arial"/>
          <w:sz w:val="24"/>
          <w:szCs w:val="24"/>
        </w:rPr>
        <w:t xml:space="preserve"> and an environment enabler.</w:t>
      </w:r>
      <w:r w:rsidRPr="00233C7D">
        <w:rPr>
          <w:rFonts w:ascii="Arial" w:hAnsi="Arial" w:cs="Arial"/>
          <w:sz w:val="24"/>
          <w:szCs w:val="24"/>
        </w:rPr>
        <w:t xml:space="preserve"> Outdoor environments naturally provide rich opportunities</w:t>
      </w:r>
      <w:r w:rsidR="00703EA2" w:rsidRPr="00F02B84">
        <w:rPr>
          <w:rFonts w:ascii="Arial" w:hAnsi="Arial" w:cs="Arial"/>
          <w:sz w:val="24"/>
          <w:szCs w:val="24"/>
        </w:rPr>
        <w:t xml:space="preserve"> (</w:t>
      </w:r>
      <w:r w:rsidR="00703EA2" w:rsidRPr="00233C7D">
        <w:rPr>
          <w:rFonts w:ascii="Arial" w:hAnsi="Arial" w:cs="Arial"/>
          <w:sz w:val="24"/>
          <w:szCs w:val="24"/>
        </w:rPr>
        <w:t>Taylor, Pringle and Roscoe</w:t>
      </w:r>
      <w:r w:rsidR="00703EA2" w:rsidRPr="00F02B84">
        <w:rPr>
          <w:rFonts w:ascii="Arial" w:hAnsi="Arial" w:cs="Arial"/>
          <w:sz w:val="24"/>
          <w:szCs w:val="24"/>
        </w:rPr>
        <w:t xml:space="preserve">, </w:t>
      </w:r>
      <w:r w:rsidR="00703EA2" w:rsidRPr="00233C7D">
        <w:rPr>
          <w:rFonts w:ascii="Arial" w:hAnsi="Arial" w:cs="Arial"/>
          <w:sz w:val="24"/>
          <w:szCs w:val="24"/>
        </w:rPr>
        <w:t>2024)</w:t>
      </w:r>
      <w:r w:rsidRPr="00233C7D">
        <w:rPr>
          <w:rFonts w:ascii="Arial" w:hAnsi="Arial" w:cs="Arial"/>
          <w:sz w:val="24"/>
          <w:szCs w:val="24"/>
        </w:rPr>
        <w:t xml:space="preserve"> </w:t>
      </w:r>
      <w:r w:rsidR="0097742D" w:rsidRPr="00F02B84">
        <w:rPr>
          <w:rFonts w:ascii="Arial" w:hAnsi="Arial" w:cs="Arial"/>
          <w:sz w:val="24"/>
          <w:szCs w:val="24"/>
        </w:rPr>
        <w:t>however, without</w:t>
      </w:r>
      <w:r w:rsidRPr="00233C7D">
        <w:rPr>
          <w:rFonts w:ascii="Arial" w:hAnsi="Arial" w:cs="Arial"/>
          <w:sz w:val="24"/>
          <w:szCs w:val="24"/>
        </w:rPr>
        <w:t xml:space="preserve"> adult awareness and guidance, these opportunities may be missed. By looking at both free play and guided learning, this essay considers how adults can balance </w:t>
      </w:r>
      <w:r w:rsidR="00F47852">
        <w:rPr>
          <w:rFonts w:ascii="Arial" w:hAnsi="Arial" w:cs="Arial"/>
          <w:sz w:val="24"/>
          <w:szCs w:val="24"/>
        </w:rPr>
        <w:t>observing</w:t>
      </w:r>
      <w:r w:rsidRPr="00233C7D">
        <w:rPr>
          <w:rFonts w:ascii="Arial" w:hAnsi="Arial" w:cs="Arial"/>
          <w:sz w:val="24"/>
          <w:szCs w:val="24"/>
        </w:rPr>
        <w:t xml:space="preserve"> with stepping in at the right tim</w:t>
      </w:r>
      <w:r w:rsidR="006E0D40" w:rsidRPr="00F02B84">
        <w:rPr>
          <w:rFonts w:ascii="Arial" w:hAnsi="Arial" w:cs="Arial"/>
          <w:sz w:val="24"/>
          <w:szCs w:val="24"/>
        </w:rPr>
        <w:t>e</w:t>
      </w:r>
      <w:r w:rsidR="0097742D" w:rsidRPr="00F02B84">
        <w:rPr>
          <w:rFonts w:ascii="Arial" w:hAnsi="Arial" w:cs="Arial"/>
          <w:sz w:val="24"/>
          <w:szCs w:val="24"/>
        </w:rPr>
        <w:t xml:space="preserve"> (</w:t>
      </w:r>
      <w:r w:rsidR="0097742D" w:rsidRPr="00233C7D">
        <w:rPr>
          <w:rFonts w:ascii="Arial" w:hAnsi="Arial" w:cs="Arial"/>
          <w:sz w:val="24"/>
          <w:szCs w:val="24"/>
        </w:rPr>
        <w:t>Smedsrud et al</w:t>
      </w:r>
      <w:r w:rsidR="0097742D" w:rsidRPr="00F02B84">
        <w:rPr>
          <w:rFonts w:ascii="Arial" w:hAnsi="Arial" w:cs="Arial"/>
          <w:sz w:val="24"/>
          <w:szCs w:val="24"/>
        </w:rPr>
        <w:t xml:space="preserve">., </w:t>
      </w:r>
      <w:r w:rsidR="0097742D" w:rsidRPr="00233C7D">
        <w:rPr>
          <w:rFonts w:ascii="Arial" w:hAnsi="Arial" w:cs="Arial"/>
          <w:sz w:val="24"/>
          <w:szCs w:val="24"/>
        </w:rPr>
        <w:t>2023)</w:t>
      </w:r>
    </w:p>
    <w:p w14:paraId="270527C9" w14:textId="77777777" w:rsidR="00233C7D" w:rsidRPr="00233C7D" w:rsidRDefault="00233C7D" w:rsidP="00404C5E">
      <w:pPr>
        <w:spacing w:line="360" w:lineRule="auto"/>
        <w:rPr>
          <w:rFonts w:ascii="Arial" w:hAnsi="Arial" w:cs="Arial"/>
          <w:sz w:val="24"/>
          <w:szCs w:val="24"/>
          <w:u w:val="single"/>
        </w:rPr>
      </w:pPr>
      <w:r w:rsidRPr="00233C7D">
        <w:rPr>
          <w:rFonts w:ascii="Arial" w:hAnsi="Arial" w:cs="Arial"/>
          <w:sz w:val="24"/>
          <w:szCs w:val="24"/>
          <w:u w:val="single"/>
        </w:rPr>
        <w:t>The Adult as Observer</w:t>
      </w:r>
    </w:p>
    <w:p w14:paraId="603A9117" w14:textId="77777777"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t>Prins et al. (2022) found that outdoor play supports learning and wellbeing best when children have freedom to explore. Similarly, Ryan and Deci (2017) cited in Bjerknes, Wilhelmsen and Foyn-Bruun (2023) state that intrinsic motivation is the most effective form of motivation where children are given the opportunity to freely take part in activities. This suggests that children’s learning in nature is often richer when adults step back and observe rather than intervene too quickly. Craig et al (2024) supports this by showing that children can learn through hands-on outdoor experiences, without needing adult prompting, showing the importance of giving freedom to play.</w:t>
      </w:r>
    </w:p>
    <w:p w14:paraId="2366194B" w14:textId="6E20ABE0" w:rsidR="00321B33" w:rsidRPr="00F02B84" w:rsidRDefault="00233C7D" w:rsidP="00404C5E">
      <w:pPr>
        <w:spacing w:line="360" w:lineRule="auto"/>
        <w:rPr>
          <w:rFonts w:ascii="Arial" w:hAnsi="Arial" w:cs="Arial"/>
          <w:sz w:val="24"/>
          <w:szCs w:val="24"/>
        </w:rPr>
      </w:pPr>
      <w:r w:rsidRPr="00233C7D">
        <w:rPr>
          <w:rFonts w:ascii="Arial" w:hAnsi="Arial" w:cs="Arial"/>
          <w:sz w:val="24"/>
          <w:szCs w:val="24"/>
        </w:rPr>
        <w:t xml:space="preserve">Smedsrud et al. (2023) found that practitioners mainly supported play by encouraging free and unstructured activity, often standing back and allowing children to lead their own learning. This shows that practitioners followed the children’s interest rather than impose goals, supporting child-led exploration. </w:t>
      </w:r>
      <w:proofErr w:type="spellStart"/>
      <w:r w:rsidRPr="00233C7D">
        <w:rPr>
          <w:rFonts w:ascii="Arial" w:hAnsi="Arial" w:cs="Arial"/>
          <w:sz w:val="24"/>
          <w:szCs w:val="24"/>
        </w:rPr>
        <w:t>Reikeras</w:t>
      </w:r>
      <w:proofErr w:type="spellEnd"/>
      <w:r w:rsidRPr="00233C7D">
        <w:rPr>
          <w:rFonts w:ascii="Arial" w:hAnsi="Arial" w:cs="Arial"/>
          <w:sz w:val="24"/>
          <w:szCs w:val="24"/>
        </w:rPr>
        <w:t xml:space="preserve"> (2020) noted that toddlers often repeated actions like filling and emptying containers during exploratory play, which supported early mathematical learning. In contrast, adult-directed rule-based play was harder for them at this age (</w:t>
      </w:r>
      <w:proofErr w:type="spellStart"/>
      <w:r w:rsidRPr="00233C7D">
        <w:rPr>
          <w:rFonts w:ascii="Arial" w:hAnsi="Arial" w:cs="Arial"/>
          <w:sz w:val="24"/>
          <w:szCs w:val="24"/>
        </w:rPr>
        <w:t>Reikeras</w:t>
      </w:r>
      <w:proofErr w:type="spellEnd"/>
      <w:r w:rsidRPr="00233C7D">
        <w:rPr>
          <w:rFonts w:ascii="Arial" w:hAnsi="Arial" w:cs="Arial"/>
          <w:sz w:val="24"/>
          <w:szCs w:val="24"/>
        </w:rPr>
        <w:t xml:space="preserve">, 2020). This links with Piaget’s theory that children learn best through the environment where they actively explore and develop their full potential (Piaget, 1962 cited in Cerino, 2021). This suggests that such repetitive play is not meaningless but acts as a foundation for future reasoning. For example, filling and emptying containers supports early ideas of volume and capacity, which can later develop into formal measurement concepts. If </w:t>
      </w:r>
      <w:r w:rsidR="00EA7659" w:rsidRPr="00F02B84">
        <w:rPr>
          <w:rFonts w:ascii="Arial" w:hAnsi="Arial" w:cs="Arial"/>
          <w:sz w:val="24"/>
          <w:szCs w:val="24"/>
        </w:rPr>
        <w:t>practitioners</w:t>
      </w:r>
      <w:r w:rsidRPr="00233C7D">
        <w:rPr>
          <w:rFonts w:ascii="Arial" w:hAnsi="Arial" w:cs="Arial"/>
          <w:sz w:val="24"/>
          <w:szCs w:val="24"/>
        </w:rPr>
        <w:t xml:space="preserve"> fail to notice these actions, they may overlook the building </w:t>
      </w:r>
      <w:r w:rsidRPr="00233C7D">
        <w:rPr>
          <w:rFonts w:ascii="Arial" w:hAnsi="Arial" w:cs="Arial"/>
          <w:sz w:val="24"/>
          <w:szCs w:val="24"/>
        </w:rPr>
        <w:lastRenderedPageBreak/>
        <w:t xml:space="preserve">blocks of mathematical concepts. </w:t>
      </w:r>
      <w:r w:rsidR="00FD57B8" w:rsidRPr="00F02B84">
        <w:rPr>
          <w:rFonts w:ascii="Arial" w:hAnsi="Arial" w:cs="Arial"/>
          <w:sz w:val="24"/>
          <w:szCs w:val="24"/>
        </w:rPr>
        <w:t>Practitioners’</w:t>
      </w:r>
      <w:r w:rsidR="007971BE" w:rsidRPr="00F02B84">
        <w:rPr>
          <w:rFonts w:ascii="Arial" w:hAnsi="Arial" w:cs="Arial"/>
          <w:sz w:val="24"/>
          <w:szCs w:val="24"/>
        </w:rPr>
        <w:t xml:space="preserve"> </w:t>
      </w:r>
      <w:r w:rsidR="00955B45" w:rsidRPr="00F02B84">
        <w:rPr>
          <w:rFonts w:ascii="Arial" w:hAnsi="Arial" w:cs="Arial"/>
          <w:sz w:val="24"/>
          <w:szCs w:val="24"/>
        </w:rPr>
        <w:t xml:space="preserve">observation </w:t>
      </w:r>
      <w:r w:rsidR="00FD57B8" w:rsidRPr="00F02B84">
        <w:rPr>
          <w:rFonts w:ascii="Arial" w:hAnsi="Arial" w:cs="Arial"/>
          <w:sz w:val="24"/>
          <w:szCs w:val="24"/>
        </w:rPr>
        <w:t>goes</w:t>
      </w:r>
      <w:r w:rsidR="00955B45" w:rsidRPr="00F02B84">
        <w:rPr>
          <w:rFonts w:ascii="Arial" w:hAnsi="Arial" w:cs="Arial"/>
          <w:sz w:val="24"/>
          <w:szCs w:val="24"/>
        </w:rPr>
        <w:t xml:space="preserve"> beyond passive </w:t>
      </w:r>
      <w:r w:rsidR="00E53320" w:rsidRPr="00F02B84">
        <w:rPr>
          <w:rFonts w:ascii="Arial" w:hAnsi="Arial" w:cs="Arial"/>
          <w:sz w:val="24"/>
          <w:szCs w:val="24"/>
        </w:rPr>
        <w:t>watching to active interpretation.</w:t>
      </w:r>
      <w:r w:rsidR="00321B33" w:rsidRPr="00F02B84">
        <w:rPr>
          <w:rFonts w:ascii="Arial" w:eastAsia="Times New Roman" w:hAnsi="Arial" w:cs="Arial"/>
          <w:kern w:val="0"/>
          <w:sz w:val="24"/>
          <w:szCs w:val="24"/>
          <w:lang w:eastAsia="en-GB"/>
          <w14:ligatures w14:val="none"/>
        </w:rPr>
        <w:t xml:space="preserve"> </w:t>
      </w:r>
      <w:r w:rsidR="00321B33" w:rsidRPr="00F02B84">
        <w:rPr>
          <w:rFonts w:ascii="Arial" w:hAnsi="Arial" w:cs="Arial"/>
          <w:sz w:val="24"/>
          <w:szCs w:val="24"/>
        </w:rPr>
        <w:t>(Ciesielska, Bostr</w:t>
      </w:r>
      <w:r w:rsidR="00FD57B8" w:rsidRPr="00F02B84">
        <w:rPr>
          <w:rFonts w:ascii="Arial" w:hAnsi="Arial" w:cs="Arial"/>
          <w:sz w:val="24"/>
          <w:szCs w:val="24"/>
        </w:rPr>
        <w:t>o</w:t>
      </w:r>
      <w:r w:rsidR="00321B33" w:rsidRPr="00F02B84">
        <w:rPr>
          <w:rFonts w:ascii="Arial" w:hAnsi="Arial" w:cs="Arial"/>
          <w:sz w:val="24"/>
          <w:szCs w:val="24"/>
        </w:rPr>
        <w:t xml:space="preserve">m and </w:t>
      </w:r>
      <w:proofErr w:type="spellStart"/>
      <w:r w:rsidR="00FD57B8" w:rsidRPr="00F02B84">
        <w:rPr>
          <w:rFonts w:ascii="Arial" w:hAnsi="Arial" w:cs="Arial"/>
          <w:sz w:val="24"/>
          <w:szCs w:val="24"/>
        </w:rPr>
        <w:t>O</w:t>
      </w:r>
      <w:r w:rsidR="00321B33" w:rsidRPr="00F02B84">
        <w:rPr>
          <w:rFonts w:ascii="Arial" w:hAnsi="Arial" w:cs="Arial"/>
          <w:sz w:val="24"/>
          <w:szCs w:val="24"/>
        </w:rPr>
        <w:t>hlander</w:t>
      </w:r>
      <w:proofErr w:type="spellEnd"/>
      <w:r w:rsidR="00321B33" w:rsidRPr="00F02B84">
        <w:rPr>
          <w:rFonts w:ascii="Arial" w:hAnsi="Arial" w:cs="Arial"/>
          <w:sz w:val="24"/>
          <w:szCs w:val="24"/>
        </w:rPr>
        <w:t>, 2018)</w:t>
      </w:r>
      <w:r w:rsidR="00B22C77" w:rsidRPr="00F02B84">
        <w:rPr>
          <w:rFonts w:ascii="Arial" w:hAnsi="Arial" w:cs="Arial"/>
          <w:sz w:val="24"/>
          <w:szCs w:val="24"/>
        </w:rPr>
        <w:t xml:space="preserve"> In practice, </w:t>
      </w:r>
      <w:r w:rsidR="00A03CCC" w:rsidRPr="00F02B84">
        <w:rPr>
          <w:rFonts w:ascii="Arial" w:hAnsi="Arial" w:cs="Arial"/>
          <w:sz w:val="24"/>
          <w:szCs w:val="24"/>
        </w:rPr>
        <w:t xml:space="preserve">this means practitioner may use </w:t>
      </w:r>
      <w:r w:rsidR="00751B49" w:rsidRPr="00F02B84">
        <w:rPr>
          <w:rFonts w:ascii="Arial" w:hAnsi="Arial" w:cs="Arial"/>
          <w:sz w:val="24"/>
          <w:szCs w:val="24"/>
        </w:rPr>
        <w:t xml:space="preserve">observation as an active process that guides </w:t>
      </w:r>
      <w:r w:rsidR="000E1EF6" w:rsidRPr="00F02B84">
        <w:rPr>
          <w:rFonts w:ascii="Arial" w:hAnsi="Arial" w:cs="Arial"/>
          <w:sz w:val="24"/>
          <w:szCs w:val="24"/>
        </w:rPr>
        <w:t>how and when to scaffold.</w:t>
      </w:r>
    </w:p>
    <w:p w14:paraId="48D2B5C3" w14:textId="51327371"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t xml:space="preserve">Lee et al. (2020) argues free play can lead to behavioural issues, as children may lack the guidance and boundaries to stay engaged and safe. This highlights the question of how much freedom is appropriate. The challenge is therefore not to restrict freedom, but to create safe boundaries where scientific and mathematical discovery can still develop. However, Matthews, Brown and </w:t>
      </w:r>
      <w:proofErr w:type="spellStart"/>
      <w:r w:rsidRPr="00233C7D">
        <w:rPr>
          <w:rFonts w:ascii="Arial" w:hAnsi="Arial" w:cs="Arial"/>
          <w:sz w:val="24"/>
          <w:szCs w:val="24"/>
        </w:rPr>
        <w:t>Stagnitti</w:t>
      </w:r>
      <w:proofErr w:type="spellEnd"/>
      <w:r w:rsidRPr="00233C7D">
        <w:rPr>
          <w:rFonts w:ascii="Arial" w:hAnsi="Arial" w:cs="Arial"/>
          <w:sz w:val="24"/>
          <w:szCs w:val="24"/>
        </w:rPr>
        <w:t xml:space="preserve"> (2020) highlight that children’s sensory processing affects how they engage with play, so allowing freedom in activities is vital to keep experiences meaningful for diverse learners.</w:t>
      </w:r>
      <w:r w:rsidR="00E53320" w:rsidRPr="00F02B84">
        <w:rPr>
          <w:rFonts w:ascii="Arial" w:hAnsi="Arial" w:cs="Arial"/>
          <w:sz w:val="24"/>
          <w:szCs w:val="24"/>
        </w:rPr>
        <w:t xml:space="preserve"> </w:t>
      </w:r>
      <w:r w:rsidR="00B3306E" w:rsidRPr="00F02B84">
        <w:rPr>
          <w:rFonts w:ascii="Arial" w:hAnsi="Arial" w:cs="Arial"/>
          <w:sz w:val="24"/>
          <w:szCs w:val="24"/>
        </w:rPr>
        <w:t xml:space="preserve">This raises the question for </w:t>
      </w:r>
      <w:r w:rsidR="00565414" w:rsidRPr="00F02B84">
        <w:rPr>
          <w:rFonts w:ascii="Arial" w:hAnsi="Arial" w:cs="Arial"/>
          <w:sz w:val="24"/>
          <w:szCs w:val="24"/>
        </w:rPr>
        <w:t>practitioners</w:t>
      </w:r>
      <w:r w:rsidR="00B3306E" w:rsidRPr="00F02B84">
        <w:rPr>
          <w:rFonts w:ascii="Arial" w:hAnsi="Arial" w:cs="Arial"/>
          <w:sz w:val="24"/>
          <w:szCs w:val="24"/>
        </w:rPr>
        <w:t xml:space="preserve"> on how much</w:t>
      </w:r>
      <w:r w:rsidR="009C600D" w:rsidRPr="00F02B84">
        <w:rPr>
          <w:rFonts w:ascii="Arial" w:hAnsi="Arial" w:cs="Arial"/>
          <w:sz w:val="24"/>
          <w:szCs w:val="24"/>
        </w:rPr>
        <w:t xml:space="preserve"> freedom is enough to encourage discovery without creating a risk of disengagement</w:t>
      </w:r>
      <w:r w:rsidR="008F4582" w:rsidRPr="00F02B84">
        <w:rPr>
          <w:rFonts w:ascii="Arial" w:hAnsi="Arial" w:cs="Arial"/>
          <w:sz w:val="24"/>
          <w:szCs w:val="24"/>
        </w:rPr>
        <w:t xml:space="preserve"> </w:t>
      </w:r>
      <w:r w:rsidR="00E95240" w:rsidRPr="00F02B84">
        <w:rPr>
          <w:rFonts w:ascii="Arial" w:hAnsi="Arial" w:cs="Arial"/>
          <w:sz w:val="24"/>
          <w:szCs w:val="24"/>
        </w:rPr>
        <w:t>(</w:t>
      </w:r>
      <w:r w:rsidR="00E95240" w:rsidRPr="00233C7D">
        <w:rPr>
          <w:rFonts w:ascii="Arial" w:hAnsi="Arial" w:cs="Arial"/>
          <w:sz w:val="24"/>
          <w:szCs w:val="24"/>
        </w:rPr>
        <w:t>Cerino, 2021</w:t>
      </w:r>
      <w:r w:rsidR="00E95240" w:rsidRPr="00F02B84">
        <w:rPr>
          <w:rFonts w:ascii="Arial" w:hAnsi="Arial" w:cs="Arial"/>
          <w:sz w:val="24"/>
          <w:szCs w:val="24"/>
        </w:rPr>
        <w:t>)</w:t>
      </w:r>
      <w:r w:rsidR="00E03163" w:rsidRPr="00F02B84">
        <w:rPr>
          <w:rFonts w:ascii="Arial" w:hAnsi="Arial" w:cs="Arial"/>
          <w:sz w:val="24"/>
          <w:szCs w:val="24"/>
        </w:rPr>
        <w:t>. This l</w:t>
      </w:r>
      <w:r w:rsidR="00314926" w:rsidRPr="00F02B84">
        <w:rPr>
          <w:rFonts w:ascii="Arial" w:hAnsi="Arial" w:cs="Arial"/>
          <w:sz w:val="24"/>
          <w:szCs w:val="24"/>
        </w:rPr>
        <w:t xml:space="preserve">inks to the Montessori’s idea of structured </w:t>
      </w:r>
      <w:r w:rsidR="00557490" w:rsidRPr="00F02B84">
        <w:rPr>
          <w:rFonts w:ascii="Arial" w:hAnsi="Arial" w:cs="Arial"/>
          <w:sz w:val="24"/>
          <w:szCs w:val="24"/>
        </w:rPr>
        <w:t>environment,</w:t>
      </w:r>
      <w:r w:rsidR="00C66E25" w:rsidRPr="00F02B84">
        <w:rPr>
          <w:rFonts w:ascii="Arial" w:hAnsi="Arial" w:cs="Arial"/>
          <w:sz w:val="24"/>
          <w:szCs w:val="24"/>
        </w:rPr>
        <w:t xml:space="preserve"> where children have freedom with clear boundaries to keep exploration purposeful</w:t>
      </w:r>
      <w:r w:rsidR="004461B8" w:rsidRPr="00F02B84">
        <w:rPr>
          <w:rFonts w:ascii="Arial" w:hAnsi="Arial" w:cs="Arial"/>
          <w:sz w:val="24"/>
          <w:szCs w:val="24"/>
        </w:rPr>
        <w:t xml:space="preserve"> (Montessori, 2004)</w:t>
      </w:r>
      <w:r w:rsidR="00EF79AE" w:rsidRPr="00F02B84">
        <w:rPr>
          <w:rFonts w:ascii="Arial" w:hAnsi="Arial" w:cs="Arial"/>
          <w:sz w:val="24"/>
          <w:szCs w:val="24"/>
        </w:rPr>
        <w:t xml:space="preserve">. </w:t>
      </w:r>
      <w:r w:rsidR="002A00B6" w:rsidRPr="00F02B84">
        <w:rPr>
          <w:rFonts w:ascii="Arial" w:hAnsi="Arial" w:cs="Arial"/>
          <w:sz w:val="24"/>
          <w:szCs w:val="24"/>
        </w:rPr>
        <w:t xml:space="preserve">This </w:t>
      </w:r>
      <w:r w:rsidR="000B0037" w:rsidRPr="00F02B84">
        <w:rPr>
          <w:rFonts w:ascii="Arial" w:hAnsi="Arial" w:cs="Arial"/>
          <w:sz w:val="24"/>
          <w:szCs w:val="24"/>
        </w:rPr>
        <w:t>shows</w:t>
      </w:r>
      <w:r w:rsidR="002A00B6" w:rsidRPr="00F02B84">
        <w:rPr>
          <w:rFonts w:ascii="Arial" w:hAnsi="Arial" w:cs="Arial"/>
          <w:sz w:val="24"/>
          <w:szCs w:val="24"/>
        </w:rPr>
        <w:t xml:space="preserve"> a </w:t>
      </w:r>
      <w:r w:rsidR="00080A31" w:rsidRPr="00F02B84">
        <w:rPr>
          <w:rFonts w:ascii="Arial" w:hAnsi="Arial" w:cs="Arial"/>
          <w:sz w:val="24"/>
          <w:szCs w:val="24"/>
        </w:rPr>
        <w:t xml:space="preserve">clear </w:t>
      </w:r>
      <w:r w:rsidR="002A00B6" w:rsidRPr="00F02B84">
        <w:rPr>
          <w:rFonts w:ascii="Arial" w:hAnsi="Arial" w:cs="Arial"/>
          <w:sz w:val="24"/>
          <w:szCs w:val="24"/>
        </w:rPr>
        <w:t>difference between Montessori and Piaget</w:t>
      </w:r>
      <w:r w:rsidR="005D7596" w:rsidRPr="00F02B84">
        <w:rPr>
          <w:rFonts w:ascii="Arial" w:hAnsi="Arial" w:cs="Arial"/>
          <w:sz w:val="24"/>
          <w:szCs w:val="24"/>
        </w:rPr>
        <w:t xml:space="preserve">, as Montessori </w:t>
      </w:r>
      <w:r w:rsidR="00080A31" w:rsidRPr="00F02B84">
        <w:rPr>
          <w:rFonts w:ascii="Arial" w:hAnsi="Arial" w:cs="Arial"/>
          <w:sz w:val="24"/>
          <w:szCs w:val="24"/>
        </w:rPr>
        <w:t>foc</w:t>
      </w:r>
      <w:r w:rsidR="00F12E34" w:rsidRPr="00F02B84">
        <w:rPr>
          <w:rFonts w:ascii="Arial" w:hAnsi="Arial" w:cs="Arial"/>
          <w:sz w:val="24"/>
          <w:szCs w:val="24"/>
        </w:rPr>
        <w:t>used on structure environments</w:t>
      </w:r>
      <w:r w:rsidR="008B1E09" w:rsidRPr="00F02B84">
        <w:rPr>
          <w:rFonts w:ascii="Arial" w:hAnsi="Arial" w:cs="Arial"/>
          <w:sz w:val="24"/>
          <w:szCs w:val="24"/>
        </w:rPr>
        <w:t>, while Piaget emphasised childre</w:t>
      </w:r>
      <w:r w:rsidR="0046666E" w:rsidRPr="00F02B84">
        <w:rPr>
          <w:rFonts w:ascii="Arial" w:hAnsi="Arial" w:cs="Arial"/>
          <w:sz w:val="24"/>
          <w:szCs w:val="24"/>
        </w:rPr>
        <w:t>n leading their own exploration. This shows that there is not just one way to obser</w:t>
      </w:r>
      <w:r w:rsidR="008D2463" w:rsidRPr="00F02B84">
        <w:rPr>
          <w:rFonts w:ascii="Arial" w:hAnsi="Arial" w:cs="Arial"/>
          <w:sz w:val="24"/>
          <w:szCs w:val="24"/>
        </w:rPr>
        <w:t>ve</w:t>
      </w:r>
      <w:r w:rsidR="002826DA" w:rsidRPr="00F02B84">
        <w:rPr>
          <w:rFonts w:ascii="Arial" w:hAnsi="Arial" w:cs="Arial"/>
          <w:sz w:val="24"/>
          <w:szCs w:val="24"/>
        </w:rPr>
        <w:t xml:space="preserve">. </w:t>
      </w:r>
    </w:p>
    <w:p w14:paraId="7F749428" w14:textId="1A3C35FC" w:rsidR="00233C7D" w:rsidRPr="00233C7D" w:rsidRDefault="000C0083" w:rsidP="00404C5E">
      <w:pPr>
        <w:spacing w:line="360" w:lineRule="auto"/>
        <w:rPr>
          <w:rFonts w:ascii="Arial" w:hAnsi="Arial" w:cs="Arial"/>
          <w:sz w:val="24"/>
          <w:szCs w:val="24"/>
        </w:rPr>
      </w:pPr>
      <w:r w:rsidRPr="00F02B84">
        <w:rPr>
          <w:rFonts w:ascii="Arial" w:hAnsi="Arial" w:cs="Arial"/>
          <w:sz w:val="24"/>
          <w:szCs w:val="24"/>
        </w:rPr>
        <w:t>Additionally, o</w:t>
      </w:r>
      <w:r w:rsidR="00233C7D" w:rsidRPr="00233C7D">
        <w:rPr>
          <w:rFonts w:ascii="Arial" w:hAnsi="Arial" w:cs="Arial"/>
          <w:sz w:val="24"/>
          <w:szCs w:val="24"/>
        </w:rPr>
        <w:t>bservation is more than simply watching; it requires adults to interpret patterns, interests, and challenges in children’s play. According to Smedsrud et al. (2023) nature-based outdoor play only becomes effective for learning when adults observe carefully and decide whether to step in or step back. Observation gives valuable insights into how children interact with the natural environment (Trina et al., 2025), supporting practitioners in recognising and assessing the quality of outdoor science and maths opportunities. Through thorough observation, practitioners can judge whether children are making genuine discoveries or simply repeating familiar actions and then decide how to best extend their experience. This mean</w:t>
      </w:r>
      <w:r w:rsidR="00591948" w:rsidRPr="00F02B84">
        <w:rPr>
          <w:rFonts w:ascii="Arial" w:hAnsi="Arial" w:cs="Arial"/>
          <w:sz w:val="24"/>
          <w:szCs w:val="24"/>
        </w:rPr>
        <w:t>s</w:t>
      </w:r>
      <w:r w:rsidR="00233C7D" w:rsidRPr="00233C7D">
        <w:rPr>
          <w:rFonts w:ascii="Arial" w:hAnsi="Arial" w:cs="Arial"/>
          <w:sz w:val="24"/>
          <w:szCs w:val="24"/>
        </w:rPr>
        <w:t xml:space="preserve"> observation is active, requiring interpretation as well as attention. Carranza-Pinedo and </w:t>
      </w:r>
      <w:proofErr w:type="spellStart"/>
      <w:r w:rsidR="00233C7D" w:rsidRPr="00233C7D">
        <w:rPr>
          <w:rFonts w:ascii="Arial" w:hAnsi="Arial" w:cs="Arial"/>
          <w:sz w:val="24"/>
          <w:szCs w:val="24"/>
        </w:rPr>
        <w:t>Diprossimo</w:t>
      </w:r>
      <w:proofErr w:type="spellEnd"/>
      <w:r w:rsidR="00233C7D" w:rsidRPr="00233C7D">
        <w:rPr>
          <w:rFonts w:ascii="Arial" w:hAnsi="Arial" w:cs="Arial"/>
          <w:sz w:val="24"/>
          <w:szCs w:val="24"/>
        </w:rPr>
        <w:t xml:space="preserve"> (2025) argue that scaffolding is most effective when directly adapted to observed </w:t>
      </w:r>
      <w:r w:rsidR="00B269B8" w:rsidRPr="00F02B84">
        <w:rPr>
          <w:rFonts w:ascii="Arial" w:hAnsi="Arial" w:cs="Arial"/>
          <w:sz w:val="24"/>
          <w:szCs w:val="24"/>
        </w:rPr>
        <w:t>behaviours</w:t>
      </w:r>
      <w:r w:rsidR="00233C7D" w:rsidRPr="00233C7D">
        <w:rPr>
          <w:rFonts w:ascii="Arial" w:hAnsi="Arial" w:cs="Arial"/>
          <w:sz w:val="24"/>
          <w:szCs w:val="24"/>
        </w:rPr>
        <w:t>, showing how important active interpretation is.</w:t>
      </w:r>
    </w:p>
    <w:p w14:paraId="51C64118" w14:textId="77777777" w:rsidR="00233C7D" w:rsidRPr="00233C7D" w:rsidRDefault="00233C7D" w:rsidP="00404C5E">
      <w:pPr>
        <w:spacing w:line="360" w:lineRule="auto"/>
        <w:rPr>
          <w:rFonts w:ascii="Arial" w:hAnsi="Arial" w:cs="Arial"/>
          <w:sz w:val="24"/>
          <w:szCs w:val="24"/>
          <w:u w:val="single"/>
        </w:rPr>
      </w:pPr>
      <w:r w:rsidRPr="00233C7D">
        <w:rPr>
          <w:rFonts w:ascii="Arial" w:hAnsi="Arial" w:cs="Arial"/>
          <w:sz w:val="24"/>
          <w:szCs w:val="24"/>
          <w:u w:val="single"/>
        </w:rPr>
        <w:t>The Adult as Scaffolder</w:t>
      </w:r>
    </w:p>
    <w:p w14:paraId="76A464F7" w14:textId="369D9BCD"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lastRenderedPageBreak/>
        <w:t xml:space="preserve">According to Parviainen et al. (2024) young children’s mathematical understanding develops most effectively when practitioners notice children’s everyday actions and connect them to mathematical concepts. For example, numbers, measurement, or comparison. Murphy, Muir and Thomas (2025) add that practitioners who reflect on children’s problem-solving and scaffold at the right moments extend reasoning in ways that remain meaningful to the child. This suggests that timing is central to scaffolding. If adults step in too soon, children may lose ownership of their discoveries. If they wait too long opportunities for extending scientific or mathematical reasoning may pass. Effective scaffolding therefore depends on judgement and ability to act at the right moment. </w:t>
      </w:r>
      <w:r w:rsidR="00703E73" w:rsidRPr="00233C7D">
        <w:rPr>
          <w:rFonts w:ascii="Arial" w:hAnsi="Arial" w:cs="Arial"/>
          <w:sz w:val="24"/>
          <w:szCs w:val="24"/>
        </w:rPr>
        <w:t xml:space="preserve">This links to Vygotsky’s socio-cultural theory (van de Pol et al., 2015) where children can achieve more with guidance from a knowledgeable </w:t>
      </w:r>
      <w:proofErr w:type="gramStart"/>
      <w:r w:rsidR="00703E73" w:rsidRPr="00233C7D">
        <w:rPr>
          <w:rFonts w:ascii="Arial" w:hAnsi="Arial" w:cs="Arial"/>
          <w:sz w:val="24"/>
          <w:szCs w:val="24"/>
        </w:rPr>
        <w:t>other tha</w:t>
      </w:r>
      <w:r w:rsidR="000C0F2E" w:rsidRPr="00F02B84">
        <w:rPr>
          <w:rFonts w:ascii="Arial" w:hAnsi="Arial" w:cs="Arial"/>
          <w:sz w:val="24"/>
          <w:szCs w:val="24"/>
        </w:rPr>
        <w:t>n</w:t>
      </w:r>
      <w:proofErr w:type="gramEnd"/>
      <w:r w:rsidR="00703E73" w:rsidRPr="00233C7D">
        <w:rPr>
          <w:rFonts w:ascii="Arial" w:hAnsi="Arial" w:cs="Arial"/>
          <w:sz w:val="24"/>
          <w:szCs w:val="24"/>
        </w:rPr>
        <w:t xml:space="preserve"> they can do alone (Vygotsky, 1978 cited in Carranza-Pinedo and </w:t>
      </w:r>
      <w:proofErr w:type="spellStart"/>
      <w:r w:rsidR="00703E73" w:rsidRPr="00233C7D">
        <w:rPr>
          <w:rFonts w:ascii="Arial" w:hAnsi="Arial" w:cs="Arial"/>
          <w:sz w:val="24"/>
          <w:szCs w:val="24"/>
        </w:rPr>
        <w:t>Diprossimo</w:t>
      </w:r>
      <w:proofErr w:type="spellEnd"/>
      <w:r w:rsidR="00703E73" w:rsidRPr="00233C7D">
        <w:rPr>
          <w:rFonts w:ascii="Arial" w:hAnsi="Arial" w:cs="Arial"/>
          <w:sz w:val="24"/>
          <w:szCs w:val="24"/>
        </w:rPr>
        <w:t>, 2025)</w:t>
      </w:r>
      <w:r w:rsidR="00703E73" w:rsidRPr="00F02B84">
        <w:rPr>
          <w:rFonts w:ascii="Arial" w:hAnsi="Arial" w:cs="Arial"/>
          <w:sz w:val="24"/>
          <w:szCs w:val="24"/>
        </w:rPr>
        <w:t xml:space="preserve">. </w:t>
      </w:r>
      <w:r w:rsidRPr="00233C7D">
        <w:rPr>
          <w:rFonts w:ascii="Arial" w:hAnsi="Arial" w:cs="Arial"/>
          <w:sz w:val="24"/>
          <w:szCs w:val="24"/>
        </w:rPr>
        <w:t xml:space="preserve">However, scaffolding can also be detrimental if not matched correctly to children needs (Carranza-Pinedo and </w:t>
      </w:r>
      <w:proofErr w:type="spellStart"/>
      <w:proofErr w:type="gramStart"/>
      <w:r w:rsidRPr="00233C7D">
        <w:rPr>
          <w:rFonts w:ascii="Arial" w:hAnsi="Arial" w:cs="Arial"/>
          <w:sz w:val="24"/>
          <w:szCs w:val="24"/>
        </w:rPr>
        <w:t>Diprossimo</w:t>
      </w:r>
      <w:proofErr w:type="spellEnd"/>
      <w:r w:rsidRPr="00233C7D">
        <w:rPr>
          <w:rFonts w:ascii="Arial" w:hAnsi="Arial" w:cs="Arial"/>
          <w:sz w:val="24"/>
          <w:szCs w:val="24"/>
        </w:rPr>
        <w:t xml:space="preserve"> ,</w:t>
      </w:r>
      <w:proofErr w:type="gramEnd"/>
      <w:r w:rsidRPr="00233C7D">
        <w:rPr>
          <w:rFonts w:ascii="Arial" w:hAnsi="Arial" w:cs="Arial"/>
          <w:sz w:val="24"/>
          <w:szCs w:val="24"/>
        </w:rPr>
        <w:t xml:space="preserve"> 2025). It may even lower children’s effort if support is not frequent enough to sustain engagement (van de Pol et al., 2015)</w:t>
      </w:r>
    </w:p>
    <w:p w14:paraId="0A18D920" w14:textId="76505223"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t xml:space="preserve">Ramsden et al. (2025) found that children’s engagement with outdoor environments improved most when adults were trained to observe and adapt their responses. This highlights the importance of the adult role, especially when they are well trained and knowledgeable. Frances et al. (2025) found that professional development in outdoor learning can enhance practitioners’ confidence and teaching practice, supporting them in creating richer learning opportunities for children. </w:t>
      </w:r>
      <w:r w:rsidR="002575BF" w:rsidRPr="00F02B84">
        <w:rPr>
          <w:rFonts w:ascii="Arial" w:hAnsi="Arial" w:cs="Arial"/>
          <w:sz w:val="24"/>
          <w:szCs w:val="24"/>
        </w:rPr>
        <w:t>T</w:t>
      </w:r>
      <w:r w:rsidR="00B315FB" w:rsidRPr="00F02B84">
        <w:rPr>
          <w:rFonts w:ascii="Arial" w:hAnsi="Arial" w:cs="Arial"/>
          <w:sz w:val="24"/>
          <w:szCs w:val="24"/>
        </w:rPr>
        <w:t>ogether this suggests that investing in staff training may have an impact on learning</w:t>
      </w:r>
      <w:r w:rsidR="000E66B1" w:rsidRPr="00F02B84">
        <w:rPr>
          <w:rFonts w:ascii="Arial" w:hAnsi="Arial" w:cs="Arial"/>
          <w:sz w:val="24"/>
          <w:szCs w:val="24"/>
        </w:rPr>
        <w:t xml:space="preserve"> as investing in resources. </w:t>
      </w:r>
      <w:r w:rsidRPr="00233C7D">
        <w:rPr>
          <w:rFonts w:ascii="Arial" w:hAnsi="Arial" w:cs="Arial"/>
          <w:sz w:val="24"/>
          <w:szCs w:val="24"/>
        </w:rPr>
        <w:t>Training in observations and scaffolding enables staff to spot opportunities for counting, comparing or predicting outcomes that might otherwise be missed. However, scaffolding can</w:t>
      </w:r>
      <w:r w:rsidR="00066270" w:rsidRPr="00F02B84">
        <w:rPr>
          <w:rFonts w:ascii="Arial" w:hAnsi="Arial" w:cs="Arial"/>
          <w:sz w:val="24"/>
          <w:szCs w:val="24"/>
        </w:rPr>
        <w:t xml:space="preserve"> be</w:t>
      </w:r>
      <w:r w:rsidRPr="00233C7D">
        <w:rPr>
          <w:rFonts w:ascii="Arial" w:hAnsi="Arial" w:cs="Arial"/>
          <w:sz w:val="24"/>
          <w:szCs w:val="24"/>
        </w:rPr>
        <w:t xml:space="preserve"> time consuming as practitioners must first understand children’s action before knowing how to support them effectively (van de Pol et al., 2015). In practice, this can be hard in busy classrooms where staff ratios are low, so knowing when and how to scaffold is just as much about time and practicality as it is about knowledge.</w:t>
      </w:r>
    </w:p>
    <w:p w14:paraId="224F63B3" w14:textId="07CC2DD7" w:rsidR="002D2EC2" w:rsidRPr="002D2EC2" w:rsidRDefault="00233C7D" w:rsidP="00404C5E">
      <w:pPr>
        <w:spacing w:line="360" w:lineRule="auto"/>
        <w:rPr>
          <w:rFonts w:ascii="Aptos" w:hAnsi="Aptos"/>
          <w:b/>
          <w:color w:val="000000"/>
        </w:rPr>
      </w:pPr>
      <w:r w:rsidRPr="00233C7D">
        <w:rPr>
          <w:rFonts w:ascii="Arial" w:hAnsi="Arial" w:cs="Arial"/>
          <w:sz w:val="24"/>
          <w:szCs w:val="24"/>
        </w:rPr>
        <w:t xml:space="preserve">Loose parts play supports reasoning and problem solving (Spencer et al., 2019; </w:t>
      </w:r>
      <w:proofErr w:type="spellStart"/>
      <w:r w:rsidRPr="00233C7D">
        <w:rPr>
          <w:rFonts w:ascii="Arial" w:hAnsi="Arial" w:cs="Arial"/>
          <w:sz w:val="24"/>
          <w:szCs w:val="24"/>
        </w:rPr>
        <w:t>Cankaya</w:t>
      </w:r>
      <w:proofErr w:type="spellEnd"/>
      <w:r w:rsidRPr="00233C7D">
        <w:rPr>
          <w:rFonts w:ascii="Arial" w:hAnsi="Arial" w:cs="Arial"/>
          <w:sz w:val="24"/>
          <w:szCs w:val="24"/>
        </w:rPr>
        <w:t xml:space="preserve"> et al., 2023).</w:t>
      </w:r>
      <w:r w:rsidR="00DF1330" w:rsidRPr="00F02B84">
        <w:rPr>
          <w:rFonts w:ascii="Arial" w:hAnsi="Arial" w:cs="Arial"/>
          <w:sz w:val="24"/>
          <w:szCs w:val="24"/>
        </w:rPr>
        <w:t xml:space="preserve"> </w:t>
      </w:r>
      <w:r w:rsidR="00DF1330" w:rsidRPr="00233C7D">
        <w:rPr>
          <w:rFonts w:ascii="Arial" w:hAnsi="Arial" w:cs="Arial"/>
          <w:sz w:val="24"/>
          <w:szCs w:val="24"/>
        </w:rPr>
        <w:t xml:space="preserve">This linked with study showing that outdoor STEAM settings encouraged curiosity, creativity and complex play when children </w:t>
      </w:r>
      <w:r w:rsidR="004505D0" w:rsidRPr="00F02B84">
        <w:rPr>
          <w:rFonts w:ascii="Arial" w:hAnsi="Arial" w:cs="Arial"/>
          <w:sz w:val="24"/>
          <w:szCs w:val="24"/>
        </w:rPr>
        <w:t>use</w:t>
      </w:r>
      <w:r w:rsidR="00DF1330" w:rsidRPr="00233C7D">
        <w:rPr>
          <w:rFonts w:ascii="Arial" w:hAnsi="Arial" w:cs="Arial"/>
          <w:sz w:val="24"/>
          <w:szCs w:val="24"/>
        </w:rPr>
        <w:t xml:space="preserve"> open ended </w:t>
      </w:r>
      <w:r w:rsidR="00DF1330" w:rsidRPr="00233C7D">
        <w:rPr>
          <w:rFonts w:ascii="Arial" w:hAnsi="Arial" w:cs="Arial"/>
          <w:sz w:val="24"/>
          <w:szCs w:val="24"/>
        </w:rPr>
        <w:lastRenderedPageBreak/>
        <w:t>natural resources</w:t>
      </w:r>
      <w:r w:rsidR="00DF1330" w:rsidRPr="00F02B84">
        <w:rPr>
          <w:rFonts w:ascii="Arial" w:hAnsi="Arial" w:cs="Arial"/>
          <w:sz w:val="24"/>
          <w:szCs w:val="24"/>
        </w:rPr>
        <w:t xml:space="preserve"> (Trina et al.,2024).</w:t>
      </w:r>
      <w:r w:rsidRPr="00233C7D">
        <w:rPr>
          <w:rFonts w:ascii="Arial" w:hAnsi="Arial" w:cs="Arial"/>
          <w:sz w:val="24"/>
          <w:szCs w:val="24"/>
        </w:rPr>
        <w:t xml:space="preserve"> Through observation children explored science ideas like balance and movement, as well as maths such as sequencing (</w:t>
      </w:r>
      <w:proofErr w:type="spellStart"/>
      <w:r w:rsidRPr="00233C7D">
        <w:rPr>
          <w:rFonts w:ascii="Arial" w:hAnsi="Arial" w:cs="Arial"/>
          <w:sz w:val="24"/>
          <w:szCs w:val="24"/>
        </w:rPr>
        <w:t>Cankaya</w:t>
      </w:r>
      <w:proofErr w:type="spellEnd"/>
      <w:r w:rsidRPr="00233C7D">
        <w:rPr>
          <w:rFonts w:ascii="Arial" w:hAnsi="Arial" w:cs="Arial"/>
          <w:sz w:val="24"/>
          <w:szCs w:val="24"/>
        </w:rPr>
        <w:t xml:space="preserve"> et al., 2023). However, Skene et al. (2022) highlight that guided play works best when adults observe and then give subtle prompts rather than direct instruction. For example, if a child is stacking sticks, the practitioner might comment, “</w:t>
      </w:r>
      <w:r w:rsidR="00377A68">
        <w:rPr>
          <w:rFonts w:ascii="Arial" w:hAnsi="Arial" w:cs="Arial"/>
          <w:sz w:val="24"/>
          <w:szCs w:val="24"/>
        </w:rPr>
        <w:t xml:space="preserve">I wonder what will </w:t>
      </w:r>
      <w:r w:rsidRPr="00233C7D">
        <w:rPr>
          <w:rFonts w:ascii="Arial" w:hAnsi="Arial" w:cs="Arial"/>
          <w:sz w:val="24"/>
          <w:szCs w:val="24"/>
        </w:rPr>
        <w:t xml:space="preserve">happen if the bottom is wider?” This connects the play to balance and stability while keeping the learning child led. This type of questioning also introduces scientific enquiry, as children are encouraged to predict, test, and adjust their ideas. </w:t>
      </w:r>
      <w:r w:rsidR="00512E10" w:rsidRPr="00F47F2A">
        <w:rPr>
          <w:rFonts w:ascii="Arial" w:hAnsi="Arial" w:cs="Arial"/>
          <w:color w:val="000000"/>
          <w:sz w:val="24"/>
          <w:szCs w:val="24"/>
        </w:rPr>
        <w:t xml:space="preserve">These types of prompts are beneficial in </w:t>
      </w:r>
      <w:r w:rsidR="00F47F2A" w:rsidRPr="00F47F2A">
        <w:rPr>
          <w:rFonts w:ascii="Arial" w:hAnsi="Arial" w:cs="Arial"/>
          <w:color w:val="000000"/>
          <w:sz w:val="24"/>
          <w:szCs w:val="24"/>
        </w:rPr>
        <w:t>learning</w:t>
      </w:r>
      <w:r w:rsidR="00512E10" w:rsidRPr="00F47F2A">
        <w:rPr>
          <w:rFonts w:ascii="Arial" w:hAnsi="Arial" w:cs="Arial"/>
          <w:color w:val="000000"/>
          <w:sz w:val="24"/>
          <w:szCs w:val="24"/>
        </w:rPr>
        <w:t xml:space="preserve">, as they foster inquiry and critical thinking without providing direct answers to </w:t>
      </w:r>
      <w:r w:rsidR="00F47F2A" w:rsidRPr="00F47F2A">
        <w:rPr>
          <w:rFonts w:ascii="Arial" w:hAnsi="Arial" w:cs="Arial"/>
          <w:color w:val="000000"/>
          <w:sz w:val="24"/>
          <w:szCs w:val="24"/>
        </w:rPr>
        <w:t>children</w:t>
      </w:r>
      <w:r w:rsidR="00512E10" w:rsidRPr="00F47F2A">
        <w:rPr>
          <w:rFonts w:ascii="Arial" w:hAnsi="Arial" w:cs="Arial"/>
          <w:color w:val="000000"/>
          <w:sz w:val="24"/>
          <w:szCs w:val="24"/>
        </w:rPr>
        <w:t>.</w:t>
      </w:r>
      <w:r w:rsidR="00377A68">
        <w:rPr>
          <w:rFonts w:ascii="Arial" w:hAnsi="Arial" w:cs="Arial"/>
          <w:color w:val="000000"/>
          <w:sz w:val="24"/>
          <w:szCs w:val="24"/>
        </w:rPr>
        <w:t xml:space="preserve"> </w:t>
      </w:r>
      <w:r w:rsidR="00377A68" w:rsidRPr="002D2EC2">
        <w:rPr>
          <w:rFonts w:ascii="Arial" w:hAnsi="Arial" w:cs="Arial"/>
          <w:color w:val="000000"/>
          <w:sz w:val="24"/>
          <w:szCs w:val="24"/>
        </w:rPr>
        <w:t>This also links with metacognitive talk, where adults help children reflect on how they are thinking and solving problems (Smith, 2023), and sustained shared thinking, where both adult and child work together to problem solve</w:t>
      </w:r>
      <w:r w:rsidR="00377A68">
        <w:rPr>
          <w:rFonts w:ascii="Arial" w:hAnsi="Arial" w:cs="Arial"/>
          <w:color w:val="000000"/>
          <w:sz w:val="24"/>
          <w:szCs w:val="24"/>
        </w:rPr>
        <w:t xml:space="preserve"> at a deeper </w:t>
      </w:r>
      <w:r w:rsidR="00404C5E">
        <w:rPr>
          <w:rFonts w:ascii="Arial" w:hAnsi="Arial" w:cs="Arial"/>
          <w:color w:val="000000"/>
          <w:sz w:val="24"/>
          <w:szCs w:val="24"/>
        </w:rPr>
        <w:t>level</w:t>
      </w:r>
      <w:r w:rsidR="00404C5E">
        <w:rPr>
          <w:rFonts w:ascii="Aptos" w:hAnsi="Aptos"/>
          <w:b/>
          <w:color w:val="000000"/>
        </w:rPr>
        <w:t xml:space="preserve"> (</w:t>
      </w:r>
      <w:r w:rsidR="002D2EC2" w:rsidRPr="002D2EC2">
        <w:rPr>
          <w:rFonts w:ascii="Arial" w:hAnsi="Arial" w:cs="Arial"/>
          <w:bCs/>
          <w:color w:val="000000"/>
          <w:sz w:val="24"/>
          <w:szCs w:val="24"/>
        </w:rPr>
        <w:t>Purdon, 2014)</w:t>
      </w:r>
      <w:r w:rsidR="002D2EC2">
        <w:rPr>
          <w:rFonts w:ascii="Arial" w:hAnsi="Arial" w:cs="Arial"/>
          <w:bCs/>
          <w:color w:val="000000"/>
          <w:sz w:val="24"/>
          <w:szCs w:val="24"/>
        </w:rPr>
        <w:t>.</w:t>
      </w:r>
    </w:p>
    <w:p w14:paraId="33A47626" w14:textId="5AB0837F" w:rsidR="00233C7D" w:rsidRPr="00377A68" w:rsidRDefault="00233C7D" w:rsidP="00404C5E">
      <w:pPr>
        <w:spacing w:line="360" w:lineRule="auto"/>
        <w:rPr>
          <w:rFonts w:ascii="Arial" w:hAnsi="Arial" w:cs="Arial"/>
          <w:color w:val="000000"/>
          <w:sz w:val="24"/>
          <w:szCs w:val="24"/>
          <w:highlight w:val="yellow"/>
        </w:rPr>
      </w:pPr>
      <w:r w:rsidRPr="00233C7D">
        <w:rPr>
          <w:rFonts w:ascii="Arial" w:hAnsi="Arial" w:cs="Arial"/>
          <w:sz w:val="24"/>
          <w:szCs w:val="24"/>
        </w:rPr>
        <w:t xml:space="preserve"> If adults </w:t>
      </w:r>
      <w:r w:rsidR="00F47F2A" w:rsidRPr="00233C7D">
        <w:rPr>
          <w:rFonts w:ascii="Arial" w:hAnsi="Arial" w:cs="Arial"/>
          <w:sz w:val="24"/>
          <w:szCs w:val="24"/>
        </w:rPr>
        <w:t>prompt</w:t>
      </w:r>
      <w:r w:rsidRPr="00233C7D">
        <w:rPr>
          <w:rFonts w:ascii="Arial" w:hAnsi="Arial" w:cs="Arial"/>
          <w:sz w:val="24"/>
          <w:szCs w:val="24"/>
        </w:rPr>
        <w:t xml:space="preserve"> too much though, children can lose ownership of the activity, which may make learning feel more directed than child led. This reflects the concept of scaffolding, where adults support children to achieve </w:t>
      </w:r>
      <w:r w:rsidR="00F47F2A" w:rsidRPr="00233C7D">
        <w:rPr>
          <w:rFonts w:ascii="Arial" w:hAnsi="Arial" w:cs="Arial"/>
          <w:sz w:val="24"/>
          <w:szCs w:val="24"/>
        </w:rPr>
        <w:t>tasks,</w:t>
      </w:r>
      <w:r w:rsidRPr="00233C7D">
        <w:rPr>
          <w:rFonts w:ascii="Arial" w:hAnsi="Arial" w:cs="Arial"/>
          <w:sz w:val="24"/>
          <w:szCs w:val="24"/>
        </w:rPr>
        <w:t xml:space="preserve"> they cannot yet manage alone (Wood, Brune, and Ross, 1976, cited in Dominguez and Svihla, 2023).</w:t>
      </w:r>
    </w:p>
    <w:p w14:paraId="2F8C959A" w14:textId="41814B36"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t>According to Trina et al. (2025) outdoor learning environments have a long-lasting influence on children’s understanding of mathematical and scientifi</w:t>
      </w:r>
      <w:r w:rsidR="00F96450" w:rsidRPr="00F02B84">
        <w:rPr>
          <w:rFonts w:ascii="Arial" w:hAnsi="Arial" w:cs="Arial"/>
          <w:sz w:val="24"/>
          <w:szCs w:val="24"/>
        </w:rPr>
        <w:t>c</w:t>
      </w:r>
      <w:r w:rsidRPr="00233C7D">
        <w:rPr>
          <w:rFonts w:ascii="Arial" w:hAnsi="Arial" w:cs="Arial"/>
          <w:sz w:val="24"/>
          <w:szCs w:val="24"/>
        </w:rPr>
        <w:t xml:space="preserve"> learning. They add that young children can learn difficult science concepts when given the right opportunities (</w:t>
      </w:r>
      <w:proofErr w:type="spellStart"/>
      <w:r w:rsidRPr="00233C7D">
        <w:rPr>
          <w:rFonts w:ascii="Arial" w:hAnsi="Arial" w:cs="Arial"/>
          <w:sz w:val="24"/>
          <w:szCs w:val="24"/>
        </w:rPr>
        <w:t>Samarapungavan</w:t>
      </w:r>
      <w:proofErr w:type="spellEnd"/>
      <w:r w:rsidRPr="00233C7D">
        <w:rPr>
          <w:rFonts w:ascii="Arial" w:hAnsi="Arial" w:cs="Arial"/>
          <w:sz w:val="24"/>
          <w:szCs w:val="24"/>
        </w:rPr>
        <w:t xml:space="preserve"> et al., 2009; Zucker et al., 2016 cited in Trina et al., 2025). This reinforces the idea that both free exploration and well-timed scaffolding are necessary for deeper understanding. If practitioners step in too soon, children may lose ownership of their learning. If they step back for too long, the opportunity for extending concepts may be missed. Skilled practitioners therefore combine both strategies, observing first and then scaffolding at the right moment. Carranza-Pinedo and </w:t>
      </w:r>
      <w:proofErr w:type="spellStart"/>
      <w:r w:rsidRPr="00233C7D">
        <w:rPr>
          <w:rFonts w:ascii="Arial" w:hAnsi="Arial" w:cs="Arial"/>
          <w:sz w:val="24"/>
          <w:szCs w:val="24"/>
        </w:rPr>
        <w:t>Diprossimo</w:t>
      </w:r>
      <w:proofErr w:type="spellEnd"/>
      <w:r w:rsidRPr="00233C7D">
        <w:rPr>
          <w:rFonts w:ascii="Arial" w:hAnsi="Arial" w:cs="Arial"/>
          <w:sz w:val="24"/>
          <w:szCs w:val="24"/>
        </w:rPr>
        <w:t xml:space="preserve"> (2025) add that scaffolding is temporary and gradually removed as children gain skill and independence.</w:t>
      </w:r>
    </w:p>
    <w:p w14:paraId="151E99D6" w14:textId="77777777" w:rsidR="00233C7D" w:rsidRPr="00233C7D" w:rsidRDefault="00233C7D" w:rsidP="00404C5E">
      <w:pPr>
        <w:spacing w:line="360" w:lineRule="auto"/>
        <w:rPr>
          <w:rFonts w:ascii="Arial" w:hAnsi="Arial" w:cs="Arial"/>
          <w:sz w:val="24"/>
          <w:szCs w:val="24"/>
          <w:u w:val="single"/>
        </w:rPr>
      </w:pPr>
      <w:r w:rsidRPr="00233C7D">
        <w:rPr>
          <w:rFonts w:ascii="Arial" w:hAnsi="Arial" w:cs="Arial"/>
          <w:sz w:val="24"/>
          <w:szCs w:val="24"/>
          <w:u w:val="single"/>
        </w:rPr>
        <w:t>The Adult as Environment Enabler</w:t>
      </w:r>
    </w:p>
    <w:p w14:paraId="6B7DB17D" w14:textId="0F31CEA3" w:rsidR="006E7ECF" w:rsidRPr="00F02B84" w:rsidRDefault="00233C7D" w:rsidP="00404C5E">
      <w:pPr>
        <w:spacing w:line="360" w:lineRule="auto"/>
        <w:rPr>
          <w:rFonts w:ascii="Arial" w:hAnsi="Arial" w:cs="Arial"/>
          <w:sz w:val="24"/>
          <w:szCs w:val="24"/>
        </w:rPr>
      </w:pPr>
      <w:r w:rsidRPr="00233C7D">
        <w:rPr>
          <w:rFonts w:ascii="Arial" w:hAnsi="Arial" w:cs="Arial"/>
          <w:sz w:val="24"/>
          <w:szCs w:val="24"/>
        </w:rPr>
        <w:t>Taylor, Pringle and Roscoe (2024) state that varied outdoor features, from natural surfaces and loose parts, afford opportunities for scientifical and mathematical learning.</w:t>
      </w:r>
      <w:r w:rsidR="008C2338" w:rsidRPr="00F02B84">
        <w:rPr>
          <w:rFonts w:ascii="Arial" w:hAnsi="Arial" w:cs="Arial"/>
          <w:sz w:val="24"/>
          <w:szCs w:val="24"/>
        </w:rPr>
        <w:t xml:space="preserve"> This </w:t>
      </w:r>
      <w:r w:rsidR="00573058" w:rsidRPr="00F02B84">
        <w:rPr>
          <w:rFonts w:ascii="Arial" w:hAnsi="Arial" w:cs="Arial"/>
          <w:sz w:val="24"/>
          <w:szCs w:val="24"/>
        </w:rPr>
        <w:t>reflects the Nicholson’s loose part theory</w:t>
      </w:r>
      <w:r w:rsidR="0012675B" w:rsidRPr="00F02B84">
        <w:rPr>
          <w:rFonts w:ascii="Arial" w:hAnsi="Arial" w:cs="Arial"/>
          <w:sz w:val="24"/>
          <w:szCs w:val="24"/>
        </w:rPr>
        <w:t xml:space="preserve">, </w:t>
      </w:r>
      <w:r w:rsidR="008B2DEA" w:rsidRPr="00F02B84">
        <w:rPr>
          <w:rFonts w:ascii="Arial" w:hAnsi="Arial" w:cs="Arial"/>
          <w:sz w:val="24"/>
          <w:szCs w:val="24"/>
        </w:rPr>
        <w:t xml:space="preserve">which </w:t>
      </w:r>
      <w:r w:rsidR="0012675B" w:rsidRPr="00F02B84">
        <w:rPr>
          <w:rFonts w:ascii="Arial" w:hAnsi="Arial" w:cs="Arial"/>
          <w:sz w:val="24"/>
          <w:szCs w:val="24"/>
        </w:rPr>
        <w:t>highlights</w:t>
      </w:r>
      <w:r w:rsidR="008B2DEA" w:rsidRPr="00F02B84">
        <w:rPr>
          <w:rFonts w:ascii="Arial" w:hAnsi="Arial" w:cs="Arial"/>
          <w:sz w:val="24"/>
          <w:szCs w:val="24"/>
        </w:rPr>
        <w:t xml:space="preserve"> </w:t>
      </w:r>
      <w:r w:rsidR="00F275CC" w:rsidRPr="00F02B84">
        <w:rPr>
          <w:rFonts w:ascii="Arial" w:hAnsi="Arial" w:cs="Arial"/>
          <w:sz w:val="24"/>
          <w:szCs w:val="24"/>
        </w:rPr>
        <w:t xml:space="preserve">that </w:t>
      </w:r>
      <w:r w:rsidR="00F275CC" w:rsidRPr="00F02B84">
        <w:rPr>
          <w:rFonts w:ascii="Arial" w:hAnsi="Arial" w:cs="Arial"/>
          <w:sz w:val="24"/>
          <w:szCs w:val="24"/>
        </w:rPr>
        <w:lastRenderedPageBreak/>
        <w:t xml:space="preserve">creativity and </w:t>
      </w:r>
      <w:r w:rsidR="00C24F4D" w:rsidRPr="00F02B84">
        <w:rPr>
          <w:rFonts w:ascii="Arial" w:hAnsi="Arial" w:cs="Arial"/>
          <w:sz w:val="24"/>
          <w:szCs w:val="24"/>
        </w:rPr>
        <w:t>problem-solving</w:t>
      </w:r>
      <w:r w:rsidR="00F275CC" w:rsidRPr="00F02B84">
        <w:rPr>
          <w:rFonts w:ascii="Arial" w:hAnsi="Arial" w:cs="Arial"/>
          <w:sz w:val="24"/>
          <w:szCs w:val="24"/>
        </w:rPr>
        <w:t xml:space="preserve"> flourish when </w:t>
      </w:r>
      <w:r w:rsidR="00497C48" w:rsidRPr="00F02B84">
        <w:rPr>
          <w:rFonts w:ascii="Arial" w:hAnsi="Arial" w:cs="Arial"/>
          <w:sz w:val="24"/>
          <w:szCs w:val="24"/>
        </w:rPr>
        <w:t>children have open ended materials to manipulate</w:t>
      </w:r>
      <w:r w:rsidR="00C24F4D" w:rsidRPr="00F02B84">
        <w:rPr>
          <w:rFonts w:ascii="Arial" w:hAnsi="Arial" w:cs="Arial"/>
          <w:sz w:val="24"/>
          <w:szCs w:val="24"/>
        </w:rPr>
        <w:t xml:space="preserve"> (Gull et al., 2019).</w:t>
      </w:r>
      <w:r w:rsidR="00C452DF" w:rsidRPr="00F02B84">
        <w:rPr>
          <w:rFonts w:ascii="Arial" w:hAnsi="Arial" w:cs="Arial"/>
          <w:sz w:val="24"/>
          <w:szCs w:val="24"/>
        </w:rPr>
        <w:t xml:space="preserve"> </w:t>
      </w:r>
      <w:r w:rsidR="007159DC" w:rsidRPr="00F02B84">
        <w:rPr>
          <w:rFonts w:ascii="Arial" w:hAnsi="Arial" w:cs="Arial"/>
          <w:sz w:val="24"/>
          <w:szCs w:val="24"/>
        </w:rPr>
        <w:t xml:space="preserve">It also links to Gibsons </w:t>
      </w:r>
      <w:r w:rsidR="00A612BD" w:rsidRPr="00F02B84">
        <w:rPr>
          <w:rFonts w:ascii="Arial" w:hAnsi="Arial" w:cs="Arial"/>
          <w:sz w:val="24"/>
          <w:szCs w:val="24"/>
        </w:rPr>
        <w:t>Affordance</w:t>
      </w:r>
      <w:r w:rsidR="007159DC" w:rsidRPr="00F02B84">
        <w:rPr>
          <w:rFonts w:ascii="Arial" w:hAnsi="Arial" w:cs="Arial"/>
          <w:sz w:val="24"/>
          <w:szCs w:val="24"/>
        </w:rPr>
        <w:t xml:space="preserve"> theory (19</w:t>
      </w:r>
      <w:r w:rsidR="009F0830" w:rsidRPr="00F02B84">
        <w:rPr>
          <w:rFonts w:ascii="Arial" w:hAnsi="Arial" w:cs="Arial"/>
          <w:sz w:val="24"/>
          <w:szCs w:val="24"/>
        </w:rPr>
        <w:t xml:space="preserve">79) as the environment itself provides opportunities </w:t>
      </w:r>
      <w:r w:rsidR="00A36871" w:rsidRPr="00F02B84">
        <w:rPr>
          <w:rFonts w:ascii="Arial" w:hAnsi="Arial" w:cs="Arial"/>
          <w:sz w:val="24"/>
          <w:szCs w:val="24"/>
        </w:rPr>
        <w:t>depending on how children perceive and use it</w:t>
      </w:r>
      <w:r w:rsidR="001C4EA3" w:rsidRPr="00F02B84">
        <w:rPr>
          <w:rFonts w:ascii="Arial" w:hAnsi="Arial" w:cs="Arial"/>
          <w:sz w:val="24"/>
          <w:szCs w:val="24"/>
        </w:rPr>
        <w:t xml:space="preserve"> </w:t>
      </w:r>
      <w:r w:rsidR="00656AD2" w:rsidRPr="00F02B84">
        <w:rPr>
          <w:rFonts w:ascii="Arial" w:hAnsi="Arial" w:cs="Arial"/>
          <w:sz w:val="24"/>
          <w:szCs w:val="24"/>
        </w:rPr>
        <w:t xml:space="preserve">(Khatibi and </w:t>
      </w:r>
      <w:proofErr w:type="spellStart"/>
      <w:r w:rsidR="00656AD2" w:rsidRPr="00F02B84">
        <w:rPr>
          <w:rFonts w:ascii="Arial" w:hAnsi="Arial" w:cs="Arial"/>
          <w:sz w:val="24"/>
          <w:szCs w:val="24"/>
        </w:rPr>
        <w:t>Sheikholeslami</w:t>
      </w:r>
      <w:proofErr w:type="spellEnd"/>
      <w:r w:rsidR="00656AD2" w:rsidRPr="00F02B84">
        <w:rPr>
          <w:rFonts w:ascii="Arial" w:hAnsi="Arial" w:cs="Arial"/>
          <w:sz w:val="24"/>
          <w:szCs w:val="24"/>
        </w:rPr>
        <w:t>, 2015).</w:t>
      </w:r>
      <w:r w:rsidR="006E7ECF" w:rsidRPr="00F02B84">
        <w:rPr>
          <w:rFonts w:ascii="Arial" w:hAnsi="Arial" w:cs="Arial"/>
          <w:sz w:val="24"/>
          <w:szCs w:val="24"/>
        </w:rPr>
        <w:t xml:space="preserve"> </w:t>
      </w:r>
      <w:r w:rsidR="007872D0" w:rsidRPr="00F02B84">
        <w:rPr>
          <w:rFonts w:ascii="Arial" w:hAnsi="Arial" w:cs="Arial"/>
          <w:sz w:val="24"/>
          <w:szCs w:val="24"/>
        </w:rPr>
        <w:t xml:space="preserve">A curriculum for funded non-maintained nursery settings </w:t>
      </w:r>
      <w:r w:rsidR="00B71786" w:rsidRPr="00F02B84">
        <w:rPr>
          <w:rFonts w:ascii="Arial" w:hAnsi="Arial" w:cs="Arial"/>
          <w:sz w:val="24"/>
          <w:szCs w:val="24"/>
        </w:rPr>
        <w:t xml:space="preserve">reinforces this by </w:t>
      </w:r>
      <w:r w:rsidR="006867AB" w:rsidRPr="00F02B84">
        <w:rPr>
          <w:rFonts w:ascii="Arial" w:hAnsi="Arial" w:cs="Arial"/>
          <w:sz w:val="24"/>
          <w:szCs w:val="24"/>
        </w:rPr>
        <w:t>placing a strong emphasis on outdoor learning</w:t>
      </w:r>
      <w:r w:rsidR="00916435" w:rsidRPr="00F02B84">
        <w:rPr>
          <w:rFonts w:ascii="Arial" w:hAnsi="Arial" w:cs="Arial"/>
          <w:sz w:val="24"/>
          <w:szCs w:val="24"/>
        </w:rPr>
        <w:t xml:space="preserve">, </w:t>
      </w:r>
      <w:r w:rsidR="0034531E" w:rsidRPr="00F02B84">
        <w:rPr>
          <w:rFonts w:ascii="Arial" w:hAnsi="Arial" w:cs="Arial"/>
          <w:sz w:val="24"/>
          <w:szCs w:val="24"/>
        </w:rPr>
        <w:t>numeracy and scientific enquiry as key areas of learning</w:t>
      </w:r>
      <w:r w:rsidR="008C47B3" w:rsidRPr="00F02B84">
        <w:rPr>
          <w:rFonts w:ascii="Arial" w:hAnsi="Arial" w:cs="Arial"/>
          <w:sz w:val="24"/>
          <w:szCs w:val="24"/>
        </w:rPr>
        <w:t xml:space="preserve">, highlighting how exploration of natural environment can develop </w:t>
      </w:r>
      <w:r w:rsidR="00A612BD" w:rsidRPr="00F02B84">
        <w:rPr>
          <w:rFonts w:ascii="Arial" w:hAnsi="Arial" w:cs="Arial"/>
          <w:sz w:val="24"/>
          <w:szCs w:val="24"/>
        </w:rPr>
        <w:t xml:space="preserve">problem solving and reasoning skills </w:t>
      </w:r>
      <w:r w:rsidR="006E7ECF" w:rsidRPr="00F02B84">
        <w:rPr>
          <w:rFonts w:ascii="Arial" w:hAnsi="Arial" w:cs="Arial"/>
          <w:sz w:val="24"/>
          <w:szCs w:val="24"/>
        </w:rPr>
        <w:t>(Welsh Government, 2022).</w:t>
      </w:r>
    </w:p>
    <w:p w14:paraId="71EB2F84" w14:textId="197A1D39" w:rsidR="00233C7D" w:rsidRDefault="00233C7D" w:rsidP="00404C5E">
      <w:pPr>
        <w:spacing w:line="360" w:lineRule="auto"/>
        <w:rPr>
          <w:rFonts w:ascii="Arial" w:hAnsi="Arial" w:cs="Arial"/>
          <w:sz w:val="24"/>
          <w:szCs w:val="24"/>
        </w:rPr>
      </w:pPr>
      <w:r w:rsidRPr="00233C7D">
        <w:rPr>
          <w:rFonts w:ascii="Arial" w:hAnsi="Arial" w:cs="Arial"/>
          <w:sz w:val="24"/>
          <w:szCs w:val="24"/>
        </w:rPr>
        <w:t>This demonstrates that the outdoor environment provides rich affordances for exploration, but these depend on how adults notice and build on them. Purposeful set up of the outdoor space helps scaffold development by creating environments that support different areas of learning (Craig et al., 2024).</w:t>
      </w:r>
      <w:r w:rsidR="00FB050E" w:rsidRPr="00F02B84">
        <w:rPr>
          <w:rFonts w:ascii="Arial" w:hAnsi="Arial" w:cs="Arial"/>
          <w:sz w:val="24"/>
          <w:szCs w:val="24"/>
        </w:rPr>
        <w:t xml:space="preserve"> </w:t>
      </w:r>
      <w:r w:rsidR="00B23F86" w:rsidRPr="00F02B84">
        <w:rPr>
          <w:rFonts w:ascii="Arial" w:hAnsi="Arial" w:cs="Arial"/>
          <w:sz w:val="24"/>
          <w:szCs w:val="24"/>
        </w:rPr>
        <w:t xml:space="preserve">This suggests the environment is not neutral but actively shapes </w:t>
      </w:r>
      <w:r w:rsidR="002C5B89" w:rsidRPr="00F02B84">
        <w:rPr>
          <w:rFonts w:ascii="Arial" w:hAnsi="Arial" w:cs="Arial"/>
          <w:sz w:val="24"/>
          <w:szCs w:val="24"/>
        </w:rPr>
        <w:t>learning, and practitioners must be intentional in preparing spaces.</w:t>
      </w:r>
      <w:r w:rsidRPr="00233C7D">
        <w:rPr>
          <w:rFonts w:ascii="Arial" w:hAnsi="Arial" w:cs="Arial"/>
          <w:sz w:val="24"/>
          <w:szCs w:val="24"/>
        </w:rPr>
        <w:t xml:space="preserve"> A study by Trina et al. (2024) found that outdoor areas designed with STEAM in mind give children opportunities to explore science and maths concepts in ways that traditional fixed playgrounds cannot do. Byrne et al. (2023) found that manipulatives like shells support maths learning only when adults observe and scaffold their use. For example, a child collects stones of different sizes. The practitioner can recognise this and build on it by asking, “Which one is the heaviest? Which one is the lightest?” This turns the child’s play into scientific and mathematical learning of weight and comparison. The practitioner introduces mathematical vocabulary while letting the children continue exploring. This example shows how small prompts can connect real-world experiences with formal concepts, making learning more meaningful. However, if manipulatives are used in a very structured way, they can limit children’s freedom to explore and turn the activity into a task rather than play. Although y Carbonneau et al., 2013 cited in Bryne et al. (2023) state that manipulatives only foster maths and science when appropriately scaffolded, reinforcing the importance of practitioner’s involvement.</w:t>
      </w:r>
      <w:r w:rsidR="00404C5E">
        <w:rPr>
          <w:rFonts w:ascii="Arial" w:hAnsi="Arial" w:cs="Arial"/>
          <w:sz w:val="24"/>
          <w:szCs w:val="24"/>
        </w:rPr>
        <w:t xml:space="preserve"> </w:t>
      </w:r>
    </w:p>
    <w:p w14:paraId="0F1BB79C" w14:textId="130A4EE2" w:rsidR="0023778F" w:rsidRPr="0023778F" w:rsidRDefault="002D2EC2" w:rsidP="00404C5E">
      <w:pPr>
        <w:spacing w:line="360" w:lineRule="auto"/>
        <w:rPr>
          <w:rFonts w:ascii="Arial" w:hAnsi="Arial" w:cs="Arial"/>
          <w:sz w:val="24"/>
          <w:szCs w:val="24"/>
        </w:rPr>
      </w:pPr>
      <w:r>
        <w:rPr>
          <w:rFonts w:ascii="Arial" w:hAnsi="Arial" w:cs="Arial"/>
          <w:sz w:val="24"/>
          <w:szCs w:val="24"/>
        </w:rPr>
        <w:t>Additionally,</w:t>
      </w:r>
      <w:r w:rsidR="009131EB">
        <w:rPr>
          <w:rFonts w:ascii="Arial" w:hAnsi="Arial" w:cs="Arial"/>
          <w:sz w:val="24"/>
          <w:szCs w:val="24"/>
        </w:rPr>
        <w:t xml:space="preserve"> the outdoor environment gives children space for bigger movements like climbing, balancing or swinging</w:t>
      </w:r>
      <w:r w:rsidR="00107B9C">
        <w:rPr>
          <w:rFonts w:ascii="Arial" w:hAnsi="Arial" w:cs="Arial"/>
          <w:sz w:val="24"/>
          <w:szCs w:val="24"/>
        </w:rPr>
        <w:t xml:space="preserve"> </w:t>
      </w:r>
      <w:r w:rsidR="00107B9C" w:rsidRPr="00107B9C">
        <w:rPr>
          <w:rFonts w:ascii="Arial" w:hAnsi="Arial" w:cs="Arial"/>
          <w:sz w:val="24"/>
          <w:szCs w:val="24"/>
        </w:rPr>
        <w:t>(Bento and Dias, 2017</w:t>
      </w:r>
      <w:r w:rsidR="0023778F" w:rsidRPr="00107B9C">
        <w:rPr>
          <w:rFonts w:ascii="Arial" w:hAnsi="Arial" w:cs="Arial"/>
          <w:sz w:val="24"/>
          <w:szCs w:val="24"/>
        </w:rPr>
        <w:t>)</w:t>
      </w:r>
      <w:r w:rsidR="0023778F">
        <w:rPr>
          <w:rFonts w:ascii="Arial" w:hAnsi="Arial" w:cs="Arial"/>
          <w:sz w:val="24"/>
          <w:szCs w:val="24"/>
        </w:rPr>
        <w:t>. This</w:t>
      </w:r>
      <w:r w:rsidR="009131EB">
        <w:rPr>
          <w:rFonts w:ascii="Arial" w:hAnsi="Arial" w:cs="Arial"/>
          <w:sz w:val="24"/>
          <w:szCs w:val="24"/>
        </w:rPr>
        <w:t xml:space="preserve"> helps develop balance through their vestibular senses and body awareness through their proprioception sense</w:t>
      </w:r>
      <w:r w:rsidR="00107B9C">
        <w:rPr>
          <w:rFonts w:ascii="Arial" w:hAnsi="Arial" w:cs="Arial"/>
          <w:sz w:val="24"/>
          <w:szCs w:val="24"/>
        </w:rPr>
        <w:t xml:space="preserve"> </w:t>
      </w:r>
      <w:r w:rsidR="00107B9C" w:rsidRPr="00107B9C">
        <w:rPr>
          <w:rFonts w:ascii="Arial" w:hAnsi="Arial" w:cs="Arial"/>
          <w:sz w:val="24"/>
          <w:szCs w:val="24"/>
        </w:rPr>
        <w:t>(</w:t>
      </w:r>
      <w:proofErr w:type="spellStart"/>
      <w:r w:rsidR="00107B9C" w:rsidRPr="00107B9C">
        <w:rPr>
          <w:rFonts w:ascii="Arial" w:hAnsi="Arial" w:cs="Arial"/>
          <w:sz w:val="24"/>
          <w:szCs w:val="24"/>
        </w:rPr>
        <w:t>E</w:t>
      </w:r>
      <w:r w:rsidR="00107B9C">
        <w:rPr>
          <w:rFonts w:ascii="Arial" w:hAnsi="Arial" w:cs="Arial"/>
          <w:sz w:val="24"/>
          <w:szCs w:val="24"/>
        </w:rPr>
        <w:t>g</w:t>
      </w:r>
      <w:r w:rsidR="00107B9C" w:rsidRPr="00107B9C">
        <w:rPr>
          <w:rFonts w:ascii="Arial" w:hAnsi="Arial" w:cs="Arial"/>
          <w:sz w:val="24"/>
          <w:szCs w:val="24"/>
        </w:rPr>
        <w:t>rik</w:t>
      </w:r>
      <w:r w:rsidR="00107B9C">
        <w:rPr>
          <w:rFonts w:ascii="Arial" w:hAnsi="Arial" w:cs="Arial"/>
          <w:sz w:val="24"/>
          <w:szCs w:val="24"/>
        </w:rPr>
        <w:t>ili</w:t>
      </w:r>
      <w:r w:rsidR="00107B9C" w:rsidRPr="00107B9C">
        <w:rPr>
          <w:rFonts w:ascii="Arial" w:hAnsi="Arial" w:cs="Arial"/>
          <w:sz w:val="24"/>
          <w:szCs w:val="24"/>
        </w:rPr>
        <w:t>n</w:t>
      </w:r>
      <w:r w:rsidR="00107B9C">
        <w:rPr>
          <w:rFonts w:ascii="Arial" w:hAnsi="Arial" w:cs="Arial"/>
          <w:sz w:val="24"/>
          <w:szCs w:val="24"/>
        </w:rPr>
        <w:t>c</w:t>
      </w:r>
      <w:proofErr w:type="spellEnd"/>
      <w:r w:rsidR="00107B9C" w:rsidRPr="00107B9C">
        <w:rPr>
          <w:rFonts w:ascii="Arial" w:hAnsi="Arial" w:cs="Arial"/>
          <w:sz w:val="24"/>
          <w:szCs w:val="24"/>
        </w:rPr>
        <w:t xml:space="preserve"> and Dere, 2024)</w:t>
      </w:r>
      <w:r w:rsidR="00107B9C">
        <w:rPr>
          <w:rFonts w:ascii="Arial" w:hAnsi="Arial" w:cs="Arial"/>
          <w:sz w:val="24"/>
          <w:szCs w:val="24"/>
        </w:rPr>
        <w:t xml:space="preserve">. However, outdoor play naturally comes with its risk </w:t>
      </w:r>
      <w:r w:rsidR="00107B9C" w:rsidRPr="00107B9C">
        <w:rPr>
          <w:rFonts w:ascii="Arial" w:hAnsi="Arial" w:cs="Arial"/>
          <w:sz w:val="24"/>
          <w:szCs w:val="24"/>
        </w:rPr>
        <w:t>(Beaulieu and Beno, 2024)</w:t>
      </w:r>
      <w:r w:rsidR="00107B9C">
        <w:rPr>
          <w:rFonts w:ascii="Arial" w:hAnsi="Arial" w:cs="Arial"/>
          <w:sz w:val="24"/>
          <w:szCs w:val="24"/>
        </w:rPr>
        <w:t xml:space="preserve"> such as falls, trips. If risks are removed, children </w:t>
      </w:r>
      <w:r w:rsidR="00107B9C">
        <w:rPr>
          <w:rFonts w:ascii="Arial" w:hAnsi="Arial" w:cs="Arial"/>
          <w:sz w:val="24"/>
          <w:szCs w:val="24"/>
        </w:rPr>
        <w:lastRenderedPageBreak/>
        <w:t xml:space="preserve">miss out on </w:t>
      </w:r>
      <w:r w:rsidR="0023778F">
        <w:rPr>
          <w:rFonts w:ascii="Arial" w:hAnsi="Arial" w:cs="Arial"/>
          <w:sz w:val="24"/>
          <w:szCs w:val="24"/>
        </w:rPr>
        <w:t xml:space="preserve">opportunities to solve problem and learn how to take risks safely </w:t>
      </w:r>
      <w:r w:rsidR="0023778F" w:rsidRPr="0023778F">
        <w:rPr>
          <w:rFonts w:ascii="Arial" w:hAnsi="Arial" w:cs="Arial"/>
          <w:sz w:val="24"/>
          <w:szCs w:val="24"/>
        </w:rPr>
        <w:t>(</w:t>
      </w:r>
      <w:proofErr w:type="spellStart"/>
      <w:r w:rsidR="0023778F" w:rsidRPr="0023778F">
        <w:rPr>
          <w:rFonts w:ascii="Arial" w:hAnsi="Arial" w:cs="Arial"/>
          <w:sz w:val="24"/>
          <w:szCs w:val="24"/>
        </w:rPr>
        <w:t>Brussoni</w:t>
      </w:r>
      <w:proofErr w:type="spellEnd"/>
      <w:r w:rsidR="0023778F" w:rsidRPr="0023778F">
        <w:rPr>
          <w:rFonts w:ascii="Arial" w:hAnsi="Arial" w:cs="Arial"/>
          <w:sz w:val="24"/>
          <w:szCs w:val="24"/>
        </w:rPr>
        <w:t xml:space="preserve"> et al., 2012)</w:t>
      </w:r>
      <w:r w:rsidR="0023778F">
        <w:rPr>
          <w:rFonts w:ascii="Arial" w:hAnsi="Arial" w:cs="Arial"/>
          <w:sz w:val="24"/>
          <w:szCs w:val="24"/>
        </w:rPr>
        <w:t xml:space="preserve">. It is about finding balance between risk and benefit </w:t>
      </w:r>
      <w:r w:rsidR="0023778F" w:rsidRPr="0023778F">
        <w:rPr>
          <w:rFonts w:ascii="Arial" w:hAnsi="Arial" w:cs="Arial"/>
          <w:sz w:val="24"/>
          <w:szCs w:val="24"/>
        </w:rPr>
        <w:t>(Cooke, Wong and Press, 2019)</w:t>
      </w:r>
      <w:r w:rsidR="0023778F">
        <w:rPr>
          <w:rFonts w:ascii="Arial" w:hAnsi="Arial" w:cs="Arial"/>
          <w:sz w:val="24"/>
          <w:szCs w:val="24"/>
        </w:rPr>
        <w:t xml:space="preserve">. For </w:t>
      </w:r>
      <w:r w:rsidR="00404C5E">
        <w:rPr>
          <w:rFonts w:ascii="Arial" w:hAnsi="Arial" w:cs="Arial"/>
          <w:sz w:val="24"/>
          <w:szCs w:val="24"/>
        </w:rPr>
        <w:t>example,</w:t>
      </w:r>
      <w:r w:rsidR="0023778F">
        <w:rPr>
          <w:rFonts w:ascii="Arial" w:hAnsi="Arial" w:cs="Arial"/>
          <w:sz w:val="24"/>
          <w:szCs w:val="24"/>
        </w:rPr>
        <w:t xml:space="preserve"> </w:t>
      </w:r>
      <w:r w:rsidR="00404C5E">
        <w:rPr>
          <w:rFonts w:ascii="Arial" w:hAnsi="Arial" w:cs="Arial"/>
          <w:sz w:val="24"/>
          <w:szCs w:val="24"/>
        </w:rPr>
        <w:t>children need enough challenge to develop their senses, build confidence and manage risks but the environment should</w:t>
      </w:r>
      <w:r w:rsidR="0023778F">
        <w:rPr>
          <w:rFonts w:ascii="Arial" w:hAnsi="Arial" w:cs="Arial"/>
          <w:sz w:val="24"/>
          <w:szCs w:val="24"/>
        </w:rPr>
        <w:t xml:space="preserve"> keep them safe from serious harm</w:t>
      </w:r>
      <w:r w:rsidR="00404C5E">
        <w:rPr>
          <w:rFonts w:ascii="Arial" w:hAnsi="Arial" w:cs="Arial"/>
          <w:sz w:val="24"/>
          <w:szCs w:val="24"/>
        </w:rPr>
        <w:t>.</w:t>
      </w:r>
    </w:p>
    <w:p w14:paraId="2061ABAE" w14:textId="355F8D20" w:rsidR="0023778F" w:rsidRPr="0023778F" w:rsidRDefault="0023778F" w:rsidP="00404C5E">
      <w:pPr>
        <w:spacing w:line="360" w:lineRule="auto"/>
        <w:rPr>
          <w:rFonts w:ascii="Arial" w:hAnsi="Arial" w:cs="Arial"/>
          <w:sz w:val="24"/>
          <w:szCs w:val="24"/>
        </w:rPr>
      </w:pPr>
    </w:p>
    <w:p w14:paraId="1B1BDC51" w14:textId="0F9C3D5C" w:rsidR="00233C7D" w:rsidRPr="00404C5E" w:rsidRDefault="00233C7D" w:rsidP="00404C5E">
      <w:pPr>
        <w:spacing w:line="360" w:lineRule="auto"/>
        <w:rPr>
          <w:rFonts w:ascii="Arial" w:hAnsi="Arial" w:cs="Arial"/>
          <w:sz w:val="24"/>
          <w:szCs w:val="24"/>
        </w:rPr>
      </w:pPr>
      <w:r w:rsidRPr="00233C7D">
        <w:rPr>
          <w:rFonts w:ascii="Arial" w:hAnsi="Arial" w:cs="Arial"/>
          <w:sz w:val="24"/>
          <w:szCs w:val="24"/>
          <w:u w:val="single"/>
        </w:rPr>
        <w:t>Conclusion</w:t>
      </w:r>
    </w:p>
    <w:p w14:paraId="256F599D" w14:textId="69E41191" w:rsidR="00233C7D" w:rsidRPr="00233C7D" w:rsidRDefault="00233C7D" w:rsidP="00404C5E">
      <w:pPr>
        <w:spacing w:line="360" w:lineRule="auto"/>
        <w:rPr>
          <w:rFonts w:ascii="Arial" w:hAnsi="Arial" w:cs="Arial"/>
          <w:sz w:val="24"/>
          <w:szCs w:val="24"/>
        </w:rPr>
      </w:pPr>
      <w:r w:rsidRPr="00233C7D">
        <w:rPr>
          <w:rFonts w:ascii="Arial" w:hAnsi="Arial" w:cs="Arial"/>
          <w:sz w:val="24"/>
          <w:szCs w:val="24"/>
        </w:rPr>
        <w:t>In summary, outdoor environments give children many opportunities to explore science and maths. However, it is the adult’s role as careful observer</w:t>
      </w:r>
      <w:r w:rsidR="00703E73" w:rsidRPr="00F02B84">
        <w:rPr>
          <w:rFonts w:ascii="Arial" w:hAnsi="Arial" w:cs="Arial"/>
          <w:sz w:val="24"/>
          <w:szCs w:val="24"/>
        </w:rPr>
        <w:t xml:space="preserve">, </w:t>
      </w:r>
      <w:r w:rsidRPr="00233C7D">
        <w:rPr>
          <w:rFonts w:ascii="Arial" w:hAnsi="Arial" w:cs="Arial"/>
          <w:sz w:val="24"/>
          <w:szCs w:val="24"/>
        </w:rPr>
        <w:t>scaffolder</w:t>
      </w:r>
      <w:r w:rsidR="00703E73" w:rsidRPr="00F02B84">
        <w:rPr>
          <w:rFonts w:ascii="Arial" w:hAnsi="Arial" w:cs="Arial"/>
          <w:sz w:val="24"/>
          <w:szCs w:val="24"/>
        </w:rPr>
        <w:t xml:space="preserve"> and </w:t>
      </w:r>
      <w:r w:rsidR="001C0BE7" w:rsidRPr="00F02B84">
        <w:rPr>
          <w:rFonts w:ascii="Arial" w:hAnsi="Arial" w:cs="Arial"/>
          <w:sz w:val="24"/>
          <w:szCs w:val="24"/>
        </w:rPr>
        <w:t>providing enabling environment</w:t>
      </w:r>
      <w:r w:rsidRPr="00233C7D">
        <w:rPr>
          <w:rFonts w:ascii="Arial" w:hAnsi="Arial" w:cs="Arial"/>
          <w:sz w:val="24"/>
          <w:szCs w:val="24"/>
        </w:rPr>
        <w:t xml:space="preserve"> that makes these opportunities meaningful. By knowing when to step in and when to step back, practitioners can extend learning while still allowing play to remain child led. The key message is that the richest outdoor learning happens when observation, </w:t>
      </w:r>
      <w:r w:rsidR="00404C5E">
        <w:rPr>
          <w:rFonts w:ascii="Arial" w:hAnsi="Arial" w:cs="Arial"/>
          <w:sz w:val="24"/>
          <w:szCs w:val="24"/>
        </w:rPr>
        <w:t>safe</w:t>
      </w:r>
      <w:r w:rsidRPr="00233C7D">
        <w:rPr>
          <w:rFonts w:ascii="Arial" w:hAnsi="Arial" w:cs="Arial"/>
          <w:sz w:val="24"/>
          <w:szCs w:val="24"/>
        </w:rPr>
        <w:t xml:space="preserve"> </w:t>
      </w:r>
      <w:r w:rsidR="00404C5E">
        <w:rPr>
          <w:rFonts w:ascii="Arial" w:hAnsi="Arial" w:cs="Arial"/>
          <w:sz w:val="24"/>
          <w:szCs w:val="24"/>
        </w:rPr>
        <w:t>environment</w:t>
      </w:r>
      <w:r w:rsidRPr="00233C7D">
        <w:rPr>
          <w:rFonts w:ascii="Arial" w:hAnsi="Arial" w:cs="Arial"/>
          <w:sz w:val="24"/>
          <w:szCs w:val="24"/>
        </w:rPr>
        <w:t>, and subtle scaffolding are carefully balanced.</w:t>
      </w:r>
    </w:p>
    <w:p w14:paraId="5518E105" w14:textId="77777777" w:rsidR="00233C7D" w:rsidRPr="00F02B84" w:rsidRDefault="00233C7D" w:rsidP="001C48B4">
      <w:pPr>
        <w:rPr>
          <w:rFonts w:ascii="Arial" w:hAnsi="Arial" w:cs="Arial"/>
          <w:sz w:val="24"/>
          <w:szCs w:val="24"/>
        </w:rPr>
      </w:pPr>
    </w:p>
    <w:p w14:paraId="02BFADB5" w14:textId="77777777" w:rsidR="00233C7D" w:rsidRPr="00F02B84" w:rsidRDefault="00233C7D" w:rsidP="001C48B4">
      <w:pPr>
        <w:rPr>
          <w:rFonts w:ascii="Arial" w:hAnsi="Arial" w:cs="Arial"/>
          <w:sz w:val="24"/>
          <w:szCs w:val="24"/>
        </w:rPr>
      </w:pPr>
    </w:p>
    <w:p w14:paraId="1D5F8468" w14:textId="77777777" w:rsidR="00233C7D" w:rsidRDefault="00233C7D" w:rsidP="001C48B4"/>
    <w:p w14:paraId="3B0157FB" w14:textId="77777777" w:rsidR="00233C7D" w:rsidRDefault="00233C7D" w:rsidP="001C48B4"/>
    <w:p w14:paraId="33978A63" w14:textId="77777777" w:rsidR="00233C7D" w:rsidRDefault="00233C7D" w:rsidP="001C48B4"/>
    <w:p w14:paraId="69849855" w14:textId="77777777" w:rsidR="00233C7D" w:rsidRDefault="00233C7D" w:rsidP="001C48B4"/>
    <w:p w14:paraId="6904CCBB" w14:textId="77777777" w:rsidR="00233C7D" w:rsidRDefault="00233C7D" w:rsidP="001C48B4"/>
    <w:p w14:paraId="22EBD5D7" w14:textId="77777777" w:rsidR="001C48B4" w:rsidRDefault="001C48B4"/>
    <w:p w14:paraId="7D0BA203" w14:textId="77777777" w:rsidR="00652047" w:rsidRPr="00383FEE" w:rsidRDefault="00652047" w:rsidP="00383FEE">
      <w:pPr>
        <w:rPr>
          <w:b/>
          <w:bCs/>
        </w:rPr>
      </w:pPr>
    </w:p>
    <w:p w14:paraId="43343987" w14:textId="77777777" w:rsidR="00191165" w:rsidRPr="0084543B" w:rsidRDefault="00191165" w:rsidP="0084543B">
      <w:pPr>
        <w:rPr>
          <w:b/>
          <w:bCs/>
        </w:rPr>
      </w:pPr>
    </w:p>
    <w:p w14:paraId="039A71BF" w14:textId="77777777" w:rsidR="0084543B" w:rsidRPr="00C027CE" w:rsidRDefault="0084543B" w:rsidP="007A3B1E">
      <w:pPr>
        <w:rPr>
          <w:b/>
          <w:bCs/>
        </w:rPr>
      </w:pPr>
    </w:p>
    <w:p w14:paraId="6907446B" w14:textId="77777777" w:rsidR="00C027CE" w:rsidRDefault="00C027CE" w:rsidP="007A3B1E"/>
    <w:p w14:paraId="44CF56CD" w14:textId="174A7A0A" w:rsidR="004139E7" w:rsidRDefault="004139E7" w:rsidP="004139E7"/>
    <w:sectPr w:rsidR="00413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9E7"/>
    <w:rsid w:val="000012D7"/>
    <w:rsid w:val="00066270"/>
    <w:rsid w:val="000804EA"/>
    <w:rsid w:val="00080A31"/>
    <w:rsid w:val="00082537"/>
    <w:rsid w:val="0008559B"/>
    <w:rsid w:val="00085A45"/>
    <w:rsid w:val="000B0037"/>
    <w:rsid w:val="000C0083"/>
    <w:rsid w:val="000C0F2E"/>
    <w:rsid w:val="000C321C"/>
    <w:rsid w:val="000D0745"/>
    <w:rsid w:val="000D7A72"/>
    <w:rsid w:val="000E1EF6"/>
    <w:rsid w:val="000E66B1"/>
    <w:rsid w:val="000F76F2"/>
    <w:rsid w:val="00107B9C"/>
    <w:rsid w:val="0012595D"/>
    <w:rsid w:val="0012675B"/>
    <w:rsid w:val="00185E49"/>
    <w:rsid w:val="001901EB"/>
    <w:rsid w:val="00191165"/>
    <w:rsid w:val="001A12DA"/>
    <w:rsid w:val="001A4CB0"/>
    <w:rsid w:val="001A710C"/>
    <w:rsid w:val="001C00FA"/>
    <w:rsid w:val="001C0BE7"/>
    <w:rsid w:val="001C1657"/>
    <w:rsid w:val="001C48B4"/>
    <w:rsid w:val="001C4EA3"/>
    <w:rsid w:val="00205B95"/>
    <w:rsid w:val="00233C7D"/>
    <w:rsid w:val="0023778F"/>
    <w:rsid w:val="00256D32"/>
    <w:rsid w:val="002575BF"/>
    <w:rsid w:val="00266089"/>
    <w:rsid w:val="00271331"/>
    <w:rsid w:val="002826DA"/>
    <w:rsid w:val="00290C6D"/>
    <w:rsid w:val="002976FB"/>
    <w:rsid w:val="002A00B6"/>
    <w:rsid w:val="002A16B3"/>
    <w:rsid w:val="002A60FB"/>
    <w:rsid w:val="002B4B0C"/>
    <w:rsid w:val="002C5B89"/>
    <w:rsid w:val="002D190E"/>
    <w:rsid w:val="002D19E7"/>
    <w:rsid w:val="002D1D13"/>
    <w:rsid w:val="002D2EC2"/>
    <w:rsid w:val="002D35F1"/>
    <w:rsid w:val="002D51CA"/>
    <w:rsid w:val="002E51A9"/>
    <w:rsid w:val="00304CB2"/>
    <w:rsid w:val="00314926"/>
    <w:rsid w:val="00321B33"/>
    <w:rsid w:val="003228DA"/>
    <w:rsid w:val="0034531E"/>
    <w:rsid w:val="0037169E"/>
    <w:rsid w:val="00377A68"/>
    <w:rsid w:val="003806C3"/>
    <w:rsid w:val="00383FEE"/>
    <w:rsid w:val="00392F15"/>
    <w:rsid w:val="00393898"/>
    <w:rsid w:val="003A1E26"/>
    <w:rsid w:val="003B1860"/>
    <w:rsid w:val="003C5F22"/>
    <w:rsid w:val="00402102"/>
    <w:rsid w:val="00404C5E"/>
    <w:rsid w:val="00413799"/>
    <w:rsid w:val="004139E7"/>
    <w:rsid w:val="00425642"/>
    <w:rsid w:val="004461B8"/>
    <w:rsid w:val="004505D0"/>
    <w:rsid w:val="0046666E"/>
    <w:rsid w:val="004708D9"/>
    <w:rsid w:val="00475BD3"/>
    <w:rsid w:val="00485B0C"/>
    <w:rsid w:val="00497C48"/>
    <w:rsid w:val="004C486B"/>
    <w:rsid w:val="004E7651"/>
    <w:rsid w:val="004F7508"/>
    <w:rsid w:val="00501D34"/>
    <w:rsid w:val="00506FDB"/>
    <w:rsid w:val="00512E10"/>
    <w:rsid w:val="00521A09"/>
    <w:rsid w:val="00546CF9"/>
    <w:rsid w:val="00557490"/>
    <w:rsid w:val="00560E07"/>
    <w:rsid w:val="005653C0"/>
    <w:rsid w:val="00565414"/>
    <w:rsid w:val="00567BF6"/>
    <w:rsid w:val="00573058"/>
    <w:rsid w:val="00575088"/>
    <w:rsid w:val="00591948"/>
    <w:rsid w:val="00591B04"/>
    <w:rsid w:val="005C0FB8"/>
    <w:rsid w:val="005D5741"/>
    <w:rsid w:val="005D7596"/>
    <w:rsid w:val="005E22B9"/>
    <w:rsid w:val="005F487D"/>
    <w:rsid w:val="006055E5"/>
    <w:rsid w:val="00615515"/>
    <w:rsid w:val="00621E74"/>
    <w:rsid w:val="0063607E"/>
    <w:rsid w:val="00637236"/>
    <w:rsid w:val="00652047"/>
    <w:rsid w:val="00656AD2"/>
    <w:rsid w:val="00665C04"/>
    <w:rsid w:val="006744C3"/>
    <w:rsid w:val="00680C2D"/>
    <w:rsid w:val="006867AB"/>
    <w:rsid w:val="00692E8C"/>
    <w:rsid w:val="00696E08"/>
    <w:rsid w:val="006D2C64"/>
    <w:rsid w:val="006D614A"/>
    <w:rsid w:val="006E0D40"/>
    <w:rsid w:val="006E29E8"/>
    <w:rsid w:val="006E7ECF"/>
    <w:rsid w:val="006F5881"/>
    <w:rsid w:val="00703E73"/>
    <w:rsid w:val="00703EA2"/>
    <w:rsid w:val="00707680"/>
    <w:rsid w:val="0071258A"/>
    <w:rsid w:val="007159DC"/>
    <w:rsid w:val="0073687C"/>
    <w:rsid w:val="00751B49"/>
    <w:rsid w:val="00753095"/>
    <w:rsid w:val="00753C5A"/>
    <w:rsid w:val="00754BC4"/>
    <w:rsid w:val="00764390"/>
    <w:rsid w:val="00775CF5"/>
    <w:rsid w:val="007867E7"/>
    <w:rsid w:val="007872D0"/>
    <w:rsid w:val="007971BE"/>
    <w:rsid w:val="00797958"/>
    <w:rsid w:val="007A3B1E"/>
    <w:rsid w:val="007C068B"/>
    <w:rsid w:val="007C6349"/>
    <w:rsid w:val="007D0D49"/>
    <w:rsid w:val="007F1804"/>
    <w:rsid w:val="00824474"/>
    <w:rsid w:val="00830D8A"/>
    <w:rsid w:val="0084543B"/>
    <w:rsid w:val="008728B8"/>
    <w:rsid w:val="00895984"/>
    <w:rsid w:val="008A15C8"/>
    <w:rsid w:val="008A4F2E"/>
    <w:rsid w:val="008B1E09"/>
    <w:rsid w:val="008B2DEA"/>
    <w:rsid w:val="008C2338"/>
    <w:rsid w:val="008C271D"/>
    <w:rsid w:val="008C47B3"/>
    <w:rsid w:val="008D2463"/>
    <w:rsid w:val="008D67AD"/>
    <w:rsid w:val="008D6FD6"/>
    <w:rsid w:val="008F4582"/>
    <w:rsid w:val="00903BE7"/>
    <w:rsid w:val="0091220E"/>
    <w:rsid w:val="009131EB"/>
    <w:rsid w:val="00915565"/>
    <w:rsid w:val="00916435"/>
    <w:rsid w:val="009333C6"/>
    <w:rsid w:val="00934556"/>
    <w:rsid w:val="009419EB"/>
    <w:rsid w:val="00943B29"/>
    <w:rsid w:val="00945A04"/>
    <w:rsid w:val="00955B45"/>
    <w:rsid w:val="00955DEC"/>
    <w:rsid w:val="00960F66"/>
    <w:rsid w:val="00964510"/>
    <w:rsid w:val="00967F9C"/>
    <w:rsid w:val="00971420"/>
    <w:rsid w:val="00975EC6"/>
    <w:rsid w:val="00976F1E"/>
    <w:rsid w:val="0097742D"/>
    <w:rsid w:val="009876BB"/>
    <w:rsid w:val="00991407"/>
    <w:rsid w:val="009A0012"/>
    <w:rsid w:val="009C600D"/>
    <w:rsid w:val="009D6925"/>
    <w:rsid w:val="009E4ABE"/>
    <w:rsid w:val="009F0830"/>
    <w:rsid w:val="00A03CCC"/>
    <w:rsid w:val="00A03EDC"/>
    <w:rsid w:val="00A16ED9"/>
    <w:rsid w:val="00A2505B"/>
    <w:rsid w:val="00A2525C"/>
    <w:rsid w:val="00A36871"/>
    <w:rsid w:val="00A437AA"/>
    <w:rsid w:val="00A612BD"/>
    <w:rsid w:val="00A626C0"/>
    <w:rsid w:val="00A705A3"/>
    <w:rsid w:val="00A911CA"/>
    <w:rsid w:val="00AB3875"/>
    <w:rsid w:val="00AC762B"/>
    <w:rsid w:val="00AC7768"/>
    <w:rsid w:val="00AD13AF"/>
    <w:rsid w:val="00B20413"/>
    <w:rsid w:val="00B20EA0"/>
    <w:rsid w:val="00B22C77"/>
    <w:rsid w:val="00B23F86"/>
    <w:rsid w:val="00B269B8"/>
    <w:rsid w:val="00B269F5"/>
    <w:rsid w:val="00B315FB"/>
    <w:rsid w:val="00B3306E"/>
    <w:rsid w:val="00B71786"/>
    <w:rsid w:val="00B73930"/>
    <w:rsid w:val="00B92D0F"/>
    <w:rsid w:val="00BC47B7"/>
    <w:rsid w:val="00BE6288"/>
    <w:rsid w:val="00C027CE"/>
    <w:rsid w:val="00C0713F"/>
    <w:rsid w:val="00C20811"/>
    <w:rsid w:val="00C24F4D"/>
    <w:rsid w:val="00C37B8F"/>
    <w:rsid w:val="00C452DF"/>
    <w:rsid w:val="00C51401"/>
    <w:rsid w:val="00C5370A"/>
    <w:rsid w:val="00C64908"/>
    <w:rsid w:val="00C66E25"/>
    <w:rsid w:val="00C709C7"/>
    <w:rsid w:val="00C97AC4"/>
    <w:rsid w:val="00CA45B6"/>
    <w:rsid w:val="00CC689E"/>
    <w:rsid w:val="00CE0B5F"/>
    <w:rsid w:val="00D21522"/>
    <w:rsid w:val="00D23138"/>
    <w:rsid w:val="00D23455"/>
    <w:rsid w:val="00D32235"/>
    <w:rsid w:val="00D35222"/>
    <w:rsid w:val="00D50A80"/>
    <w:rsid w:val="00D532AD"/>
    <w:rsid w:val="00D66465"/>
    <w:rsid w:val="00D67AF3"/>
    <w:rsid w:val="00D761C5"/>
    <w:rsid w:val="00DB3072"/>
    <w:rsid w:val="00DC2FD8"/>
    <w:rsid w:val="00DD305A"/>
    <w:rsid w:val="00DE11AB"/>
    <w:rsid w:val="00DE283F"/>
    <w:rsid w:val="00DE562A"/>
    <w:rsid w:val="00DF1330"/>
    <w:rsid w:val="00DF2F43"/>
    <w:rsid w:val="00E03163"/>
    <w:rsid w:val="00E12996"/>
    <w:rsid w:val="00E156E6"/>
    <w:rsid w:val="00E22739"/>
    <w:rsid w:val="00E5312E"/>
    <w:rsid w:val="00E53320"/>
    <w:rsid w:val="00E92D2A"/>
    <w:rsid w:val="00E95240"/>
    <w:rsid w:val="00E962F5"/>
    <w:rsid w:val="00EA4FE4"/>
    <w:rsid w:val="00EA7659"/>
    <w:rsid w:val="00EB1AA3"/>
    <w:rsid w:val="00EB5E34"/>
    <w:rsid w:val="00EC4C30"/>
    <w:rsid w:val="00ED5FB5"/>
    <w:rsid w:val="00EE2EEF"/>
    <w:rsid w:val="00EF79AE"/>
    <w:rsid w:val="00F027ED"/>
    <w:rsid w:val="00F02B84"/>
    <w:rsid w:val="00F12E34"/>
    <w:rsid w:val="00F13629"/>
    <w:rsid w:val="00F23C04"/>
    <w:rsid w:val="00F24BAE"/>
    <w:rsid w:val="00F275CC"/>
    <w:rsid w:val="00F47852"/>
    <w:rsid w:val="00F47F2A"/>
    <w:rsid w:val="00F53225"/>
    <w:rsid w:val="00F613A7"/>
    <w:rsid w:val="00F665FE"/>
    <w:rsid w:val="00F83D92"/>
    <w:rsid w:val="00F86C89"/>
    <w:rsid w:val="00F96450"/>
    <w:rsid w:val="00F97C5C"/>
    <w:rsid w:val="00FB050E"/>
    <w:rsid w:val="00FB083E"/>
    <w:rsid w:val="00FB3F7F"/>
    <w:rsid w:val="00FD57B8"/>
    <w:rsid w:val="00FF3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7C345"/>
  <w15:chartTrackingRefBased/>
  <w15:docId w15:val="{2E7CC481-85C4-478D-B70B-643EAD47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9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9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9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9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9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9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9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9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9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9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9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9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9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9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9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9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9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9E7"/>
    <w:rPr>
      <w:rFonts w:eastAsiaTheme="majorEastAsia" w:cstheme="majorBidi"/>
      <w:color w:val="272727" w:themeColor="text1" w:themeTint="D8"/>
    </w:rPr>
  </w:style>
  <w:style w:type="paragraph" w:styleId="Title">
    <w:name w:val="Title"/>
    <w:basedOn w:val="Normal"/>
    <w:next w:val="Normal"/>
    <w:link w:val="TitleChar"/>
    <w:uiPriority w:val="10"/>
    <w:qFormat/>
    <w:rsid w:val="004139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9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9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9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9E7"/>
    <w:pPr>
      <w:spacing w:before="160"/>
      <w:jc w:val="center"/>
    </w:pPr>
    <w:rPr>
      <w:i/>
      <w:iCs/>
      <w:color w:val="404040" w:themeColor="text1" w:themeTint="BF"/>
    </w:rPr>
  </w:style>
  <w:style w:type="character" w:customStyle="1" w:styleId="QuoteChar">
    <w:name w:val="Quote Char"/>
    <w:basedOn w:val="DefaultParagraphFont"/>
    <w:link w:val="Quote"/>
    <w:uiPriority w:val="29"/>
    <w:rsid w:val="004139E7"/>
    <w:rPr>
      <w:i/>
      <w:iCs/>
      <w:color w:val="404040" w:themeColor="text1" w:themeTint="BF"/>
    </w:rPr>
  </w:style>
  <w:style w:type="paragraph" w:styleId="ListParagraph">
    <w:name w:val="List Paragraph"/>
    <w:basedOn w:val="Normal"/>
    <w:uiPriority w:val="34"/>
    <w:qFormat/>
    <w:rsid w:val="004139E7"/>
    <w:pPr>
      <w:ind w:left="720"/>
      <w:contextualSpacing/>
    </w:pPr>
  </w:style>
  <w:style w:type="character" w:styleId="IntenseEmphasis">
    <w:name w:val="Intense Emphasis"/>
    <w:basedOn w:val="DefaultParagraphFont"/>
    <w:uiPriority w:val="21"/>
    <w:qFormat/>
    <w:rsid w:val="004139E7"/>
    <w:rPr>
      <w:i/>
      <w:iCs/>
      <w:color w:val="0F4761" w:themeColor="accent1" w:themeShade="BF"/>
    </w:rPr>
  </w:style>
  <w:style w:type="paragraph" w:styleId="IntenseQuote">
    <w:name w:val="Intense Quote"/>
    <w:basedOn w:val="Normal"/>
    <w:next w:val="Normal"/>
    <w:link w:val="IntenseQuoteChar"/>
    <w:uiPriority w:val="30"/>
    <w:qFormat/>
    <w:rsid w:val="004139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9E7"/>
    <w:rPr>
      <w:i/>
      <w:iCs/>
      <w:color w:val="0F4761" w:themeColor="accent1" w:themeShade="BF"/>
    </w:rPr>
  </w:style>
  <w:style w:type="character" w:styleId="IntenseReference">
    <w:name w:val="Intense Reference"/>
    <w:basedOn w:val="DefaultParagraphFont"/>
    <w:uiPriority w:val="32"/>
    <w:qFormat/>
    <w:rsid w:val="004139E7"/>
    <w:rPr>
      <w:b/>
      <w:bCs/>
      <w:smallCaps/>
      <w:color w:val="0F4761" w:themeColor="accent1" w:themeShade="BF"/>
      <w:spacing w:val="5"/>
    </w:rPr>
  </w:style>
  <w:style w:type="character" w:styleId="Hyperlink">
    <w:name w:val="Hyperlink"/>
    <w:basedOn w:val="DefaultParagraphFont"/>
    <w:uiPriority w:val="99"/>
    <w:unhideWhenUsed/>
    <w:rsid w:val="003C5F22"/>
    <w:rPr>
      <w:color w:val="467886" w:themeColor="hyperlink"/>
      <w:u w:val="single"/>
    </w:rPr>
  </w:style>
  <w:style w:type="character" w:styleId="UnresolvedMention">
    <w:name w:val="Unresolved Mention"/>
    <w:basedOn w:val="DefaultParagraphFont"/>
    <w:uiPriority w:val="99"/>
    <w:semiHidden/>
    <w:unhideWhenUsed/>
    <w:rsid w:val="003C5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Acklima Begum</dc:creator>
  <cp:keywords/>
  <dc:description/>
  <cp:lastModifiedBy>Acklima Begum</cp:lastModifiedBy>
  <cp:revision>2</cp:revision>
  <dcterms:created xsi:type="dcterms:W3CDTF">2025-09-23T20:26:00Z</dcterms:created>
  <dcterms:modified xsi:type="dcterms:W3CDTF">2025-09-23T20:26:00Z</dcterms:modified>
</cp:coreProperties>
</file>