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74AB8" w:rsidP="6747DF49" w:rsidRDefault="00C74AB8" w14:paraId="54508877" w14:textId="3D970D77">
      <w:pPr>
        <w:shd w:val="clear" w:color="auto" w:fill="F5F5F5"/>
        <w:spacing w:after="0" w:line="360" w:lineRule="auto"/>
        <w:rPr>
          <w:rFonts w:ascii="Aptos" w:hAnsi="Aptos" w:eastAsia="Aptos" w:cs="Aptos"/>
          <w:color w:val="000000" w:themeColor="text1"/>
          <w:sz w:val="48"/>
          <w:szCs w:val="48"/>
        </w:rPr>
      </w:pPr>
    </w:p>
    <w:p w:rsidR="00C74AB8" w:rsidP="6747DF49" w:rsidRDefault="6F51F780" w14:paraId="55D67521" w14:textId="4EF87862">
      <w:pPr>
        <w:shd w:val="clear" w:color="auto" w:fill="F5F5F5"/>
        <w:spacing w:after="0" w:line="360" w:lineRule="auto"/>
        <w:rPr>
          <w:color w:val="000000" w:themeColor="text1"/>
          <w:sz w:val="48"/>
          <w:szCs w:val="48"/>
          <w:lang w:val="en-US"/>
        </w:rPr>
      </w:pPr>
      <w:r w:rsidRPr="0A3B03AA" w:rsidR="6F51F780">
        <w:rPr>
          <w:b w:val="1"/>
          <w:bCs w:val="1"/>
          <w:color w:val="000000" w:themeColor="text1" w:themeTint="FF" w:themeShade="FF"/>
          <w:sz w:val="48"/>
          <w:szCs w:val="48"/>
        </w:rPr>
        <w:t xml:space="preserve">Ayesha </w:t>
      </w:r>
      <w:r w:rsidRPr="0A3B03AA" w:rsidR="7B06E576">
        <w:rPr>
          <w:b w:val="1"/>
          <w:bCs w:val="1"/>
          <w:color w:val="000000" w:themeColor="text1" w:themeTint="FF" w:themeShade="FF"/>
          <w:sz w:val="48"/>
          <w:szCs w:val="48"/>
        </w:rPr>
        <w:t>Masood 2220784</w:t>
      </w:r>
    </w:p>
    <w:p w:rsidR="00C74AB8" w:rsidP="6747DF49" w:rsidRDefault="00C74AB8" w14:paraId="5107C7A0" w14:textId="645CE65B">
      <w:pPr>
        <w:shd w:val="clear" w:color="auto" w:fill="F5F5F5"/>
        <w:spacing w:after="0" w:line="360" w:lineRule="auto"/>
        <w:rPr>
          <w:color w:val="000000" w:themeColor="text1"/>
          <w:sz w:val="48"/>
          <w:szCs w:val="48"/>
        </w:rPr>
      </w:pPr>
    </w:p>
    <w:p w:rsidR="00C74AB8" w:rsidP="6747DF49" w:rsidRDefault="6F51F780" w14:paraId="3A28AAC1" w14:textId="428C2700">
      <w:pPr>
        <w:shd w:val="clear" w:color="auto" w:fill="F5F5F5"/>
        <w:spacing w:after="0" w:line="360" w:lineRule="auto"/>
        <w:rPr>
          <w:color w:val="000000" w:themeColor="text1"/>
          <w:sz w:val="48"/>
          <w:szCs w:val="48"/>
          <w:lang w:val="en-US"/>
        </w:rPr>
      </w:pPr>
      <w:r w:rsidRPr="6747DF49">
        <w:rPr>
          <w:b/>
          <w:bCs/>
          <w:color w:val="000000" w:themeColor="text1"/>
          <w:sz w:val="48"/>
          <w:szCs w:val="48"/>
        </w:rPr>
        <w:t xml:space="preserve">MSc Public Health and Social care in practice </w:t>
      </w:r>
    </w:p>
    <w:p w:rsidR="00C74AB8" w:rsidP="6747DF49" w:rsidRDefault="00C74AB8" w14:paraId="35E9EA49" w14:textId="40858D42">
      <w:pPr>
        <w:shd w:val="clear" w:color="auto" w:fill="F5F5F5"/>
        <w:spacing w:after="0" w:line="360" w:lineRule="auto"/>
        <w:rPr>
          <w:color w:val="000000" w:themeColor="text1"/>
          <w:sz w:val="48"/>
          <w:szCs w:val="48"/>
        </w:rPr>
      </w:pPr>
    </w:p>
    <w:p w:rsidR="00C74AB8" w:rsidP="6747DF49" w:rsidRDefault="6F51F780" w14:paraId="4BCD4CFB" w14:textId="2434187D">
      <w:pPr>
        <w:shd w:val="clear" w:color="auto" w:fill="F5F5F5"/>
        <w:spacing w:after="0" w:line="360" w:lineRule="auto"/>
        <w:rPr>
          <w:color w:val="000000" w:themeColor="text1"/>
          <w:sz w:val="48"/>
          <w:szCs w:val="48"/>
          <w:lang w:val="en-US"/>
        </w:rPr>
      </w:pPr>
      <w:r w:rsidRPr="6747DF49">
        <w:rPr>
          <w:b/>
          <w:bCs/>
          <w:color w:val="000000" w:themeColor="text1"/>
          <w:sz w:val="48"/>
          <w:szCs w:val="48"/>
        </w:rPr>
        <w:t xml:space="preserve">Social Epidemiology and Public Health Development </w:t>
      </w:r>
    </w:p>
    <w:p w:rsidR="00C74AB8" w:rsidP="6747DF49" w:rsidRDefault="00C74AB8" w14:paraId="640CE228" w14:textId="30D8A34A">
      <w:pPr>
        <w:shd w:val="clear" w:color="auto" w:fill="F5F5F5"/>
        <w:spacing w:after="0" w:line="360" w:lineRule="auto"/>
        <w:rPr>
          <w:color w:val="000000" w:themeColor="text1"/>
          <w:sz w:val="48"/>
          <w:szCs w:val="48"/>
        </w:rPr>
      </w:pPr>
    </w:p>
    <w:p w:rsidR="00C74AB8" w:rsidP="6747DF49" w:rsidRDefault="6F51F780" w14:paraId="7A26B123" w14:textId="3000F8A2">
      <w:pPr>
        <w:shd w:val="clear" w:color="auto" w:fill="F5F5F5"/>
        <w:spacing w:after="0" w:line="360" w:lineRule="auto"/>
        <w:rPr>
          <w:color w:val="000000" w:themeColor="text1"/>
          <w:sz w:val="48"/>
          <w:szCs w:val="48"/>
          <w:lang w:val="en-US"/>
        </w:rPr>
      </w:pPr>
      <w:r w:rsidRPr="6747DF49">
        <w:rPr>
          <w:b/>
          <w:bCs/>
          <w:color w:val="000000" w:themeColor="text1"/>
          <w:sz w:val="48"/>
          <w:szCs w:val="48"/>
        </w:rPr>
        <w:t xml:space="preserve">LCHS7000  </w:t>
      </w:r>
    </w:p>
    <w:p w:rsidR="00C74AB8" w:rsidP="6747DF49" w:rsidRDefault="00C74AB8" w14:paraId="3D66DE71" w14:textId="7F10A2F2">
      <w:pPr>
        <w:shd w:val="clear" w:color="auto" w:fill="F5F5F5"/>
        <w:spacing w:after="0" w:line="360" w:lineRule="auto"/>
        <w:rPr>
          <w:color w:val="000000" w:themeColor="text1"/>
          <w:sz w:val="48"/>
          <w:szCs w:val="48"/>
        </w:rPr>
      </w:pPr>
    </w:p>
    <w:p w:rsidR="00C74AB8" w:rsidP="6747DF49" w:rsidRDefault="6F51F780" w14:paraId="6D760382" w14:textId="2425EB24">
      <w:pPr>
        <w:shd w:val="clear" w:color="auto" w:fill="F5F5F5"/>
        <w:spacing w:after="0" w:line="360" w:lineRule="auto"/>
        <w:rPr>
          <w:sz w:val="48"/>
          <w:szCs w:val="48"/>
        </w:rPr>
      </w:pPr>
      <w:r w:rsidRPr="6747DF49">
        <w:rPr>
          <w:b/>
          <w:bCs/>
          <w:color w:val="000000" w:themeColor="text1"/>
          <w:sz w:val="48"/>
          <w:szCs w:val="48"/>
        </w:rPr>
        <w:t xml:space="preserve">Component 2 </w:t>
      </w:r>
      <w:r w:rsidRPr="6747DF49">
        <w:rPr>
          <w:b/>
          <w:bCs/>
          <w:sz w:val="40"/>
          <w:szCs w:val="40"/>
        </w:rPr>
        <w:t>Analytical Report</w:t>
      </w:r>
    </w:p>
    <w:p w:rsidR="00C74AB8" w:rsidP="6747DF49" w:rsidRDefault="00C74AB8" w14:paraId="3B0EBFDC" w14:textId="4856097F">
      <w:pPr>
        <w:shd w:val="clear" w:color="auto" w:fill="F5F5F5"/>
        <w:spacing w:after="0" w:line="360" w:lineRule="auto"/>
        <w:rPr>
          <w:color w:val="000000" w:themeColor="text1"/>
          <w:sz w:val="48"/>
          <w:szCs w:val="48"/>
        </w:rPr>
      </w:pPr>
    </w:p>
    <w:p w:rsidR="00C74AB8" w:rsidP="6747DF49" w:rsidRDefault="6F51F780" w14:paraId="2AEAB7D1" w14:textId="70353A68">
      <w:pPr>
        <w:shd w:val="clear" w:color="auto" w:fill="F5F5F5"/>
        <w:spacing w:after="0" w:line="360" w:lineRule="auto"/>
        <w:rPr>
          <w:b/>
          <w:bCs/>
          <w:color w:val="000000" w:themeColor="text1"/>
          <w:sz w:val="48"/>
          <w:szCs w:val="48"/>
        </w:rPr>
      </w:pPr>
      <w:r w:rsidRPr="6747DF49">
        <w:rPr>
          <w:b/>
          <w:bCs/>
          <w:color w:val="000000" w:themeColor="text1"/>
          <w:sz w:val="48"/>
          <w:szCs w:val="48"/>
        </w:rPr>
        <w:t>Hamdi Hussain</w:t>
      </w:r>
    </w:p>
    <w:p w:rsidR="00C74AB8" w:rsidP="6747DF49" w:rsidRDefault="00C74AB8" w14:paraId="23B3FCED" w14:textId="318C6C3A">
      <w:pPr>
        <w:rPr>
          <w:b/>
          <w:bCs/>
        </w:rPr>
      </w:pPr>
    </w:p>
    <w:p w:rsidR="00C74AB8" w:rsidP="6747DF49" w:rsidRDefault="00C74AB8" w14:paraId="7139B28C" w14:textId="63F27AE3">
      <w:pPr>
        <w:rPr>
          <w:b/>
          <w:bCs/>
        </w:rPr>
      </w:pPr>
    </w:p>
    <w:p w:rsidR="00C74AB8" w:rsidP="6747DF49" w:rsidRDefault="00C74AB8" w14:paraId="3BFC35C4" w14:textId="22BA0D26">
      <w:pPr>
        <w:rPr>
          <w:b/>
          <w:bCs/>
        </w:rPr>
      </w:pPr>
    </w:p>
    <w:p w:rsidR="00C74AB8" w:rsidP="6747DF49" w:rsidRDefault="00C74AB8" w14:paraId="7CF85354" w14:textId="05BDCDDE">
      <w:pPr>
        <w:rPr>
          <w:b/>
          <w:bCs/>
        </w:rPr>
      </w:pPr>
    </w:p>
    <w:p w:rsidR="00C74AB8" w:rsidP="6747DF49" w:rsidRDefault="1B5C9C2D" w14:paraId="4767715C" w14:textId="1836F602">
      <w:pPr>
        <w:rPr>
          <w:b/>
          <w:bCs/>
        </w:rPr>
      </w:pPr>
      <w:r w:rsidRPr="6747DF49">
        <w:rPr>
          <w:b/>
          <w:bCs/>
        </w:rPr>
        <w:t xml:space="preserve">CONTANT PAGE </w:t>
      </w:r>
    </w:p>
    <w:p w:rsidR="00C74AB8" w:rsidP="6747DF49" w:rsidRDefault="00C74AB8" w14:paraId="3F97C355" w14:textId="0CFC144D">
      <w:pPr>
        <w:rPr>
          <w:b/>
          <w:bCs/>
        </w:rPr>
      </w:pPr>
    </w:p>
    <w:p w:rsidR="00C74AB8" w:rsidP="0A3B03AA" w:rsidRDefault="00C74AB8" w14:paraId="1B2F3E3E" w14:textId="2C1B47F3">
      <w:pPr>
        <w:pStyle w:val="Normal"/>
        <w:rPr>
          <w:b w:val="1"/>
          <w:bCs w:val="1"/>
          <w:noProof w:val="0"/>
          <w:lang w:val="en-GB"/>
        </w:rPr>
      </w:pPr>
      <w:r w:rsidRPr="0A3B03AA" w:rsidR="0C0C3A38">
        <w:rPr>
          <w:b w:val="1"/>
          <w:bCs w:val="1"/>
          <w:noProof w:val="0"/>
          <w:lang w:val="en-GB"/>
        </w:rPr>
        <w:t>Task 1: Ethnicity and Health Inequality in the United Kingdom: A Social Epidemiological Perspective</w:t>
      </w:r>
    </w:p>
    <w:p w:rsidR="00C74AB8" w:rsidP="0A3B03AA" w:rsidRDefault="00C74AB8" w14:paraId="36256A89" w14:textId="46DBE63A">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Introduction ......................................................................................... 3</w:t>
      </w:r>
    </w:p>
    <w:p w:rsidR="00C74AB8" w:rsidP="0A3B03AA" w:rsidRDefault="00C74AB8" w14:paraId="3D605301" w14:textId="7BDD1B30">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Contextual Background and Underlying Factors .................................... 4</w:t>
      </w:r>
    </w:p>
    <w:p w:rsidR="00C74AB8" w:rsidP="0A3B03AA" w:rsidRDefault="00C74AB8" w14:paraId="75EE347E" w14:textId="70B1B963">
      <w:pPr>
        <w:pStyle w:val="ListParagraph"/>
        <w:numPr>
          <w:ilvl w:val="1"/>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Higher Rates of Type 2 Diabetes .................................................... 4</w:t>
      </w:r>
    </w:p>
    <w:p w:rsidR="00C74AB8" w:rsidP="0A3B03AA" w:rsidRDefault="00C74AB8" w14:paraId="7131F4BE" w14:textId="7F0A8BC9">
      <w:pPr>
        <w:pStyle w:val="ListParagraph"/>
        <w:numPr>
          <w:ilvl w:val="1"/>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Cardiovascular Disease and Hypertension ..................................... </w:t>
      </w:r>
      <w:r w:rsidRPr="0A3B03AA" w:rsidR="45878EF8">
        <w:rPr>
          <w:rFonts w:ascii="Arial" w:hAnsi="Arial" w:eastAsia="Arial" w:cs="Arial"/>
          <w:noProof w:val="0"/>
          <w:sz w:val="24"/>
          <w:szCs w:val="24"/>
          <w:lang w:val="en-GB"/>
        </w:rPr>
        <w:t>4</w:t>
      </w:r>
    </w:p>
    <w:p w:rsidR="00C74AB8" w:rsidP="0A3B03AA" w:rsidRDefault="00C74AB8" w14:paraId="383D8EB5" w14:textId="4CA876F3">
      <w:pPr>
        <w:pStyle w:val="ListParagraph"/>
        <w:numPr>
          <w:ilvl w:val="1"/>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Severe Mental Illness and Detention Rates ................................... </w:t>
      </w:r>
      <w:r w:rsidRPr="0A3B03AA" w:rsidR="0960B26A">
        <w:rPr>
          <w:rFonts w:ascii="Arial" w:hAnsi="Arial" w:eastAsia="Arial" w:cs="Arial"/>
          <w:noProof w:val="0"/>
          <w:sz w:val="24"/>
          <w:szCs w:val="24"/>
          <w:lang w:val="en-GB"/>
        </w:rPr>
        <w:t>5</w:t>
      </w:r>
    </w:p>
    <w:p w:rsidR="00C74AB8" w:rsidP="0A3B03AA" w:rsidRDefault="00C74AB8" w14:paraId="1161057C" w14:textId="1C3E40CF">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Poverty and Socioeconomic Disadvantage ............................................ 5</w:t>
      </w:r>
    </w:p>
    <w:p w:rsidR="00C74AB8" w:rsidP="0A3B03AA" w:rsidRDefault="00C74AB8" w14:paraId="60AA3B9F" w14:textId="4E3AB6B0">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Housing Inequality and Overcrowding .................................................. 6</w:t>
      </w:r>
    </w:p>
    <w:p w:rsidR="00C74AB8" w:rsidP="0A3B03AA" w:rsidRDefault="00C74AB8" w14:paraId="0062727C" w14:textId="149ACFD1">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Barriers to Healthcare Access ............................................................... </w:t>
      </w:r>
      <w:r w:rsidRPr="0A3B03AA" w:rsidR="5D397176">
        <w:rPr>
          <w:rFonts w:ascii="Arial" w:hAnsi="Arial" w:eastAsia="Arial" w:cs="Arial"/>
          <w:noProof w:val="0"/>
          <w:sz w:val="24"/>
          <w:szCs w:val="24"/>
          <w:lang w:val="en-GB"/>
        </w:rPr>
        <w:t>6</w:t>
      </w:r>
    </w:p>
    <w:p w:rsidR="00C74AB8" w:rsidP="0A3B03AA" w:rsidRDefault="00C74AB8" w14:paraId="06054A14" w14:textId="78C83773">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National Response to Reduce Health Inequalities ................................. </w:t>
      </w:r>
      <w:r w:rsidRPr="0A3B03AA" w:rsidR="66C4A9DD">
        <w:rPr>
          <w:rFonts w:ascii="Arial" w:hAnsi="Arial" w:eastAsia="Arial" w:cs="Arial"/>
          <w:noProof w:val="0"/>
          <w:sz w:val="24"/>
          <w:szCs w:val="24"/>
          <w:lang w:val="en-GB"/>
        </w:rPr>
        <w:t>6</w:t>
      </w:r>
    </w:p>
    <w:p w:rsidR="00C74AB8" w:rsidP="0A3B03AA" w:rsidRDefault="00C74AB8" w14:paraId="3D65A9A3" w14:textId="1E2AD0E3">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Organisations Supporting Ethnic Minority Groups ............................... </w:t>
      </w:r>
      <w:r w:rsidRPr="0A3B03AA" w:rsidR="5D66F1B6">
        <w:rPr>
          <w:rFonts w:ascii="Arial" w:hAnsi="Arial" w:eastAsia="Arial" w:cs="Arial"/>
          <w:noProof w:val="0"/>
          <w:sz w:val="24"/>
          <w:szCs w:val="24"/>
          <w:lang w:val="en-GB"/>
        </w:rPr>
        <w:t>7</w:t>
      </w:r>
    </w:p>
    <w:p w:rsidR="00C74AB8" w:rsidP="0A3B03AA" w:rsidRDefault="00C74AB8" w14:paraId="3E86335A" w14:textId="407C9656">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Conclusion ............................................................................................. </w:t>
      </w:r>
      <w:r w:rsidRPr="0A3B03AA" w:rsidR="4EC14135">
        <w:rPr>
          <w:rFonts w:ascii="Arial" w:hAnsi="Arial" w:eastAsia="Arial" w:cs="Arial"/>
          <w:noProof w:val="0"/>
          <w:sz w:val="24"/>
          <w:szCs w:val="24"/>
          <w:lang w:val="en-GB"/>
        </w:rPr>
        <w:t>7</w:t>
      </w:r>
    </w:p>
    <w:p w:rsidR="00C74AB8" w:rsidP="6747DF49" w:rsidRDefault="00C74AB8" w14:paraId="3551CE61" w14:textId="2303C468">
      <w:pPr/>
    </w:p>
    <w:p w:rsidR="00C74AB8" w:rsidP="0A3B03AA" w:rsidRDefault="00C74AB8" w14:paraId="5A67C7A9" w14:textId="311D6266">
      <w:pPr>
        <w:pStyle w:val="Normal"/>
        <w:rPr>
          <w:b w:val="1"/>
          <w:bCs w:val="1"/>
          <w:noProof w:val="0"/>
          <w:lang w:val="en-GB"/>
        </w:rPr>
      </w:pPr>
      <w:r w:rsidRPr="0A3B03AA" w:rsidR="0C0C3A38">
        <w:rPr>
          <w:b w:val="1"/>
          <w:bCs w:val="1"/>
          <w:noProof w:val="0"/>
          <w:lang w:val="en-GB"/>
        </w:rPr>
        <w:t>Task 2: Epidemiological Analytical Report – Type 2 Diabetes Among South Asian Adults in the UK</w:t>
      </w:r>
    </w:p>
    <w:p w:rsidR="00C74AB8" w:rsidP="0A3B03AA" w:rsidRDefault="00C74AB8" w14:paraId="3F38FBA9" w14:textId="61A5C1C5">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Introduction ......................................................................................... </w:t>
      </w:r>
      <w:r w:rsidRPr="0A3B03AA" w:rsidR="328D5BBF">
        <w:rPr>
          <w:rFonts w:ascii="Arial" w:hAnsi="Arial" w:eastAsia="Arial" w:cs="Arial"/>
          <w:noProof w:val="0"/>
          <w:sz w:val="24"/>
          <w:szCs w:val="24"/>
          <w:lang w:val="en-GB"/>
        </w:rPr>
        <w:t>8</w:t>
      </w:r>
    </w:p>
    <w:p w:rsidR="00C74AB8" w:rsidP="0A3B03AA" w:rsidRDefault="00C74AB8" w14:paraId="0ADF36FC" w14:textId="1CAB4D01">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Public Health Measures (Prevention, Protection and Promotion) ...... </w:t>
      </w:r>
      <w:r w:rsidRPr="0A3B03AA" w:rsidR="7B6FDD48">
        <w:rPr>
          <w:rFonts w:ascii="Arial" w:hAnsi="Arial" w:eastAsia="Arial" w:cs="Arial"/>
          <w:noProof w:val="0"/>
          <w:sz w:val="24"/>
          <w:szCs w:val="24"/>
          <w:lang w:val="en-GB"/>
        </w:rPr>
        <w:t>9</w:t>
      </w:r>
    </w:p>
    <w:p w:rsidR="00C74AB8" w:rsidP="0A3B03AA" w:rsidRDefault="00C74AB8" w14:paraId="4D11EABD" w14:textId="41D08199">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Key Determinants and Risk Factors .................................................... </w:t>
      </w:r>
      <w:r w:rsidRPr="0A3B03AA" w:rsidR="49CC4617">
        <w:rPr>
          <w:rFonts w:ascii="Arial" w:hAnsi="Arial" w:eastAsia="Arial" w:cs="Arial"/>
          <w:noProof w:val="0"/>
          <w:sz w:val="24"/>
          <w:szCs w:val="24"/>
          <w:lang w:val="en-GB"/>
        </w:rPr>
        <w:t>9</w:t>
      </w:r>
    </w:p>
    <w:p w:rsidR="00C74AB8" w:rsidP="0A3B03AA" w:rsidRDefault="00C74AB8" w14:paraId="76F2B6E8" w14:textId="02FD4F2D">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Population at Risk (Epidemiological Studies) ..................................... 1</w:t>
      </w:r>
      <w:r w:rsidRPr="0A3B03AA" w:rsidR="1B0634A9">
        <w:rPr>
          <w:rFonts w:ascii="Arial" w:hAnsi="Arial" w:eastAsia="Arial" w:cs="Arial"/>
          <w:noProof w:val="0"/>
          <w:sz w:val="24"/>
          <w:szCs w:val="24"/>
          <w:lang w:val="en-GB"/>
        </w:rPr>
        <w:t>0</w:t>
      </w:r>
    </w:p>
    <w:p w:rsidR="00C74AB8" w:rsidP="0A3B03AA" w:rsidRDefault="00C74AB8" w14:paraId="4909166C" w14:textId="693A1E62">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Surveillance and Monitoring Systems ................................................. 1</w:t>
      </w:r>
      <w:r w:rsidRPr="0A3B03AA" w:rsidR="773C38E8">
        <w:rPr>
          <w:rFonts w:ascii="Arial" w:hAnsi="Arial" w:eastAsia="Arial" w:cs="Arial"/>
          <w:noProof w:val="0"/>
          <w:sz w:val="24"/>
          <w:szCs w:val="24"/>
          <w:lang w:val="en-GB"/>
        </w:rPr>
        <w:t>0</w:t>
      </w:r>
    </w:p>
    <w:p w:rsidR="00C74AB8" w:rsidP="0A3B03AA" w:rsidRDefault="00C74AB8" w14:paraId="71129D27" w14:textId="78E567CF">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Public Health Impact and Consequences ............................................. 1</w:t>
      </w:r>
      <w:r w:rsidRPr="0A3B03AA" w:rsidR="66FE6491">
        <w:rPr>
          <w:rFonts w:ascii="Arial" w:hAnsi="Arial" w:eastAsia="Arial" w:cs="Arial"/>
          <w:noProof w:val="0"/>
          <w:sz w:val="24"/>
          <w:szCs w:val="24"/>
          <w:lang w:val="en-GB"/>
        </w:rPr>
        <w:t>1</w:t>
      </w:r>
    </w:p>
    <w:p w:rsidR="00C74AB8" w:rsidP="0A3B03AA" w:rsidRDefault="00C74AB8" w14:paraId="6BBDF8CB" w14:textId="04F766BB">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Intervention Programme and Evaluation ............................................. 1</w:t>
      </w:r>
      <w:r w:rsidRPr="0A3B03AA" w:rsidR="4FF34B2C">
        <w:rPr>
          <w:rFonts w:ascii="Arial" w:hAnsi="Arial" w:eastAsia="Arial" w:cs="Arial"/>
          <w:noProof w:val="0"/>
          <w:sz w:val="24"/>
          <w:szCs w:val="24"/>
          <w:lang w:val="en-GB"/>
        </w:rPr>
        <w:t>1 ,12</w:t>
      </w:r>
    </w:p>
    <w:p w:rsidR="00C74AB8" w:rsidP="0A3B03AA" w:rsidRDefault="00C74AB8" w14:paraId="141C24B7" w14:textId="3E268A34">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Strengths and Weaknesses of the Epidemiological Approach ............ </w:t>
      </w:r>
      <w:r w:rsidRPr="0A3B03AA" w:rsidR="3E0DAD9A">
        <w:rPr>
          <w:rFonts w:ascii="Arial" w:hAnsi="Arial" w:eastAsia="Arial" w:cs="Arial"/>
          <w:noProof w:val="0"/>
          <w:sz w:val="24"/>
          <w:szCs w:val="24"/>
          <w:lang w:val="en-GB"/>
        </w:rPr>
        <w:t>13</w:t>
      </w:r>
    </w:p>
    <w:p w:rsidR="00C74AB8" w:rsidP="0A3B03AA" w:rsidRDefault="00C74AB8" w14:paraId="7BFBD445" w14:textId="768B0964">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Conclusion ............................................................................................. </w:t>
      </w:r>
      <w:r w:rsidRPr="0A3B03AA" w:rsidR="1AF079F6">
        <w:rPr>
          <w:rFonts w:ascii="Arial" w:hAnsi="Arial" w:eastAsia="Arial" w:cs="Arial"/>
          <w:noProof w:val="0"/>
          <w:sz w:val="24"/>
          <w:szCs w:val="24"/>
          <w:lang w:val="en-GB"/>
        </w:rPr>
        <w:t>14</w:t>
      </w:r>
    </w:p>
    <w:p w:rsidR="00C74AB8" w:rsidP="0A3B03AA" w:rsidRDefault="00C74AB8" w14:paraId="4D93FF71" w14:textId="2E7F1E1D">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0A3B03AA" w:rsidR="0C0C3A38">
        <w:rPr>
          <w:rFonts w:ascii="Arial" w:hAnsi="Arial" w:eastAsia="Arial" w:cs="Arial"/>
          <w:noProof w:val="0"/>
          <w:sz w:val="24"/>
          <w:szCs w:val="24"/>
          <w:lang w:val="en-GB"/>
        </w:rPr>
        <w:t xml:space="preserve">Reference List ....................................................................................... </w:t>
      </w:r>
      <w:r w:rsidRPr="0A3B03AA" w:rsidR="7AA48639">
        <w:rPr>
          <w:rFonts w:ascii="Arial" w:hAnsi="Arial" w:eastAsia="Arial" w:cs="Arial"/>
          <w:noProof w:val="0"/>
          <w:sz w:val="24"/>
          <w:szCs w:val="24"/>
          <w:lang w:val="en-GB"/>
        </w:rPr>
        <w:t>15 ,16,17.18</w:t>
      </w:r>
    </w:p>
    <w:p w:rsidR="00C74AB8" w:rsidP="6747DF49" w:rsidRDefault="00C74AB8" w14:paraId="1466A368" w14:textId="3EB868D0">
      <w:pPr>
        <w:rPr>
          <w:b w:val="1"/>
          <w:bCs w:val="1"/>
        </w:rPr>
      </w:pPr>
    </w:p>
    <w:p w:rsidR="00C74AB8" w:rsidP="6747DF49" w:rsidRDefault="00C74AB8" w14:paraId="72C7BD77" w14:textId="5D4CD7BD">
      <w:pPr>
        <w:rPr>
          <w:b/>
          <w:bCs/>
        </w:rPr>
      </w:pPr>
    </w:p>
    <w:p w:rsidR="00C74AB8" w:rsidP="6747DF49" w:rsidRDefault="00C74AB8" w14:paraId="79B3E833" w14:textId="393D98D1">
      <w:pPr>
        <w:rPr>
          <w:b/>
          <w:bCs/>
        </w:rPr>
      </w:pPr>
    </w:p>
    <w:p w:rsidR="0A3B03AA" w:rsidP="0A3B03AA" w:rsidRDefault="0A3B03AA" w14:paraId="21748003" w14:textId="6A03BB7F">
      <w:pPr>
        <w:pStyle w:val="Normal"/>
        <w:rPr>
          <w:b w:val="1"/>
          <w:bCs w:val="1"/>
        </w:rPr>
      </w:pPr>
    </w:p>
    <w:p w:rsidR="0A3B03AA" w:rsidP="0A3B03AA" w:rsidRDefault="0A3B03AA" w14:paraId="5A7103F8" w14:textId="2D0BF107">
      <w:pPr>
        <w:pStyle w:val="Normal"/>
        <w:rPr>
          <w:b w:val="1"/>
          <w:bCs w:val="1"/>
        </w:rPr>
      </w:pPr>
    </w:p>
    <w:p w:rsidR="00C74AB8" w:rsidP="0A3B03AA" w:rsidRDefault="5501F073" w14:paraId="72DF1C88" w14:textId="06C3BF7B">
      <w:pPr>
        <w:pStyle w:val="Normal"/>
        <w:rPr>
          <w:rFonts w:ascii="Arial" w:hAnsi="Arial" w:eastAsia="Arial" w:cs="Arial"/>
          <w:b w:val="1"/>
          <w:bCs w:val="1"/>
          <w:sz w:val="36"/>
          <w:szCs w:val="36"/>
        </w:rPr>
      </w:pPr>
      <w:r w:rsidRPr="0A3B03AA" w:rsidR="5501F073">
        <w:rPr>
          <w:b w:val="1"/>
          <w:bCs w:val="1"/>
        </w:rPr>
        <w:t>T</w:t>
      </w:r>
      <w:r w:rsidRPr="0A3B03AA" w:rsidR="3DCE8639">
        <w:rPr>
          <w:b w:val="1"/>
          <w:bCs w:val="1"/>
        </w:rPr>
        <w:t>ASK 1:</w:t>
      </w:r>
      <w:r w:rsidRPr="0A3B03AA" w:rsidR="5501F073">
        <w:rPr>
          <w:b w:val="1"/>
          <w:bCs w:val="1"/>
        </w:rPr>
        <w:t xml:space="preserve"> Ethnicity and health inequality in the United Kingdom: a social epidemiological perspective</w:t>
      </w:r>
    </w:p>
    <w:p w:rsidR="00C74AB8" w:rsidRDefault="00C74AB8" w14:paraId="2C8E9BE8" w14:textId="4E73BD95"/>
    <w:p w:rsidR="00C74AB8" w:rsidP="6747DF49" w:rsidRDefault="5501F073" w14:paraId="23C0C137" w14:textId="3D29FBE6">
      <w:pPr>
        <w:rPr>
          <w:b/>
          <w:bCs/>
          <w:sz w:val="28"/>
          <w:szCs w:val="28"/>
        </w:rPr>
      </w:pPr>
      <w:r w:rsidRPr="6747DF49">
        <w:rPr>
          <w:b/>
          <w:bCs/>
          <w:sz w:val="28"/>
          <w:szCs w:val="28"/>
        </w:rPr>
        <w:t>Introduction</w:t>
      </w:r>
    </w:p>
    <w:p w:rsidR="00C74AB8" w:rsidP="6747DF49" w:rsidRDefault="5501F073" w14:paraId="0369E16E" w14:textId="19CE44AC">
      <w:pPr>
        <w:spacing w:before="240" w:after="240" w:line="360" w:lineRule="auto"/>
        <w:rPr>
          <w:sz w:val="22"/>
          <w:szCs w:val="22"/>
        </w:rPr>
      </w:pPr>
      <w:r w:rsidRPr="0A3B03AA" w:rsidR="5501F073">
        <w:rPr>
          <w:sz w:val="22"/>
          <w:szCs w:val="22"/>
        </w:rPr>
        <w:t xml:space="preserve">Ethnicity is commonly understood as a set of shared cultural, </w:t>
      </w:r>
      <w:r w:rsidRPr="0A3B03AA" w:rsidR="4CD72016">
        <w:rPr>
          <w:sz w:val="22"/>
          <w:szCs w:val="22"/>
        </w:rPr>
        <w:t>social,</w:t>
      </w:r>
      <w:r w:rsidRPr="0A3B03AA" w:rsidR="5501F073">
        <w:rPr>
          <w:sz w:val="22"/>
          <w:szCs w:val="22"/>
        </w:rPr>
        <w:t xml:space="preserve"> and ancestral characteristics, including language, </w:t>
      </w:r>
      <w:r w:rsidRPr="0A3B03AA" w:rsidR="6F49C028">
        <w:rPr>
          <w:sz w:val="22"/>
          <w:szCs w:val="22"/>
        </w:rPr>
        <w:t>religion,</w:t>
      </w:r>
      <w:r w:rsidRPr="0A3B03AA" w:rsidR="5501F073">
        <w:rPr>
          <w:sz w:val="22"/>
          <w:szCs w:val="22"/>
        </w:rPr>
        <w:t xml:space="preserve"> and heritage. Within the United Kingdom, ethnic minority groups—particularly Black African, Black Caribbean, Pakistani and Bangladeshi populations—continue to experience significant and persistent health inequalities. These inequalities are typically defined as systematic, </w:t>
      </w:r>
      <w:r w:rsidRPr="0A3B03AA" w:rsidR="433E331D">
        <w:rPr>
          <w:sz w:val="22"/>
          <w:szCs w:val="22"/>
        </w:rPr>
        <w:t>avoidable,</w:t>
      </w:r>
      <w:r w:rsidRPr="0A3B03AA" w:rsidR="5501F073">
        <w:rPr>
          <w:sz w:val="22"/>
          <w:szCs w:val="22"/>
        </w:rPr>
        <w:t xml:space="preserve"> and unjust differences in health outcomes between population groups (Marmot et al., 2020).</w:t>
      </w:r>
    </w:p>
    <w:p w:rsidR="00C74AB8" w:rsidP="6747DF49" w:rsidRDefault="5501F073" w14:paraId="221A308D" w14:textId="246CBE6E">
      <w:pPr>
        <w:spacing w:before="240" w:after="240" w:line="360" w:lineRule="auto"/>
        <w:rPr>
          <w:sz w:val="22"/>
          <w:szCs w:val="22"/>
        </w:rPr>
      </w:pPr>
      <w:r w:rsidRPr="6747DF49">
        <w:rPr>
          <w:sz w:val="22"/>
          <w:szCs w:val="22"/>
        </w:rPr>
        <w:t>Importantly, these disparities cannot be explained solely by biological variation. Instead, a substantial body of evidence suggests that they are shaped by broader social determinants, including socioeconomic disadvantage, housing conditions, access to healthcare and experiences of racism (Nazroo, 2003; Kapadia et al., 2022). From a social epidemiological perspective, this highlights how health is socially patterned and reflects wider structural inequalities.</w:t>
      </w:r>
    </w:p>
    <w:p w:rsidR="00C74AB8" w:rsidP="6747DF49" w:rsidRDefault="5501F073" w14:paraId="6DEEBBE2" w14:textId="6D8C94A5">
      <w:pPr>
        <w:spacing w:before="240" w:after="240" w:line="360" w:lineRule="auto"/>
        <w:rPr>
          <w:sz w:val="22"/>
          <w:szCs w:val="22"/>
        </w:rPr>
      </w:pPr>
      <w:r w:rsidRPr="6747DF49">
        <w:rPr>
          <w:sz w:val="22"/>
          <w:szCs w:val="22"/>
        </w:rPr>
        <w:t xml:space="preserve">An intersectional lens is also useful here, as ethnicity often interacts with other dimensions such as class, gender and migration status, further compounding disadvantage (Viruell-Fuentes et al., 2012). As a result, ethnic minority groups in the UK are more likely to experience earlier onset of disease, poorer health </w:t>
      </w:r>
      <w:r w:rsidRPr="6747DF49" w:rsidR="6F5D868C">
        <w:rPr>
          <w:sz w:val="22"/>
          <w:szCs w:val="22"/>
        </w:rPr>
        <w:t>outcomes,</w:t>
      </w:r>
      <w:r w:rsidRPr="6747DF49">
        <w:rPr>
          <w:sz w:val="22"/>
          <w:szCs w:val="22"/>
        </w:rPr>
        <w:t xml:space="preserve"> and barriers to accessing appropriate care. This makes ethnicity a critical axis through which health inequalities can be understood.</w:t>
      </w:r>
    </w:p>
    <w:p w:rsidR="00C74AB8" w:rsidRDefault="00C74AB8" w14:paraId="65D0A886" w14:textId="319BECDD"/>
    <w:p w:rsidR="00C74AB8" w:rsidP="6747DF49" w:rsidRDefault="00C74AB8" w14:paraId="2AD4A5F5" w14:textId="33E3DEE1">
      <w:pPr>
        <w:rPr>
          <w:b/>
          <w:bCs/>
        </w:rPr>
      </w:pPr>
    </w:p>
    <w:p w:rsidR="00C74AB8" w:rsidP="6747DF49" w:rsidRDefault="00C74AB8" w14:paraId="2FFE6A28" w14:textId="1538C664">
      <w:pPr>
        <w:rPr>
          <w:b/>
          <w:bCs/>
        </w:rPr>
      </w:pPr>
    </w:p>
    <w:p w:rsidR="00C74AB8" w:rsidP="6747DF49" w:rsidRDefault="00C74AB8" w14:paraId="10656ED4" w14:textId="5CA5F13B">
      <w:pPr>
        <w:rPr>
          <w:b/>
          <w:bCs/>
        </w:rPr>
      </w:pPr>
    </w:p>
    <w:p w:rsidR="00C74AB8" w:rsidP="6747DF49" w:rsidRDefault="00C74AB8" w14:paraId="18C4C615" w14:textId="0BAE432D">
      <w:pPr>
        <w:rPr>
          <w:b/>
          <w:bCs/>
        </w:rPr>
      </w:pPr>
    </w:p>
    <w:p w:rsidR="00C74AB8" w:rsidP="6747DF49" w:rsidRDefault="00C74AB8" w14:paraId="1509A1B7" w14:textId="46A3DF94">
      <w:pPr>
        <w:rPr>
          <w:b/>
          <w:bCs/>
        </w:rPr>
      </w:pPr>
    </w:p>
    <w:p w:rsidR="00C74AB8" w:rsidP="6747DF49" w:rsidRDefault="00C74AB8" w14:paraId="3B4C12E5" w14:textId="79D31058">
      <w:pPr>
        <w:rPr>
          <w:b/>
          <w:bCs/>
        </w:rPr>
      </w:pPr>
    </w:p>
    <w:p w:rsidR="00C74AB8" w:rsidP="6747DF49" w:rsidRDefault="00C74AB8" w14:paraId="0819D985" w14:textId="11DC6ECD">
      <w:pPr>
        <w:rPr>
          <w:b/>
          <w:bCs/>
        </w:rPr>
      </w:pPr>
    </w:p>
    <w:p w:rsidR="00C74AB8" w:rsidP="6747DF49" w:rsidRDefault="00C74AB8" w14:paraId="00AC1E17" w14:textId="78B4C9E8">
      <w:pPr>
        <w:rPr>
          <w:b/>
          <w:bCs/>
        </w:rPr>
      </w:pPr>
    </w:p>
    <w:p w:rsidR="00C74AB8" w:rsidP="6747DF49" w:rsidRDefault="5501F073" w14:paraId="366C6C66" w14:textId="28E4E065">
      <w:pPr>
        <w:rPr>
          <w:b/>
          <w:bCs/>
        </w:rPr>
      </w:pPr>
      <w:r w:rsidRPr="6747DF49">
        <w:rPr>
          <w:b/>
          <w:bCs/>
        </w:rPr>
        <w:t>Contextual background and underlying factors</w:t>
      </w:r>
    </w:p>
    <w:p w:rsidR="00C74AB8" w:rsidP="6747DF49" w:rsidRDefault="5501F073" w14:paraId="042659EF" w14:textId="13AF1A63">
      <w:pPr>
        <w:rPr>
          <w:b/>
          <w:bCs/>
        </w:rPr>
      </w:pPr>
      <w:r w:rsidRPr="6747DF49">
        <w:rPr>
          <w:b/>
          <w:bCs/>
        </w:rPr>
        <w:t>Higher rates of type 2 diabetes</w:t>
      </w:r>
    </w:p>
    <w:p w:rsidR="00C74AB8" w:rsidP="6747DF49" w:rsidRDefault="5501F073" w14:paraId="659D42D9" w14:textId="2613F880">
      <w:pPr>
        <w:spacing w:before="240" w:after="240" w:line="360" w:lineRule="auto"/>
        <w:rPr>
          <w:sz w:val="22"/>
          <w:szCs w:val="22"/>
        </w:rPr>
      </w:pPr>
      <w:r w:rsidRPr="6747DF49">
        <w:rPr>
          <w:sz w:val="22"/>
          <w:szCs w:val="22"/>
        </w:rPr>
        <w:t xml:space="preserve">One of the most well-documented examples of ethnic health inequality in the UK is type 2 diabetes. South Asian populations are reported to be up to six times more likely to develop the condition compared to the White British population, with onset occurring </w:t>
      </w:r>
      <w:r w:rsidRPr="6747DF49" w:rsidR="7DB60371">
        <w:rPr>
          <w:sz w:val="22"/>
          <w:szCs w:val="22"/>
        </w:rPr>
        <w:t>10</w:t>
      </w:r>
      <w:r w:rsidRPr="6747DF49">
        <w:rPr>
          <w:sz w:val="22"/>
          <w:szCs w:val="22"/>
        </w:rPr>
        <w:t xml:space="preserve">–12 years earlier (Goff, 2019). Similarly, Black </w:t>
      </w:r>
      <w:r w:rsidRPr="6747DF49" w:rsidR="1F267E56">
        <w:rPr>
          <w:sz w:val="22"/>
          <w:szCs w:val="22"/>
        </w:rPr>
        <w:t>African,</w:t>
      </w:r>
      <w:r w:rsidRPr="6747DF49">
        <w:rPr>
          <w:sz w:val="22"/>
          <w:szCs w:val="22"/>
        </w:rPr>
        <w:t xml:space="preserve"> and Caribbean groups also experience elevated prevalence (Public Health England, 2017).</w:t>
      </w:r>
    </w:p>
    <w:p w:rsidR="00C74AB8" w:rsidP="6747DF49" w:rsidRDefault="5501F073" w14:paraId="4691C9CA" w14:textId="26856C33">
      <w:pPr>
        <w:spacing w:before="240" w:after="240" w:line="360" w:lineRule="auto"/>
        <w:rPr>
          <w:sz w:val="22"/>
          <w:szCs w:val="22"/>
        </w:rPr>
      </w:pPr>
      <w:r w:rsidRPr="6747DF49">
        <w:rPr>
          <w:sz w:val="22"/>
          <w:szCs w:val="22"/>
        </w:rPr>
        <w:t xml:space="preserve">While genetic predisposition is often cited, it would be overly simplistic to attribute this disparity to biology alone. </w:t>
      </w:r>
      <w:r w:rsidRPr="6747DF49" w:rsidR="42381319">
        <w:rPr>
          <w:sz w:val="22"/>
          <w:szCs w:val="22"/>
        </w:rPr>
        <w:t>Social</w:t>
      </w:r>
      <w:r w:rsidRPr="6747DF49">
        <w:rPr>
          <w:sz w:val="22"/>
          <w:szCs w:val="22"/>
        </w:rPr>
        <w:t xml:space="preserve"> and environmental factors play a crucial role. Higher levels of deprivation, limited access to healthy food environments and reduced engagement with preventative healthcare services all contribute to increased risk. In addition, standard BMI thresholds may underestimate risk in South Asian populations, potentially delaying diagnosis.</w:t>
      </w:r>
    </w:p>
    <w:p w:rsidR="00C74AB8" w:rsidP="6747DF49" w:rsidRDefault="5501F073" w14:paraId="72DC7097" w14:textId="61D815D4">
      <w:pPr>
        <w:spacing w:before="240" w:after="240" w:line="360" w:lineRule="auto"/>
        <w:rPr>
          <w:sz w:val="22"/>
          <w:szCs w:val="22"/>
        </w:rPr>
      </w:pPr>
      <w:r w:rsidRPr="6747DF49">
        <w:rPr>
          <w:sz w:val="22"/>
          <w:szCs w:val="22"/>
        </w:rPr>
        <w:t>This suggests that current prevention strategies are not sufficiently tailored to high-risk groups. A more effective response would involve earlier screening, culturally appropriate interventions and improved community-based prevention programmes.</w:t>
      </w:r>
    </w:p>
    <w:p w:rsidR="00C74AB8" w:rsidP="6747DF49" w:rsidRDefault="5501F073" w14:paraId="2D92DC28" w14:textId="2CC7058A">
      <w:pPr>
        <w:rPr>
          <w:b/>
          <w:bCs/>
        </w:rPr>
      </w:pPr>
      <w:r w:rsidRPr="6747DF49">
        <w:rPr>
          <w:b/>
          <w:bCs/>
        </w:rPr>
        <w:t>Cardiovascular disease and hypertension</w:t>
      </w:r>
    </w:p>
    <w:p w:rsidR="00C74AB8" w:rsidP="6747DF49" w:rsidRDefault="5501F073" w14:paraId="3906D1CB" w14:textId="13C7B880">
      <w:pPr>
        <w:spacing w:before="240" w:after="240" w:line="360" w:lineRule="auto"/>
        <w:rPr>
          <w:rFonts w:ascii="Arial" w:hAnsi="Arial" w:eastAsia="Arial" w:cs="Arial"/>
          <w:sz w:val="22"/>
          <w:szCs w:val="22"/>
        </w:rPr>
      </w:pPr>
      <w:r w:rsidRPr="6747DF49">
        <w:rPr>
          <w:rFonts w:ascii="Arial" w:hAnsi="Arial" w:eastAsia="Arial" w:cs="Arial"/>
          <w:sz w:val="22"/>
          <w:szCs w:val="22"/>
        </w:rPr>
        <w:t>Ethnic differences are also evident in cardiovascular disease (CVD). South Asian populations have around a 50% higher risk of coronary heart disease, whereas Black populations are more likely to experience hypertension and stroke (Bhopal, 2014; Gill et al., 2007).</w:t>
      </w:r>
    </w:p>
    <w:p w:rsidR="00C74AB8" w:rsidP="6747DF49" w:rsidRDefault="5501F073" w14:paraId="29EFAEB4" w14:textId="093F1ACC">
      <w:pPr>
        <w:spacing w:before="240" w:after="240" w:line="360" w:lineRule="auto"/>
        <w:rPr>
          <w:rFonts w:ascii="Arial" w:hAnsi="Arial" w:eastAsia="Arial" w:cs="Arial"/>
          <w:sz w:val="22"/>
          <w:szCs w:val="22"/>
        </w:rPr>
      </w:pPr>
      <w:r w:rsidRPr="6747DF49">
        <w:rPr>
          <w:rFonts w:ascii="Arial" w:hAnsi="Arial" w:eastAsia="Arial" w:cs="Arial"/>
          <w:sz w:val="22"/>
          <w:szCs w:val="22"/>
        </w:rPr>
        <w:t>Although lifestyle factors such as diet and physical activity are relevant, focusing solely on individual behaviour risks overlooking the broader structural context. Chronic stress associated with racism and socioeconomic disadvantage has been shown to contribute to hypertension and cardiovascular risk (Marmot et al., 2020). Furthermore, there is evidence that existing risk assessment tools may not adequately capture risk in ethnic minority populations.</w:t>
      </w:r>
    </w:p>
    <w:p w:rsidR="00C74AB8" w:rsidP="6747DF49" w:rsidRDefault="5501F073" w14:paraId="5F6F9E76" w14:textId="7DF9DAE1">
      <w:pPr>
        <w:spacing w:before="240" w:after="240" w:line="360" w:lineRule="auto"/>
        <w:rPr>
          <w:b/>
          <w:bCs/>
        </w:rPr>
      </w:pPr>
      <w:r w:rsidRPr="6747DF49">
        <w:rPr>
          <w:rFonts w:ascii="Arial" w:hAnsi="Arial" w:eastAsia="Arial" w:cs="Arial"/>
          <w:sz w:val="22"/>
          <w:szCs w:val="22"/>
        </w:rPr>
        <w:t>This raises concerns about whether current healthcare systems are sufficiently responsive to diverse population needs. Addressing this inequality will require not only improved clinical management but also more inclusive risk assessment models and targeted prevention strategies.</w:t>
      </w:r>
    </w:p>
    <w:p w:rsidR="00C74AB8" w:rsidP="6747DF49" w:rsidRDefault="5501F073" w14:paraId="7D667905" w14:textId="7286714F">
      <w:pPr>
        <w:spacing w:before="240" w:after="240" w:line="360" w:lineRule="auto"/>
        <w:rPr>
          <w:b/>
          <w:bCs/>
        </w:rPr>
      </w:pPr>
      <w:r w:rsidRPr="6747DF49">
        <w:rPr>
          <w:b/>
          <w:bCs/>
        </w:rPr>
        <w:t>Severe mental illness and detention rates</w:t>
      </w:r>
    </w:p>
    <w:p w:rsidR="00C74AB8" w:rsidP="6747DF49" w:rsidRDefault="5501F073" w14:paraId="2D45B48E" w14:textId="0A986C5A">
      <w:pPr>
        <w:spacing w:before="240" w:after="240" w:line="360" w:lineRule="auto"/>
        <w:rPr>
          <w:rFonts w:ascii="Arial" w:hAnsi="Arial" w:eastAsia="Arial" w:cs="Arial"/>
          <w:sz w:val="22"/>
          <w:szCs w:val="22"/>
        </w:rPr>
      </w:pPr>
      <w:r w:rsidRPr="6747DF49">
        <w:rPr>
          <w:rFonts w:ascii="Arial" w:hAnsi="Arial" w:eastAsia="Arial" w:cs="Arial"/>
          <w:sz w:val="22"/>
          <w:szCs w:val="22"/>
        </w:rPr>
        <w:t>Mental health inequalities present a particularly stark example of systemic disparity. In England, Black individuals are more than three times as likely to be detained under the Mental Health Act compared to their White counterparts (NHS Digital, 2023).</w:t>
      </w:r>
    </w:p>
    <w:p w:rsidR="00C74AB8" w:rsidP="6747DF49" w:rsidRDefault="5501F073" w14:paraId="101EE238" w14:textId="3F0B06BD">
      <w:pPr>
        <w:spacing w:before="240" w:after="240" w:line="360" w:lineRule="auto"/>
        <w:rPr>
          <w:rFonts w:ascii="Arial" w:hAnsi="Arial" w:eastAsia="Arial" w:cs="Arial"/>
          <w:sz w:val="22"/>
          <w:szCs w:val="22"/>
        </w:rPr>
      </w:pPr>
      <w:r w:rsidRPr="6747DF49">
        <w:rPr>
          <w:rFonts w:ascii="Arial" w:hAnsi="Arial" w:eastAsia="Arial" w:cs="Arial"/>
          <w:sz w:val="22"/>
          <w:szCs w:val="22"/>
        </w:rPr>
        <w:t>Crucially, this cannot be fully explained by differences in the prevalence of mental illness. Instead, it reflects deeper structural issues, including institutional racism, delayed access to care and lower levels of trust in mental health services (Bhui et al., 2018). Many individuals from ethnic minority backgrounds enter the system at crisis point, which increases the likelihood of compulsory detention.</w:t>
      </w:r>
    </w:p>
    <w:p w:rsidR="00C74AB8" w:rsidP="6747DF49" w:rsidRDefault="5501F073" w14:paraId="4926C9AC" w14:textId="113F02FF">
      <w:pPr>
        <w:spacing w:before="240" w:after="240" w:line="360" w:lineRule="auto"/>
        <w:rPr>
          <w:rFonts w:ascii="Arial" w:hAnsi="Arial" w:eastAsia="Arial" w:cs="Arial"/>
          <w:sz w:val="22"/>
          <w:szCs w:val="22"/>
        </w:rPr>
      </w:pPr>
      <w:r w:rsidRPr="6747DF49">
        <w:rPr>
          <w:rFonts w:ascii="Arial" w:hAnsi="Arial" w:eastAsia="Arial" w:cs="Arial"/>
          <w:sz w:val="22"/>
          <w:szCs w:val="22"/>
        </w:rPr>
        <w:t>This highlights a significant limitation in current service provision. Efforts to reduce inequality must therefore focus on early intervention, community-based support and rebuilding trust between services and ethnic minority communities.</w:t>
      </w:r>
    </w:p>
    <w:p w:rsidR="00C74AB8" w:rsidRDefault="00C74AB8" w14:paraId="78DA9499" w14:textId="47B8B6C1"/>
    <w:p w:rsidR="00C74AB8" w:rsidP="6747DF49" w:rsidRDefault="5501F073" w14:paraId="04F3A975" w14:textId="42D2B07E">
      <w:pPr>
        <w:rPr>
          <w:b/>
          <w:bCs/>
        </w:rPr>
      </w:pPr>
      <w:r w:rsidRPr="6747DF49">
        <w:rPr>
          <w:b/>
          <w:bCs/>
        </w:rPr>
        <w:t>Poverty and socioeconomic disadvantage</w:t>
      </w:r>
    </w:p>
    <w:p w:rsidR="00C74AB8" w:rsidP="6747DF49" w:rsidRDefault="5501F073" w14:paraId="5BB3F8DC" w14:textId="5E560A78">
      <w:pPr>
        <w:spacing w:before="240" w:after="240" w:line="360" w:lineRule="auto"/>
        <w:rPr>
          <w:rFonts w:ascii="Arial" w:hAnsi="Arial" w:eastAsia="Arial" w:cs="Arial"/>
          <w:sz w:val="22"/>
          <w:szCs w:val="22"/>
        </w:rPr>
      </w:pPr>
      <w:r w:rsidRPr="6747DF49">
        <w:rPr>
          <w:rFonts w:ascii="Arial" w:hAnsi="Arial" w:eastAsia="Arial" w:cs="Arial"/>
          <w:sz w:val="22"/>
          <w:szCs w:val="22"/>
        </w:rPr>
        <w:t>Socioeconomic disadvantage remains one of the most important drivers of ethnic health inequality. Data indicate that approximately 48% of children in Pakistani and Bangladeshi households live in low-income households, compared with 18% of White British children (Department for Work and Pensions, 2023).</w:t>
      </w:r>
    </w:p>
    <w:p w:rsidR="00C74AB8" w:rsidP="6747DF49" w:rsidRDefault="5501F073" w14:paraId="490D7FC7" w14:textId="7F276DF0">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implications of this are far-reaching. Poverty is associated with poorer nutrition, insecure employment, increased </w:t>
      </w:r>
      <w:r w:rsidRPr="6747DF49" w:rsidR="679EDB64">
        <w:rPr>
          <w:rFonts w:ascii="Arial" w:hAnsi="Arial" w:eastAsia="Arial" w:cs="Arial"/>
          <w:sz w:val="22"/>
          <w:szCs w:val="22"/>
        </w:rPr>
        <w:t>stress,</w:t>
      </w:r>
      <w:r w:rsidRPr="6747DF49">
        <w:rPr>
          <w:rFonts w:ascii="Arial" w:hAnsi="Arial" w:eastAsia="Arial" w:cs="Arial"/>
          <w:sz w:val="22"/>
          <w:szCs w:val="22"/>
        </w:rPr>
        <w:t xml:space="preserve"> and reduced access to healthcare. Over time, these factors accumulate and contribute to poorer health outcomes across the life course (Marmot et al., 2020).</w:t>
      </w:r>
    </w:p>
    <w:p w:rsidR="00C74AB8" w:rsidP="6747DF49" w:rsidRDefault="5501F073" w14:paraId="6DB9E34C" w14:textId="68309EDB">
      <w:pPr>
        <w:spacing w:before="240" w:after="240" w:line="360" w:lineRule="auto"/>
        <w:rPr>
          <w:rFonts w:ascii="Arial" w:hAnsi="Arial" w:eastAsia="Arial" w:cs="Arial"/>
          <w:sz w:val="22"/>
          <w:szCs w:val="22"/>
        </w:rPr>
      </w:pPr>
      <w:r w:rsidRPr="6747DF49">
        <w:rPr>
          <w:rFonts w:ascii="Arial" w:hAnsi="Arial" w:eastAsia="Arial" w:cs="Arial"/>
          <w:sz w:val="22"/>
          <w:szCs w:val="22"/>
        </w:rPr>
        <w:t>This suggests that health inequalities cannot be addressed through healthcare interventions alone. Broader social and economic policies aimed at reducing poverty are essential if meaningful progress is to be made.</w:t>
      </w:r>
    </w:p>
    <w:p w:rsidR="00C74AB8" w:rsidRDefault="00C74AB8" w14:paraId="397F98F9" w14:textId="03B64BA6"/>
    <w:p w:rsidR="00C74AB8" w:rsidP="6747DF49" w:rsidRDefault="00C74AB8" w14:paraId="3C01C25A" w14:textId="5CC267C8">
      <w:pPr>
        <w:rPr>
          <w:b/>
          <w:bCs/>
        </w:rPr>
      </w:pPr>
    </w:p>
    <w:p w:rsidR="00C74AB8" w:rsidP="6747DF49" w:rsidRDefault="00C74AB8" w14:paraId="1CA7D569" w14:textId="6687C83C">
      <w:pPr>
        <w:rPr>
          <w:b/>
          <w:bCs/>
        </w:rPr>
      </w:pPr>
    </w:p>
    <w:p w:rsidR="00C74AB8" w:rsidP="6747DF49" w:rsidRDefault="00C74AB8" w14:paraId="4CE6E51C" w14:textId="59381764">
      <w:pPr>
        <w:rPr>
          <w:b/>
          <w:bCs/>
        </w:rPr>
      </w:pPr>
    </w:p>
    <w:p w:rsidR="00C74AB8" w:rsidP="6747DF49" w:rsidRDefault="00C74AB8" w14:paraId="47CBDBE4" w14:textId="2CC28731">
      <w:pPr>
        <w:rPr>
          <w:b/>
          <w:bCs/>
        </w:rPr>
      </w:pPr>
    </w:p>
    <w:p w:rsidR="00C74AB8" w:rsidP="6747DF49" w:rsidRDefault="5501F073" w14:paraId="50DCDE76" w14:textId="18ED9206">
      <w:pPr>
        <w:rPr>
          <w:b/>
          <w:bCs/>
        </w:rPr>
      </w:pPr>
      <w:r w:rsidRPr="6747DF49">
        <w:rPr>
          <w:b/>
          <w:bCs/>
        </w:rPr>
        <w:t>Housing inequality and overcrowding</w:t>
      </w:r>
    </w:p>
    <w:p w:rsidR="00C74AB8" w:rsidP="6747DF49" w:rsidRDefault="5501F073" w14:paraId="48F8439B" w14:textId="1F37240A">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Housing conditions are another key determinant of health. According to the Office for National Statistics (2023), around 18% of Bangladeshi households experience overcrowding, compared to just 2% of White British </w:t>
      </w:r>
      <w:r w:rsidRPr="6747DF49" w:rsidR="176B7BB9">
        <w:rPr>
          <w:rFonts w:ascii="Arial" w:hAnsi="Arial" w:eastAsia="Arial" w:cs="Arial"/>
          <w:sz w:val="22"/>
          <w:szCs w:val="22"/>
        </w:rPr>
        <w:t>households. Overcrowded</w:t>
      </w:r>
      <w:r w:rsidRPr="6747DF49">
        <w:rPr>
          <w:rFonts w:ascii="Arial" w:hAnsi="Arial" w:eastAsia="Arial" w:cs="Arial"/>
          <w:sz w:val="22"/>
          <w:szCs w:val="22"/>
        </w:rPr>
        <w:t xml:space="preserve"> housing is linked to increased transmission of infectious diseases, poorer mental </w:t>
      </w:r>
      <w:r w:rsidRPr="6747DF49" w:rsidR="794057E1">
        <w:rPr>
          <w:rFonts w:ascii="Arial" w:hAnsi="Arial" w:eastAsia="Arial" w:cs="Arial"/>
          <w:sz w:val="22"/>
          <w:szCs w:val="22"/>
        </w:rPr>
        <w:t>health,</w:t>
      </w:r>
      <w:r w:rsidRPr="6747DF49">
        <w:rPr>
          <w:rFonts w:ascii="Arial" w:hAnsi="Arial" w:eastAsia="Arial" w:cs="Arial"/>
          <w:sz w:val="22"/>
          <w:szCs w:val="22"/>
        </w:rPr>
        <w:t xml:space="preserve"> and difficulties in managing long-term conditions. It also reflects structural inequalities in income and access to </w:t>
      </w:r>
      <w:r w:rsidRPr="6747DF49" w:rsidR="06966404">
        <w:rPr>
          <w:rFonts w:ascii="Arial" w:hAnsi="Arial" w:eastAsia="Arial" w:cs="Arial"/>
          <w:sz w:val="22"/>
          <w:szCs w:val="22"/>
        </w:rPr>
        <w:t>housing. This</w:t>
      </w:r>
      <w:r w:rsidRPr="6747DF49">
        <w:rPr>
          <w:rFonts w:ascii="Arial" w:hAnsi="Arial" w:eastAsia="Arial" w:cs="Arial"/>
          <w:sz w:val="22"/>
          <w:szCs w:val="22"/>
        </w:rPr>
        <w:t xml:space="preserve"> reinforces the idea that health inequalities are deeply embedded within wider social systems. Addressing housing inequality is therefore a critical component of public health strategy.</w:t>
      </w:r>
    </w:p>
    <w:p w:rsidR="00C74AB8" w:rsidRDefault="00C74AB8" w14:paraId="5D8CDA94" w14:textId="4340322B"/>
    <w:p w:rsidR="00C74AB8" w:rsidP="6747DF49" w:rsidRDefault="5501F073" w14:paraId="231268A4" w14:textId="65A24010">
      <w:pPr>
        <w:rPr>
          <w:b/>
          <w:bCs/>
        </w:rPr>
      </w:pPr>
      <w:r w:rsidRPr="6747DF49">
        <w:rPr>
          <w:b/>
          <w:bCs/>
        </w:rPr>
        <w:t>Barriers to healthcare access</w:t>
      </w:r>
    </w:p>
    <w:p w:rsidR="00C74AB8" w:rsidP="6747DF49" w:rsidRDefault="5501F073" w14:paraId="5C89D506" w14:textId="2FCB4822">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Despite the NHS being founded on principles of universal access, inequalities in healthcare access persist. Ethnic minority groups often face barriers such as language differences, cultural </w:t>
      </w:r>
      <w:r w:rsidRPr="6747DF49" w:rsidR="683585BA">
        <w:rPr>
          <w:rFonts w:ascii="Arial" w:hAnsi="Arial" w:eastAsia="Arial" w:cs="Arial"/>
          <w:sz w:val="22"/>
          <w:szCs w:val="22"/>
        </w:rPr>
        <w:t>misunderstandings,</w:t>
      </w:r>
      <w:r w:rsidRPr="6747DF49">
        <w:rPr>
          <w:rFonts w:ascii="Arial" w:hAnsi="Arial" w:eastAsia="Arial" w:cs="Arial"/>
          <w:sz w:val="22"/>
          <w:szCs w:val="22"/>
        </w:rPr>
        <w:t xml:space="preserve"> and experiences of discrimination (Kapadia et al., 2022</w:t>
      </w:r>
      <w:r w:rsidRPr="6747DF49" w:rsidR="0A15C081">
        <w:rPr>
          <w:rFonts w:ascii="Arial" w:hAnsi="Arial" w:eastAsia="Arial" w:cs="Arial"/>
          <w:sz w:val="22"/>
          <w:szCs w:val="22"/>
        </w:rPr>
        <w:t>). These</w:t>
      </w:r>
      <w:r w:rsidRPr="6747DF49">
        <w:rPr>
          <w:rFonts w:ascii="Arial" w:hAnsi="Arial" w:eastAsia="Arial" w:cs="Arial"/>
          <w:sz w:val="22"/>
          <w:szCs w:val="22"/>
        </w:rPr>
        <w:t xml:space="preserve"> barriers can result in delayed diagnosis, lower uptake of screening programmes and poorer patient experiences (Public Health England, 2017). In some cases, mistrust of healthcare services may also reduce </w:t>
      </w:r>
      <w:r w:rsidRPr="6747DF49" w:rsidR="38730F78">
        <w:rPr>
          <w:rFonts w:ascii="Arial" w:hAnsi="Arial" w:eastAsia="Arial" w:cs="Arial"/>
          <w:sz w:val="22"/>
          <w:szCs w:val="22"/>
        </w:rPr>
        <w:t>engagement. This</w:t>
      </w:r>
      <w:r w:rsidRPr="6747DF49">
        <w:rPr>
          <w:rFonts w:ascii="Arial" w:hAnsi="Arial" w:eastAsia="Arial" w:cs="Arial"/>
          <w:sz w:val="22"/>
          <w:szCs w:val="22"/>
        </w:rPr>
        <w:t xml:space="preserve"> highlights the need for a more culturally competent healthcare system. Improving interpreter services, increasing workforce </w:t>
      </w:r>
      <w:r w:rsidRPr="6747DF49" w:rsidR="395D47FD">
        <w:rPr>
          <w:rFonts w:ascii="Arial" w:hAnsi="Arial" w:eastAsia="Arial" w:cs="Arial"/>
          <w:sz w:val="22"/>
          <w:szCs w:val="22"/>
        </w:rPr>
        <w:t>diversity,</w:t>
      </w:r>
      <w:r w:rsidRPr="6747DF49">
        <w:rPr>
          <w:rFonts w:ascii="Arial" w:hAnsi="Arial" w:eastAsia="Arial" w:cs="Arial"/>
          <w:sz w:val="22"/>
          <w:szCs w:val="22"/>
        </w:rPr>
        <w:t xml:space="preserve"> and embedding anti-racist practice within healthcare are important steps towards reducing these barriers.</w:t>
      </w:r>
    </w:p>
    <w:p w:rsidR="00C74AB8" w:rsidRDefault="00C74AB8" w14:paraId="1636AD64" w14:textId="23D75D23"/>
    <w:p w:rsidR="00C74AB8" w:rsidP="6747DF49" w:rsidRDefault="5501F073" w14:paraId="6EC265B7" w14:textId="59676AF9">
      <w:pPr>
        <w:rPr>
          <w:b/>
          <w:bCs/>
        </w:rPr>
      </w:pPr>
      <w:r w:rsidRPr="6747DF49">
        <w:rPr>
          <w:b/>
          <w:bCs/>
        </w:rPr>
        <w:t>National response to reduce health inequalities</w:t>
      </w:r>
    </w:p>
    <w:p w:rsidR="00C74AB8" w:rsidP="6747DF49" w:rsidRDefault="5501F073" w14:paraId="06D2C362" w14:textId="3B80675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In recent years, there has been increasing recognition of ethnic health inequalities within UK policy. The Core20PLUS5 framework represents a key initiative, targeting the most deprived populations and prioritising ethnic minority groups in areas such as maternity care, chronic </w:t>
      </w:r>
      <w:r w:rsidRPr="6747DF49" w:rsidR="3758AFB6">
        <w:rPr>
          <w:rFonts w:ascii="Arial" w:hAnsi="Arial" w:eastAsia="Arial" w:cs="Arial"/>
          <w:sz w:val="22"/>
          <w:szCs w:val="22"/>
        </w:rPr>
        <w:t>disease,</w:t>
      </w:r>
      <w:r w:rsidRPr="6747DF49">
        <w:rPr>
          <w:rFonts w:ascii="Arial" w:hAnsi="Arial" w:eastAsia="Arial" w:cs="Arial"/>
          <w:sz w:val="22"/>
          <w:szCs w:val="22"/>
        </w:rPr>
        <w:t xml:space="preserve"> and mental health (NHS England, 2022).Similarly, the Patient and Carer Race Equality Framework (PCREF) </w:t>
      </w:r>
      <w:r w:rsidRPr="6747DF49" w:rsidR="4FA27207">
        <w:rPr>
          <w:rFonts w:ascii="Arial" w:hAnsi="Arial" w:eastAsia="Arial" w:cs="Arial"/>
          <w:sz w:val="22"/>
          <w:szCs w:val="22"/>
        </w:rPr>
        <w:t>aim</w:t>
      </w:r>
      <w:r w:rsidRPr="6747DF49">
        <w:rPr>
          <w:rFonts w:ascii="Arial" w:hAnsi="Arial" w:eastAsia="Arial" w:cs="Arial"/>
          <w:sz w:val="22"/>
          <w:szCs w:val="22"/>
        </w:rPr>
        <w:t xml:space="preserve"> to address racial inequalities within mental health services by improving accountability and patient experience (NHS England, 2023).</w:t>
      </w:r>
      <w:r w:rsidRPr="6747DF49" w:rsidR="3D85D42F">
        <w:rPr>
          <w:rFonts w:ascii="Arial" w:hAnsi="Arial" w:eastAsia="Arial" w:cs="Arial"/>
          <w:sz w:val="22"/>
          <w:szCs w:val="22"/>
        </w:rPr>
        <w:t>T</w:t>
      </w:r>
      <w:r w:rsidRPr="6747DF49">
        <w:rPr>
          <w:rFonts w:ascii="Arial" w:hAnsi="Arial" w:eastAsia="Arial" w:cs="Arial"/>
          <w:sz w:val="22"/>
          <w:szCs w:val="22"/>
        </w:rPr>
        <w:t>he Maternity Disparities Taskforce also reflects growing concern, particularly given that Black women are four times more likely to die during pregnancy and childbirth compared to White women (MBRRACE-UK, 2023).</w:t>
      </w:r>
    </w:p>
    <w:p w:rsidR="00C74AB8" w:rsidP="6747DF49" w:rsidRDefault="00C74AB8" w14:paraId="445066DB" w14:textId="6A408DCF">
      <w:pPr>
        <w:rPr>
          <w:b/>
          <w:bCs/>
        </w:rPr>
      </w:pPr>
    </w:p>
    <w:p w:rsidR="00C74AB8" w:rsidP="6747DF49" w:rsidRDefault="5501F073" w14:paraId="73C156DF" w14:textId="6F28BA10">
      <w:pPr>
        <w:rPr>
          <w:b/>
          <w:bCs/>
        </w:rPr>
      </w:pPr>
      <w:r w:rsidRPr="6747DF49">
        <w:rPr>
          <w:b/>
          <w:bCs/>
        </w:rPr>
        <w:t>Organisations that support the chosen group</w:t>
      </w:r>
    </w:p>
    <w:p w:rsidR="00C74AB8" w:rsidP="6747DF49" w:rsidRDefault="5501F073" w14:paraId="22F44193" w14:textId="7CF3D21C">
      <w:pPr>
        <w:spacing w:before="240" w:after="240" w:line="360" w:lineRule="auto"/>
        <w:rPr>
          <w:rFonts w:ascii="Arial" w:hAnsi="Arial" w:eastAsia="Arial" w:cs="Arial"/>
          <w:sz w:val="22"/>
          <w:szCs w:val="22"/>
        </w:rPr>
      </w:pPr>
      <w:r w:rsidRPr="0A3B03AA" w:rsidR="5501F073">
        <w:rPr>
          <w:rFonts w:ascii="Arial" w:hAnsi="Arial" w:eastAsia="Arial" w:cs="Arial"/>
          <w:sz w:val="22"/>
          <w:szCs w:val="22"/>
        </w:rPr>
        <w:t xml:space="preserve">The Race Equality Foundation plays a significant role in addressing ethnic inequalities in health and social care. Its work extends beyond service delivery to include research, policy </w:t>
      </w:r>
      <w:r w:rsidRPr="0A3B03AA" w:rsidR="79DCE206">
        <w:rPr>
          <w:rFonts w:ascii="Arial" w:hAnsi="Arial" w:eastAsia="Arial" w:cs="Arial"/>
          <w:sz w:val="22"/>
          <w:szCs w:val="22"/>
        </w:rPr>
        <w:t>influence,</w:t>
      </w:r>
      <w:r w:rsidRPr="0A3B03AA" w:rsidR="5501F073">
        <w:rPr>
          <w:rFonts w:ascii="Arial" w:hAnsi="Arial" w:eastAsia="Arial" w:cs="Arial"/>
          <w:sz w:val="22"/>
          <w:szCs w:val="22"/>
        </w:rPr>
        <w:t xml:space="preserve"> and </w:t>
      </w:r>
      <w:r w:rsidRPr="0A3B03AA" w:rsidR="359BBAFD">
        <w:rPr>
          <w:rFonts w:ascii="Arial" w:hAnsi="Arial" w:eastAsia="Arial" w:cs="Arial"/>
          <w:sz w:val="22"/>
          <w:szCs w:val="22"/>
        </w:rPr>
        <w:t>advocacy. The</w:t>
      </w:r>
      <w:r w:rsidRPr="0A3B03AA" w:rsidR="5501F073">
        <w:rPr>
          <w:rFonts w:ascii="Arial" w:hAnsi="Arial" w:eastAsia="Arial" w:cs="Arial"/>
          <w:sz w:val="22"/>
          <w:szCs w:val="22"/>
        </w:rPr>
        <w:t xml:space="preserve"> organisation aims to improve the quality of services for ethnic minority communities by promoting evidence-based practice and raising awareness of the social determinants of health (Race Equality Foundation, 2023). It also works closely with policymakers and practitioners to influence service </w:t>
      </w:r>
      <w:r w:rsidRPr="0A3B03AA" w:rsidR="17E1577C">
        <w:rPr>
          <w:rFonts w:ascii="Arial" w:hAnsi="Arial" w:eastAsia="Arial" w:cs="Arial"/>
          <w:sz w:val="22"/>
          <w:szCs w:val="22"/>
        </w:rPr>
        <w:t>design. This</w:t>
      </w:r>
      <w:r w:rsidRPr="0A3B03AA" w:rsidR="5501F073">
        <w:rPr>
          <w:rFonts w:ascii="Arial" w:hAnsi="Arial" w:eastAsia="Arial" w:cs="Arial"/>
          <w:sz w:val="22"/>
          <w:szCs w:val="22"/>
        </w:rPr>
        <w:t xml:space="preserve"> broader approach is particularly important, as it recognises that health inequalities are rooted in systemic issues rather than individual behaviour alone.</w:t>
      </w:r>
    </w:p>
    <w:p w:rsidR="00C74AB8" w:rsidRDefault="00C74AB8" w14:paraId="51C9286A" w14:textId="4A6FD00B"/>
    <w:p w:rsidR="00C74AB8" w:rsidP="6747DF49" w:rsidRDefault="5501F073" w14:paraId="17BE20D2" w14:textId="1DF65034">
      <w:pPr>
        <w:rPr>
          <w:b/>
          <w:bCs/>
        </w:rPr>
      </w:pPr>
      <w:r w:rsidRPr="6747DF49">
        <w:rPr>
          <w:b/>
          <w:bCs/>
        </w:rPr>
        <w:t>Conclusion</w:t>
      </w:r>
    </w:p>
    <w:p w:rsidR="00C74AB8" w:rsidP="6747DF49" w:rsidRDefault="5501F073" w14:paraId="229E6E41" w14:textId="305C0D97">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Ethnic health inequalities in the UK are shaped by a complex interplay of social, </w:t>
      </w:r>
      <w:r w:rsidRPr="6747DF49" w:rsidR="6B243B4C">
        <w:rPr>
          <w:rFonts w:ascii="Arial" w:hAnsi="Arial" w:eastAsia="Arial" w:cs="Arial"/>
          <w:sz w:val="22"/>
          <w:szCs w:val="22"/>
        </w:rPr>
        <w:t>economic,</w:t>
      </w:r>
      <w:r w:rsidRPr="6747DF49">
        <w:rPr>
          <w:rFonts w:ascii="Arial" w:hAnsi="Arial" w:eastAsia="Arial" w:cs="Arial"/>
          <w:sz w:val="22"/>
          <w:szCs w:val="22"/>
        </w:rPr>
        <w:t xml:space="preserve"> and structural factors. This analysis has demonstrated clear disparities in chronic disease prevalence, mental health outcomes and key determinants such as poverty, </w:t>
      </w:r>
      <w:r w:rsidRPr="6747DF49" w:rsidR="40EFBEBE">
        <w:rPr>
          <w:rFonts w:ascii="Arial" w:hAnsi="Arial" w:eastAsia="Arial" w:cs="Arial"/>
          <w:sz w:val="22"/>
          <w:szCs w:val="22"/>
        </w:rPr>
        <w:t>housing,</w:t>
      </w:r>
      <w:r w:rsidRPr="6747DF49">
        <w:rPr>
          <w:rFonts w:ascii="Arial" w:hAnsi="Arial" w:eastAsia="Arial" w:cs="Arial"/>
          <w:sz w:val="22"/>
          <w:szCs w:val="22"/>
        </w:rPr>
        <w:t xml:space="preserve"> and access to healthcare.</w:t>
      </w:r>
    </w:p>
    <w:p w:rsidR="00C74AB8" w:rsidP="6747DF49" w:rsidRDefault="5501F073" w14:paraId="7255C0A1" w14:textId="28F30BD1">
      <w:pPr>
        <w:spacing w:before="240" w:after="240" w:line="360" w:lineRule="auto"/>
        <w:rPr>
          <w:rFonts w:ascii="Arial" w:hAnsi="Arial" w:eastAsia="Arial" w:cs="Arial"/>
          <w:sz w:val="22"/>
          <w:szCs w:val="22"/>
        </w:rPr>
      </w:pPr>
      <w:r w:rsidRPr="6747DF49">
        <w:rPr>
          <w:rFonts w:ascii="Arial" w:hAnsi="Arial" w:eastAsia="Arial" w:cs="Arial"/>
          <w:sz w:val="22"/>
          <w:szCs w:val="22"/>
        </w:rPr>
        <w:t>These inequalities are not inevitable but are produced through systemic disadvantage and structural racism. While policy initiatives such as Core20PLUS5 and PCREF represent positive steps, they must be supported by wider social and economic reforms.</w:t>
      </w:r>
    </w:p>
    <w:p w:rsidR="00C74AB8" w:rsidP="6747DF49" w:rsidRDefault="5501F073" w14:paraId="0DAD5544" w14:textId="2C10F640">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Ultimately, achieving health equity requires a sustained commitment to addressing the root causes of inequality and adopting a truly </w:t>
      </w:r>
      <w:r w:rsidRPr="6747DF49" w:rsidR="0FE47493">
        <w:rPr>
          <w:rFonts w:ascii="Arial" w:hAnsi="Arial" w:eastAsia="Arial" w:cs="Arial"/>
          <w:sz w:val="22"/>
          <w:szCs w:val="22"/>
        </w:rPr>
        <w:t>comprehensive approach</w:t>
      </w:r>
      <w:r w:rsidRPr="6747DF49">
        <w:rPr>
          <w:rFonts w:ascii="Arial" w:hAnsi="Arial" w:eastAsia="Arial" w:cs="Arial"/>
          <w:sz w:val="22"/>
          <w:szCs w:val="22"/>
        </w:rPr>
        <w:t xml:space="preserve"> to public health.</w:t>
      </w:r>
    </w:p>
    <w:p w:rsidR="00C74AB8" w:rsidRDefault="7C1183C7" w14:paraId="5E5787A5" w14:textId="085E58DF">
      <w:r>
        <w:t xml:space="preserve">          </w:t>
      </w:r>
    </w:p>
    <w:p w:rsidR="6747DF49" w:rsidRDefault="6747DF49" w14:paraId="2EC36188" w14:textId="0BE4C16D"/>
    <w:p w:rsidR="6747DF49" w:rsidRDefault="6747DF49" w14:paraId="7CE9BAAD" w14:textId="2219CF91"/>
    <w:p w:rsidR="6747DF49" w:rsidRDefault="6747DF49" w14:paraId="5598D3EC" w14:textId="2F2E2A72"/>
    <w:p w:rsidR="6747DF49" w:rsidRDefault="6747DF49" w14:paraId="65F316CA" w14:textId="1592534B"/>
    <w:p w:rsidR="6747DF49" w:rsidRDefault="6747DF49" w14:paraId="6F569B5E" w14:textId="5A8FAA04"/>
    <w:p w:rsidR="6747DF49" w:rsidRDefault="6747DF49" w14:paraId="11D0597F" w14:textId="053A354D"/>
    <w:p w:rsidR="6747DF49" w:rsidRDefault="6747DF49" w14:paraId="50B08437" w14:textId="1870D7E5"/>
    <w:p w:rsidR="6747DF49" w:rsidP="6747DF49" w:rsidRDefault="6747DF49" w14:paraId="6366DE3E" w14:textId="16174828">
      <w:pPr>
        <w:rPr>
          <w:b/>
          <w:bCs/>
        </w:rPr>
      </w:pPr>
    </w:p>
    <w:p w:rsidR="6747DF49" w:rsidP="6747DF49" w:rsidRDefault="6747DF49" w14:paraId="0B61503A" w14:textId="418D5E22">
      <w:pPr>
        <w:rPr>
          <w:b/>
          <w:bCs/>
        </w:rPr>
      </w:pPr>
    </w:p>
    <w:p w:rsidR="62ECF7CC" w:rsidP="6747DF49" w:rsidRDefault="62ECF7CC" w14:paraId="73CD2FB8" w14:textId="661AC8D0">
      <w:pPr>
        <w:rPr>
          <w:b/>
          <w:bCs/>
        </w:rPr>
      </w:pPr>
      <w:r w:rsidRPr="6747DF49">
        <w:rPr>
          <w:b/>
          <w:bCs/>
        </w:rPr>
        <w:t>Task 2: Epidemiological Analytical Report</w:t>
      </w:r>
    </w:p>
    <w:p w:rsidR="62ECF7CC" w:rsidP="6747DF49" w:rsidRDefault="62ECF7CC" w14:paraId="09FAEFCA" w14:textId="2274E33A">
      <w:pPr>
        <w:rPr>
          <w:b/>
          <w:bCs/>
        </w:rPr>
      </w:pPr>
      <w:r w:rsidRPr="6747DF49">
        <w:rPr>
          <w:b/>
          <w:bCs/>
        </w:rPr>
        <w:t>Title: An epidemiological analysis of Type 2 Diabetes among South Asian adults in the United Kingdom</w:t>
      </w:r>
    </w:p>
    <w:p w:rsidR="6747DF49" w:rsidRDefault="6747DF49" w14:paraId="0B4F1F12" w14:textId="502F7B0E"/>
    <w:p w:rsidR="62ECF7CC" w:rsidP="6747DF49" w:rsidRDefault="62ECF7CC" w14:paraId="7E634861" w14:textId="64E0674C">
      <w:r w:rsidRPr="6747DF49">
        <w:rPr>
          <w:b/>
          <w:bCs/>
        </w:rPr>
        <w:t>Introduction</w:t>
      </w:r>
      <w:r w:rsidRPr="6747DF49">
        <w:t xml:space="preserve"> </w:t>
      </w:r>
    </w:p>
    <w:p w:rsidR="62ECF7CC" w:rsidP="6747DF49" w:rsidRDefault="62ECF7CC" w14:paraId="409F7E82" w14:textId="7623BEB1">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Type 2 diabetes mellitus is a chronic, non-communicable metabolic disorder characterised by insulin resistance and impaired insulin secretion, resulting in elevated blood glucose levels (WHO, 2023). Common symptoms include excessive thirst, frequent urination, fatigue, blurred </w:t>
      </w:r>
      <w:r w:rsidRPr="6747DF49" w:rsidR="042CDF94">
        <w:rPr>
          <w:rFonts w:ascii="Arial" w:hAnsi="Arial" w:eastAsia="Arial" w:cs="Arial"/>
          <w:sz w:val="22"/>
          <w:szCs w:val="22"/>
        </w:rPr>
        <w:t>vision,</w:t>
      </w:r>
      <w:r w:rsidRPr="6747DF49">
        <w:rPr>
          <w:rFonts w:ascii="Arial" w:hAnsi="Arial" w:eastAsia="Arial" w:cs="Arial"/>
          <w:sz w:val="22"/>
          <w:szCs w:val="22"/>
        </w:rPr>
        <w:t xml:space="preserve"> and slow wound healing. However, many individuals remain asymptomatic in the </w:t>
      </w:r>
      <w:r w:rsidRPr="6747DF49" w:rsidR="40FD681C">
        <w:rPr>
          <w:rFonts w:ascii="Arial" w:hAnsi="Arial" w:eastAsia="Arial" w:cs="Arial"/>
          <w:sz w:val="22"/>
          <w:szCs w:val="22"/>
        </w:rPr>
        <w:t>initial stages</w:t>
      </w:r>
      <w:r w:rsidRPr="6747DF49">
        <w:rPr>
          <w:rFonts w:ascii="Arial" w:hAnsi="Arial" w:eastAsia="Arial" w:cs="Arial"/>
          <w:sz w:val="22"/>
          <w:szCs w:val="22"/>
        </w:rPr>
        <w:t>, which can delay diagnosis.</w:t>
      </w:r>
    </w:p>
    <w:p w:rsidR="62ECF7CC" w:rsidP="6747DF49" w:rsidRDefault="62ECF7CC" w14:paraId="44D110B0" w14:textId="329ED1C2">
      <w:pPr>
        <w:spacing w:before="240" w:after="240" w:line="360" w:lineRule="auto"/>
        <w:rPr>
          <w:rFonts w:ascii="Arial" w:hAnsi="Arial" w:eastAsia="Arial" w:cs="Arial"/>
          <w:sz w:val="22"/>
          <w:szCs w:val="22"/>
        </w:rPr>
      </w:pPr>
      <w:r w:rsidRPr="6747DF49">
        <w:rPr>
          <w:rFonts w:ascii="Arial" w:hAnsi="Arial" w:eastAsia="Arial" w:cs="Arial"/>
          <w:sz w:val="22"/>
          <w:szCs w:val="22"/>
        </w:rPr>
        <w:t>Globally, type 2 diabetes represents a major public health concern, affecting approximately 537 million adults worldwide, with projections rising to 643 million by 2030 (International Diabetes Federation, 2021). In the United Kingdom, over 4.3 million people are living with diabetes, with around 90% of cases being type 2 diabetes (Diabetes UK, 2023). Notably, South Asian populations in the UK experience disproportionately higher prevalence and earlier onset compared to the White population (Goff, 2019).</w:t>
      </w:r>
    </w:p>
    <w:p w:rsidR="62ECF7CC" w:rsidP="6747DF49" w:rsidRDefault="62ECF7CC" w14:paraId="1F52CF34" w14:textId="067CB1E1">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consequences of type 2 diabetes extend beyond physical health, including increased risk of cardiovascular disease, kidney </w:t>
      </w:r>
      <w:r w:rsidRPr="6747DF49" w:rsidR="0C604FBC">
        <w:rPr>
          <w:rFonts w:ascii="Arial" w:hAnsi="Arial" w:eastAsia="Arial" w:cs="Arial"/>
          <w:sz w:val="22"/>
          <w:szCs w:val="22"/>
        </w:rPr>
        <w:t>failure,</w:t>
      </w:r>
      <w:r w:rsidRPr="6747DF49">
        <w:rPr>
          <w:rFonts w:ascii="Arial" w:hAnsi="Arial" w:eastAsia="Arial" w:cs="Arial"/>
          <w:sz w:val="22"/>
          <w:szCs w:val="22"/>
        </w:rPr>
        <w:t xml:space="preserve"> and reduced quality of life. Socially, it contributes to economic burden through healthcare costs and loss of productivity, while culturally, dietary practices may influence disease management.</w:t>
      </w:r>
    </w:p>
    <w:p w:rsidR="62ECF7CC" w:rsidP="6747DF49" w:rsidRDefault="62ECF7CC" w14:paraId="76A187A1" w14:textId="1930C1E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aim of this analytical report is to examine the epidemiological processes involved in identifying, </w:t>
      </w:r>
      <w:r w:rsidRPr="6747DF49" w:rsidR="1D204E6E">
        <w:rPr>
          <w:rFonts w:ascii="Arial" w:hAnsi="Arial" w:eastAsia="Arial" w:cs="Arial"/>
          <w:sz w:val="22"/>
          <w:szCs w:val="22"/>
        </w:rPr>
        <w:t>assessing,</w:t>
      </w:r>
      <w:r w:rsidRPr="6747DF49">
        <w:rPr>
          <w:rFonts w:ascii="Arial" w:hAnsi="Arial" w:eastAsia="Arial" w:cs="Arial"/>
          <w:sz w:val="22"/>
          <w:szCs w:val="22"/>
        </w:rPr>
        <w:t xml:space="preserve"> and managing type 2 diabetes among South Asian adults in the UK.</w:t>
      </w:r>
    </w:p>
    <w:p w:rsidR="6747DF49" w:rsidRDefault="6747DF49" w14:paraId="544DD4FA" w14:textId="57F40059"/>
    <w:p w:rsidR="0A3B03AA" w:rsidP="0A3B03AA" w:rsidRDefault="0A3B03AA" w14:paraId="130C7D0F" w14:textId="13303A6F">
      <w:pPr>
        <w:rPr>
          <w:b w:val="1"/>
          <w:bCs w:val="1"/>
        </w:rPr>
      </w:pPr>
    </w:p>
    <w:p w:rsidR="0A3B03AA" w:rsidP="0A3B03AA" w:rsidRDefault="0A3B03AA" w14:paraId="46B33BA8" w14:textId="7B426E2D">
      <w:pPr>
        <w:rPr>
          <w:b w:val="1"/>
          <w:bCs w:val="1"/>
        </w:rPr>
      </w:pPr>
    </w:p>
    <w:p w:rsidR="0A3B03AA" w:rsidP="0A3B03AA" w:rsidRDefault="0A3B03AA" w14:paraId="4B9F3AC4" w14:textId="600AD395">
      <w:pPr>
        <w:rPr>
          <w:b w:val="1"/>
          <w:bCs w:val="1"/>
        </w:rPr>
      </w:pPr>
    </w:p>
    <w:p w:rsidR="0A3B03AA" w:rsidP="0A3B03AA" w:rsidRDefault="0A3B03AA" w14:paraId="10E7B720" w14:textId="5C87EBF4">
      <w:pPr>
        <w:rPr>
          <w:b w:val="1"/>
          <w:bCs w:val="1"/>
        </w:rPr>
      </w:pPr>
    </w:p>
    <w:p w:rsidR="0A3B03AA" w:rsidP="0A3B03AA" w:rsidRDefault="0A3B03AA" w14:paraId="5DC0D67B" w14:textId="24ADE9C4">
      <w:pPr>
        <w:rPr>
          <w:b w:val="1"/>
          <w:bCs w:val="1"/>
        </w:rPr>
      </w:pPr>
    </w:p>
    <w:p w:rsidR="0A3B03AA" w:rsidP="0A3B03AA" w:rsidRDefault="0A3B03AA" w14:paraId="39497159" w14:textId="6B9A29CC">
      <w:pPr>
        <w:rPr>
          <w:b w:val="1"/>
          <w:bCs w:val="1"/>
        </w:rPr>
      </w:pPr>
    </w:p>
    <w:p w:rsidR="0A3B03AA" w:rsidP="0A3B03AA" w:rsidRDefault="0A3B03AA" w14:paraId="041F86ED" w14:textId="2DD10247">
      <w:pPr>
        <w:rPr>
          <w:b w:val="1"/>
          <w:bCs w:val="1"/>
        </w:rPr>
      </w:pPr>
    </w:p>
    <w:p w:rsidR="62ECF7CC" w:rsidP="6747DF49" w:rsidRDefault="62ECF7CC" w14:paraId="27415A73" w14:textId="7F7CCC8A">
      <w:pPr>
        <w:rPr>
          <w:b/>
          <w:bCs/>
        </w:rPr>
      </w:pPr>
      <w:r w:rsidRPr="6747DF49">
        <w:rPr>
          <w:b/>
          <w:bCs/>
        </w:rPr>
        <w:t xml:space="preserve">Main Body </w:t>
      </w:r>
    </w:p>
    <w:p w:rsidR="62ECF7CC" w:rsidP="6747DF49" w:rsidRDefault="62ECF7CC" w14:paraId="39F1BFD3" w14:textId="0EFDC9B2">
      <w:pPr>
        <w:rPr>
          <w:b/>
          <w:bCs/>
        </w:rPr>
      </w:pPr>
      <w:r w:rsidRPr="6747DF49">
        <w:rPr>
          <w:b/>
          <w:bCs/>
        </w:rPr>
        <w:t xml:space="preserve">Public health measures (Prevention, Protection and Promotion) </w:t>
      </w:r>
    </w:p>
    <w:p w:rsidR="5399BD87" w:rsidP="6747DF49" w:rsidRDefault="5399BD87" w14:paraId="0C5BBC56" w14:textId="7D0B065A">
      <w:pPr>
        <w:spacing w:before="240" w:after="240" w:line="360" w:lineRule="auto"/>
        <w:rPr>
          <w:rFonts w:ascii="Arial" w:hAnsi="Arial" w:eastAsia="Arial" w:cs="Arial"/>
          <w:sz w:val="22"/>
          <w:szCs w:val="22"/>
        </w:rPr>
      </w:pPr>
      <w:r w:rsidRPr="0A3B03AA" w:rsidR="5399BD87">
        <w:rPr>
          <w:rFonts w:ascii="Arial" w:hAnsi="Arial" w:eastAsia="Arial" w:cs="Arial"/>
          <w:sz w:val="22"/>
          <w:szCs w:val="22"/>
        </w:rPr>
        <w:t xml:space="preserve">Public health responses to type 2 diabetes in the UK are structured around the principles of prevention, </w:t>
      </w:r>
      <w:r w:rsidRPr="0A3B03AA" w:rsidR="1C0FD1D9">
        <w:rPr>
          <w:rFonts w:ascii="Arial" w:hAnsi="Arial" w:eastAsia="Arial" w:cs="Arial"/>
          <w:sz w:val="22"/>
          <w:szCs w:val="22"/>
        </w:rPr>
        <w:t>protection,</w:t>
      </w:r>
      <w:r w:rsidRPr="0A3B03AA" w:rsidR="5399BD87">
        <w:rPr>
          <w:rFonts w:ascii="Arial" w:hAnsi="Arial" w:eastAsia="Arial" w:cs="Arial"/>
          <w:sz w:val="22"/>
          <w:szCs w:val="22"/>
        </w:rPr>
        <w:t xml:space="preserve"> and promotion, although their effectiveness varies across population </w:t>
      </w:r>
      <w:r w:rsidRPr="0A3B03AA" w:rsidR="65BFFEF7">
        <w:rPr>
          <w:rFonts w:ascii="Arial" w:hAnsi="Arial" w:eastAsia="Arial" w:cs="Arial"/>
          <w:sz w:val="22"/>
          <w:szCs w:val="22"/>
        </w:rPr>
        <w:t>groups. Primary</w:t>
      </w:r>
      <w:r w:rsidRPr="0A3B03AA" w:rsidR="5399BD87">
        <w:rPr>
          <w:rFonts w:ascii="Arial" w:hAnsi="Arial" w:eastAsia="Arial" w:cs="Arial"/>
          <w:sz w:val="22"/>
          <w:szCs w:val="22"/>
        </w:rPr>
        <w:t xml:space="preserve"> prevention is </w:t>
      </w:r>
      <w:r w:rsidRPr="0A3B03AA" w:rsidR="5FB666FC">
        <w:rPr>
          <w:rFonts w:ascii="Arial" w:hAnsi="Arial" w:eastAsia="Arial" w:cs="Arial"/>
          <w:sz w:val="22"/>
          <w:szCs w:val="22"/>
        </w:rPr>
        <w:t>delivered</w:t>
      </w:r>
      <w:r w:rsidRPr="0A3B03AA" w:rsidR="5399BD87">
        <w:rPr>
          <w:rFonts w:ascii="Arial" w:hAnsi="Arial" w:eastAsia="Arial" w:cs="Arial"/>
          <w:sz w:val="22"/>
          <w:szCs w:val="22"/>
        </w:rPr>
        <w:t xml:space="preserve"> through the NHS Diabetes Prevention Programme (NDPP), which targets individuals identified as </w:t>
      </w:r>
      <w:r w:rsidRPr="0A3B03AA" w:rsidR="5A891827">
        <w:rPr>
          <w:rFonts w:ascii="Arial" w:hAnsi="Arial" w:eastAsia="Arial" w:cs="Arial"/>
          <w:sz w:val="22"/>
          <w:szCs w:val="22"/>
        </w:rPr>
        <w:t>elevated risk</w:t>
      </w:r>
      <w:r w:rsidRPr="0A3B03AA" w:rsidR="5399BD87">
        <w:rPr>
          <w:rFonts w:ascii="Arial" w:hAnsi="Arial" w:eastAsia="Arial" w:cs="Arial"/>
          <w:sz w:val="22"/>
          <w:szCs w:val="22"/>
        </w:rPr>
        <w:t xml:space="preserve"> through HbA1c screening. Evidence suggests that the programme has achieved modest reductions in weight and HbA1c levels (</w:t>
      </w:r>
      <w:r w:rsidRPr="0A3B03AA" w:rsidR="5399BD87">
        <w:rPr>
          <w:rFonts w:ascii="Arial" w:hAnsi="Arial" w:eastAsia="Arial" w:cs="Arial"/>
          <w:sz w:val="22"/>
          <w:szCs w:val="22"/>
        </w:rPr>
        <w:t>Valabhji</w:t>
      </w:r>
      <w:r w:rsidRPr="0A3B03AA" w:rsidR="5399BD87">
        <w:rPr>
          <w:rFonts w:ascii="Arial" w:hAnsi="Arial" w:eastAsia="Arial" w:cs="Arial"/>
          <w:sz w:val="22"/>
          <w:szCs w:val="22"/>
        </w:rPr>
        <w:t xml:space="preserve"> et al., 2020). However, uptake among South Asian populations has been inconsistent, raising concerns about cultural accessibility and </w:t>
      </w:r>
      <w:r w:rsidRPr="0A3B03AA" w:rsidR="6093D739">
        <w:rPr>
          <w:rFonts w:ascii="Arial" w:hAnsi="Arial" w:eastAsia="Arial" w:cs="Arial"/>
          <w:sz w:val="22"/>
          <w:szCs w:val="22"/>
        </w:rPr>
        <w:t>engagement. Secondary</w:t>
      </w:r>
      <w:r w:rsidRPr="0A3B03AA" w:rsidR="5399BD87">
        <w:rPr>
          <w:rFonts w:ascii="Arial" w:hAnsi="Arial" w:eastAsia="Arial" w:cs="Arial"/>
          <w:sz w:val="22"/>
          <w:szCs w:val="22"/>
        </w:rPr>
        <w:t xml:space="preserve"> prevention focuses on early detection through initiatives such as the NHS Health Check programme. While this </w:t>
      </w:r>
      <w:r w:rsidRPr="0A3B03AA" w:rsidR="5399BD87">
        <w:rPr>
          <w:rFonts w:ascii="Arial" w:hAnsi="Arial" w:eastAsia="Arial" w:cs="Arial"/>
          <w:sz w:val="22"/>
          <w:szCs w:val="22"/>
        </w:rPr>
        <w:t>provides</w:t>
      </w:r>
      <w:r w:rsidRPr="0A3B03AA" w:rsidR="5399BD87">
        <w:rPr>
          <w:rFonts w:ascii="Arial" w:hAnsi="Arial" w:eastAsia="Arial" w:cs="Arial"/>
          <w:sz w:val="22"/>
          <w:szCs w:val="22"/>
        </w:rPr>
        <w:t xml:space="preserve"> an important mechanism for </w:t>
      </w:r>
      <w:r w:rsidRPr="0A3B03AA" w:rsidR="5399BD87">
        <w:rPr>
          <w:rFonts w:ascii="Arial" w:hAnsi="Arial" w:eastAsia="Arial" w:cs="Arial"/>
          <w:sz w:val="22"/>
          <w:szCs w:val="22"/>
        </w:rPr>
        <w:t>identifying</w:t>
      </w:r>
      <w:r w:rsidRPr="0A3B03AA" w:rsidR="5399BD87">
        <w:rPr>
          <w:rFonts w:ascii="Arial" w:hAnsi="Arial" w:eastAsia="Arial" w:cs="Arial"/>
          <w:sz w:val="22"/>
          <w:szCs w:val="22"/>
        </w:rPr>
        <w:t xml:space="preserve"> undiagnosed cases, its reliance on attendance and awareness may disadvantage populations with lower health literacy or trust in healthcare </w:t>
      </w:r>
      <w:r w:rsidRPr="0A3B03AA" w:rsidR="087515AE">
        <w:rPr>
          <w:rFonts w:ascii="Arial" w:hAnsi="Arial" w:eastAsia="Arial" w:cs="Arial"/>
          <w:sz w:val="22"/>
          <w:szCs w:val="22"/>
        </w:rPr>
        <w:t>systems. Health</w:t>
      </w:r>
      <w:r w:rsidRPr="0A3B03AA" w:rsidR="5399BD87">
        <w:rPr>
          <w:rFonts w:ascii="Arial" w:hAnsi="Arial" w:eastAsia="Arial" w:cs="Arial"/>
          <w:sz w:val="22"/>
          <w:szCs w:val="22"/>
        </w:rPr>
        <w:t xml:space="preserve"> promotion strategies, including national campaigns such as “Better Health</w:t>
      </w:r>
      <w:bookmarkStart w:name="_Int_Fz0Fklmz" w:id="0"/>
      <w:r w:rsidRPr="0A3B03AA" w:rsidR="5E92D20B">
        <w:rPr>
          <w:rFonts w:ascii="Arial" w:hAnsi="Arial" w:eastAsia="Arial" w:cs="Arial"/>
          <w:sz w:val="22"/>
          <w:szCs w:val="22"/>
        </w:rPr>
        <w:t>,”</w:t>
      </w:r>
      <w:bookmarkEnd w:id="0"/>
      <w:r w:rsidRPr="0A3B03AA" w:rsidR="5399BD87">
        <w:rPr>
          <w:rFonts w:ascii="Arial" w:hAnsi="Arial" w:eastAsia="Arial" w:cs="Arial"/>
          <w:sz w:val="22"/>
          <w:szCs w:val="22"/>
        </w:rPr>
        <w:t xml:space="preserve"> aim to influence behavioural change. However, these often adopt a universal approach, which may </w:t>
      </w:r>
      <w:r w:rsidRPr="0A3B03AA" w:rsidR="5399BD87">
        <w:rPr>
          <w:rFonts w:ascii="Arial" w:hAnsi="Arial" w:eastAsia="Arial" w:cs="Arial"/>
          <w:sz w:val="22"/>
          <w:szCs w:val="22"/>
        </w:rPr>
        <w:t>fail to</w:t>
      </w:r>
      <w:r w:rsidRPr="0A3B03AA" w:rsidR="5399BD87">
        <w:rPr>
          <w:rFonts w:ascii="Arial" w:hAnsi="Arial" w:eastAsia="Arial" w:cs="Arial"/>
          <w:sz w:val="22"/>
          <w:szCs w:val="22"/>
        </w:rPr>
        <w:t xml:space="preserve"> account for cultural dietary practices within South Asian </w:t>
      </w:r>
      <w:r w:rsidRPr="0A3B03AA" w:rsidR="1AEE3009">
        <w:rPr>
          <w:rFonts w:ascii="Arial" w:hAnsi="Arial" w:eastAsia="Arial" w:cs="Arial"/>
          <w:sz w:val="22"/>
          <w:szCs w:val="22"/>
        </w:rPr>
        <w:t>communities. Overall</w:t>
      </w:r>
      <w:r w:rsidRPr="0A3B03AA" w:rsidR="5399BD87">
        <w:rPr>
          <w:rFonts w:ascii="Arial" w:hAnsi="Arial" w:eastAsia="Arial" w:cs="Arial"/>
          <w:sz w:val="22"/>
          <w:szCs w:val="22"/>
        </w:rPr>
        <w:t xml:space="preserve">, while the UK has a comprehensive framework in place, there </w:t>
      </w:r>
      <w:r w:rsidRPr="0A3B03AA" w:rsidR="5399BD87">
        <w:rPr>
          <w:rFonts w:ascii="Arial" w:hAnsi="Arial" w:eastAsia="Arial" w:cs="Arial"/>
          <w:sz w:val="22"/>
          <w:szCs w:val="22"/>
        </w:rPr>
        <w:t>remains</w:t>
      </w:r>
      <w:r w:rsidRPr="0A3B03AA" w:rsidR="5399BD87">
        <w:rPr>
          <w:rFonts w:ascii="Arial" w:hAnsi="Arial" w:eastAsia="Arial" w:cs="Arial"/>
          <w:sz w:val="22"/>
          <w:szCs w:val="22"/>
        </w:rPr>
        <w:t xml:space="preserve"> a gap between policy design and effective delivery within high-risk ethnic groups.</w:t>
      </w:r>
    </w:p>
    <w:p w:rsidR="56611A70" w:rsidP="0A3B03AA" w:rsidRDefault="56611A70" w14:paraId="3FF85A5A" w14:textId="0F929FE6">
      <w:pPr>
        <w:pStyle w:val="Normal"/>
        <w:spacing w:before="240" w:after="240"/>
        <w:rPr>
          <w:b w:val="1"/>
          <w:bCs w:val="1"/>
        </w:rPr>
      </w:pPr>
      <w:r w:rsidRPr="0A3B03AA" w:rsidR="56611A70">
        <w:rPr>
          <w:rFonts w:ascii="Arial" w:hAnsi="Arial" w:eastAsia="Arial" w:cs="Arial"/>
          <w:b w:val="1"/>
          <w:bCs w:val="1"/>
        </w:rPr>
        <w:t>Key</w:t>
      </w:r>
      <w:r w:rsidRPr="0A3B03AA" w:rsidR="62ECF7CC">
        <w:rPr>
          <w:b w:val="1"/>
          <w:bCs w:val="1"/>
        </w:rPr>
        <w:t xml:space="preserve"> determinants and risk factors </w:t>
      </w:r>
    </w:p>
    <w:p w:rsidR="744E94A9" w:rsidP="6747DF49" w:rsidRDefault="744E94A9" w14:paraId="6BA6296C" w14:textId="653789BE">
      <w:pPr>
        <w:spacing w:before="240" w:after="240" w:line="360" w:lineRule="auto"/>
        <w:rPr>
          <w:rFonts w:ascii="Arial" w:hAnsi="Arial" w:eastAsia="Arial" w:cs="Arial"/>
          <w:sz w:val="22"/>
          <w:szCs w:val="22"/>
        </w:rPr>
      </w:pPr>
      <w:r w:rsidRPr="0A3B03AA" w:rsidR="744E94A9">
        <w:rPr>
          <w:rFonts w:ascii="Arial" w:hAnsi="Arial" w:eastAsia="Arial" w:cs="Arial"/>
          <w:sz w:val="22"/>
          <w:szCs w:val="22"/>
        </w:rPr>
        <w:t xml:space="preserve">The development of type 2 diabetes among South Asian populations is shaped by a complex interaction of biological predisposition and social determinants. While genetic susceptibility contributes to increased insulin resistance, it is insufficient to explain the scale of observed </w:t>
      </w:r>
      <w:r w:rsidRPr="0A3B03AA" w:rsidR="0260E168">
        <w:rPr>
          <w:rFonts w:ascii="Arial" w:hAnsi="Arial" w:eastAsia="Arial" w:cs="Arial"/>
          <w:sz w:val="22"/>
          <w:szCs w:val="22"/>
        </w:rPr>
        <w:t>inequalities. South</w:t>
      </w:r>
      <w:r w:rsidRPr="0A3B03AA" w:rsidR="744E94A9">
        <w:rPr>
          <w:rFonts w:ascii="Arial" w:hAnsi="Arial" w:eastAsia="Arial" w:cs="Arial"/>
          <w:sz w:val="22"/>
          <w:szCs w:val="22"/>
        </w:rPr>
        <w:t xml:space="preserve"> Asians are known to develop diabetes at lower BMI levels due to higher visceral fat accumulation (</w:t>
      </w:r>
      <w:r w:rsidRPr="0A3B03AA" w:rsidR="744E94A9">
        <w:rPr>
          <w:rFonts w:ascii="Arial" w:hAnsi="Arial" w:eastAsia="Arial" w:cs="Arial"/>
          <w:sz w:val="22"/>
          <w:szCs w:val="22"/>
        </w:rPr>
        <w:t>Tillin</w:t>
      </w:r>
      <w:r w:rsidRPr="0A3B03AA" w:rsidR="744E94A9">
        <w:rPr>
          <w:rFonts w:ascii="Arial" w:hAnsi="Arial" w:eastAsia="Arial" w:cs="Arial"/>
          <w:sz w:val="22"/>
          <w:szCs w:val="22"/>
        </w:rPr>
        <w:t xml:space="preserve"> et al., 2013). However, this biological explanation must be considered alongside environmental factors, including </w:t>
      </w:r>
      <w:r w:rsidRPr="0A3B03AA" w:rsidR="6731592D">
        <w:rPr>
          <w:rFonts w:ascii="Arial" w:hAnsi="Arial" w:eastAsia="Arial" w:cs="Arial"/>
          <w:sz w:val="22"/>
          <w:szCs w:val="22"/>
        </w:rPr>
        <w:t>elevated levels</w:t>
      </w:r>
      <w:r w:rsidRPr="0A3B03AA" w:rsidR="744E94A9">
        <w:rPr>
          <w:rFonts w:ascii="Arial" w:hAnsi="Arial" w:eastAsia="Arial" w:cs="Arial"/>
          <w:sz w:val="22"/>
          <w:szCs w:val="22"/>
        </w:rPr>
        <w:t xml:space="preserve"> of deprivation, limited access to healthy food options and reduced opportunities for physical </w:t>
      </w:r>
      <w:r w:rsidRPr="0A3B03AA" w:rsidR="7769BC55">
        <w:rPr>
          <w:rFonts w:ascii="Arial" w:hAnsi="Arial" w:eastAsia="Arial" w:cs="Arial"/>
          <w:sz w:val="22"/>
          <w:szCs w:val="22"/>
        </w:rPr>
        <w:t>activity. Dietary</w:t>
      </w:r>
      <w:r w:rsidRPr="0A3B03AA" w:rsidR="744E94A9">
        <w:rPr>
          <w:rFonts w:ascii="Arial" w:hAnsi="Arial" w:eastAsia="Arial" w:cs="Arial"/>
          <w:sz w:val="22"/>
          <w:szCs w:val="22"/>
        </w:rPr>
        <w:t xml:space="preserve"> practices also play a role, particularly where traditional diets are high in refined carbohydrates and saturated fats. Nevertheless, it would be reductionist to attribute risk solely to cultural behaviour. Structural inequalities, including poverty and urban living conditions, significantly shape lifestyle choices.</w:t>
      </w:r>
    </w:p>
    <w:p w:rsidR="744E94A9" w:rsidP="6747DF49" w:rsidRDefault="744E94A9" w14:paraId="3A2ADCE6" w14:textId="60A4D5F4">
      <w:pPr>
        <w:spacing w:before="240" w:after="240" w:line="360" w:lineRule="auto"/>
        <w:rPr>
          <w:rFonts w:ascii="Arial" w:hAnsi="Arial" w:eastAsia="Arial" w:cs="Arial"/>
          <w:sz w:val="22"/>
          <w:szCs w:val="22"/>
        </w:rPr>
      </w:pPr>
      <w:r w:rsidRPr="6747DF49">
        <w:rPr>
          <w:rFonts w:ascii="Arial" w:hAnsi="Arial" w:eastAsia="Arial" w:cs="Arial"/>
          <w:sz w:val="22"/>
          <w:szCs w:val="22"/>
        </w:rPr>
        <w:t>Furthermore, psychosocial stress associated with migration and experiences of discrimination has been linked to increased metabolic risk (Marmot et al., 2020). This highlights the importance of adopting a broader social epidemiological perspective.</w:t>
      </w:r>
    </w:p>
    <w:p w:rsidR="62ECF7CC" w:rsidP="0A3B03AA" w:rsidRDefault="62ECF7CC" w14:paraId="259C0B31" w14:textId="6FFA13CE">
      <w:pPr>
        <w:spacing w:before="240" w:after="240"/>
        <w:rPr>
          <w:b w:val="1"/>
          <w:bCs w:val="1"/>
        </w:rPr>
      </w:pPr>
      <w:r w:rsidRPr="0A3B03AA" w:rsidR="14A1F0F9">
        <w:rPr>
          <w:rFonts w:ascii="Arial" w:hAnsi="Arial" w:eastAsia="Arial" w:cs="Arial"/>
          <w:b w:val="1"/>
          <w:bCs w:val="1"/>
        </w:rPr>
        <w:t>Population</w:t>
      </w:r>
      <w:r w:rsidRPr="0A3B03AA" w:rsidR="62ECF7CC">
        <w:rPr>
          <w:b w:val="1"/>
          <w:bCs w:val="1"/>
        </w:rPr>
        <w:t xml:space="preserve"> at risk (epidemiological studies) </w:t>
      </w:r>
    </w:p>
    <w:p w:rsidR="62ECF7CC" w:rsidP="6747DF49" w:rsidRDefault="62ECF7CC" w14:paraId="5039B13A" w14:textId="1062D6A1">
      <w:pPr>
        <w:spacing w:before="240" w:after="240" w:line="360" w:lineRule="auto"/>
        <w:rPr>
          <w:rFonts w:ascii="Arial" w:hAnsi="Arial" w:eastAsia="Arial" w:cs="Arial"/>
          <w:sz w:val="22"/>
          <w:szCs w:val="22"/>
        </w:rPr>
      </w:pPr>
      <w:r w:rsidRPr="6747DF49">
        <w:rPr>
          <w:rFonts w:ascii="Arial" w:hAnsi="Arial" w:eastAsia="Arial" w:cs="Arial"/>
          <w:sz w:val="22"/>
          <w:szCs w:val="22"/>
        </w:rPr>
        <w:t>Epidemiological studies consistently identify South Asian adults in the UK as a high-risk population. For example, Tillin et al. (2013) found significantly higher incidence of type 2 diabetes among South Asian individuals compared to European populations. Similarly, research using primary care data indicates earlier onset and greater disease burden within this group (Pham et al., 2019).</w:t>
      </w:r>
    </w:p>
    <w:p w:rsidR="62ECF7CC" w:rsidP="6747DF49" w:rsidRDefault="62ECF7CC" w14:paraId="799EB4B5" w14:textId="750A5292">
      <w:pPr>
        <w:spacing w:before="240" w:after="240" w:line="360" w:lineRule="auto"/>
      </w:pPr>
      <w:r w:rsidRPr="6747DF49">
        <w:rPr>
          <w:rFonts w:ascii="Arial" w:hAnsi="Arial" w:eastAsia="Arial" w:cs="Arial"/>
          <w:sz w:val="22"/>
          <w:szCs w:val="22"/>
        </w:rPr>
        <w:t>Urban areas such as Birmingham, which have large South Asian populations, demonstrate particularly high prevalence rates. These findings highlight the importance of targeted interventions within specific communities to reduce disease burden</w:t>
      </w:r>
      <w:r w:rsidRPr="6747DF49">
        <w:rPr>
          <w:rFonts w:ascii="Arial" w:hAnsi="Arial" w:eastAsia="Arial" w:cs="Arial"/>
        </w:rPr>
        <w:t>.</w:t>
      </w:r>
    </w:p>
    <w:p w:rsidR="6747DF49" w:rsidRDefault="6747DF49" w14:paraId="1277D36C" w14:textId="1BF7CBFD"/>
    <w:p w:rsidR="62ECF7CC" w:rsidP="6747DF49" w:rsidRDefault="62ECF7CC" w14:paraId="1EBF468E" w14:textId="2CD65734">
      <w:pPr>
        <w:rPr>
          <w:b/>
          <w:bCs/>
        </w:rPr>
      </w:pPr>
      <w:r w:rsidRPr="6747DF49">
        <w:rPr>
          <w:b/>
          <w:bCs/>
        </w:rPr>
        <w:t xml:space="preserve">Surveillance and monitoring systems </w:t>
      </w:r>
    </w:p>
    <w:p w:rsidR="0889D2ED" w:rsidP="6747DF49" w:rsidRDefault="0889D2ED" w14:paraId="7B866E40" w14:textId="5188746F">
      <w:pPr>
        <w:spacing w:before="240" w:after="240" w:line="360" w:lineRule="auto"/>
        <w:rPr>
          <w:rFonts w:ascii="Arial" w:hAnsi="Arial" w:eastAsia="Arial" w:cs="Arial"/>
          <w:sz w:val="22"/>
          <w:szCs w:val="22"/>
        </w:rPr>
      </w:pPr>
      <w:r w:rsidRPr="6747DF49">
        <w:rPr>
          <w:rFonts w:ascii="Arial" w:hAnsi="Arial" w:eastAsia="Arial" w:cs="Arial"/>
          <w:sz w:val="22"/>
          <w:szCs w:val="22"/>
        </w:rPr>
        <w:t>Effective monitoring of type 2 diabetes relies on a combination of passive and active surveillance systems. In the UK, passive surveillance is primarily conducted through routine data collection in primary care, where diagnoses are recorded in electronic health records.</w:t>
      </w:r>
    </w:p>
    <w:p w:rsidR="0889D2ED" w:rsidP="6747DF49" w:rsidRDefault="0889D2ED" w14:paraId="793E77BD" w14:textId="5DF003CD">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Quality and Outcomes Framework (QOF) </w:t>
      </w:r>
      <w:r w:rsidRPr="6747DF49" w:rsidR="5F5654EB">
        <w:rPr>
          <w:rFonts w:ascii="Arial" w:hAnsi="Arial" w:eastAsia="Arial" w:cs="Arial"/>
          <w:sz w:val="22"/>
          <w:szCs w:val="22"/>
        </w:rPr>
        <w:t>provide</w:t>
      </w:r>
      <w:r w:rsidRPr="6747DF49">
        <w:rPr>
          <w:rFonts w:ascii="Arial" w:hAnsi="Arial" w:eastAsia="Arial" w:cs="Arial"/>
          <w:sz w:val="22"/>
          <w:szCs w:val="22"/>
        </w:rPr>
        <w:t xml:space="preserve"> a structured system for monitoring clinical indicators, including HbA1c levels and treatment outcomes. In addition, the National Diabetes Audit (NDA) offers comprehensive data on disease prevalence, </w:t>
      </w:r>
      <w:r w:rsidRPr="6747DF49" w:rsidR="50CFAC43">
        <w:rPr>
          <w:rFonts w:ascii="Arial" w:hAnsi="Arial" w:eastAsia="Arial" w:cs="Arial"/>
          <w:sz w:val="22"/>
          <w:szCs w:val="22"/>
        </w:rPr>
        <w:t>complications,</w:t>
      </w:r>
      <w:r w:rsidRPr="6747DF49">
        <w:rPr>
          <w:rFonts w:ascii="Arial" w:hAnsi="Arial" w:eastAsia="Arial" w:cs="Arial"/>
          <w:sz w:val="22"/>
          <w:szCs w:val="22"/>
        </w:rPr>
        <w:t xml:space="preserve"> and care quality (NHS Digital, 2022).</w:t>
      </w:r>
    </w:p>
    <w:p w:rsidR="0889D2ED" w:rsidP="6747DF49" w:rsidRDefault="0889D2ED" w14:paraId="3AE40C41" w14:textId="60A4992A">
      <w:pPr>
        <w:spacing w:before="240" w:after="240" w:line="360" w:lineRule="auto"/>
        <w:rPr>
          <w:rFonts w:ascii="Arial" w:hAnsi="Arial" w:eastAsia="Arial" w:cs="Arial"/>
          <w:sz w:val="22"/>
          <w:szCs w:val="22"/>
        </w:rPr>
      </w:pPr>
      <w:r w:rsidRPr="6747DF49">
        <w:rPr>
          <w:rFonts w:ascii="Arial" w:hAnsi="Arial" w:eastAsia="Arial" w:cs="Arial"/>
          <w:sz w:val="22"/>
          <w:szCs w:val="22"/>
        </w:rPr>
        <w:t>Active surveillance is supported through targeted screening initiatives, such as the NHS Health Check programme, which identifies individuals at risk of developing diabetes. Population-level surveillance is further enhanced by data collected by the Office for Health Improvement and Disparities (OHID), which tracks inequalities across different demographic groups.</w:t>
      </w:r>
    </w:p>
    <w:p w:rsidR="0889D2ED" w:rsidP="6747DF49" w:rsidRDefault="0889D2ED" w14:paraId="17CDFCB5" w14:textId="4BC4EF51">
      <w:pPr>
        <w:spacing w:before="240" w:after="240" w:line="360" w:lineRule="auto"/>
        <w:rPr>
          <w:rFonts w:ascii="Arial" w:hAnsi="Arial" w:eastAsia="Arial" w:cs="Arial"/>
          <w:sz w:val="22"/>
          <w:szCs w:val="22"/>
        </w:rPr>
      </w:pPr>
      <w:r w:rsidRPr="6747DF49">
        <w:rPr>
          <w:rFonts w:ascii="Arial" w:hAnsi="Arial" w:eastAsia="Arial" w:cs="Arial"/>
          <w:sz w:val="22"/>
          <w:szCs w:val="22"/>
        </w:rPr>
        <w:t>Despite these robust systems, there are notable limitations. Underdiagnosis remains a concern, particularly among ethnic minority populations. Additionally, incomplete ethnicity recording can reduce the accuracy of epidemiological analyses, limiting the ability to design targeted interventions.</w:t>
      </w:r>
    </w:p>
    <w:p w:rsidR="6747DF49" w:rsidRDefault="6747DF49" w14:paraId="6C04D079" w14:textId="42751D49"/>
    <w:p w:rsidR="6747DF49" w:rsidP="6747DF49" w:rsidRDefault="6747DF49" w14:paraId="17F4B6DF" w14:textId="0679CA26">
      <w:pPr>
        <w:rPr>
          <w:b/>
          <w:bCs/>
        </w:rPr>
      </w:pPr>
    </w:p>
    <w:p w:rsidR="6747DF49" w:rsidP="6747DF49" w:rsidRDefault="6747DF49" w14:paraId="7AA6C67C" w14:textId="279C9E66">
      <w:pPr>
        <w:rPr>
          <w:b/>
          <w:bCs/>
        </w:rPr>
      </w:pPr>
    </w:p>
    <w:p w:rsidR="62ECF7CC" w:rsidP="6747DF49" w:rsidRDefault="62ECF7CC" w14:paraId="42387275" w14:textId="7FA85FA0">
      <w:pPr>
        <w:rPr>
          <w:b/>
          <w:bCs/>
        </w:rPr>
      </w:pPr>
      <w:r w:rsidRPr="6747DF49">
        <w:rPr>
          <w:b/>
          <w:bCs/>
        </w:rPr>
        <w:t xml:space="preserve">Public health impact and consequences </w:t>
      </w:r>
    </w:p>
    <w:p w:rsidR="54DF43B5" w:rsidP="6747DF49" w:rsidRDefault="54DF43B5" w14:paraId="38577DA6" w14:textId="39CE25F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impact of type 2 diabetes extends beyond individual health outcomes and represents a significant burden on healthcare systems. In the short term, individuals may experience symptoms such as fatigue, </w:t>
      </w:r>
      <w:r w:rsidRPr="6747DF49" w:rsidR="33A63F84">
        <w:rPr>
          <w:rFonts w:ascii="Arial" w:hAnsi="Arial" w:eastAsia="Arial" w:cs="Arial"/>
          <w:sz w:val="22"/>
          <w:szCs w:val="22"/>
        </w:rPr>
        <w:t>hyperglycaemia,</w:t>
      </w:r>
      <w:r w:rsidRPr="6747DF49">
        <w:rPr>
          <w:rFonts w:ascii="Arial" w:hAnsi="Arial" w:eastAsia="Arial" w:cs="Arial"/>
          <w:sz w:val="22"/>
          <w:szCs w:val="22"/>
        </w:rPr>
        <w:t xml:space="preserve"> and increased susceptibility to infection. However, the long-term complications are more severe and include cardiovascular disease, renal failure, </w:t>
      </w:r>
      <w:r w:rsidRPr="6747DF49" w:rsidR="01E869F5">
        <w:rPr>
          <w:rFonts w:ascii="Arial" w:hAnsi="Arial" w:eastAsia="Arial" w:cs="Arial"/>
          <w:sz w:val="22"/>
          <w:szCs w:val="22"/>
        </w:rPr>
        <w:t>neuropathy,</w:t>
      </w:r>
      <w:r w:rsidRPr="6747DF49">
        <w:rPr>
          <w:rFonts w:ascii="Arial" w:hAnsi="Arial" w:eastAsia="Arial" w:cs="Arial"/>
          <w:sz w:val="22"/>
          <w:szCs w:val="22"/>
        </w:rPr>
        <w:t xml:space="preserve"> and vision loss (International Diabetes Federation, 2021).</w:t>
      </w:r>
    </w:p>
    <w:p w:rsidR="54DF43B5" w:rsidP="6747DF49" w:rsidRDefault="54DF43B5" w14:paraId="21B7CEAD" w14:textId="358E943D">
      <w:pPr>
        <w:spacing w:before="240" w:after="240" w:line="360" w:lineRule="auto"/>
        <w:rPr>
          <w:rFonts w:ascii="Arial" w:hAnsi="Arial" w:eastAsia="Arial" w:cs="Arial"/>
          <w:sz w:val="22"/>
          <w:szCs w:val="22"/>
        </w:rPr>
      </w:pPr>
      <w:r w:rsidRPr="6747DF49">
        <w:rPr>
          <w:rFonts w:ascii="Arial" w:hAnsi="Arial" w:eastAsia="Arial" w:cs="Arial"/>
          <w:sz w:val="22"/>
          <w:szCs w:val="22"/>
        </w:rPr>
        <w:t>South Asian populations are particularly affected due to earlier onset and longer disease duration, which increases the likelihood of complications. This contributes to higher rates of premature mortality and exacerbates existing health inequalities.</w:t>
      </w:r>
    </w:p>
    <w:p w:rsidR="54DF43B5" w:rsidP="6747DF49" w:rsidRDefault="54DF43B5" w14:paraId="4900F802" w14:textId="30426AF6">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economic burden is also substantial. Diabetes accounts for approximately 10% of NHS expenditure, </w:t>
      </w:r>
      <w:r w:rsidRPr="6747DF49" w:rsidR="5A089368">
        <w:rPr>
          <w:rFonts w:ascii="Arial" w:hAnsi="Arial" w:eastAsia="Arial" w:cs="Arial"/>
          <w:sz w:val="22"/>
          <w:szCs w:val="22"/>
        </w:rPr>
        <w:t>due to</w:t>
      </w:r>
      <w:r w:rsidRPr="6747DF49">
        <w:rPr>
          <w:rFonts w:ascii="Arial" w:hAnsi="Arial" w:eastAsia="Arial" w:cs="Arial"/>
          <w:sz w:val="22"/>
          <w:szCs w:val="22"/>
        </w:rPr>
        <w:t xml:space="preserve"> the management of complications (Diabetes UK, 2023). This highlights the importance of early intervention and effective disease management.</w:t>
      </w:r>
    </w:p>
    <w:p w:rsidR="6747DF49" w:rsidRDefault="6747DF49" w14:paraId="29316871" w14:textId="40A492E2"/>
    <w:p w:rsidR="62ECF7CC" w:rsidP="6747DF49" w:rsidRDefault="62ECF7CC" w14:paraId="4178FC66" w14:textId="7A6C3451">
      <w:r w:rsidRPr="6747DF49">
        <w:rPr>
          <w:b/>
          <w:bCs/>
        </w:rPr>
        <w:t>Intervention programme and evaluation</w:t>
      </w:r>
      <w:r w:rsidRPr="6747DF49">
        <w:t xml:space="preserve"> </w:t>
      </w:r>
    </w:p>
    <w:p w:rsidR="2FE52A22" w:rsidP="6747DF49" w:rsidRDefault="2FE52A22" w14:paraId="79F59488" w14:textId="0DACB519">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A culturally tailored, community-based intervention programme is proposed to address the disproportionate burden of type 2 diabetes among South Asian adults in the UK. This intervention would adopt a multi-component approach, integrating behavioural, </w:t>
      </w:r>
      <w:r w:rsidRPr="6747DF49" w:rsidR="4C30F4BD">
        <w:rPr>
          <w:rFonts w:ascii="Arial" w:hAnsi="Arial" w:eastAsia="Arial" w:cs="Arial"/>
          <w:sz w:val="22"/>
          <w:szCs w:val="22"/>
        </w:rPr>
        <w:t>educational,</w:t>
      </w:r>
      <w:r w:rsidRPr="6747DF49">
        <w:rPr>
          <w:rFonts w:ascii="Arial" w:hAnsi="Arial" w:eastAsia="Arial" w:cs="Arial"/>
          <w:sz w:val="22"/>
          <w:szCs w:val="22"/>
        </w:rPr>
        <w:t xml:space="preserve"> and structural elements. Delivery would involve collaboration with community leaders, faith organisations (e.g. mosques, temples) and primary care providers to ensure cultural relevance and community trust.</w:t>
      </w:r>
    </w:p>
    <w:p w:rsidR="2FE52A22" w:rsidP="6747DF49" w:rsidRDefault="2FE52A22" w14:paraId="554916DF" w14:textId="65F56545">
      <w:pPr>
        <w:spacing w:before="240" w:after="240" w:line="360" w:lineRule="auto"/>
        <w:rPr>
          <w:rFonts w:ascii="Arial" w:hAnsi="Arial" w:eastAsia="Arial" w:cs="Arial"/>
          <w:sz w:val="22"/>
          <w:szCs w:val="22"/>
        </w:rPr>
      </w:pPr>
      <w:r w:rsidRPr="6747DF49">
        <w:rPr>
          <w:rFonts w:ascii="Arial" w:hAnsi="Arial" w:eastAsia="Arial" w:cs="Arial"/>
          <w:sz w:val="22"/>
          <w:szCs w:val="22"/>
        </w:rPr>
        <w:t>The intervention would include culturally adapted dietary education, recognising traditional South Asian foods and cooking practices rather than imposing generic dietary advice. In addition, structured physical activity programmes—such as women-only exercise groups or community walking initiatives—would aim to address known barriers to participation, including cultural norms and gender roles. Evidence suggests that culturally adapted interventions are more effective in improving engagement and behavioural outcomes in ethnic minority populations (Bhui et al., 2018).</w:t>
      </w:r>
    </w:p>
    <w:p w:rsidR="2FE52A22" w:rsidP="6747DF49" w:rsidRDefault="2FE52A22" w14:paraId="45B74023" w14:textId="39621FC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From an epidemiological perspective, robust evaluation is essential to determine effectiveness. Process evaluation would assess how the intervention is implemented, including recruitment strategies, participation rates, </w:t>
      </w:r>
      <w:r w:rsidRPr="6747DF49" w:rsidR="4144C254">
        <w:rPr>
          <w:rFonts w:ascii="Arial" w:hAnsi="Arial" w:eastAsia="Arial" w:cs="Arial"/>
          <w:sz w:val="22"/>
          <w:szCs w:val="22"/>
        </w:rPr>
        <w:t>retention,</w:t>
      </w:r>
      <w:r w:rsidRPr="6747DF49">
        <w:rPr>
          <w:rFonts w:ascii="Arial" w:hAnsi="Arial" w:eastAsia="Arial" w:cs="Arial"/>
          <w:sz w:val="22"/>
          <w:szCs w:val="22"/>
        </w:rPr>
        <w:t xml:space="preserve"> and the extent to which the programme is delivered as intended (fidelity). This stage is particularly important given the risk of low engagement in underserved populations.</w:t>
      </w:r>
    </w:p>
    <w:p w:rsidR="2FE52A22" w:rsidP="6747DF49" w:rsidRDefault="2FE52A22" w14:paraId="78070614" w14:textId="0579BE49">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Impact evaluation would examine short-term changes in intermediate outcomes, such as increased physical activity levels, improved dietary behaviours and reductions in body weight or waist circumference. These indicators are important as they are </w:t>
      </w:r>
      <w:r w:rsidRPr="6747DF49" w:rsidR="198638D7">
        <w:rPr>
          <w:rFonts w:ascii="Arial" w:hAnsi="Arial" w:eastAsia="Arial" w:cs="Arial"/>
          <w:sz w:val="22"/>
          <w:szCs w:val="22"/>
        </w:rPr>
        <w:t>linked</w:t>
      </w:r>
      <w:r w:rsidRPr="6747DF49">
        <w:rPr>
          <w:rFonts w:ascii="Arial" w:hAnsi="Arial" w:eastAsia="Arial" w:cs="Arial"/>
          <w:sz w:val="22"/>
          <w:szCs w:val="22"/>
        </w:rPr>
        <w:t xml:space="preserve"> to diabetes risk reduction.</w:t>
      </w:r>
    </w:p>
    <w:p w:rsidR="2FE52A22" w:rsidP="6747DF49" w:rsidRDefault="2FE52A22" w14:paraId="59ACDA69" w14:textId="5682C17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Outcome evaluation would assess long-term effectiveness by measuring changes in incidence rates of type 2 diabetes, HbA1c levels and complication rates. This would require longitudinal data collection, potentially through linkage with primary care records and national datasets such as the National Diabetes </w:t>
      </w:r>
      <w:r w:rsidRPr="6747DF49" w:rsidR="7906B2A5">
        <w:rPr>
          <w:rFonts w:ascii="Arial" w:hAnsi="Arial" w:eastAsia="Arial" w:cs="Arial"/>
          <w:sz w:val="22"/>
          <w:szCs w:val="22"/>
        </w:rPr>
        <w:t>Audit. In</w:t>
      </w:r>
      <w:r w:rsidRPr="6747DF49">
        <w:rPr>
          <w:rFonts w:ascii="Arial" w:hAnsi="Arial" w:eastAsia="Arial" w:cs="Arial"/>
          <w:sz w:val="22"/>
          <w:szCs w:val="22"/>
        </w:rPr>
        <w:t xml:space="preserve"> addition, economic evaluation (e.g. cost-effectiveness analysis) should be incorporated to assess whether the intervention provides value for money, particularly given the financial burden of diabetes on the NHS. This is crucial for informing scalability and policy </w:t>
      </w:r>
      <w:r w:rsidRPr="6747DF49" w:rsidR="2B7EDDA4">
        <w:rPr>
          <w:rFonts w:ascii="Arial" w:hAnsi="Arial" w:eastAsia="Arial" w:cs="Arial"/>
          <w:sz w:val="22"/>
          <w:szCs w:val="22"/>
        </w:rPr>
        <w:t>implementation. However</w:t>
      </w:r>
      <w:r w:rsidRPr="6747DF49">
        <w:rPr>
          <w:rFonts w:ascii="Arial" w:hAnsi="Arial" w:eastAsia="Arial" w:cs="Arial"/>
          <w:sz w:val="22"/>
          <w:szCs w:val="22"/>
        </w:rPr>
        <w:t>, several challenges must be considered. Sustaining long-term engagement may be difficult, particularly if interventions are not embedded within community structures. Furthermore, resource constraints and workforce capacity may limit scalability. Therefore, evaluation must also consider feasibility, acceptability and sustainability, not just clinical outcomes.</w:t>
      </w:r>
    </w:p>
    <w:p w:rsidR="6747DF49" w:rsidRDefault="6747DF49" w14:paraId="0D852868" w14:textId="58C72B90"/>
    <w:p w:rsidR="6747DF49" w:rsidP="6747DF49" w:rsidRDefault="6747DF49" w14:paraId="117741FC" w14:textId="2AE30546">
      <w:pPr>
        <w:rPr>
          <w:b/>
          <w:bCs/>
        </w:rPr>
      </w:pPr>
    </w:p>
    <w:p w:rsidR="6747DF49" w:rsidP="6747DF49" w:rsidRDefault="6747DF49" w14:paraId="76B51352" w14:textId="19CA36AA">
      <w:pPr>
        <w:rPr>
          <w:b/>
          <w:bCs/>
        </w:rPr>
      </w:pPr>
    </w:p>
    <w:p w:rsidR="6747DF49" w:rsidP="6747DF49" w:rsidRDefault="6747DF49" w14:paraId="2AE14286" w14:textId="30F2B1B4">
      <w:pPr>
        <w:rPr>
          <w:b/>
          <w:bCs/>
        </w:rPr>
      </w:pPr>
    </w:p>
    <w:p w:rsidR="6747DF49" w:rsidP="6747DF49" w:rsidRDefault="6747DF49" w14:paraId="23DF9900" w14:textId="1D405F8D">
      <w:pPr>
        <w:rPr>
          <w:b/>
          <w:bCs/>
        </w:rPr>
      </w:pPr>
    </w:p>
    <w:p w:rsidR="6747DF49" w:rsidP="6747DF49" w:rsidRDefault="6747DF49" w14:paraId="3EF9720C" w14:textId="450DE2F6">
      <w:pPr>
        <w:rPr>
          <w:b/>
          <w:bCs/>
        </w:rPr>
      </w:pPr>
    </w:p>
    <w:p w:rsidR="6747DF49" w:rsidP="6747DF49" w:rsidRDefault="6747DF49" w14:paraId="3231E36E" w14:textId="604B4024">
      <w:pPr>
        <w:rPr>
          <w:b/>
          <w:bCs/>
        </w:rPr>
      </w:pPr>
    </w:p>
    <w:p w:rsidR="6747DF49" w:rsidP="6747DF49" w:rsidRDefault="6747DF49" w14:paraId="44CE884F" w14:textId="26D7FACA">
      <w:pPr>
        <w:rPr>
          <w:b/>
          <w:bCs/>
        </w:rPr>
      </w:pPr>
    </w:p>
    <w:p w:rsidR="6747DF49" w:rsidP="6747DF49" w:rsidRDefault="6747DF49" w14:paraId="4C63175A" w14:textId="3A8027DC">
      <w:pPr>
        <w:rPr>
          <w:b/>
          <w:bCs/>
        </w:rPr>
      </w:pPr>
    </w:p>
    <w:p w:rsidR="6747DF49" w:rsidP="6747DF49" w:rsidRDefault="6747DF49" w14:paraId="186013FD" w14:textId="7182DA97">
      <w:pPr>
        <w:rPr>
          <w:b/>
          <w:bCs/>
        </w:rPr>
      </w:pPr>
    </w:p>
    <w:p w:rsidR="6747DF49" w:rsidP="6747DF49" w:rsidRDefault="6747DF49" w14:paraId="146CD786" w14:textId="35214972">
      <w:pPr>
        <w:rPr>
          <w:b/>
          <w:bCs/>
        </w:rPr>
      </w:pPr>
    </w:p>
    <w:p w:rsidR="6747DF49" w:rsidP="6747DF49" w:rsidRDefault="6747DF49" w14:paraId="0D2C5A29" w14:textId="35104954">
      <w:pPr>
        <w:rPr>
          <w:b/>
          <w:bCs/>
        </w:rPr>
      </w:pPr>
    </w:p>
    <w:p w:rsidR="6747DF49" w:rsidP="6747DF49" w:rsidRDefault="6747DF49" w14:paraId="3BFFA180" w14:textId="6E0ED82B">
      <w:pPr>
        <w:rPr>
          <w:b/>
          <w:bCs/>
        </w:rPr>
      </w:pPr>
    </w:p>
    <w:p w:rsidR="0A3B03AA" w:rsidP="0A3B03AA" w:rsidRDefault="0A3B03AA" w14:paraId="76BCBEDB" w14:textId="50DBFC89">
      <w:pPr>
        <w:pStyle w:val="Normal"/>
        <w:rPr>
          <w:b w:val="1"/>
          <w:bCs w:val="1"/>
        </w:rPr>
      </w:pPr>
    </w:p>
    <w:p w:rsidR="62ECF7CC" w:rsidP="0A3B03AA" w:rsidRDefault="62ECF7CC" w14:paraId="311F2862" w14:textId="414D285E">
      <w:pPr>
        <w:pStyle w:val="Normal"/>
        <w:rPr>
          <w:b w:val="1"/>
          <w:bCs w:val="1"/>
        </w:rPr>
      </w:pPr>
      <w:r w:rsidRPr="0A3B03AA" w:rsidR="62ECF7CC">
        <w:rPr>
          <w:b w:val="1"/>
          <w:bCs w:val="1"/>
        </w:rPr>
        <w:t xml:space="preserve">Strengths and weaknesses of the epidemiological approach </w:t>
      </w:r>
    </w:p>
    <w:p w:rsidR="7538E4B7" w:rsidP="6747DF49" w:rsidRDefault="7538E4B7" w14:paraId="1A0A64EE" w14:textId="0C12E722">
      <w:pPr>
        <w:spacing w:before="240" w:after="240" w:line="360" w:lineRule="auto"/>
        <w:rPr>
          <w:rFonts w:ascii="Arial" w:hAnsi="Arial" w:eastAsia="Arial" w:cs="Arial"/>
          <w:sz w:val="22"/>
          <w:szCs w:val="22"/>
        </w:rPr>
      </w:pPr>
      <w:r w:rsidRPr="6747DF49">
        <w:rPr>
          <w:rFonts w:ascii="Arial" w:hAnsi="Arial" w:eastAsia="Arial" w:cs="Arial"/>
          <w:sz w:val="22"/>
          <w:szCs w:val="22"/>
        </w:rPr>
        <w:t>Epidemiology provides a fundamental framework for understanding the distribution and determinants of type 2 diabetes within specific populations. One of its key strengths lies in its ability to identify high-risk groups, such as South Asian populations, through the analysis of incidence and prevalence data. This enables targeted interventions and supports evidence-based public health planning.</w:t>
      </w:r>
    </w:p>
    <w:p w:rsidR="7538E4B7" w:rsidP="6747DF49" w:rsidRDefault="7538E4B7" w14:paraId="47467EBE" w14:textId="5BBCAD26">
      <w:pPr>
        <w:spacing w:before="240" w:after="240" w:line="360" w:lineRule="auto"/>
        <w:rPr>
          <w:rFonts w:ascii="Arial" w:hAnsi="Arial" w:eastAsia="Arial" w:cs="Arial"/>
          <w:sz w:val="22"/>
          <w:szCs w:val="22"/>
        </w:rPr>
      </w:pPr>
      <w:r w:rsidRPr="6747DF49">
        <w:rPr>
          <w:rFonts w:ascii="Arial" w:hAnsi="Arial" w:eastAsia="Arial" w:cs="Arial"/>
          <w:sz w:val="22"/>
          <w:szCs w:val="22"/>
        </w:rPr>
        <w:t>Furthermore, epidemiological studies—particularly cohort and cross-sectional studies—allow for the identification of associations between risk factors and disease outcomes. For example, large-scale studies such as UK Biobank have been instrumental in demonstrating the elevated risk of diabetes among South Asian populations. These insights are critical for informing prevention strategies and healthcare policy.</w:t>
      </w:r>
    </w:p>
    <w:p w:rsidR="7538E4B7" w:rsidP="6747DF49" w:rsidRDefault="7538E4B7" w14:paraId="04BC4DD5" w14:textId="427BA643">
      <w:pPr>
        <w:spacing w:before="240" w:after="240" w:line="360" w:lineRule="auto"/>
        <w:rPr>
          <w:rFonts w:ascii="Arial" w:hAnsi="Arial" w:eastAsia="Arial" w:cs="Arial"/>
          <w:sz w:val="22"/>
          <w:szCs w:val="22"/>
        </w:rPr>
      </w:pPr>
      <w:r w:rsidRPr="6747DF49">
        <w:rPr>
          <w:rFonts w:ascii="Arial" w:hAnsi="Arial" w:eastAsia="Arial" w:cs="Arial"/>
          <w:sz w:val="22"/>
          <w:szCs w:val="22"/>
        </w:rPr>
        <w:t>Another strength is the use of surveillance systems, such as the National Diabetes Audit, which provide continuous monitoring of disease trends and healthcare outcomes. This allows for evaluation of public health interventions over time and supports accountability within healthcare systems.</w:t>
      </w:r>
    </w:p>
    <w:p w:rsidR="7538E4B7" w:rsidP="6747DF49" w:rsidRDefault="7538E4B7" w14:paraId="49E2EF73" w14:textId="4AF3156C">
      <w:pPr>
        <w:spacing w:before="240" w:after="240" w:line="360" w:lineRule="auto"/>
        <w:rPr>
          <w:rFonts w:ascii="Arial" w:hAnsi="Arial" w:eastAsia="Arial" w:cs="Arial"/>
          <w:sz w:val="22"/>
          <w:szCs w:val="22"/>
        </w:rPr>
      </w:pPr>
      <w:r w:rsidRPr="6747DF49">
        <w:rPr>
          <w:rFonts w:ascii="Arial" w:hAnsi="Arial" w:eastAsia="Arial" w:cs="Arial"/>
          <w:sz w:val="22"/>
          <w:szCs w:val="22"/>
        </w:rPr>
        <w:t>However, several limitations must be acknowledged. Epidemiological data often rely on routine health records, which may be affected by underdiagnosis or misclassification. In the context of ethnic inequalities, incomplete or inconsistent recording of ethnicity presents a significant limitation, as it reduces the accuracy of population-level analyses.</w:t>
      </w:r>
    </w:p>
    <w:p w:rsidR="7538E4B7" w:rsidP="6747DF49" w:rsidRDefault="7538E4B7" w14:paraId="48F797D1" w14:textId="1E88702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Additionally, epidemiology tends to prioritise quantitative data, which may overlook the lived experiences of individuals and the nuanced ways in which social determinants—such as racism, cultural </w:t>
      </w:r>
      <w:r w:rsidRPr="6747DF49" w:rsidR="3A4988D9">
        <w:rPr>
          <w:rFonts w:ascii="Arial" w:hAnsi="Arial" w:eastAsia="Arial" w:cs="Arial"/>
          <w:sz w:val="22"/>
          <w:szCs w:val="22"/>
        </w:rPr>
        <w:t>beliefs,</w:t>
      </w:r>
      <w:r w:rsidRPr="6747DF49">
        <w:rPr>
          <w:rFonts w:ascii="Arial" w:hAnsi="Arial" w:eastAsia="Arial" w:cs="Arial"/>
          <w:sz w:val="22"/>
          <w:szCs w:val="22"/>
        </w:rPr>
        <w:t xml:space="preserve"> and migration history—affect health. As a result, purely epidemiological approaches may fail to capture the full complexity of health inequalities.</w:t>
      </w:r>
    </w:p>
    <w:p w:rsidR="7538E4B7" w:rsidP="6747DF49" w:rsidRDefault="7538E4B7" w14:paraId="595DEF98" w14:textId="746D830B">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There is also a risk of ecological fallacy, where conclusions drawn at the population level may not accurately reflect individual experiences. For example, attributing higher diabetes risk solely to ethnicity may obscure the role of socioeconomic deprivation and structural </w:t>
      </w:r>
      <w:r w:rsidRPr="6747DF49" w:rsidR="35B1ADEF">
        <w:rPr>
          <w:rFonts w:ascii="Arial" w:hAnsi="Arial" w:eastAsia="Arial" w:cs="Arial"/>
          <w:sz w:val="22"/>
          <w:szCs w:val="22"/>
        </w:rPr>
        <w:t>inequalities. Despite</w:t>
      </w:r>
      <w:r w:rsidRPr="6747DF49">
        <w:rPr>
          <w:rFonts w:ascii="Arial" w:hAnsi="Arial" w:eastAsia="Arial" w:cs="Arial"/>
          <w:sz w:val="22"/>
          <w:szCs w:val="22"/>
        </w:rPr>
        <w:t xml:space="preserve"> these limitations, epidemiology remains an essential tool in public health. When combined with qualitative research and a broader social epidemiological perspective, it provides a powerful framework for understanding and addressing complex health issues such as type 2 diabetes.</w:t>
      </w:r>
    </w:p>
    <w:p w:rsidR="6747DF49" w:rsidRDefault="6747DF49" w14:paraId="0B5980A5" w14:textId="469D1CD3"/>
    <w:p w:rsidR="0A3B03AA" w:rsidP="0A3B03AA" w:rsidRDefault="0A3B03AA" w14:paraId="1823190C" w14:textId="1B0F02A8">
      <w:pPr>
        <w:pStyle w:val="Normal"/>
        <w:rPr>
          <w:b w:val="1"/>
          <w:bCs w:val="1"/>
        </w:rPr>
      </w:pPr>
    </w:p>
    <w:p w:rsidR="62ECF7CC" w:rsidP="0A3B03AA" w:rsidRDefault="62ECF7CC" w14:paraId="1625BC0A" w14:textId="67361B4A">
      <w:pPr>
        <w:pStyle w:val="Normal"/>
        <w:rPr>
          <w:b w:val="1"/>
          <w:bCs w:val="1"/>
        </w:rPr>
      </w:pPr>
      <w:r w:rsidRPr="0A3B03AA" w:rsidR="62ECF7CC">
        <w:rPr>
          <w:b w:val="1"/>
          <w:bCs w:val="1"/>
        </w:rPr>
        <w:t>Conclusion</w:t>
      </w:r>
    </w:p>
    <w:p w:rsidR="0E4E6428" w:rsidP="6747DF49" w:rsidRDefault="0E4E6428" w14:paraId="57F5B79D" w14:textId="0EDB3AD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In conclusion, this report has demonstrated that type 2 diabetes among South Asian adults in the United Kingdom represents a significant and growing public health challenge. The evidence presented highlights that the burden of disease is not evenly </w:t>
      </w:r>
      <w:r w:rsidRPr="6747DF49" w:rsidR="70D70430">
        <w:rPr>
          <w:rFonts w:ascii="Arial" w:hAnsi="Arial" w:eastAsia="Arial" w:cs="Arial"/>
          <w:sz w:val="22"/>
          <w:szCs w:val="22"/>
        </w:rPr>
        <w:t>distributed but</w:t>
      </w:r>
      <w:r w:rsidRPr="6747DF49">
        <w:rPr>
          <w:rFonts w:ascii="Arial" w:hAnsi="Arial" w:eastAsia="Arial" w:cs="Arial"/>
          <w:sz w:val="22"/>
          <w:szCs w:val="22"/>
        </w:rPr>
        <w:t xml:space="preserve"> is instead shaped by a complex interaction of biological susceptibility, behavioural factors and, critically, wider social determinants such as deprivation, cultural </w:t>
      </w:r>
      <w:r w:rsidRPr="6747DF49" w:rsidR="09C4F421">
        <w:rPr>
          <w:rFonts w:ascii="Arial" w:hAnsi="Arial" w:eastAsia="Arial" w:cs="Arial"/>
          <w:sz w:val="22"/>
          <w:szCs w:val="22"/>
        </w:rPr>
        <w:t>context,</w:t>
      </w:r>
      <w:r w:rsidRPr="6747DF49">
        <w:rPr>
          <w:rFonts w:ascii="Arial" w:hAnsi="Arial" w:eastAsia="Arial" w:cs="Arial"/>
          <w:sz w:val="22"/>
          <w:szCs w:val="22"/>
        </w:rPr>
        <w:t xml:space="preserve"> and structural inequalities.</w:t>
      </w:r>
    </w:p>
    <w:p w:rsidR="0E4E6428" w:rsidP="6747DF49" w:rsidRDefault="0E4E6428" w14:paraId="1ED98C1F" w14:textId="3150669D">
      <w:pPr>
        <w:spacing w:before="240" w:after="240" w:line="360" w:lineRule="auto"/>
        <w:rPr>
          <w:rFonts w:ascii="Arial" w:hAnsi="Arial" w:eastAsia="Arial" w:cs="Arial"/>
          <w:sz w:val="22"/>
          <w:szCs w:val="22"/>
        </w:rPr>
      </w:pPr>
      <w:r w:rsidRPr="6747DF49">
        <w:rPr>
          <w:rFonts w:ascii="Arial" w:hAnsi="Arial" w:eastAsia="Arial" w:cs="Arial"/>
          <w:sz w:val="22"/>
          <w:szCs w:val="22"/>
        </w:rPr>
        <w:t>From an epidemiological perspective, the analysis has shown how the use of surveillance systems, population-level data and epidemiological studies enables the identification of high-risk groups and informs targeted public health interventions. However, it is also evident that epidemiology alone is insufficient to fully explain the persistence of inequalities, particularly where social and structural factors are not adequately captured within quantitative data.</w:t>
      </w:r>
    </w:p>
    <w:p w:rsidR="0E4E6428" w:rsidP="6747DF49" w:rsidRDefault="0E4E6428" w14:paraId="53A2C8FB" w14:textId="7ED7A4C2">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While existing public health measures, including prevention programmes and national screening initiatives, provide </w:t>
      </w:r>
      <w:r w:rsidRPr="6747DF49" w:rsidR="1925A63E">
        <w:rPr>
          <w:rFonts w:ascii="Arial" w:hAnsi="Arial" w:eastAsia="Arial" w:cs="Arial"/>
          <w:sz w:val="22"/>
          <w:szCs w:val="22"/>
        </w:rPr>
        <w:t>a solid foundation</w:t>
      </w:r>
      <w:r w:rsidRPr="6747DF49">
        <w:rPr>
          <w:rFonts w:ascii="Arial" w:hAnsi="Arial" w:eastAsia="Arial" w:cs="Arial"/>
          <w:sz w:val="22"/>
          <w:szCs w:val="22"/>
        </w:rPr>
        <w:t xml:space="preserve"> for disease control, their effectiveness remains uneven across ethnic groups. This suggests that current approaches may not be sufficiently tailored to the needs of South Asian populations, particularly in relation to cultural relevance and accessibility.</w:t>
      </w:r>
    </w:p>
    <w:p w:rsidR="0E4E6428" w:rsidP="6747DF49" w:rsidRDefault="0E4E6428" w14:paraId="6E2D4E82" w14:textId="2794DA6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The proposed community-based intervention highlights the importance of culturally adapted, locally delivered strategies that engage directly with affected populations. Importantly, the inclusion of robust evaluation methods—encompassing process, impact, </w:t>
      </w:r>
      <w:r w:rsidRPr="6747DF49" w:rsidR="649F72D9">
        <w:rPr>
          <w:rFonts w:ascii="Arial" w:hAnsi="Arial" w:eastAsia="Arial" w:cs="Arial"/>
          <w:sz w:val="22"/>
          <w:szCs w:val="22"/>
        </w:rPr>
        <w:t>outcome,</w:t>
      </w:r>
      <w:r w:rsidRPr="6747DF49">
        <w:rPr>
          <w:rFonts w:ascii="Arial" w:hAnsi="Arial" w:eastAsia="Arial" w:cs="Arial"/>
          <w:sz w:val="22"/>
          <w:szCs w:val="22"/>
        </w:rPr>
        <w:t xml:space="preserve"> and economic evaluation—ensures that such interventions can be assessed not only for effectiveness but also for sustainability and scalability.</w:t>
      </w:r>
    </w:p>
    <w:p w:rsidR="0E4E6428" w:rsidP="6747DF49" w:rsidRDefault="0E4E6428" w14:paraId="5CDE46A3" w14:textId="1332506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Moving forward, a more integrated approach is required. This should combine epidemiological evidence with a stronger focus on social determinants, community </w:t>
      </w:r>
      <w:r w:rsidRPr="6747DF49" w:rsidR="5174D49B">
        <w:rPr>
          <w:rFonts w:ascii="Arial" w:hAnsi="Arial" w:eastAsia="Arial" w:cs="Arial"/>
          <w:sz w:val="22"/>
          <w:szCs w:val="22"/>
        </w:rPr>
        <w:t>engagement,</w:t>
      </w:r>
      <w:r w:rsidRPr="6747DF49">
        <w:rPr>
          <w:rFonts w:ascii="Arial" w:hAnsi="Arial" w:eastAsia="Arial" w:cs="Arial"/>
          <w:sz w:val="22"/>
          <w:szCs w:val="22"/>
        </w:rPr>
        <w:t xml:space="preserve"> and anti-inequality policy. </w:t>
      </w:r>
      <w:r w:rsidRPr="6747DF49" w:rsidR="43298AB2">
        <w:rPr>
          <w:rFonts w:ascii="Arial" w:hAnsi="Arial" w:eastAsia="Arial" w:cs="Arial"/>
          <w:sz w:val="22"/>
          <w:szCs w:val="22"/>
        </w:rPr>
        <w:t>Improving</w:t>
      </w:r>
      <w:r w:rsidRPr="6747DF49">
        <w:rPr>
          <w:rFonts w:ascii="Arial" w:hAnsi="Arial" w:eastAsia="Arial" w:cs="Arial"/>
          <w:sz w:val="22"/>
          <w:szCs w:val="22"/>
        </w:rPr>
        <w:t xml:space="preserve"> the quality of ethnicity data, enhancing culturally competent healthcare </w:t>
      </w:r>
      <w:r w:rsidRPr="6747DF49" w:rsidR="06FD8914">
        <w:rPr>
          <w:rFonts w:ascii="Arial" w:hAnsi="Arial" w:eastAsia="Arial" w:cs="Arial"/>
          <w:sz w:val="22"/>
          <w:szCs w:val="22"/>
        </w:rPr>
        <w:t>provision,</w:t>
      </w:r>
      <w:r w:rsidRPr="6747DF49">
        <w:rPr>
          <w:rFonts w:ascii="Arial" w:hAnsi="Arial" w:eastAsia="Arial" w:cs="Arial"/>
          <w:sz w:val="22"/>
          <w:szCs w:val="22"/>
        </w:rPr>
        <w:t xml:space="preserve"> and addressing wider socioeconomic inequalities should be prioritised.</w:t>
      </w:r>
    </w:p>
    <w:p w:rsidR="0E4E6428" w:rsidP="6747DF49" w:rsidRDefault="0E4E6428" w14:paraId="151A7A1B" w14:textId="6243B2CF">
      <w:pPr>
        <w:spacing w:before="240" w:after="240" w:line="360" w:lineRule="auto"/>
        <w:rPr>
          <w:rFonts w:ascii="Arial" w:hAnsi="Arial" w:eastAsia="Arial" w:cs="Arial"/>
          <w:sz w:val="22"/>
          <w:szCs w:val="22"/>
        </w:rPr>
      </w:pPr>
      <w:r w:rsidRPr="6747DF49">
        <w:rPr>
          <w:rFonts w:ascii="Arial" w:hAnsi="Arial" w:eastAsia="Arial" w:cs="Arial"/>
          <w:sz w:val="22"/>
          <w:szCs w:val="22"/>
        </w:rPr>
        <w:t>Overall, reducing the burden of type 2 diabetes among South Asian populations will require sustained, multi-sectoral action that extends beyond healthcare systems and addresses the root causes of health inequality.</w:t>
      </w:r>
    </w:p>
    <w:p w:rsidR="6747DF49" w:rsidP="6747DF49" w:rsidRDefault="6747DF49" w14:paraId="318A8D02" w14:textId="2EFFB87D">
      <w:pPr>
        <w:rPr>
          <w:b/>
          <w:bCs/>
        </w:rPr>
      </w:pPr>
    </w:p>
    <w:p w:rsidR="7C1183C7" w:rsidP="0A3B03AA" w:rsidRDefault="00BC5C64" w14:paraId="48A5ACE8" w14:textId="3C35776F">
      <w:pPr>
        <w:pStyle w:val="Normal"/>
        <w:rPr>
          <w:b w:val="1"/>
          <w:bCs w:val="1"/>
        </w:rPr>
      </w:pPr>
    </w:p>
    <w:p w:rsidR="7C1183C7" w:rsidP="0A3B03AA" w:rsidRDefault="00BC5C64" w14:paraId="1C64A3A0" w14:textId="6FCABB1E">
      <w:pPr>
        <w:pStyle w:val="Normal"/>
        <w:rPr>
          <w:b w:val="1"/>
          <w:bCs w:val="1"/>
        </w:rPr>
      </w:pPr>
      <w:r w:rsidRPr="0A3B03AA" w:rsidR="00BC5C64">
        <w:rPr>
          <w:b w:val="1"/>
          <w:bCs w:val="1"/>
        </w:rPr>
        <w:t xml:space="preserve">Task 1 </w:t>
      </w:r>
      <w:r w:rsidRPr="0A3B03AA" w:rsidR="7C1183C7">
        <w:rPr>
          <w:b w:val="1"/>
          <w:bCs w:val="1"/>
        </w:rPr>
        <w:t>Reference list</w:t>
      </w:r>
      <w:r w:rsidR="7C1183C7">
        <w:rPr/>
        <w:t xml:space="preserve"> </w:t>
      </w:r>
    </w:p>
    <w:p w:rsidR="6747DF49" w:rsidRDefault="6747DF49" w14:paraId="4BD669E3" w14:textId="1B4C0320"/>
    <w:p w:rsidR="7C1183C7" w:rsidP="6747DF49" w:rsidRDefault="7C1183C7" w14:paraId="3DE688E2" w14:textId="53A81C13">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Bhopal, R. (2014) </w:t>
      </w:r>
      <w:r w:rsidRPr="6747DF49">
        <w:rPr>
          <w:rFonts w:ascii="Arial" w:hAnsi="Arial" w:eastAsia="Arial" w:cs="Arial"/>
          <w:i/>
          <w:iCs/>
          <w:sz w:val="22"/>
          <w:szCs w:val="22"/>
        </w:rPr>
        <w:t>Migration, ethnicity, race, and health in multicultural societies</w:t>
      </w:r>
      <w:r w:rsidRPr="6747DF49">
        <w:rPr>
          <w:rFonts w:ascii="Arial" w:hAnsi="Arial" w:eastAsia="Arial" w:cs="Arial"/>
          <w:sz w:val="22"/>
          <w:szCs w:val="22"/>
        </w:rPr>
        <w:t>. 2nd edn. Oxford: Oxford University Press.</w:t>
      </w:r>
    </w:p>
    <w:p w:rsidR="7C1183C7" w:rsidP="6747DF49" w:rsidRDefault="7C1183C7" w14:paraId="63936833" w14:textId="0DE69110">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Bhui, K., Ascoli, M. and Nuamh, O. (2018) ‘The place of race and racism in cultural competence: what can we learn from the English experience?’, </w:t>
      </w:r>
      <w:r w:rsidRPr="6747DF49">
        <w:rPr>
          <w:rFonts w:ascii="Arial" w:hAnsi="Arial" w:eastAsia="Arial" w:cs="Arial"/>
          <w:i/>
          <w:iCs/>
          <w:sz w:val="22"/>
          <w:szCs w:val="22"/>
        </w:rPr>
        <w:t>The Lancet Psychiatry</w:t>
      </w:r>
      <w:r w:rsidRPr="6747DF49">
        <w:rPr>
          <w:rFonts w:ascii="Arial" w:hAnsi="Arial" w:eastAsia="Arial" w:cs="Arial"/>
          <w:sz w:val="22"/>
          <w:szCs w:val="22"/>
        </w:rPr>
        <w:t>, 5(8), pp. 660–670.</w:t>
      </w:r>
    </w:p>
    <w:p w:rsidR="7C1183C7" w:rsidP="6747DF49" w:rsidRDefault="7C1183C7" w14:paraId="3229DD3F" w14:textId="3970B0C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Department for Work and Pensions (2023) </w:t>
      </w:r>
      <w:r w:rsidRPr="6747DF49">
        <w:rPr>
          <w:rFonts w:ascii="Arial" w:hAnsi="Arial" w:eastAsia="Arial" w:cs="Arial"/>
          <w:i/>
          <w:iCs/>
          <w:sz w:val="22"/>
          <w:szCs w:val="22"/>
        </w:rPr>
        <w:t>Households below average income: an analysis of the UK income distribution 1994/95–2021/22</w:t>
      </w:r>
      <w:r w:rsidRPr="6747DF49">
        <w:rPr>
          <w:rFonts w:ascii="Arial" w:hAnsi="Arial" w:eastAsia="Arial" w:cs="Arial"/>
          <w:sz w:val="22"/>
          <w:szCs w:val="22"/>
        </w:rPr>
        <w:t>. London: DWP.</w:t>
      </w:r>
    </w:p>
    <w:p w:rsidR="7C1183C7" w:rsidP="6747DF49" w:rsidRDefault="7C1183C7" w14:paraId="4CFC8E95" w14:textId="1794FFF7">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Gill, P.S., Kai, J., Bhopal, R.S. and Wild, S. (2007) ‘Health care needs assessment: black and minority ethnic groups’, </w:t>
      </w:r>
      <w:r w:rsidRPr="6747DF49">
        <w:rPr>
          <w:rFonts w:ascii="Arial" w:hAnsi="Arial" w:eastAsia="Arial" w:cs="Arial"/>
          <w:i/>
          <w:iCs/>
          <w:sz w:val="22"/>
          <w:szCs w:val="22"/>
        </w:rPr>
        <w:t>BMJ</w:t>
      </w:r>
      <w:r w:rsidRPr="6747DF49">
        <w:rPr>
          <w:rFonts w:ascii="Arial" w:hAnsi="Arial" w:eastAsia="Arial" w:cs="Arial"/>
          <w:sz w:val="22"/>
          <w:szCs w:val="22"/>
        </w:rPr>
        <w:t>, 335(7623), pp. 948–952.</w:t>
      </w:r>
    </w:p>
    <w:p w:rsidR="7C1183C7" w:rsidP="6747DF49" w:rsidRDefault="7C1183C7" w14:paraId="7F10F9B2" w14:textId="155B8E45">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Goff, L.M. (2019) ‘Ethnicity and Type 2 diabetes in the UK’, </w:t>
      </w:r>
      <w:r w:rsidRPr="6747DF49">
        <w:rPr>
          <w:rFonts w:ascii="Arial" w:hAnsi="Arial" w:eastAsia="Arial" w:cs="Arial"/>
          <w:i/>
          <w:iCs/>
          <w:sz w:val="22"/>
          <w:szCs w:val="22"/>
        </w:rPr>
        <w:t>Diabetologia</w:t>
      </w:r>
      <w:r w:rsidRPr="6747DF49">
        <w:rPr>
          <w:rFonts w:ascii="Arial" w:hAnsi="Arial" w:eastAsia="Arial" w:cs="Arial"/>
          <w:sz w:val="22"/>
          <w:szCs w:val="22"/>
        </w:rPr>
        <w:t>, 62(7), pp. 1084–1085.</w:t>
      </w:r>
    </w:p>
    <w:p w:rsidR="7C1183C7" w:rsidP="6747DF49" w:rsidRDefault="7C1183C7" w14:paraId="3202D40C" w14:textId="14AFBE0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Kapadia, D., Zhang, J., Salway, S., Nazroo, J., Booth, A., Villarroel-Williams, N., Bécares, L. and Esmail, A. (2022) </w:t>
      </w:r>
      <w:r w:rsidRPr="6747DF49">
        <w:rPr>
          <w:rFonts w:ascii="Arial" w:hAnsi="Arial" w:eastAsia="Arial" w:cs="Arial"/>
          <w:i/>
          <w:iCs/>
          <w:sz w:val="22"/>
          <w:szCs w:val="22"/>
        </w:rPr>
        <w:t>Ethnic inequalities in healthcare: a rapid evidence review</w:t>
      </w:r>
      <w:r w:rsidRPr="6747DF49">
        <w:rPr>
          <w:rFonts w:ascii="Arial" w:hAnsi="Arial" w:eastAsia="Arial" w:cs="Arial"/>
          <w:sz w:val="22"/>
          <w:szCs w:val="22"/>
        </w:rPr>
        <w:t>. London: NHS Race and Health Observatory.</w:t>
      </w:r>
    </w:p>
    <w:p w:rsidR="7C1183C7" w:rsidP="6747DF49" w:rsidRDefault="7C1183C7" w14:paraId="718471D5" w14:textId="71F6A52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Marmot, M., Allen, J., Boyce, T., Goldblatt, P. and Morrison, J. (2020) </w:t>
      </w:r>
      <w:r w:rsidRPr="6747DF49">
        <w:rPr>
          <w:rFonts w:ascii="Arial" w:hAnsi="Arial" w:eastAsia="Arial" w:cs="Arial"/>
          <w:i/>
          <w:iCs/>
          <w:sz w:val="22"/>
          <w:szCs w:val="22"/>
        </w:rPr>
        <w:t xml:space="preserve">Health equity in England: </w:t>
      </w:r>
      <w:r w:rsidRPr="6747DF49" w:rsidR="57FF24D5">
        <w:rPr>
          <w:rFonts w:ascii="Arial" w:hAnsi="Arial" w:eastAsia="Arial" w:cs="Arial"/>
          <w:i/>
          <w:iCs/>
          <w:sz w:val="22"/>
          <w:szCs w:val="22"/>
        </w:rPr>
        <w:t>The</w:t>
      </w:r>
      <w:r w:rsidRPr="6747DF49">
        <w:rPr>
          <w:rFonts w:ascii="Arial" w:hAnsi="Arial" w:eastAsia="Arial" w:cs="Arial"/>
          <w:i/>
          <w:iCs/>
          <w:sz w:val="22"/>
          <w:szCs w:val="22"/>
        </w:rPr>
        <w:t xml:space="preserve"> Marmot Review 10 years on</w:t>
      </w:r>
      <w:r w:rsidRPr="6747DF49">
        <w:rPr>
          <w:rFonts w:ascii="Arial" w:hAnsi="Arial" w:eastAsia="Arial" w:cs="Arial"/>
          <w:sz w:val="22"/>
          <w:szCs w:val="22"/>
        </w:rPr>
        <w:t>. London: Institute of Health Equity.</w:t>
      </w:r>
    </w:p>
    <w:p w:rsidR="7C1183C7" w:rsidP="6747DF49" w:rsidRDefault="7C1183C7" w14:paraId="13322BE1" w14:textId="0C084630">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MBRRACE-UK (2023) </w:t>
      </w:r>
      <w:r w:rsidRPr="6747DF49">
        <w:rPr>
          <w:rFonts w:ascii="Arial" w:hAnsi="Arial" w:eastAsia="Arial" w:cs="Arial"/>
          <w:i/>
          <w:iCs/>
          <w:sz w:val="22"/>
          <w:szCs w:val="22"/>
        </w:rPr>
        <w:t>Saving lives, improving mothers’ care 2023</w:t>
      </w:r>
      <w:r w:rsidRPr="6747DF49">
        <w:rPr>
          <w:rFonts w:ascii="Arial" w:hAnsi="Arial" w:eastAsia="Arial" w:cs="Arial"/>
          <w:sz w:val="22"/>
          <w:szCs w:val="22"/>
        </w:rPr>
        <w:t>. Oxford: National Perinatal Epidemiology Unit, University of Oxford.</w:t>
      </w:r>
    </w:p>
    <w:p w:rsidR="7C1183C7" w:rsidP="6747DF49" w:rsidRDefault="7C1183C7" w14:paraId="2D54CD8B" w14:textId="2DB36F1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Nazroo, J.Y. (2003) ‘The structuring of ethnic inequalities in health: economic position, racial discrimination and racism’, </w:t>
      </w:r>
      <w:r w:rsidRPr="6747DF49">
        <w:rPr>
          <w:rFonts w:ascii="Arial" w:hAnsi="Arial" w:eastAsia="Arial" w:cs="Arial"/>
          <w:i/>
          <w:iCs/>
          <w:sz w:val="22"/>
          <w:szCs w:val="22"/>
        </w:rPr>
        <w:t>Social Science &amp; Medicine</w:t>
      </w:r>
      <w:r w:rsidRPr="6747DF49">
        <w:rPr>
          <w:rFonts w:ascii="Arial" w:hAnsi="Arial" w:eastAsia="Arial" w:cs="Arial"/>
          <w:sz w:val="22"/>
          <w:szCs w:val="22"/>
        </w:rPr>
        <w:t>, 56(2), pp. 277–287.</w:t>
      </w:r>
    </w:p>
    <w:p w:rsidR="7C1183C7" w:rsidP="6747DF49" w:rsidRDefault="7C1183C7" w14:paraId="291A6C96" w14:textId="23491E05">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Digital (2023) </w:t>
      </w:r>
      <w:r w:rsidRPr="6747DF49">
        <w:rPr>
          <w:rFonts w:ascii="Arial" w:hAnsi="Arial" w:eastAsia="Arial" w:cs="Arial"/>
          <w:i/>
          <w:iCs/>
          <w:sz w:val="22"/>
          <w:szCs w:val="22"/>
        </w:rPr>
        <w:t>Mental Health Act statistics, annual figures 2022–23</w:t>
      </w:r>
      <w:r w:rsidRPr="6747DF49">
        <w:rPr>
          <w:rFonts w:ascii="Arial" w:hAnsi="Arial" w:eastAsia="Arial" w:cs="Arial"/>
          <w:sz w:val="22"/>
          <w:szCs w:val="22"/>
        </w:rPr>
        <w:t>. Leeds: NHS Digital.</w:t>
      </w:r>
    </w:p>
    <w:p w:rsidR="7C1183C7" w:rsidP="6747DF49" w:rsidRDefault="7C1183C7" w14:paraId="66FE7072" w14:textId="1D806B3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England (2022) </w:t>
      </w:r>
      <w:r w:rsidRPr="6747DF49">
        <w:rPr>
          <w:rFonts w:ascii="Arial" w:hAnsi="Arial" w:eastAsia="Arial" w:cs="Arial"/>
          <w:i/>
          <w:iCs/>
          <w:sz w:val="22"/>
          <w:szCs w:val="22"/>
        </w:rPr>
        <w:t>Core20PLUS5 (adults): an approach to reducing healthcare inequalities</w:t>
      </w:r>
      <w:r w:rsidRPr="6747DF49">
        <w:rPr>
          <w:rFonts w:ascii="Arial" w:hAnsi="Arial" w:eastAsia="Arial" w:cs="Arial"/>
          <w:sz w:val="22"/>
          <w:szCs w:val="22"/>
        </w:rPr>
        <w:t>. London: NHS England.</w:t>
      </w:r>
    </w:p>
    <w:p w:rsidR="7C1183C7" w:rsidP="6747DF49" w:rsidRDefault="7C1183C7" w14:paraId="458E2917" w14:textId="045EFE3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England (2023) </w:t>
      </w:r>
      <w:r w:rsidRPr="6747DF49">
        <w:rPr>
          <w:rFonts w:ascii="Arial" w:hAnsi="Arial" w:eastAsia="Arial" w:cs="Arial"/>
          <w:i/>
          <w:iCs/>
          <w:sz w:val="22"/>
          <w:szCs w:val="22"/>
        </w:rPr>
        <w:t>Patient and Carer Race Equality Framework (PCREF)</w:t>
      </w:r>
      <w:r w:rsidRPr="6747DF49">
        <w:rPr>
          <w:rFonts w:ascii="Arial" w:hAnsi="Arial" w:eastAsia="Arial" w:cs="Arial"/>
          <w:sz w:val="22"/>
          <w:szCs w:val="22"/>
        </w:rPr>
        <w:t>. London: NHS England.</w:t>
      </w:r>
    </w:p>
    <w:p w:rsidR="7C1183C7" w:rsidP="6747DF49" w:rsidRDefault="7C1183C7" w14:paraId="0F14C503" w14:textId="31F58648">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Office for National Statistics (2023) </w:t>
      </w:r>
      <w:r w:rsidRPr="6747DF49">
        <w:rPr>
          <w:rFonts w:ascii="Arial" w:hAnsi="Arial" w:eastAsia="Arial" w:cs="Arial"/>
          <w:i/>
          <w:iCs/>
          <w:sz w:val="22"/>
          <w:szCs w:val="22"/>
        </w:rPr>
        <w:t>Overcrowded households in England and Wales: Census 2021</w:t>
      </w:r>
      <w:r w:rsidRPr="6747DF49">
        <w:rPr>
          <w:rFonts w:ascii="Arial" w:hAnsi="Arial" w:eastAsia="Arial" w:cs="Arial"/>
          <w:sz w:val="22"/>
          <w:szCs w:val="22"/>
        </w:rPr>
        <w:t>. Newport: ONS.</w:t>
      </w:r>
    </w:p>
    <w:p w:rsidR="7C1183C7" w:rsidP="6747DF49" w:rsidRDefault="7C1183C7" w14:paraId="4341FF1E" w14:textId="73C901FA">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Public Health England (2017) </w:t>
      </w:r>
      <w:r w:rsidRPr="6747DF49">
        <w:rPr>
          <w:rFonts w:ascii="Arial" w:hAnsi="Arial" w:eastAsia="Arial" w:cs="Arial"/>
          <w:i/>
          <w:iCs/>
          <w:sz w:val="22"/>
          <w:szCs w:val="22"/>
        </w:rPr>
        <w:t>Health matters: reducing health inequalities in England</w:t>
      </w:r>
      <w:r w:rsidRPr="6747DF49">
        <w:rPr>
          <w:rFonts w:ascii="Arial" w:hAnsi="Arial" w:eastAsia="Arial" w:cs="Arial"/>
          <w:sz w:val="22"/>
          <w:szCs w:val="22"/>
        </w:rPr>
        <w:t>. London: PHE.</w:t>
      </w:r>
    </w:p>
    <w:p w:rsidR="7C1183C7" w:rsidP="6747DF49" w:rsidRDefault="7C1183C7" w14:paraId="4A8F0984" w14:textId="31377574">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Race Equality Foundation (2023) </w:t>
      </w:r>
      <w:r w:rsidRPr="6747DF49">
        <w:rPr>
          <w:rFonts w:ascii="Arial" w:hAnsi="Arial" w:eastAsia="Arial" w:cs="Arial"/>
          <w:i/>
          <w:iCs/>
          <w:sz w:val="22"/>
          <w:szCs w:val="22"/>
        </w:rPr>
        <w:t>Better health briefing papers</w:t>
      </w:r>
      <w:r w:rsidRPr="6747DF49">
        <w:rPr>
          <w:rFonts w:ascii="Arial" w:hAnsi="Arial" w:eastAsia="Arial" w:cs="Arial"/>
          <w:sz w:val="22"/>
          <w:szCs w:val="22"/>
        </w:rPr>
        <w:t>. London: Race Equality Foundation.</w:t>
      </w:r>
    </w:p>
    <w:p w:rsidR="7C1183C7" w:rsidP="6747DF49" w:rsidRDefault="7C1183C7" w14:paraId="00019D97" w14:textId="08AD8AA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Tillin, T., Hughes, A.D., Mayet, J., Whincup, P., Sattar, N., Forouhi, N.G., McKeigue, P.M. and Chaturvedi, N. (2013) ‘The relationship between metabolic risk factors and cardiovascular disease’, </w:t>
      </w:r>
      <w:r w:rsidRPr="6747DF49">
        <w:rPr>
          <w:rFonts w:ascii="Arial" w:hAnsi="Arial" w:eastAsia="Arial" w:cs="Arial"/>
          <w:i/>
          <w:iCs/>
          <w:sz w:val="22"/>
          <w:szCs w:val="22"/>
        </w:rPr>
        <w:t>Diabetologia</w:t>
      </w:r>
      <w:r w:rsidRPr="6747DF49">
        <w:rPr>
          <w:rFonts w:ascii="Arial" w:hAnsi="Arial" w:eastAsia="Arial" w:cs="Arial"/>
          <w:sz w:val="22"/>
          <w:szCs w:val="22"/>
        </w:rPr>
        <w:t>, 56(6), pp. 1143–1151.</w:t>
      </w:r>
    </w:p>
    <w:p w:rsidR="7C1183C7" w:rsidP="6747DF49" w:rsidRDefault="7C1183C7" w14:paraId="453DADC9" w14:textId="75573E43">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Viruell-Fuentes, E.A., Miranda, P.Y. and Abdulrahim, S. (2012) ‘More than culture: structural racism and health inequalities’, </w:t>
      </w:r>
      <w:r w:rsidRPr="6747DF49">
        <w:rPr>
          <w:rFonts w:ascii="Arial" w:hAnsi="Arial" w:eastAsia="Arial" w:cs="Arial"/>
          <w:i/>
          <w:iCs/>
          <w:sz w:val="22"/>
          <w:szCs w:val="22"/>
        </w:rPr>
        <w:t>Social Science &amp; Medicine</w:t>
      </w:r>
      <w:r w:rsidRPr="6747DF49">
        <w:rPr>
          <w:rFonts w:ascii="Arial" w:hAnsi="Arial" w:eastAsia="Arial" w:cs="Arial"/>
          <w:sz w:val="22"/>
          <w:szCs w:val="22"/>
        </w:rPr>
        <w:t>, 75(12), pp. 2099–2106.</w:t>
      </w:r>
    </w:p>
    <w:p w:rsidR="6747DF49" w:rsidP="6747DF49" w:rsidRDefault="6747DF49" w14:paraId="6CACB417" w14:textId="5B803F26">
      <w:pPr>
        <w:spacing w:before="240" w:after="240" w:line="360" w:lineRule="auto"/>
        <w:rPr>
          <w:rFonts w:ascii="Arial" w:hAnsi="Arial" w:eastAsia="Arial" w:cs="Arial"/>
          <w:sz w:val="22"/>
          <w:szCs w:val="22"/>
        </w:rPr>
      </w:pPr>
    </w:p>
    <w:p w:rsidR="2B8E1F30" w:rsidP="6747DF49" w:rsidRDefault="2B8E1F30" w14:paraId="08DF6752" w14:textId="69441CC5">
      <w:pPr>
        <w:spacing w:before="240" w:after="240" w:line="360" w:lineRule="auto"/>
        <w:rPr>
          <w:rFonts w:ascii="Arial" w:hAnsi="Arial" w:eastAsia="Arial" w:cs="Arial"/>
          <w:b/>
          <w:bCs/>
          <w:sz w:val="22"/>
          <w:szCs w:val="22"/>
        </w:rPr>
      </w:pPr>
      <w:r w:rsidRPr="6747DF49">
        <w:rPr>
          <w:rFonts w:ascii="Arial" w:hAnsi="Arial" w:eastAsia="Arial" w:cs="Arial"/>
          <w:b/>
          <w:bCs/>
          <w:sz w:val="22"/>
          <w:szCs w:val="22"/>
        </w:rPr>
        <w:t xml:space="preserve">TASK 2 REFERECE LIST </w:t>
      </w:r>
    </w:p>
    <w:p w:rsidR="2B8E1F30" w:rsidP="6747DF49" w:rsidRDefault="2B8E1F30" w14:paraId="3E93AE63" w14:textId="03CAAC79">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Bhui, K., Ascoli, M. and Nuamh, O. (2018) ‘The place of race and racism in cultural competence: what can we learn from the English experience?’, </w:t>
      </w:r>
      <w:r w:rsidRPr="6747DF49">
        <w:rPr>
          <w:rFonts w:ascii="Arial" w:hAnsi="Arial" w:eastAsia="Arial" w:cs="Arial"/>
          <w:i/>
          <w:iCs/>
          <w:sz w:val="22"/>
          <w:szCs w:val="22"/>
        </w:rPr>
        <w:t>The Lancet Psychiatry</w:t>
      </w:r>
      <w:r w:rsidRPr="6747DF49">
        <w:rPr>
          <w:rFonts w:ascii="Arial" w:hAnsi="Arial" w:eastAsia="Arial" w:cs="Arial"/>
          <w:sz w:val="22"/>
          <w:szCs w:val="22"/>
        </w:rPr>
        <w:t>, 5(8), pp. 660–670.</w:t>
      </w:r>
    </w:p>
    <w:p w:rsidR="2B8E1F30" w:rsidP="6747DF49" w:rsidRDefault="2B8E1F30" w14:paraId="32209B5D" w14:textId="65C81A5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Bhopal, R. (2014) </w:t>
      </w:r>
      <w:r w:rsidRPr="6747DF49">
        <w:rPr>
          <w:rFonts w:ascii="Arial" w:hAnsi="Arial" w:eastAsia="Arial" w:cs="Arial"/>
          <w:i/>
          <w:iCs/>
          <w:sz w:val="22"/>
          <w:szCs w:val="22"/>
        </w:rPr>
        <w:t>Migration, ethnicity, race, and health in multicultural societies</w:t>
      </w:r>
      <w:r w:rsidRPr="6747DF49">
        <w:rPr>
          <w:rFonts w:ascii="Arial" w:hAnsi="Arial" w:eastAsia="Arial" w:cs="Arial"/>
          <w:sz w:val="22"/>
          <w:szCs w:val="22"/>
        </w:rPr>
        <w:t>. 2nd edn. Oxford: Oxford University Press.</w:t>
      </w:r>
    </w:p>
    <w:p w:rsidR="2B8E1F30" w:rsidP="6747DF49" w:rsidRDefault="2B8E1F30" w14:paraId="0A137641" w14:textId="7074B0AD">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Diabetes UK (2023) </w:t>
      </w:r>
      <w:r w:rsidRPr="6747DF49">
        <w:rPr>
          <w:rFonts w:ascii="Arial" w:hAnsi="Arial" w:eastAsia="Arial" w:cs="Arial"/>
          <w:i/>
          <w:iCs/>
          <w:sz w:val="22"/>
          <w:szCs w:val="22"/>
        </w:rPr>
        <w:t>Diabetes prevalence 2023</w:t>
      </w:r>
      <w:r w:rsidRPr="6747DF49">
        <w:rPr>
          <w:rFonts w:ascii="Arial" w:hAnsi="Arial" w:eastAsia="Arial" w:cs="Arial"/>
          <w:sz w:val="22"/>
          <w:szCs w:val="22"/>
        </w:rPr>
        <w:t>. London: Diabetes UK.</w:t>
      </w:r>
    </w:p>
    <w:p w:rsidR="2B8E1F30" w:rsidP="6747DF49" w:rsidRDefault="2B8E1F30" w14:paraId="67821F5B" w14:textId="1A2F952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Department for Work and Pensions (2023) </w:t>
      </w:r>
      <w:r w:rsidRPr="6747DF49">
        <w:rPr>
          <w:rFonts w:ascii="Arial" w:hAnsi="Arial" w:eastAsia="Arial" w:cs="Arial"/>
          <w:i/>
          <w:iCs/>
          <w:sz w:val="22"/>
          <w:szCs w:val="22"/>
        </w:rPr>
        <w:t>Households below average income: an analysis of the UK income distribution 1994/95–2021/22</w:t>
      </w:r>
      <w:r w:rsidRPr="6747DF49">
        <w:rPr>
          <w:rFonts w:ascii="Arial" w:hAnsi="Arial" w:eastAsia="Arial" w:cs="Arial"/>
          <w:sz w:val="22"/>
          <w:szCs w:val="22"/>
        </w:rPr>
        <w:t>. London: DWP.</w:t>
      </w:r>
    </w:p>
    <w:p w:rsidR="2B8E1F30" w:rsidP="6747DF49" w:rsidRDefault="2B8E1F30" w14:paraId="43EFD31D" w14:textId="762ED23D">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Gill, P.S., Kai, J., Bhopal, R.S. and Wild, S. (2007) ‘Health care needs assessment: black and minority ethnic groups’, </w:t>
      </w:r>
      <w:r w:rsidRPr="6747DF49">
        <w:rPr>
          <w:rFonts w:ascii="Arial" w:hAnsi="Arial" w:eastAsia="Arial" w:cs="Arial"/>
          <w:i/>
          <w:iCs/>
          <w:sz w:val="22"/>
          <w:szCs w:val="22"/>
        </w:rPr>
        <w:t>BMJ</w:t>
      </w:r>
      <w:r w:rsidRPr="6747DF49">
        <w:rPr>
          <w:rFonts w:ascii="Arial" w:hAnsi="Arial" w:eastAsia="Arial" w:cs="Arial"/>
          <w:sz w:val="22"/>
          <w:szCs w:val="22"/>
        </w:rPr>
        <w:t>, 335(7623), pp. 948–952.</w:t>
      </w:r>
    </w:p>
    <w:p w:rsidR="2B8E1F30" w:rsidP="6747DF49" w:rsidRDefault="2B8E1F30" w14:paraId="104B1ABC" w14:textId="63C7B176">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Goff, L.M. (2019) ‘Ethnicity and Type 2 diabetes in the UK’, </w:t>
      </w:r>
      <w:r w:rsidRPr="6747DF49">
        <w:rPr>
          <w:rFonts w:ascii="Arial" w:hAnsi="Arial" w:eastAsia="Arial" w:cs="Arial"/>
          <w:i/>
          <w:iCs/>
          <w:sz w:val="22"/>
          <w:szCs w:val="22"/>
        </w:rPr>
        <w:t>Diabetologia</w:t>
      </w:r>
      <w:r w:rsidRPr="6747DF49">
        <w:rPr>
          <w:rFonts w:ascii="Arial" w:hAnsi="Arial" w:eastAsia="Arial" w:cs="Arial"/>
          <w:sz w:val="22"/>
          <w:szCs w:val="22"/>
        </w:rPr>
        <w:t>, 62(7), pp. 1084–1085.</w:t>
      </w:r>
    </w:p>
    <w:p w:rsidR="2B8E1F30" w:rsidP="6747DF49" w:rsidRDefault="2B8E1F30" w14:paraId="3E79AD09" w14:textId="7A7BAEF1">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International Diabetes Federation (2021) </w:t>
      </w:r>
      <w:r w:rsidRPr="6747DF49">
        <w:rPr>
          <w:rFonts w:ascii="Arial" w:hAnsi="Arial" w:eastAsia="Arial" w:cs="Arial"/>
          <w:i/>
          <w:iCs/>
          <w:sz w:val="22"/>
          <w:szCs w:val="22"/>
        </w:rPr>
        <w:t>IDF Diabetes Atlas</w:t>
      </w:r>
      <w:r w:rsidRPr="6747DF49">
        <w:rPr>
          <w:rFonts w:ascii="Arial" w:hAnsi="Arial" w:eastAsia="Arial" w:cs="Arial"/>
          <w:sz w:val="22"/>
          <w:szCs w:val="22"/>
        </w:rPr>
        <w:t>. 10th edn. Brussels: IDF.</w:t>
      </w:r>
    </w:p>
    <w:p w:rsidR="2B8E1F30" w:rsidP="6747DF49" w:rsidRDefault="2B8E1F30" w14:paraId="2B6C12B0" w14:textId="289A2135">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Kapadia, D., Zhang, J., Salway, S., Nazroo, J., Booth, A., Villarroel-Williams, N., Bécares, L. and Esmail, A. (2022) </w:t>
      </w:r>
      <w:r w:rsidRPr="6747DF49">
        <w:rPr>
          <w:rFonts w:ascii="Arial" w:hAnsi="Arial" w:eastAsia="Arial" w:cs="Arial"/>
          <w:i/>
          <w:iCs/>
          <w:sz w:val="22"/>
          <w:szCs w:val="22"/>
        </w:rPr>
        <w:t>Ethnic inequalities in healthcare: a rapid evidence review</w:t>
      </w:r>
      <w:r w:rsidRPr="6747DF49">
        <w:rPr>
          <w:rFonts w:ascii="Arial" w:hAnsi="Arial" w:eastAsia="Arial" w:cs="Arial"/>
          <w:sz w:val="22"/>
          <w:szCs w:val="22"/>
        </w:rPr>
        <w:t>. London: NHS Race and Health Observatory.</w:t>
      </w:r>
    </w:p>
    <w:p w:rsidR="2B8E1F30" w:rsidP="6747DF49" w:rsidRDefault="2B8E1F30" w14:paraId="444DB9AE" w14:textId="663CC3C5">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Marmot, M., Allen, J., Boyce, T., Goldblatt, P. and Morrison, J. (2020) </w:t>
      </w:r>
      <w:r w:rsidRPr="6747DF49">
        <w:rPr>
          <w:rFonts w:ascii="Arial" w:hAnsi="Arial" w:eastAsia="Arial" w:cs="Arial"/>
          <w:i/>
          <w:iCs/>
          <w:sz w:val="22"/>
          <w:szCs w:val="22"/>
        </w:rPr>
        <w:t xml:space="preserve">Health equity in England: </w:t>
      </w:r>
      <w:bookmarkStart w:name="_Int_jyJSgpqo" w:id="1"/>
      <w:r w:rsidRPr="6747DF49">
        <w:rPr>
          <w:rFonts w:ascii="Arial" w:hAnsi="Arial" w:eastAsia="Arial" w:cs="Arial"/>
          <w:i/>
          <w:iCs/>
          <w:sz w:val="22"/>
          <w:szCs w:val="22"/>
        </w:rPr>
        <w:t>the</w:t>
      </w:r>
      <w:bookmarkEnd w:id="1"/>
      <w:r w:rsidRPr="6747DF49">
        <w:rPr>
          <w:rFonts w:ascii="Arial" w:hAnsi="Arial" w:eastAsia="Arial" w:cs="Arial"/>
          <w:i/>
          <w:iCs/>
          <w:sz w:val="22"/>
          <w:szCs w:val="22"/>
        </w:rPr>
        <w:t xml:space="preserve"> Marmot Review 10 years on</w:t>
      </w:r>
      <w:r w:rsidRPr="6747DF49">
        <w:rPr>
          <w:rFonts w:ascii="Arial" w:hAnsi="Arial" w:eastAsia="Arial" w:cs="Arial"/>
          <w:sz w:val="22"/>
          <w:szCs w:val="22"/>
        </w:rPr>
        <w:t>. London: Institute of Health Equity.</w:t>
      </w:r>
    </w:p>
    <w:p w:rsidR="2B8E1F30" w:rsidP="6747DF49" w:rsidRDefault="2B8E1F30" w14:paraId="219F2CE4" w14:textId="53E2010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MBRRACE-UK (2023) </w:t>
      </w:r>
      <w:r w:rsidRPr="6747DF49">
        <w:rPr>
          <w:rFonts w:ascii="Arial" w:hAnsi="Arial" w:eastAsia="Arial" w:cs="Arial"/>
          <w:i/>
          <w:iCs/>
          <w:sz w:val="22"/>
          <w:szCs w:val="22"/>
        </w:rPr>
        <w:t>Saving lives, improving mothers’ care 2023: lessons learned to inform maternity care from the UK and Ireland confidential enquiries into maternal deaths and morbidity 2019–21</w:t>
      </w:r>
      <w:r w:rsidRPr="6747DF49">
        <w:rPr>
          <w:rFonts w:ascii="Arial" w:hAnsi="Arial" w:eastAsia="Arial" w:cs="Arial"/>
          <w:sz w:val="22"/>
          <w:szCs w:val="22"/>
        </w:rPr>
        <w:t>. Oxford: National Perinatal Epidemiology Unit, University of Oxford.</w:t>
      </w:r>
    </w:p>
    <w:p w:rsidR="2B8E1F30" w:rsidP="6747DF49" w:rsidRDefault="2B8E1F30" w14:paraId="40ADA2EE" w14:textId="24C76D47">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Nazroo, J.Y. (2003) ‘The structuring of ethnic inequalities in health: economic position, racial discrimination and racism’, </w:t>
      </w:r>
      <w:r w:rsidRPr="6747DF49">
        <w:rPr>
          <w:rFonts w:ascii="Arial" w:hAnsi="Arial" w:eastAsia="Arial" w:cs="Arial"/>
          <w:i/>
          <w:iCs/>
          <w:sz w:val="22"/>
          <w:szCs w:val="22"/>
        </w:rPr>
        <w:t>Social Science &amp; Medicine</w:t>
      </w:r>
      <w:r w:rsidRPr="6747DF49">
        <w:rPr>
          <w:rFonts w:ascii="Arial" w:hAnsi="Arial" w:eastAsia="Arial" w:cs="Arial"/>
          <w:sz w:val="22"/>
          <w:szCs w:val="22"/>
        </w:rPr>
        <w:t>, 56(2), pp. 277–287.</w:t>
      </w:r>
    </w:p>
    <w:p w:rsidR="2B8E1F30" w:rsidP="6747DF49" w:rsidRDefault="2B8E1F30" w14:paraId="6B5C7307" w14:textId="16B2B9DE">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Digital (2022) </w:t>
      </w:r>
      <w:r w:rsidRPr="6747DF49">
        <w:rPr>
          <w:rFonts w:ascii="Arial" w:hAnsi="Arial" w:eastAsia="Arial" w:cs="Arial"/>
          <w:i/>
          <w:iCs/>
          <w:sz w:val="22"/>
          <w:szCs w:val="22"/>
        </w:rPr>
        <w:t>National Diabetes Audit 2020–21</w:t>
      </w:r>
      <w:r w:rsidRPr="6747DF49">
        <w:rPr>
          <w:rFonts w:ascii="Arial" w:hAnsi="Arial" w:eastAsia="Arial" w:cs="Arial"/>
          <w:sz w:val="22"/>
          <w:szCs w:val="22"/>
        </w:rPr>
        <w:t>. Leeds: NHS Digital.</w:t>
      </w:r>
    </w:p>
    <w:p w:rsidR="2B8E1F30" w:rsidP="6747DF49" w:rsidRDefault="2B8E1F30" w14:paraId="7F6F0D55" w14:textId="6DFACDF9">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Digital (2023) </w:t>
      </w:r>
      <w:r w:rsidRPr="6747DF49">
        <w:rPr>
          <w:rFonts w:ascii="Arial" w:hAnsi="Arial" w:eastAsia="Arial" w:cs="Arial"/>
          <w:i/>
          <w:iCs/>
          <w:sz w:val="22"/>
          <w:szCs w:val="22"/>
        </w:rPr>
        <w:t>Mental Health Act statistics, annual figures 2022–23</w:t>
      </w:r>
      <w:r w:rsidRPr="6747DF49">
        <w:rPr>
          <w:rFonts w:ascii="Arial" w:hAnsi="Arial" w:eastAsia="Arial" w:cs="Arial"/>
          <w:sz w:val="22"/>
          <w:szCs w:val="22"/>
        </w:rPr>
        <w:t>. Leeds: NHS Digital.</w:t>
      </w:r>
    </w:p>
    <w:p w:rsidR="2B8E1F30" w:rsidP="6747DF49" w:rsidRDefault="2B8E1F30" w14:paraId="02BD0F70" w14:textId="010C6C4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England (2022) </w:t>
      </w:r>
      <w:r w:rsidRPr="6747DF49">
        <w:rPr>
          <w:rFonts w:ascii="Arial" w:hAnsi="Arial" w:eastAsia="Arial" w:cs="Arial"/>
          <w:i/>
          <w:iCs/>
          <w:sz w:val="22"/>
          <w:szCs w:val="22"/>
        </w:rPr>
        <w:t>Core20PLUS5 (adults): an approach to reducing healthcare inequalities</w:t>
      </w:r>
      <w:r w:rsidRPr="6747DF49">
        <w:rPr>
          <w:rFonts w:ascii="Arial" w:hAnsi="Arial" w:eastAsia="Arial" w:cs="Arial"/>
          <w:sz w:val="22"/>
          <w:szCs w:val="22"/>
        </w:rPr>
        <w:t>. London: NHS England.</w:t>
      </w:r>
    </w:p>
    <w:p w:rsidR="2B8E1F30" w:rsidP="6747DF49" w:rsidRDefault="2B8E1F30" w14:paraId="0A962E97" w14:textId="1658310C">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NHS England (2023) </w:t>
      </w:r>
      <w:r w:rsidRPr="6747DF49">
        <w:rPr>
          <w:rFonts w:ascii="Arial" w:hAnsi="Arial" w:eastAsia="Arial" w:cs="Arial"/>
          <w:i/>
          <w:iCs/>
          <w:sz w:val="22"/>
          <w:szCs w:val="22"/>
        </w:rPr>
        <w:t>Patient and Carer Race Equality Framework (PCREF)</w:t>
      </w:r>
      <w:r w:rsidRPr="6747DF49">
        <w:rPr>
          <w:rFonts w:ascii="Arial" w:hAnsi="Arial" w:eastAsia="Arial" w:cs="Arial"/>
          <w:sz w:val="22"/>
          <w:szCs w:val="22"/>
        </w:rPr>
        <w:t>. London: NHS England.</w:t>
      </w:r>
    </w:p>
    <w:p w:rsidR="2B8E1F30" w:rsidP="6747DF49" w:rsidRDefault="2B8E1F30" w14:paraId="09999DCB" w14:textId="2EA2C356">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Office for Health Improvement and Disparities (2022) </w:t>
      </w:r>
      <w:r w:rsidRPr="6747DF49">
        <w:rPr>
          <w:rFonts w:ascii="Arial" w:hAnsi="Arial" w:eastAsia="Arial" w:cs="Arial"/>
          <w:i/>
          <w:iCs/>
          <w:sz w:val="22"/>
          <w:szCs w:val="22"/>
        </w:rPr>
        <w:t xml:space="preserve">Health disparities in England: </w:t>
      </w:r>
      <w:bookmarkStart w:name="_Int_7rIiFaOb" w:id="2"/>
      <w:r w:rsidRPr="6747DF49">
        <w:rPr>
          <w:rFonts w:ascii="Arial" w:hAnsi="Arial" w:eastAsia="Arial" w:cs="Arial"/>
          <w:i/>
          <w:iCs/>
          <w:sz w:val="22"/>
          <w:szCs w:val="22"/>
        </w:rPr>
        <w:t>the</w:t>
      </w:r>
      <w:bookmarkEnd w:id="2"/>
      <w:r w:rsidRPr="6747DF49">
        <w:rPr>
          <w:rFonts w:ascii="Arial" w:hAnsi="Arial" w:eastAsia="Arial" w:cs="Arial"/>
          <w:i/>
          <w:iCs/>
          <w:sz w:val="22"/>
          <w:szCs w:val="22"/>
        </w:rPr>
        <w:t xml:space="preserve"> Marmot Review 10 years on update</w:t>
      </w:r>
      <w:r w:rsidRPr="6747DF49">
        <w:rPr>
          <w:rFonts w:ascii="Arial" w:hAnsi="Arial" w:eastAsia="Arial" w:cs="Arial"/>
          <w:sz w:val="22"/>
          <w:szCs w:val="22"/>
        </w:rPr>
        <w:t>. London: DHSC.</w:t>
      </w:r>
    </w:p>
    <w:p w:rsidR="2B8E1F30" w:rsidP="6747DF49" w:rsidRDefault="2B8E1F30" w14:paraId="5441C55A" w14:textId="0344E786">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Office for National Statistics (2023) </w:t>
      </w:r>
      <w:r w:rsidRPr="6747DF49">
        <w:rPr>
          <w:rFonts w:ascii="Arial" w:hAnsi="Arial" w:eastAsia="Arial" w:cs="Arial"/>
          <w:i/>
          <w:iCs/>
          <w:sz w:val="22"/>
          <w:szCs w:val="22"/>
        </w:rPr>
        <w:t>Overcrowded households in England and Wales: Census 2021</w:t>
      </w:r>
      <w:r w:rsidRPr="6747DF49">
        <w:rPr>
          <w:rFonts w:ascii="Arial" w:hAnsi="Arial" w:eastAsia="Arial" w:cs="Arial"/>
          <w:sz w:val="22"/>
          <w:szCs w:val="22"/>
        </w:rPr>
        <w:t>. Newport: ONS.</w:t>
      </w:r>
    </w:p>
    <w:p w:rsidR="2B8E1F30" w:rsidP="6747DF49" w:rsidRDefault="2B8E1F30" w14:paraId="205DD24E" w14:textId="1947898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Pham, T.M., Carpenter, J.R., Morris, T.P., Sharma, </w:t>
      </w:r>
      <w:r w:rsidRPr="6747DF49" w:rsidR="3E7F65BC">
        <w:rPr>
          <w:rFonts w:ascii="Arial" w:hAnsi="Arial" w:eastAsia="Arial" w:cs="Arial"/>
          <w:sz w:val="22"/>
          <w:szCs w:val="22"/>
        </w:rPr>
        <w:t>M.,</w:t>
      </w:r>
      <w:r w:rsidRPr="6747DF49">
        <w:rPr>
          <w:rFonts w:ascii="Arial" w:hAnsi="Arial" w:eastAsia="Arial" w:cs="Arial"/>
          <w:sz w:val="22"/>
          <w:szCs w:val="22"/>
        </w:rPr>
        <w:t xml:space="preserve"> and Petersen, I. (2019) ‘Ethnic differences in the prevalence of type 2 diabetes diagnoses in the UK’, </w:t>
      </w:r>
      <w:r w:rsidRPr="6747DF49">
        <w:rPr>
          <w:rFonts w:ascii="Arial" w:hAnsi="Arial" w:eastAsia="Arial" w:cs="Arial"/>
          <w:i/>
          <w:iCs/>
          <w:sz w:val="22"/>
          <w:szCs w:val="22"/>
        </w:rPr>
        <w:t>Clinical Epidemiology</w:t>
      </w:r>
      <w:r w:rsidRPr="6747DF49">
        <w:rPr>
          <w:rFonts w:ascii="Arial" w:hAnsi="Arial" w:eastAsia="Arial" w:cs="Arial"/>
          <w:sz w:val="22"/>
          <w:szCs w:val="22"/>
        </w:rPr>
        <w:t>, 11, pp. 1081–1088.</w:t>
      </w:r>
    </w:p>
    <w:p w:rsidR="2B8E1F30" w:rsidP="6747DF49" w:rsidRDefault="2B8E1F30" w14:paraId="1CC59DCD" w14:textId="234FC7E6">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Public Health England (2017) </w:t>
      </w:r>
      <w:r w:rsidRPr="6747DF49">
        <w:rPr>
          <w:rFonts w:ascii="Arial" w:hAnsi="Arial" w:eastAsia="Arial" w:cs="Arial"/>
          <w:i/>
          <w:iCs/>
          <w:sz w:val="22"/>
          <w:szCs w:val="22"/>
        </w:rPr>
        <w:t>Health matters: reducing health inequalities in England</w:t>
      </w:r>
      <w:r w:rsidRPr="6747DF49">
        <w:rPr>
          <w:rFonts w:ascii="Arial" w:hAnsi="Arial" w:eastAsia="Arial" w:cs="Arial"/>
          <w:sz w:val="22"/>
          <w:szCs w:val="22"/>
        </w:rPr>
        <w:t>. London: PHE.</w:t>
      </w:r>
    </w:p>
    <w:p w:rsidR="2B8E1F30" w:rsidP="6747DF49" w:rsidRDefault="2B8E1F30" w14:paraId="2FC811BB" w14:textId="0DE90533">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Race Equality Foundation (2023) </w:t>
      </w:r>
      <w:r w:rsidRPr="6747DF49">
        <w:rPr>
          <w:rFonts w:ascii="Arial" w:hAnsi="Arial" w:eastAsia="Arial" w:cs="Arial"/>
          <w:i/>
          <w:iCs/>
          <w:sz w:val="22"/>
          <w:szCs w:val="22"/>
        </w:rPr>
        <w:t>Better health briefing papers</w:t>
      </w:r>
      <w:r w:rsidRPr="6747DF49">
        <w:rPr>
          <w:rFonts w:ascii="Arial" w:hAnsi="Arial" w:eastAsia="Arial" w:cs="Arial"/>
          <w:sz w:val="22"/>
          <w:szCs w:val="22"/>
        </w:rPr>
        <w:t>. London: Race Equality Foundation.</w:t>
      </w:r>
    </w:p>
    <w:p w:rsidR="2B8E1F30" w:rsidP="6747DF49" w:rsidRDefault="2B8E1F30" w14:paraId="7E90C666" w14:textId="2CDEA49F">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Tillin, T., Hughes, A.D., Mayet, J., Whincup, P., Sattar, N., Forouhi, N.G., McKeigue, P.M. and Chaturvedi, N. (2013) ‘The relationship between metabolic risk factors and cardiovascular disease in Europeans, South </w:t>
      </w:r>
      <w:r w:rsidRPr="6747DF49" w:rsidR="63B347C1">
        <w:rPr>
          <w:rFonts w:ascii="Arial" w:hAnsi="Arial" w:eastAsia="Arial" w:cs="Arial"/>
          <w:sz w:val="22"/>
          <w:szCs w:val="22"/>
        </w:rPr>
        <w:t>Asians,</w:t>
      </w:r>
      <w:r w:rsidRPr="6747DF49">
        <w:rPr>
          <w:rFonts w:ascii="Arial" w:hAnsi="Arial" w:eastAsia="Arial" w:cs="Arial"/>
          <w:sz w:val="22"/>
          <w:szCs w:val="22"/>
        </w:rPr>
        <w:t xml:space="preserve"> and African Caribbeans’, </w:t>
      </w:r>
      <w:r w:rsidRPr="6747DF49">
        <w:rPr>
          <w:rFonts w:ascii="Arial" w:hAnsi="Arial" w:eastAsia="Arial" w:cs="Arial"/>
          <w:i/>
          <w:iCs/>
          <w:sz w:val="22"/>
          <w:szCs w:val="22"/>
        </w:rPr>
        <w:t>Diabetologia</w:t>
      </w:r>
      <w:r w:rsidRPr="6747DF49">
        <w:rPr>
          <w:rFonts w:ascii="Arial" w:hAnsi="Arial" w:eastAsia="Arial" w:cs="Arial"/>
          <w:sz w:val="22"/>
          <w:szCs w:val="22"/>
        </w:rPr>
        <w:t>, 56(6), pp. 1143–1151.</w:t>
      </w:r>
    </w:p>
    <w:p w:rsidR="2B8E1F30" w:rsidP="6747DF49" w:rsidRDefault="2B8E1F30" w14:paraId="780EF51A" w14:textId="70D474D2">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Valabhji, J., Barron, E., Bradley, D., Bakhai, C., Fagg, J., O’Neill, S., Young, </w:t>
      </w:r>
      <w:r w:rsidRPr="6747DF49" w:rsidR="03A7C39A">
        <w:rPr>
          <w:rFonts w:ascii="Arial" w:hAnsi="Arial" w:eastAsia="Arial" w:cs="Arial"/>
          <w:sz w:val="22"/>
          <w:szCs w:val="22"/>
        </w:rPr>
        <w:t>B.,</w:t>
      </w:r>
      <w:r w:rsidRPr="6747DF49">
        <w:rPr>
          <w:rFonts w:ascii="Arial" w:hAnsi="Arial" w:eastAsia="Arial" w:cs="Arial"/>
          <w:sz w:val="22"/>
          <w:szCs w:val="22"/>
        </w:rPr>
        <w:t xml:space="preserve"> and Wareham, N. (2020) ‘Early outcomes from the English National Health Service Diabetes Prevention Programme’, </w:t>
      </w:r>
      <w:r w:rsidRPr="6747DF49">
        <w:rPr>
          <w:rFonts w:ascii="Arial" w:hAnsi="Arial" w:eastAsia="Arial" w:cs="Arial"/>
          <w:i/>
          <w:iCs/>
          <w:sz w:val="22"/>
          <w:szCs w:val="22"/>
        </w:rPr>
        <w:t>Diabetic Medicine</w:t>
      </w:r>
      <w:r w:rsidRPr="6747DF49">
        <w:rPr>
          <w:rFonts w:ascii="Arial" w:hAnsi="Arial" w:eastAsia="Arial" w:cs="Arial"/>
          <w:sz w:val="22"/>
          <w:szCs w:val="22"/>
        </w:rPr>
        <w:t>, 37(9), pp. 1523–1532.</w:t>
      </w:r>
    </w:p>
    <w:p w:rsidR="2B8E1F30" w:rsidP="6747DF49" w:rsidRDefault="2B8E1F30" w14:paraId="377FB257" w14:textId="330C9B9E">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Viruell-Fuentes, E.A., Miranda, P.Y. and Abdulrahim, S. (2012) ‘More than culture: structural racism, intersectionality theory, and immigrant health’, </w:t>
      </w:r>
      <w:r w:rsidRPr="6747DF49">
        <w:rPr>
          <w:rFonts w:ascii="Arial" w:hAnsi="Arial" w:eastAsia="Arial" w:cs="Arial"/>
          <w:i/>
          <w:iCs/>
          <w:sz w:val="22"/>
          <w:szCs w:val="22"/>
        </w:rPr>
        <w:t>Social Science &amp; Medicine</w:t>
      </w:r>
      <w:r w:rsidRPr="6747DF49">
        <w:rPr>
          <w:rFonts w:ascii="Arial" w:hAnsi="Arial" w:eastAsia="Arial" w:cs="Arial"/>
          <w:sz w:val="22"/>
          <w:szCs w:val="22"/>
        </w:rPr>
        <w:t>, 75(12), pp. 2099–2106.</w:t>
      </w:r>
    </w:p>
    <w:p w:rsidR="2B8E1F30" w:rsidP="6747DF49" w:rsidRDefault="2B8E1F30" w14:paraId="3F49DA5C" w14:textId="242E6B3E">
      <w:pPr>
        <w:spacing w:before="240" w:after="240" w:line="360" w:lineRule="auto"/>
        <w:rPr>
          <w:rFonts w:ascii="Arial" w:hAnsi="Arial" w:eastAsia="Arial" w:cs="Arial"/>
          <w:sz w:val="22"/>
          <w:szCs w:val="22"/>
        </w:rPr>
      </w:pPr>
      <w:r w:rsidRPr="6747DF49">
        <w:rPr>
          <w:rFonts w:ascii="Arial" w:hAnsi="Arial" w:eastAsia="Arial" w:cs="Arial"/>
          <w:sz w:val="22"/>
          <w:szCs w:val="22"/>
        </w:rPr>
        <w:t xml:space="preserve">World Health Organization (2023) </w:t>
      </w:r>
      <w:r w:rsidRPr="6747DF49">
        <w:rPr>
          <w:rFonts w:ascii="Arial" w:hAnsi="Arial" w:eastAsia="Arial" w:cs="Arial"/>
          <w:i/>
          <w:iCs/>
          <w:sz w:val="22"/>
          <w:szCs w:val="22"/>
        </w:rPr>
        <w:t>Diabetes</w:t>
      </w:r>
      <w:r w:rsidRPr="6747DF49">
        <w:rPr>
          <w:rFonts w:ascii="Arial" w:hAnsi="Arial" w:eastAsia="Arial" w:cs="Arial"/>
          <w:sz w:val="22"/>
          <w:szCs w:val="22"/>
        </w:rPr>
        <w:t>. Geneva: WHO.</w:t>
      </w:r>
    </w:p>
    <w:p w:rsidR="6747DF49" w:rsidP="6747DF49" w:rsidRDefault="6747DF49" w14:paraId="0790081D" w14:textId="5445ABD2">
      <w:pPr>
        <w:spacing w:before="240" w:after="240"/>
        <w:rPr>
          <w:rFonts w:ascii="Arial" w:hAnsi="Arial" w:eastAsia="Arial" w:cs="Arial"/>
        </w:rPr>
      </w:pPr>
    </w:p>
    <w:p w:rsidR="6747DF49" w:rsidP="6747DF49" w:rsidRDefault="6747DF49" w14:paraId="56C05B2C" w14:textId="06641F5D"/>
    <w:sectPr w:rsidR="6747DF4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OavzSqGXMMqjO" int2:id="ebvaqEmN">
      <int2:state int2:value="Rejected" int2:type="spell"/>
    </int2:textHash>
    <int2:textHash int2:hashCode="bSBc0PUjRsB+EZ" int2:id="5E6toAmz">
      <int2:state int2:value="Rejected" int2:type="spell"/>
    </int2:textHash>
    <int2:textHash int2:hashCode="yqfhjBXOnupAKL" int2:id="YacL21kb">
      <int2:state int2:value="Rejected" int2:type="spell"/>
    </int2:textHash>
    <int2:textHash int2:hashCode="Sq592pB9xZxcpS" int2:id="MF20I9Jy">
      <int2:state int2:value="Rejected" int2:type="spell"/>
    </int2:textHash>
    <int2:textHash int2:hashCode="wnoUYmhrCe3skE" int2:id="NqNRGi68">
      <int2:state int2:value="Rejected" int2:type="spell"/>
    </int2:textHash>
    <int2:textHash int2:hashCode="10xGre6jBjZJha" int2:id="209DhaiE">
      <int2:state int2:value="Rejected" int2:type="spell"/>
    </int2:textHash>
    <int2:textHash int2:hashCode="BDtPCybh6HuRkZ" int2:id="BRkmsCZI">
      <int2:state int2:value="Rejected" int2:type="spell"/>
    </int2:textHash>
    <int2:textHash int2:hashCode="hJQn2qI4Wcb+2p" int2:id="9Zlt4AhX">
      <int2:state int2:value="Rejected" int2:type="spell"/>
    </int2:textHash>
    <int2:textHash int2:hashCode="Y7rxyEYEGk+h8X" int2:id="qPX9B5Am">
      <int2:state int2:value="Rejected" int2:type="spell"/>
    </int2:textHash>
    <int2:textHash int2:hashCode="A1Usqw5QSNEmeS" int2:id="xxWMww9w">
      <int2:state int2:value="Rejected" int2:type="spell"/>
    </int2:textHash>
    <int2:textHash int2:hashCode="CuXlk26Bjbczkd" int2:id="M1Dm4gxB">
      <int2:state int2:value="Rejected" int2:type="spell"/>
    </int2:textHash>
    <int2:bookmark int2:bookmarkName="_Int_Fz0Fklmz" int2:invalidationBookmarkName="" int2:hashCode="8QoTNhPLVs3XcZ" int2:id="aETdekZv">
      <int2:state int2:value="Rejected" int2:type="style"/>
    </int2:bookmark>
    <int2:bookmark int2:bookmarkName="_Int_7rIiFaOb" int2:invalidationBookmarkName="" int2:hashCode="u8zfLvsztS5snQ" int2:id="JDt5Enc0">
      <int2:state int2:value="Rejected" int2:type="gram"/>
    </int2:bookmark>
    <int2:bookmark int2:bookmarkName="_Int_jyJSgpqo" int2:invalidationBookmarkName="" int2:hashCode="u8zfLvsztS5snQ" int2:id="Bd0ZsOXX">
      <int2:state int2:value="Rejected" int2:type="gram"/>
    </int2:bookmark>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2">
    <w:nsid w:val="57d2d948"/>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6d489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4997CD"/>
    <w:rsid w:val="00110AF2"/>
    <w:rsid w:val="00828F97"/>
    <w:rsid w:val="00BC5C64"/>
    <w:rsid w:val="00C74AB8"/>
    <w:rsid w:val="013F3B1D"/>
    <w:rsid w:val="019A51E3"/>
    <w:rsid w:val="01E869F5"/>
    <w:rsid w:val="0260E168"/>
    <w:rsid w:val="03A7C39A"/>
    <w:rsid w:val="042CDF94"/>
    <w:rsid w:val="046D5679"/>
    <w:rsid w:val="047826C1"/>
    <w:rsid w:val="0670B4B4"/>
    <w:rsid w:val="06966404"/>
    <w:rsid w:val="06FD8914"/>
    <w:rsid w:val="0709C8FD"/>
    <w:rsid w:val="07FD0C23"/>
    <w:rsid w:val="087515AE"/>
    <w:rsid w:val="0889D2ED"/>
    <w:rsid w:val="0960B26A"/>
    <w:rsid w:val="09C4F421"/>
    <w:rsid w:val="0A15C081"/>
    <w:rsid w:val="0A3B03AA"/>
    <w:rsid w:val="0B919CF6"/>
    <w:rsid w:val="0C06365E"/>
    <w:rsid w:val="0C0C3A38"/>
    <w:rsid w:val="0C604FBC"/>
    <w:rsid w:val="0E4E6428"/>
    <w:rsid w:val="0F0CA737"/>
    <w:rsid w:val="0FC56A34"/>
    <w:rsid w:val="0FE47493"/>
    <w:rsid w:val="108C28AE"/>
    <w:rsid w:val="10A404EF"/>
    <w:rsid w:val="1107B34F"/>
    <w:rsid w:val="125FB657"/>
    <w:rsid w:val="14A1F0F9"/>
    <w:rsid w:val="176B7BB9"/>
    <w:rsid w:val="17A25D54"/>
    <w:rsid w:val="17E1577C"/>
    <w:rsid w:val="1925A63E"/>
    <w:rsid w:val="195AB49B"/>
    <w:rsid w:val="198638D7"/>
    <w:rsid w:val="1AEE3009"/>
    <w:rsid w:val="1AF079F6"/>
    <w:rsid w:val="1B0634A9"/>
    <w:rsid w:val="1B5C9C2D"/>
    <w:rsid w:val="1C0FD1D9"/>
    <w:rsid w:val="1D204E6E"/>
    <w:rsid w:val="1D3830BB"/>
    <w:rsid w:val="1EA86A85"/>
    <w:rsid w:val="1F267E56"/>
    <w:rsid w:val="1FCD4F3C"/>
    <w:rsid w:val="2038DE90"/>
    <w:rsid w:val="20817E8C"/>
    <w:rsid w:val="20853C64"/>
    <w:rsid w:val="21C1A216"/>
    <w:rsid w:val="223AC689"/>
    <w:rsid w:val="23274909"/>
    <w:rsid w:val="2356B5C7"/>
    <w:rsid w:val="23963788"/>
    <w:rsid w:val="23975FBB"/>
    <w:rsid w:val="246F758D"/>
    <w:rsid w:val="2552B425"/>
    <w:rsid w:val="268037BF"/>
    <w:rsid w:val="274C2D50"/>
    <w:rsid w:val="27957694"/>
    <w:rsid w:val="2931812D"/>
    <w:rsid w:val="2944BA3B"/>
    <w:rsid w:val="29698229"/>
    <w:rsid w:val="297FDE26"/>
    <w:rsid w:val="29F501CC"/>
    <w:rsid w:val="2A06F867"/>
    <w:rsid w:val="2B7EDDA4"/>
    <w:rsid w:val="2B8E1F30"/>
    <w:rsid w:val="2D89B735"/>
    <w:rsid w:val="2DD4DEA6"/>
    <w:rsid w:val="2EA17C9B"/>
    <w:rsid w:val="2F4E0DA4"/>
    <w:rsid w:val="2F924646"/>
    <w:rsid w:val="2FE52A22"/>
    <w:rsid w:val="319A718F"/>
    <w:rsid w:val="31A6E57F"/>
    <w:rsid w:val="328D5BBF"/>
    <w:rsid w:val="32D3E497"/>
    <w:rsid w:val="3372D923"/>
    <w:rsid w:val="3399D05D"/>
    <w:rsid w:val="33A63F84"/>
    <w:rsid w:val="35543281"/>
    <w:rsid w:val="359BBAFD"/>
    <w:rsid w:val="35A6C48C"/>
    <w:rsid w:val="35B1ADEF"/>
    <w:rsid w:val="3666D4D1"/>
    <w:rsid w:val="373586E4"/>
    <w:rsid w:val="3758AFB6"/>
    <w:rsid w:val="380F8C4F"/>
    <w:rsid w:val="38730F78"/>
    <w:rsid w:val="39160E78"/>
    <w:rsid w:val="395D47FD"/>
    <w:rsid w:val="39F3279A"/>
    <w:rsid w:val="3A0DF152"/>
    <w:rsid w:val="3A4988D9"/>
    <w:rsid w:val="3AA98B57"/>
    <w:rsid w:val="3B102C22"/>
    <w:rsid w:val="3C87E101"/>
    <w:rsid w:val="3D85D42F"/>
    <w:rsid w:val="3DCE8639"/>
    <w:rsid w:val="3E0DAD9A"/>
    <w:rsid w:val="3E201D92"/>
    <w:rsid w:val="3E5E9110"/>
    <w:rsid w:val="3E7F65BC"/>
    <w:rsid w:val="40A1D8E2"/>
    <w:rsid w:val="40A6B402"/>
    <w:rsid w:val="40EFBEBE"/>
    <w:rsid w:val="40FD681C"/>
    <w:rsid w:val="4121E918"/>
    <w:rsid w:val="4140D918"/>
    <w:rsid w:val="4144C254"/>
    <w:rsid w:val="41A9E3D5"/>
    <w:rsid w:val="41DDA57A"/>
    <w:rsid w:val="42381319"/>
    <w:rsid w:val="43298AB2"/>
    <w:rsid w:val="433E331D"/>
    <w:rsid w:val="434997CD"/>
    <w:rsid w:val="45878EF8"/>
    <w:rsid w:val="47F875EE"/>
    <w:rsid w:val="48C8A1DD"/>
    <w:rsid w:val="49CC4617"/>
    <w:rsid w:val="4AB91E00"/>
    <w:rsid w:val="4C124F49"/>
    <w:rsid w:val="4C30F4BD"/>
    <w:rsid w:val="4CD72016"/>
    <w:rsid w:val="4DD5B884"/>
    <w:rsid w:val="4E2A029A"/>
    <w:rsid w:val="4EC14135"/>
    <w:rsid w:val="4FA27207"/>
    <w:rsid w:val="4FF34B2C"/>
    <w:rsid w:val="50CFAC43"/>
    <w:rsid w:val="5174D49B"/>
    <w:rsid w:val="51B813E9"/>
    <w:rsid w:val="5399BD87"/>
    <w:rsid w:val="53EDB3BA"/>
    <w:rsid w:val="5461A06A"/>
    <w:rsid w:val="54B70E6A"/>
    <w:rsid w:val="54DF43B5"/>
    <w:rsid w:val="54F274BE"/>
    <w:rsid w:val="5501F073"/>
    <w:rsid w:val="56611A70"/>
    <w:rsid w:val="566692E3"/>
    <w:rsid w:val="5666E08F"/>
    <w:rsid w:val="573A488E"/>
    <w:rsid w:val="57FF24D5"/>
    <w:rsid w:val="58113E77"/>
    <w:rsid w:val="58CA6CFD"/>
    <w:rsid w:val="592EFC76"/>
    <w:rsid w:val="5A089368"/>
    <w:rsid w:val="5A891827"/>
    <w:rsid w:val="5B1F9747"/>
    <w:rsid w:val="5C66A9AA"/>
    <w:rsid w:val="5C969EEA"/>
    <w:rsid w:val="5D397176"/>
    <w:rsid w:val="5D66F1B6"/>
    <w:rsid w:val="5E92D20B"/>
    <w:rsid w:val="5F05CCF1"/>
    <w:rsid w:val="5F5654EB"/>
    <w:rsid w:val="5F75D2F9"/>
    <w:rsid w:val="5FA3CD6B"/>
    <w:rsid w:val="5FB666FC"/>
    <w:rsid w:val="6093D739"/>
    <w:rsid w:val="61676D46"/>
    <w:rsid w:val="62ECF7CC"/>
    <w:rsid w:val="63B347C1"/>
    <w:rsid w:val="6410AFE9"/>
    <w:rsid w:val="649F72D9"/>
    <w:rsid w:val="6514D5CF"/>
    <w:rsid w:val="65BFFEF7"/>
    <w:rsid w:val="65E91038"/>
    <w:rsid w:val="65F72770"/>
    <w:rsid w:val="66442A78"/>
    <w:rsid w:val="66C4A9DD"/>
    <w:rsid w:val="66FE6491"/>
    <w:rsid w:val="6731592D"/>
    <w:rsid w:val="6747DF49"/>
    <w:rsid w:val="679EDB64"/>
    <w:rsid w:val="68185DC7"/>
    <w:rsid w:val="683585BA"/>
    <w:rsid w:val="692472D9"/>
    <w:rsid w:val="697A29CF"/>
    <w:rsid w:val="6B243B4C"/>
    <w:rsid w:val="6D0C4C02"/>
    <w:rsid w:val="6E28565A"/>
    <w:rsid w:val="6F49C028"/>
    <w:rsid w:val="6F51F780"/>
    <w:rsid w:val="6F5D868C"/>
    <w:rsid w:val="6F6D1157"/>
    <w:rsid w:val="70D70430"/>
    <w:rsid w:val="735D6E87"/>
    <w:rsid w:val="744E94A9"/>
    <w:rsid w:val="74CD1C0B"/>
    <w:rsid w:val="750A2C7E"/>
    <w:rsid w:val="7538E4B7"/>
    <w:rsid w:val="773C38E8"/>
    <w:rsid w:val="77424EF3"/>
    <w:rsid w:val="7769BC55"/>
    <w:rsid w:val="78BE57C7"/>
    <w:rsid w:val="78C035E9"/>
    <w:rsid w:val="7906B2A5"/>
    <w:rsid w:val="791FE908"/>
    <w:rsid w:val="794057E1"/>
    <w:rsid w:val="795ED521"/>
    <w:rsid w:val="79DCE206"/>
    <w:rsid w:val="7AA48639"/>
    <w:rsid w:val="7B06E576"/>
    <w:rsid w:val="7B6FDD48"/>
    <w:rsid w:val="7C1183C7"/>
    <w:rsid w:val="7C2E48AD"/>
    <w:rsid w:val="7CE26D8B"/>
    <w:rsid w:val="7CF53481"/>
    <w:rsid w:val="7DB60371"/>
    <w:rsid w:val="7DFDD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97CD"/>
  <w15:chartTrackingRefBased/>
  <w15:docId w15:val="{B062D338-6DAC-44EB-90DA-B9B61CDF0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6747DF4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747DF4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6747DF49"/>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A3B03A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7abfc15fecf4b0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4</revision>
  <dcterms:created xsi:type="dcterms:W3CDTF">2026-03-17T15:17:00.0000000Z</dcterms:created>
  <dcterms:modified xsi:type="dcterms:W3CDTF">2026-03-17T21:36:31.8901838Z</dcterms:modified>
</coreProperties>
</file>