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AF1558" w14:textId="1CF1A538" w:rsidR="00844DF1" w:rsidRPr="00117056" w:rsidRDefault="004C14B4">
      <w:pPr>
        <w:rPr>
          <w:b/>
          <w:bCs/>
          <w:u w:val="single"/>
        </w:rPr>
      </w:pPr>
      <w:r w:rsidRPr="00117056">
        <w:rPr>
          <w:b/>
          <w:bCs/>
          <w:u w:val="single"/>
        </w:rPr>
        <w:t>Dissertation Sweeney</w:t>
      </w:r>
    </w:p>
    <w:p w14:paraId="7D5C182D" w14:textId="66499BC3" w:rsidR="004C14B4" w:rsidRDefault="00117056">
      <w:r>
        <w:t xml:space="preserve">The dissertation was marked initially through blind double marking. The two markers disagreed and could not reach an agreement through discussion. </w:t>
      </w:r>
    </w:p>
    <w:p w14:paraId="30E97769" w14:textId="338C50E4" w:rsidR="00117056" w:rsidRDefault="00117056">
      <w:r>
        <w:t>Here are their comments:</w:t>
      </w:r>
    </w:p>
    <w:p w14:paraId="2908004A" w14:textId="48405BF5" w:rsidR="0098315C" w:rsidRPr="0098315C" w:rsidRDefault="0098315C">
      <w:pPr>
        <w:rPr>
          <w:b/>
          <w:bCs/>
          <w:u w:val="single"/>
        </w:rPr>
      </w:pPr>
      <w:r w:rsidRPr="0098315C">
        <w:rPr>
          <w:b/>
          <w:bCs/>
          <w:u w:val="single"/>
        </w:rPr>
        <w:t>Marker 1:</w:t>
      </w:r>
    </w:p>
    <w:p w14:paraId="1EDE1782"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Patrick has identified an interesting theoretical approach for exploring the presentation of archaeology/heritage to the public in a way that considers issues of remembering and forgetting as political decisions. he presents the ideas put forward by Tajfel about group membership and belonging reasonably clearly and relates these to understandings of memory and heritage. These latter two theoretical areas could be developed in more depth, but were clearly not the main thrust of Patrick's research.</w:t>
      </w:r>
    </w:p>
    <w:p w14:paraId="4938A128"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There are some minor </w:t>
      </w:r>
    </w:p>
    <w:p w14:paraId="1C8B4796"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organisational issues: structure and order in which ideas are introduced.</w:t>
      </w:r>
    </w:p>
    <w:p w14:paraId="264606FB"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Data collection: this unfortunately was curtailed by CV19: Patrick had originally planned to visit the city of David in Block 6, but instead was forced to rely on web-based research (not an uncommon issue indeed for many students of this part of the world, given political difficulties). This was however,  situated in academic discussion of El'Ad and Emek Shaveh.. </w:t>
      </w:r>
    </w:p>
    <w:p w14:paraId="67869B94"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What Patrick did not quite succeed in doing was marrying the theory and the data - but by no means is he alone in this! (a common failing of many theoretical discourses!)</w:t>
      </w:r>
    </w:p>
    <w:p w14:paraId="320B7926"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There are some minor grammatical issues.</w:t>
      </w:r>
    </w:p>
    <w:p w14:paraId="7D336E5C"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My mark is in line with the Level 6 assessment criteria (GA36)</w:t>
      </w:r>
    </w:p>
    <w:p w14:paraId="391DAB2B"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b/>
          <w:bCs/>
          <w:color w:val="283041"/>
          <w:sz w:val="21"/>
          <w:szCs w:val="21"/>
          <w:lang w:eastAsia="en-GB"/>
        </w:rPr>
        <w:t>Engagement with literature: 2.2/2.1</w:t>
      </w:r>
    </w:p>
    <w:p w14:paraId="423C7241"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Engagement with an appropriate range of research-informed literature, including sources retrieved independently. </w:t>
      </w:r>
    </w:p>
    <w:p w14:paraId="23F7F517"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Very good use of referencing, with no/very few inaccuracies or inconsistencies.</w:t>
      </w:r>
    </w:p>
    <w:p w14:paraId="7A824626"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b/>
          <w:bCs/>
          <w:color w:val="283041"/>
          <w:sz w:val="21"/>
          <w:szCs w:val="21"/>
          <w:lang w:eastAsia="en-GB"/>
        </w:rPr>
        <w:t>Knowledge and understanding: 2.2</w:t>
      </w:r>
    </w:p>
    <w:p w14:paraId="72CA14FD"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Knowledge is reasonably detailed, accurate with a good systematic understanding of the field of study and to some extent, current research and scholarship. </w:t>
      </w:r>
    </w:p>
    <w:p w14:paraId="4D943169"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b/>
          <w:bCs/>
          <w:color w:val="283041"/>
          <w:sz w:val="21"/>
          <w:szCs w:val="21"/>
          <w:lang w:eastAsia="en-GB"/>
        </w:rPr>
        <w:t>Cognitive and Intellectual Skills: 2.2/2.1</w:t>
      </w:r>
    </w:p>
    <w:p w14:paraId="49385A97"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[Some] critical thinking, analysis, synthesis and evaluation demonstrating critical thinking.</w:t>
      </w:r>
    </w:p>
    <w:p w14:paraId="11F83DB5"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Emerging awareness of different stances and ability to use evidence (that may be incomplete) to support the argument  </w:t>
      </w:r>
    </w:p>
    <w:p w14:paraId="7B63FCFA"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b/>
          <w:bCs/>
          <w:color w:val="283041"/>
          <w:sz w:val="21"/>
          <w:szCs w:val="21"/>
          <w:lang w:eastAsia="en-GB"/>
        </w:rPr>
        <w:t>Practical Skills: 2.2/2.1</w:t>
      </w:r>
    </w:p>
    <w:p w14:paraId="45ECF3D0"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Appropriate application of standard methods, materials, tools and/or techniques. Clear appreciation of the context of the application.</w:t>
      </w:r>
    </w:p>
    <w:p w14:paraId="2E52491B"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Evidence of some innovation and creativity {choice of theory]</w:t>
      </w:r>
    </w:p>
    <w:p w14:paraId="25CB62C8"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b/>
          <w:bCs/>
          <w:color w:val="283041"/>
          <w:sz w:val="21"/>
          <w:szCs w:val="21"/>
          <w:lang w:eastAsia="en-GB"/>
        </w:rPr>
        <w:t>Transferrable Skills: 2.1</w:t>
      </w:r>
    </w:p>
    <w:p w14:paraId="0699618F"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Can communicate well, confidently and in a suitable format. Work is coherent,  and organised. Can work very well autonomously.</w:t>
      </w:r>
      <w:r w:rsidRPr="0098315C">
        <w:rPr>
          <w:rFonts w:ascii="&amp;quot" w:eastAsia="Times New Roman" w:hAnsi="&amp;quot" w:cs="Times New Roman"/>
          <w:b/>
          <w:bCs/>
          <w:color w:val="283041"/>
          <w:sz w:val="21"/>
          <w:szCs w:val="21"/>
          <w:lang w:eastAsia="en-GB"/>
        </w:rPr>
        <w:t> </w:t>
      </w:r>
      <w:r w:rsidRPr="0098315C">
        <w:rPr>
          <w:rFonts w:ascii="&amp;quot" w:eastAsia="Times New Roman" w:hAnsi="&amp;quot" w:cs="Times New Roman"/>
          <w:color w:val="283041"/>
          <w:sz w:val="21"/>
          <w:szCs w:val="21"/>
          <w:lang w:eastAsia="en-GB"/>
        </w:rPr>
        <w:t>Demonstrates good graduate employment skills, with occasional minor weakness.</w:t>
      </w:r>
    </w:p>
    <w:p w14:paraId="454068B1"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First mark: 61 </w:t>
      </w:r>
    </w:p>
    <w:p w14:paraId="52FD1B8D"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 </w:t>
      </w:r>
    </w:p>
    <w:p w14:paraId="5316D47A" w14:textId="118456C6" w:rsidR="0098315C" w:rsidRPr="0098315C" w:rsidRDefault="0098315C" w:rsidP="0098315C">
      <w:pPr>
        <w:spacing w:after="0" w:line="240" w:lineRule="auto"/>
        <w:rPr>
          <w:rFonts w:ascii="&amp;quot" w:eastAsia="Times New Roman" w:hAnsi="&amp;quot" w:cs="Times New Roman"/>
          <w:b/>
          <w:bCs/>
          <w:color w:val="283041"/>
          <w:sz w:val="21"/>
          <w:szCs w:val="21"/>
          <w:lang w:eastAsia="en-GB"/>
        </w:rPr>
      </w:pPr>
      <w:r w:rsidRPr="0098315C">
        <w:rPr>
          <w:rFonts w:ascii="&amp;quot" w:eastAsia="Times New Roman" w:hAnsi="&amp;quot" w:cs="Times New Roman"/>
          <w:b/>
          <w:bCs/>
          <w:color w:val="283041"/>
          <w:sz w:val="21"/>
          <w:szCs w:val="21"/>
          <w:lang w:eastAsia="en-GB"/>
        </w:rPr>
        <w:t>Marker 2:</w:t>
      </w:r>
    </w:p>
    <w:p w14:paraId="2DE22782"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 xml:space="preserve">The author begins the Introduction to their dissertation entitled “The theory of hierarchy of historical validation” with the sentence: “This paper shows that both groups are in competition with each other, through different forms of media, with differing levels of financial and political support and differing degrees of success. All in the hope of gathering support from the wider public for their chosen message, and with this support, the opportunity to control what happens in a specific geographical location.” At this point I checked whether I downloaded the correct version of the dissertation, as this text seemed truncated. Unfortunately, it was the correct, final version of the text. In the remaining eleven lines of the Introduction the writer states that they have “looked at the use heritage has been placed [sic], and the role it has served in the transmission of the archaeological evidence to the chosen target audience.” </w:t>
      </w:r>
    </w:p>
    <w:p w14:paraId="5812823D"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lastRenderedPageBreak/>
        <w:t xml:space="preserve">This is supposed to be a </w:t>
      </w:r>
      <w:r w:rsidRPr="0098315C">
        <w:rPr>
          <w:rFonts w:ascii="&amp;quot" w:eastAsia="Times New Roman" w:hAnsi="&amp;quot" w:cs="Times New Roman"/>
          <w:i/>
          <w:iCs/>
          <w:color w:val="283041"/>
          <w:sz w:val="21"/>
          <w:szCs w:val="21"/>
          <w:lang w:eastAsia="en-GB"/>
        </w:rPr>
        <w:t>research</w:t>
      </w:r>
      <w:r w:rsidRPr="0098315C">
        <w:rPr>
          <w:rFonts w:ascii="&amp;quot" w:eastAsia="Times New Roman" w:hAnsi="&amp;quot" w:cs="Times New Roman"/>
          <w:color w:val="283041"/>
          <w:sz w:val="21"/>
          <w:szCs w:val="21"/>
          <w:lang w:eastAsia="en-GB"/>
        </w:rPr>
        <w:t xml:space="preserve"> dissertation, not another, however extended level 6 essay. It is supposed to be the outcome of a year-long research project through which the student demonstrates at an appropriate level the subject specific as well as reflective-critical skills required to undertake research in their chosen subject area and to present the outcomes of this research in adequate form. Doing research involves defining a clear topic, placing this topic in a wider context, identifying some sort of a research/knowledge gap, using an appropriate theory (theories) and methodology in the analysis of a clearly defined set of data or corpus of material in the widest sense, and, finally, presenting the outcomes of the research. Along the way the researcher has to make choices, evaluate different options and justify why they have done things the way they have done. </w:t>
      </w:r>
    </w:p>
    <w:p w14:paraId="591B3A19"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 xml:space="preserve">Doing research does not mean that one writes about a particularly interesting, difficult or lofty topic. The value of a research is not depending on the value of its subject (I write about an influential book or theory, therefore my research is good). It means that one is able to demonstrate the qualities required for research, whatever the subject. </w:t>
      </w:r>
    </w:p>
    <w:p w14:paraId="0490A60E"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Measured against this set of criteria, this dissertation is largely unsuccessful. For example, is the aim of this research to introduce “a new theoretical approach, to the why and how so much of history […] archaeology is hidden, ignored or even discredited” (abstract)? Is it a primarily a contribution to archaeological or historical theory? Or is it the examination of how, in a particular geographical context, the archaeological heritage is being used by different players to justify certain political, social and cultural claims? The title of this dissertation and chapter 1 would suggest the former, other parts of the dissertation the latter. The problem is that the author does not state clearly and convincingly what their aim is. For example, is the aim to study how a sensitive heritage is controlled and manipulated for political benefit (p. 33) (by whom? how? to what end?)? Or is the aim to examine how archaeological excavations in this geographical region have been shaped by the conflicting concern of different groups involved in this work? Both are extremely interesting topics but would generate a different approach, require a different set of primary information and so forth.  The text deals in generalities rather than specifics. For example, in the conclusion the author still refers to “the chosen public”. Why not state simply and clearly who this “chosen public” is.</w:t>
      </w:r>
    </w:p>
    <w:p w14:paraId="3C3F19D0"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The first, theoretical chapter, which focuses on Tajfel’s social psychology of intergroup relations, has no connection with the heritage focused chapters 2 and 3. Why would the author choose this particular theory rather than something from the field of archaeological or heritage theory? It is difficult to say whether this is an appropriate choice of theory because the aim of the research is not clear.</w:t>
      </w:r>
    </w:p>
    <w:p w14:paraId="5BCE1947"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The same lack of clarity characterises the use and analysis of primary material. The primary material used for this research consists essentially of websites maintained by City of David. Again, this is not a problem and certainly the only way to conduct this research in times of coronavirus. But it should have triggered some systematic reflection on the nature and limitations of this primary material and how it can be examined and analysed. There are several interesting avenues that could have been pursued and I am more than willing to concede that especially chapter 3 is full of interesting information and detail that could have been analysed in greater depth. For example, on p. 21 the author mentions the aim of El’Ad to reveal and reunite the people to ‘King David’s legacy’ and ‘Ancient Jerusalem’s glorious past’ through “‘archaeological excavation, tourism development, educational programming and residential revitalization’ (www.cityofdavid.org, n.d)”. These are very different areas likely to give rise to different, partially overlapping but also conflicting agendas.</w:t>
      </w:r>
    </w:p>
    <w:p w14:paraId="0CAC9508"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If the aim of this dissertation is to show how the archaeological heritage is used to segment society into different groups (Israeli Christians, Israeli Muslims and Palestinians) and cement existing social divisions (see Conclusion, p. 40, “this has paper argued…”), then much of the detail presented before is superfluous or would have to be aligned with the main question quite differently (how does tourism and residential revitalization support such a segmentation?).</w:t>
      </w:r>
    </w:p>
    <w:p w14:paraId="53DE1E62"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This dissertation has assembled some interesting detail and stimulating ideas. However, as a research project it is severely limited, perhaps because it is too ambitious and ultimately avoids the decision of what it tries to achieve, ending up with rather little.</w:t>
      </w:r>
    </w:p>
    <w:p w14:paraId="0B408493"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As I said before, this is not supposed to be another level 6 essay, but a research project conducted over an entire year. As such I would propose a low 2.ii mark in recognition of the difficulty of the current situation and fact that the author has diligently collected information from a variety of sources.</w:t>
      </w:r>
    </w:p>
    <w:p w14:paraId="452AAF41"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 </w:t>
      </w:r>
    </w:p>
    <w:p w14:paraId="11921EC4"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lastRenderedPageBreak/>
        <w:t>Second marker’s mark: 50</w:t>
      </w:r>
    </w:p>
    <w:p w14:paraId="2DB309FD" w14:textId="1D01AFEA" w:rsidR="0098315C" w:rsidRDefault="0098315C" w:rsidP="0098315C">
      <w:pPr>
        <w:spacing w:after="0" w:line="240" w:lineRule="auto"/>
        <w:rPr>
          <w:rFonts w:ascii="&amp;quot" w:eastAsia="Times New Roman" w:hAnsi="&amp;quot" w:cs="Times New Roman"/>
          <w:color w:val="283041"/>
          <w:sz w:val="21"/>
          <w:szCs w:val="21"/>
          <w:lang w:eastAsia="en-GB"/>
        </w:rPr>
      </w:pPr>
    </w:p>
    <w:p w14:paraId="64C67082" w14:textId="1E9E1035" w:rsidR="0098315C" w:rsidRDefault="0098315C" w:rsidP="0098315C">
      <w:pPr>
        <w:spacing w:after="0" w:line="240" w:lineRule="auto"/>
        <w:rPr>
          <w:rFonts w:ascii="&amp;quot" w:eastAsia="Times New Roman" w:hAnsi="&amp;quot" w:cs="Times New Roman"/>
          <w:color w:val="283041"/>
          <w:sz w:val="21"/>
          <w:szCs w:val="21"/>
          <w:lang w:eastAsia="en-GB"/>
        </w:rPr>
      </w:pPr>
    </w:p>
    <w:p w14:paraId="30E082F8" w14:textId="300D2309" w:rsidR="0098315C" w:rsidRDefault="0098315C" w:rsidP="0098315C">
      <w:pPr>
        <w:spacing w:after="0" w:line="240" w:lineRule="auto"/>
        <w:rPr>
          <w:rFonts w:ascii="&amp;quot" w:eastAsia="Times New Roman" w:hAnsi="&amp;quot" w:cs="Times New Roman"/>
          <w:color w:val="283041"/>
          <w:sz w:val="21"/>
          <w:szCs w:val="21"/>
          <w:lang w:eastAsia="en-GB"/>
        </w:rPr>
      </w:pPr>
    </w:p>
    <w:p w14:paraId="0305D9EE" w14:textId="5141AA86" w:rsidR="0098315C" w:rsidRPr="0098315C" w:rsidRDefault="0098315C" w:rsidP="0098315C">
      <w:pPr>
        <w:spacing w:after="0" w:line="240" w:lineRule="auto"/>
        <w:rPr>
          <w:rFonts w:ascii="&amp;quot" w:eastAsia="Times New Roman" w:hAnsi="&amp;quot" w:cs="Times New Roman"/>
          <w:b/>
          <w:bCs/>
          <w:color w:val="283041"/>
          <w:sz w:val="21"/>
          <w:szCs w:val="21"/>
          <w:lang w:eastAsia="en-GB"/>
        </w:rPr>
      </w:pPr>
      <w:r>
        <w:rPr>
          <w:rFonts w:ascii="&amp;quot" w:eastAsia="Times New Roman" w:hAnsi="&amp;quot" w:cs="Times New Roman"/>
          <w:b/>
          <w:bCs/>
          <w:color w:val="283041"/>
          <w:sz w:val="21"/>
          <w:szCs w:val="21"/>
          <w:lang w:eastAsia="en-GB"/>
        </w:rPr>
        <w:t>As per university guidelines in cases where markers cannot reach agreement, the programme manager (Errietta Bissa) appointed a third marker. The third marker was not given access to the comments or named of the previous markers, and the dissertation was anonymised. Here is their comments:</w:t>
      </w:r>
    </w:p>
    <w:p w14:paraId="7587F0B6" w14:textId="7B2A74BE" w:rsidR="0098315C" w:rsidRDefault="0098315C" w:rsidP="0098315C">
      <w:pPr>
        <w:spacing w:after="0" w:line="240" w:lineRule="auto"/>
        <w:rPr>
          <w:rFonts w:ascii="&amp;quot" w:eastAsia="Times New Roman" w:hAnsi="&amp;quot" w:cs="Times New Roman"/>
          <w:color w:val="283041"/>
          <w:sz w:val="21"/>
          <w:szCs w:val="21"/>
          <w:lang w:eastAsia="en-GB"/>
        </w:rPr>
      </w:pPr>
    </w:p>
    <w:p w14:paraId="26CD9C54" w14:textId="38F30D5F" w:rsidR="0098315C" w:rsidRDefault="0098315C" w:rsidP="0098315C">
      <w:pPr>
        <w:spacing w:after="0" w:line="240" w:lineRule="auto"/>
        <w:rPr>
          <w:rFonts w:ascii="&amp;quot" w:eastAsia="Times New Roman" w:hAnsi="&amp;quot" w:cs="Times New Roman"/>
          <w:color w:val="283041"/>
          <w:sz w:val="21"/>
          <w:szCs w:val="21"/>
          <w:lang w:eastAsia="en-GB"/>
        </w:rPr>
      </w:pPr>
    </w:p>
    <w:p w14:paraId="5F54BA98"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p>
    <w:p w14:paraId="4892FF02"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Third Marker:</w:t>
      </w:r>
    </w:p>
    <w:p w14:paraId="4A4DD03C"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01F1E"/>
          <w:lang w:eastAsia="en-GB"/>
        </w:rPr>
        <w:br/>
      </w:r>
      <w:r w:rsidRPr="0098315C">
        <w:rPr>
          <w:rFonts w:ascii="&amp;quot" w:eastAsia="Times New Roman" w:hAnsi="&amp;quot" w:cs="Times New Roman"/>
          <w:color w:val="283041"/>
          <w:sz w:val="21"/>
          <w:szCs w:val="21"/>
          <w:lang w:eastAsia="en-GB"/>
        </w:rPr>
        <w:t xml:space="preserve">This dissertation offers a well-informed, albeit descriptive, outline of how social identity theory (developed by Henry Tajfel et al.) can be used to analyse strategies for promoting in-group membership and behaviour. The central chapters of the study provide an informative and quite well-researched examination of the ideological motivations and communicative strategies of two archaeological bodies: Ir David Foundation (El’Ad) and Emek Shaveh. </w:t>
      </w:r>
      <w:r w:rsidRPr="0098315C">
        <w:rPr>
          <w:rFonts w:ascii="&amp;quot" w:eastAsia="Times New Roman" w:hAnsi="&amp;quot" w:cs="Times New Roman"/>
          <w:color w:val="201F1E"/>
          <w:lang w:eastAsia="en-GB"/>
        </w:rPr>
        <w:br/>
      </w:r>
      <w:r w:rsidRPr="0098315C">
        <w:rPr>
          <w:rFonts w:ascii="&amp;quot" w:eastAsia="Times New Roman" w:hAnsi="&amp;quot" w:cs="Times New Roman"/>
          <w:color w:val="201F1E"/>
          <w:lang w:eastAsia="en-GB"/>
        </w:rPr>
        <w:br/>
      </w:r>
      <w:r w:rsidRPr="0098315C">
        <w:rPr>
          <w:rFonts w:ascii="&amp;quot" w:eastAsia="Times New Roman" w:hAnsi="&amp;quot" w:cs="Times New Roman"/>
          <w:color w:val="283041"/>
          <w:sz w:val="21"/>
          <w:szCs w:val="21"/>
          <w:lang w:eastAsia="en-GB"/>
        </w:rPr>
        <w:t>The study is less successful, however, in applying its theoretical framework to an investigation of the two archaeological 'case studies'. There are only a few references to theory in the second half of the work, and it remains unclear how the archaeological agencies in question can be defined as 'groups' from a social-scientific perspective. In fact, there are more references in the concluding chapters to concepts of remembering and forgetting, suggesting that social memory theories would have been a more useful analytical category for examining how certain archaeologists and their sponsors allow 'the present' to shape their reconstructions of the past. The work is also rather clumsily expressed, and the gaps in the line of reasoning make it difficult at times to follow the overall argument.</w:t>
      </w:r>
      <w:r w:rsidRPr="0098315C">
        <w:rPr>
          <w:rFonts w:ascii="&amp;quot" w:eastAsia="Times New Roman" w:hAnsi="&amp;quot" w:cs="Times New Roman"/>
          <w:color w:val="201F1E"/>
          <w:lang w:eastAsia="en-GB"/>
        </w:rPr>
        <w:br/>
      </w:r>
      <w:r w:rsidRPr="0098315C">
        <w:rPr>
          <w:rFonts w:ascii="&amp;quot" w:eastAsia="Times New Roman" w:hAnsi="&amp;quot" w:cs="Times New Roman"/>
          <w:color w:val="201F1E"/>
          <w:lang w:eastAsia="en-GB"/>
        </w:rPr>
        <w:br/>
      </w:r>
      <w:r w:rsidRPr="0098315C">
        <w:rPr>
          <w:rFonts w:ascii="&amp;quot" w:eastAsia="Times New Roman" w:hAnsi="&amp;quot" w:cs="Times New Roman"/>
          <w:color w:val="283041"/>
          <w:sz w:val="21"/>
          <w:szCs w:val="21"/>
          <w:lang w:eastAsia="en-GB"/>
        </w:rPr>
        <w:t>All in all, I would probably place the dissertation at the high end of 2ii, with a recommended mark of 58%.</w:t>
      </w:r>
    </w:p>
    <w:p w14:paraId="263A65D7" w14:textId="77777777" w:rsidR="0098315C" w:rsidRPr="0098315C" w:rsidRDefault="0098315C" w:rsidP="0098315C">
      <w:pPr>
        <w:spacing w:after="0" w:line="240" w:lineRule="auto"/>
        <w:rPr>
          <w:rFonts w:ascii="&amp;quot" w:eastAsia="Times New Roman" w:hAnsi="&amp;quot" w:cs="Times New Roman"/>
          <w:color w:val="283041"/>
          <w:sz w:val="21"/>
          <w:szCs w:val="21"/>
          <w:lang w:eastAsia="en-GB"/>
        </w:rPr>
      </w:pPr>
      <w:r w:rsidRPr="0098315C">
        <w:rPr>
          <w:rFonts w:ascii="&amp;quot" w:eastAsia="Times New Roman" w:hAnsi="&amp;quot" w:cs="Times New Roman"/>
          <w:color w:val="283041"/>
          <w:sz w:val="21"/>
          <w:szCs w:val="21"/>
          <w:lang w:eastAsia="en-GB"/>
        </w:rPr>
        <w:t> </w:t>
      </w:r>
    </w:p>
    <w:p w14:paraId="2961ACFE" w14:textId="77777777" w:rsidR="0098315C" w:rsidRPr="0098315C" w:rsidRDefault="0098315C" w:rsidP="0098315C">
      <w:pPr>
        <w:spacing w:after="0" w:line="240" w:lineRule="auto"/>
        <w:rPr>
          <w:rFonts w:ascii="Times New Roman" w:eastAsia="Times New Roman" w:hAnsi="Times New Roman" w:cs="Times New Roman"/>
          <w:sz w:val="24"/>
          <w:szCs w:val="24"/>
          <w:lang w:eastAsia="en-GB"/>
        </w:rPr>
      </w:pPr>
      <w:r w:rsidRPr="0098315C">
        <w:rPr>
          <w:rFonts w:ascii="&amp;quot" w:eastAsia="Times New Roman" w:hAnsi="&amp;quot" w:cs="Times New Roman"/>
          <w:color w:val="283041"/>
          <w:sz w:val="21"/>
          <w:szCs w:val="21"/>
          <w:lang w:eastAsia="en-GB"/>
        </w:rPr>
        <w:br/>
      </w:r>
    </w:p>
    <w:p w14:paraId="2336557B" w14:textId="33629CD0" w:rsidR="0098315C" w:rsidRDefault="0098315C" w:rsidP="0098315C">
      <w:pPr>
        <w:spacing w:after="0" w:line="240" w:lineRule="auto"/>
        <w:rPr>
          <w:rFonts w:ascii="&amp;quot" w:eastAsia="Times New Roman" w:hAnsi="&amp;quot" w:cs="Times New Roman"/>
          <w:b/>
          <w:bCs/>
          <w:color w:val="283041"/>
          <w:sz w:val="21"/>
          <w:szCs w:val="21"/>
          <w:lang w:eastAsia="en-GB"/>
        </w:rPr>
      </w:pPr>
      <w:r>
        <w:rPr>
          <w:rFonts w:ascii="&amp;quot" w:eastAsia="Times New Roman" w:hAnsi="&amp;quot" w:cs="Times New Roman"/>
          <w:b/>
          <w:bCs/>
          <w:color w:val="283041"/>
          <w:sz w:val="21"/>
          <w:szCs w:val="21"/>
          <w:lang w:eastAsia="en-GB"/>
        </w:rPr>
        <w:t xml:space="preserve">As per university regulations in these cases, the third marker’s mark is final. </w:t>
      </w:r>
    </w:p>
    <w:p w14:paraId="6926A27D" w14:textId="0A3487D4" w:rsidR="0098315C" w:rsidRDefault="0098315C" w:rsidP="0098315C">
      <w:pPr>
        <w:spacing w:after="0" w:line="240" w:lineRule="auto"/>
        <w:rPr>
          <w:rFonts w:ascii="&amp;quot" w:eastAsia="Times New Roman" w:hAnsi="&amp;quot" w:cs="Times New Roman"/>
          <w:b/>
          <w:bCs/>
          <w:color w:val="283041"/>
          <w:sz w:val="21"/>
          <w:szCs w:val="21"/>
          <w:lang w:eastAsia="en-GB"/>
        </w:rPr>
      </w:pPr>
    </w:p>
    <w:p w14:paraId="1C4B9181" w14:textId="01E3ED26" w:rsidR="0098315C" w:rsidRDefault="0098315C" w:rsidP="0098315C">
      <w:pPr>
        <w:spacing w:after="0" w:line="240" w:lineRule="auto"/>
        <w:rPr>
          <w:rFonts w:ascii="&amp;quot" w:eastAsia="Times New Roman" w:hAnsi="&amp;quot" w:cs="Times New Roman"/>
          <w:b/>
          <w:bCs/>
          <w:color w:val="283041"/>
          <w:sz w:val="21"/>
          <w:szCs w:val="21"/>
          <w:lang w:eastAsia="en-GB"/>
        </w:rPr>
      </w:pPr>
      <w:r>
        <w:rPr>
          <w:rFonts w:ascii="&amp;quot" w:eastAsia="Times New Roman" w:hAnsi="&amp;quot" w:cs="Times New Roman"/>
          <w:b/>
          <w:bCs/>
          <w:color w:val="283041"/>
          <w:sz w:val="21"/>
          <w:szCs w:val="21"/>
          <w:lang w:eastAsia="en-GB"/>
        </w:rPr>
        <w:t>This explanation is for the benefit of the external examiner.</w:t>
      </w:r>
    </w:p>
    <w:p w14:paraId="200D8A92" w14:textId="4289CC9F" w:rsidR="0098315C" w:rsidRDefault="0098315C" w:rsidP="0098315C">
      <w:pPr>
        <w:spacing w:after="0" w:line="240" w:lineRule="auto"/>
        <w:rPr>
          <w:rFonts w:ascii="&amp;quot" w:eastAsia="Times New Roman" w:hAnsi="&amp;quot" w:cs="Times New Roman"/>
          <w:b/>
          <w:bCs/>
          <w:color w:val="283041"/>
          <w:sz w:val="21"/>
          <w:szCs w:val="21"/>
          <w:lang w:eastAsia="en-GB"/>
        </w:rPr>
      </w:pPr>
    </w:p>
    <w:p w14:paraId="3B7BC87A" w14:textId="1B78F505" w:rsidR="0098315C" w:rsidRDefault="0098315C" w:rsidP="0098315C">
      <w:pPr>
        <w:spacing w:after="0" w:line="240" w:lineRule="auto"/>
        <w:rPr>
          <w:rFonts w:ascii="&amp;quot" w:eastAsia="Times New Roman" w:hAnsi="&amp;quot" w:cs="Times New Roman"/>
          <w:b/>
          <w:bCs/>
          <w:color w:val="283041"/>
          <w:sz w:val="21"/>
          <w:szCs w:val="21"/>
          <w:lang w:eastAsia="en-GB"/>
        </w:rPr>
      </w:pPr>
    </w:p>
    <w:p w14:paraId="0A5C6F93" w14:textId="17311B11" w:rsidR="0098315C" w:rsidRDefault="0098315C" w:rsidP="0098315C">
      <w:pPr>
        <w:spacing w:after="0" w:line="240" w:lineRule="auto"/>
        <w:rPr>
          <w:rFonts w:ascii="&amp;quot" w:eastAsia="Times New Roman" w:hAnsi="&amp;quot" w:cs="Times New Roman"/>
          <w:b/>
          <w:bCs/>
          <w:color w:val="283041"/>
          <w:sz w:val="21"/>
          <w:szCs w:val="21"/>
          <w:lang w:eastAsia="en-GB"/>
        </w:rPr>
      </w:pPr>
    </w:p>
    <w:p w14:paraId="51E82BA6" w14:textId="767FAC7D" w:rsidR="0098315C" w:rsidRPr="0098315C" w:rsidRDefault="0098315C" w:rsidP="0098315C">
      <w:pPr>
        <w:spacing w:after="0" w:line="240" w:lineRule="auto"/>
        <w:rPr>
          <w:rFonts w:ascii="&amp;quot" w:eastAsia="Times New Roman" w:hAnsi="&amp;quot" w:cs="Times New Roman"/>
          <w:b/>
          <w:bCs/>
          <w:color w:val="283041"/>
          <w:sz w:val="21"/>
          <w:szCs w:val="21"/>
          <w:lang w:eastAsia="en-GB"/>
        </w:rPr>
      </w:pPr>
      <w:r>
        <w:rPr>
          <w:rFonts w:ascii="&amp;quot" w:eastAsia="Times New Roman" w:hAnsi="&amp;quot" w:cs="Times New Roman"/>
          <w:b/>
          <w:bCs/>
          <w:color w:val="283041"/>
          <w:sz w:val="21"/>
          <w:szCs w:val="21"/>
          <w:lang w:eastAsia="en-GB"/>
        </w:rPr>
        <w:t>E. Bissa – 18/6/20</w:t>
      </w:r>
    </w:p>
    <w:p w14:paraId="68149DF8" w14:textId="77777777" w:rsidR="0098315C" w:rsidRDefault="0098315C"/>
    <w:p w14:paraId="46E53C95" w14:textId="77777777" w:rsidR="00117056" w:rsidRDefault="00117056"/>
    <w:sectPr w:rsidR="001170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14B4"/>
    <w:rsid w:val="00117056"/>
    <w:rsid w:val="004C14B4"/>
    <w:rsid w:val="0050121D"/>
    <w:rsid w:val="00943DC3"/>
    <w:rsid w:val="009831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04900"/>
  <w15:chartTrackingRefBased/>
  <w15:docId w15:val="{5E07D47C-0B57-4020-8A0A-8AAFE07EE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8315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24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1580</Words>
  <Characters>9007</Characters>
  <Application>Microsoft Office Word</Application>
  <DocSecurity>0</DocSecurity>
  <Lines>75</Lines>
  <Paragraphs>21</Paragraphs>
  <ScaleCrop>false</ScaleCrop>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3</cp:revision>
  <dcterms:created xsi:type="dcterms:W3CDTF">2020-06-18T09:54:00Z</dcterms:created>
  <dcterms:modified xsi:type="dcterms:W3CDTF">2020-06-18T11:46:00Z</dcterms:modified>
</cp:coreProperties>
</file>