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1BFFF"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There are a range of legislative documents relating to safeguarding however in Wales the Social Services and Wellbeing (Wales) Act (2014) provides a legal framework relating to safeguarding.  Section 130 (4) of the Act defines a child at risk as “experiencing or is at risk of abuse, neglect or other kinds of harm” </w:t>
      </w:r>
      <w:r w:rsidRPr="00247090">
        <w:rPr>
          <w:rFonts w:ascii="Arial" w:hAnsi="Arial" w:cs="Arial"/>
          <w:sz w:val="24"/>
          <w:szCs w:val="24"/>
          <w:u w:val="single"/>
        </w:rPr>
        <w:t>(</w:t>
      </w:r>
      <w:r w:rsidRPr="00247090">
        <w:rPr>
          <w:rFonts w:ascii="Arial" w:hAnsi="Arial" w:cs="Arial"/>
          <w:sz w:val="24"/>
          <w:szCs w:val="24"/>
        </w:rPr>
        <w:t>Social Care Wales, 2023a).</w:t>
      </w:r>
    </w:p>
    <w:p w14:paraId="0F2F926D" w14:textId="77777777" w:rsidR="007E5876" w:rsidRPr="00247090" w:rsidRDefault="007E5876" w:rsidP="007E5876">
      <w:pPr>
        <w:rPr>
          <w:rFonts w:ascii="Arial" w:hAnsi="Arial" w:cs="Arial"/>
          <w:sz w:val="24"/>
          <w:szCs w:val="24"/>
        </w:rPr>
      </w:pPr>
      <w:r w:rsidRPr="00247090">
        <w:rPr>
          <w:rFonts w:ascii="Arial" w:hAnsi="Arial" w:cs="Arial"/>
          <w:sz w:val="24"/>
          <w:szCs w:val="24"/>
        </w:rPr>
        <w:t>In order to safeguard</w:t>
      </w:r>
      <w:r>
        <w:rPr>
          <w:rFonts w:ascii="Arial" w:hAnsi="Arial" w:cs="Arial"/>
          <w:sz w:val="24"/>
          <w:szCs w:val="24"/>
        </w:rPr>
        <w:t>,</w:t>
      </w:r>
      <w:r w:rsidRPr="00247090">
        <w:rPr>
          <w:rFonts w:ascii="Arial" w:hAnsi="Arial" w:cs="Arial"/>
          <w:sz w:val="24"/>
          <w:szCs w:val="24"/>
        </w:rPr>
        <w:t xml:space="preserve"> it is crucial for social workers to have sound knowledge and understanding of other relevant legislation including Human Rights Act (1998), Children Act (1989), Equality Act (2010) and other statements such as UN Convention on the Rights of the Child</w:t>
      </w:r>
      <w:r>
        <w:rPr>
          <w:rFonts w:ascii="Arial" w:hAnsi="Arial" w:cs="Arial"/>
          <w:sz w:val="24"/>
          <w:szCs w:val="24"/>
        </w:rPr>
        <w:t xml:space="preserve"> (1989)</w:t>
      </w:r>
      <w:r w:rsidRPr="00247090">
        <w:rPr>
          <w:rFonts w:ascii="Arial" w:hAnsi="Arial" w:cs="Arial"/>
          <w:sz w:val="24"/>
          <w:szCs w:val="24"/>
        </w:rPr>
        <w:t xml:space="preserve">.  </w:t>
      </w:r>
    </w:p>
    <w:p w14:paraId="2F110B95"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This assignment will focus on a safeguarding case that I was </w:t>
      </w:r>
      <w:r>
        <w:rPr>
          <w:rFonts w:ascii="Arial" w:hAnsi="Arial" w:cs="Arial"/>
          <w:sz w:val="24"/>
          <w:szCs w:val="24"/>
        </w:rPr>
        <w:t>involved with</w:t>
      </w:r>
      <w:r w:rsidRPr="00247090">
        <w:rPr>
          <w:rFonts w:ascii="Arial" w:hAnsi="Arial" w:cs="Arial"/>
          <w:sz w:val="24"/>
          <w:szCs w:val="24"/>
        </w:rPr>
        <w:t xml:space="preserve"> in my role as a social worker.  A referral was received from a partner agency raising concern about the safeguarding of an unborn child and following local authority investigations, managerial oversight, and legal advice I was tasked to complete a</w:t>
      </w:r>
      <w:r>
        <w:rPr>
          <w:rFonts w:ascii="Arial" w:hAnsi="Arial" w:cs="Arial"/>
          <w:sz w:val="24"/>
          <w:szCs w:val="24"/>
        </w:rPr>
        <w:t>n</w:t>
      </w:r>
      <w:r w:rsidRPr="00247090">
        <w:rPr>
          <w:rFonts w:ascii="Arial" w:hAnsi="Arial" w:cs="Arial"/>
          <w:sz w:val="24"/>
          <w:szCs w:val="24"/>
        </w:rPr>
        <w:t xml:space="preserve"> assessment </w:t>
      </w:r>
      <w:r>
        <w:rPr>
          <w:rFonts w:ascii="Arial" w:hAnsi="Arial" w:cs="Arial"/>
          <w:sz w:val="24"/>
          <w:szCs w:val="24"/>
        </w:rPr>
        <w:t>of</w:t>
      </w:r>
      <w:r w:rsidRPr="00247090">
        <w:rPr>
          <w:rFonts w:ascii="Arial" w:hAnsi="Arial" w:cs="Arial"/>
          <w:sz w:val="24"/>
          <w:szCs w:val="24"/>
        </w:rPr>
        <w:t xml:space="preserve"> the maternal grandmother</w:t>
      </w:r>
      <w:r>
        <w:rPr>
          <w:rFonts w:ascii="Arial" w:hAnsi="Arial" w:cs="Arial"/>
          <w:sz w:val="24"/>
          <w:szCs w:val="24"/>
        </w:rPr>
        <w:t xml:space="preserve"> </w:t>
      </w:r>
      <w:r w:rsidRPr="00247090">
        <w:rPr>
          <w:rFonts w:ascii="Arial" w:hAnsi="Arial" w:cs="Arial"/>
          <w:sz w:val="24"/>
          <w:szCs w:val="24"/>
        </w:rPr>
        <w:t xml:space="preserve">and her potential to care for the child as there were concerns regarding the mother’s parental capacity and ability to safeguard the child. </w:t>
      </w:r>
      <w:r>
        <w:rPr>
          <w:rFonts w:ascii="Arial" w:hAnsi="Arial" w:cs="Arial"/>
          <w:sz w:val="24"/>
          <w:szCs w:val="24"/>
        </w:rPr>
        <w:t>For the purposes of confidentiality and in line with Data Protection legislation, the grandmother will be referred to as 1 and the mother as 2 within the assessment.</w:t>
      </w:r>
    </w:p>
    <w:p w14:paraId="3BF61E82" w14:textId="77777777" w:rsidR="007E5876" w:rsidRPr="00247090" w:rsidRDefault="007E5876" w:rsidP="007E5876">
      <w:pPr>
        <w:rPr>
          <w:rFonts w:ascii="Arial" w:hAnsi="Arial" w:cs="Arial"/>
          <w:sz w:val="24"/>
          <w:szCs w:val="24"/>
        </w:rPr>
      </w:pPr>
      <w:r>
        <w:rPr>
          <w:rFonts w:ascii="Arial" w:hAnsi="Arial" w:cs="Arial"/>
          <w:sz w:val="24"/>
          <w:szCs w:val="24"/>
        </w:rPr>
        <w:t>2</w:t>
      </w:r>
      <w:r w:rsidRPr="00247090">
        <w:rPr>
          <w:rFonts w:ascii="Arial" w:hAnsi="Arial" w:cs="Arial"/>
          <w:sz w:val="24"/>
          <w:szCs w:val="24"/>
        </w:rPr>
        <w:t xml:space="preserve"> had significant involvement with mental health services and was offered a range of interventions.  This was her first pregnancy therefore she was not known to children’s services.  The Wales Safeguarding Procedures (2019) provide a framework for all professionals involved in the child protection proceedings to ensure consistency in planning and intervention for all children on the at-risk register across Wales (SCW, 2023a).   Under the Children Act (1989) the categories of abuse for children are physical, emotional, sexual abuse and neglect (Legislation, 2023d) but under pre-birth child protection the usual categories for registration are physical, emotional abuse or neglect.</w:t>
      </w:r>
    </w:p>
    <w:p w14:paraId="6BFD30B9"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The unborn child was allocated a social worker and section 47 enquires were completed under the Children Act (1989). Although I am not responsible for completing these investigations, I have a good understanding of the procedures.  </w:t>
      </w:r>
      <w:r>
        <w:rPr>
          <w:rFonts w:ascii="Arial" w:hAnsi="Arial" w:cs="Arial"/>
          <w:sz w:val="24"/>
          <w:szCs w:val="24"/>
        </w:rPr>
        <w:t>I</w:t>
      </w:r>
      <w:r w:rsidRPr="00247090">
        <w:rPr>
          <w:rFonts w:ascii="Arial" w:hAnsi="Arial" w:cs="Arial"/>
          <w:sz w:val="24"/>
          <w:szCs w:val="24"/>
        </w:rPr>
        <w:t xml:space="preserve">t became apparent that </w:t>
      </w:r>
      <w:r>
        <w:rPr>
          <w:rFonts w:ascii="Arial" w:hAnsi="Arial" w:cs="Arial"/>
          <w:sz w:val="24"/>
          <w:szCs w:val="24"/>
        </w:rPr>
        <w:t>2 lacked</w:t>
      </w:r>
      <w:r w:rsidRPr="00247090">
        <w:rPr>
          <w:rFonts w:ascii="Arial" w:hAnsi="Arial" w:cs="Arial"/>
          <w:sz w:val="24"/>
          <w:szCs w:val="24"/>
        </w:rPr>
        <w:t xml:space="preserve"> insight into the concerns regarding her parenting capacity and ability to meet the child’s basic needs as detailed in Maslow’s </w:t>
      </w:r>
      <w:r>
        <w:rPr>
          <w:rFonts w:ascii="Arial" w:hAnsi="Arial" w:cs="Arial"/>
          <w:sz w:val="24"/>
          <w:szCs w:val="24"/>
        </w:rPr>
        <w:t>H</w:t>
      </w:r>
      <w:r w:rsidRPr="00247090">
        <w:rPr>
          <w:rFonts w:ascii="Arial" w:hAnsi="Arial" w:cs="Arial"/>
          <w:sz w:val="24"/>
          <w:szCs w:val="24"/>
        </w:rPr>
        <w:t>ierarchy</w:t>
      </w:r>
      <w:r>
        <w:rPr>
          <w:rFonts w:ascii="Arial" w:hAnsi="Arial" w:cs="Arial"/>
          <w:sz w:val="24"/>
          <w:szCs w:val="24"/>
        </w:rPr>
        <w:t xml:space="preserve"> of Needs</w:t>
      </w:r>
      <w:r w:rsidRPr="00247090">
        <w:rPr>
          <w:rFonts w:ascii="Arial" w:hAnsi="Arial" w:cs="Arial"/>
          <w:sz w:val="24"/>
          <w:szCs w:val="24"/>
        </w:rPr>
        <w:t xml:space="preserve"> (1943).  </w:t>
      </w:r>
      <w:r>
        <w:rPr>
          <w:rFonts w:ascii="Arial" w:hAnsi="Arial" w:cs="Arial"/>
          <w:sz w:val="24"/>
          <w:szCs w:val="24"/>
        </w:rPr>
        <w:t>2</w:t>
      </w:r>
      <w:r w:rsidRPr="00247090">
        <w:rPr>
          <w:rFonts w:ascii="Arial" w:hAnsi="Arial" w:cs="Arial"/>
          <w:sz w:val="24"/>
          <w:szCs w:val="24"/>
        </w:rPr>
        <w:t xml:space="preserve"> attempted suicide on three separate occasions during her pregnancy and although the NSPCC (2023) advise that parental mental health alone is not necessarily a safeguarding concern, the lack of insight, risk-taking behaviours and inability to put the needs of the child first </w:t>
      </w:r>
      <w:r>
        <w:rPr>
          <w:rFonts w:ascii="Arial" w:hAnsi="Arial" w:cs="Arial"/>
          <w:sz w:val="24"/>
          <w:szCs w:val="24"/>
        </w:rPr>
        <w:t>led to concerns about the baby’s safety and development so</w:t>
      </w:r>
      <w:r w:rsidRPr="00247090">
        <w:rPr>
          <w:rFonts w:ascii="Arial" w:hAnsi="Arial" w:cs="Arial"/>
          <w:sz w:val="24"/>
          <w:szCs w:val="24"/>
        </w:rPr>
        <w:t xml:space="preserve"> child protection proceedings were initiated.  </w:t>
      </w:r>
    </w:p>
    <w:p w14:paraId="6B431EB1"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I attended family group conferences for the maternal and paternal families respectively and my role within these was to explain fostering regulations and the process of assessments.  I used a procedural approach rather than narrative as Drury-Hudson (1999) states this ensures consistency and provision of thorough information.  It is imperative to be transparent about the full process from the beginning to ensure that family members are able to make informed decisions about their future involvement.  These conferences have a strengths-based approach that </w:t>
      </w:r>
      <w:r w:rsidRPr="00247090">
        <w:rPr>
          <w:rFonts w:ascii="Arial" w:hAnsi="Arial" w:cs="Arial"/>
          <w:sz w:val="24"/>
          <w:szCs w:val="24"/>
        </w:rPr>
        <w:lastRenderedPageBreak/>
        <w:t>recognise family’s skills (BASW, 2020) and empowers them to engage in the process with a solutions-focused approach to create their own plan based on skills and coproduction, linking in with the principles of the SSWBWA (2014).  These conferences support relationships between families and social workers (Sampson, 2020) by reducing the power imbalance.  Power is an element of Maclean’s Big Six model (Maclean, 2020) and in social work practice it is important to involve families in decision-making.  I found this model helpful to empower the families to consider their own strengths rather than a generalised plan being dictated to them.  In turn this collaborative working encourages communication and less dependence on services.</w:t>
      </w:r>
    </w:p>
    <w:p w14:paraId="08FD6550"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At the maternal family group conference, the only attendees were </w:t>
      </w:r>
      <w:r>
        <w:rPr>
          <w:rFonts w:ascii="Arial" w:hAnsi="Arial" w:cs="Arial"/>
          <w:sz w:val="24"/>
          <w:szCs w:val="24"/>
        </w:rPr>
        <w:t>1 and 2</w:t>
      </w:r>
      <w:r w:rsidRPr="00247090">
        <w:rPr>
          <w:rFonts w:ascii="Arial" w:hAnsi="Arial" w:cs="Arial"/>
          <w:sz w:val="24"/>
          <w:szCs w:val="24"/>
        </w:rPr>
        <w:t xml:space="preserve">.  When exploring ecological systems theory this raises concern due to the lack of support around the family as the theory holistically looks at the quality of network around the child (Brower, 1988).  The paternal conference had several attendees, and I again used a procedural approach to ensure consistency, but I was not able to continue with any assessment at that time due to disputes regarding the </w:t>
      </w:r>
      <w:r>
        <w:rPr>
          <w:rFonts w:ascii="Arial" w:hAnsi="Arial" w:cs="Arial"/>
          <w:sz w:val="24"/>
          <w:szCs w:val="24"/>
        </w:rPr>
        <w:t>child</w:t>
      </w:r>
      <w:r w:rsidRPr="00247090">
        <w:rPr>
          <w:rFonts w:ascii="Arial" w:hAnsi="Arial" w:cs="Arial"/>
          <w:sz w:val="24"/>
          <w:szCs w:val="24"/>
        </w:rPr>
        <w:t>’s paternity.  Ethically I did not request any prenatal DNA testing</w:t>
      </w:r>
      <w:r>
        <w:rPr>
          <w:rFonts w:ascii="Arial" w:hAnsi="Arial" w:cs="Arial"/>
          <w:sz w:val="24"/>
          <w:szCs w:val="24"/>
        </w:rPr>
        <w:t xml:space="preserve"> as</w:t>
      </w:r>
      <w:r w:rsidRPr="00247090">
        <w:rPr>
          <w:rFonts w:ascii="Arial" w:hAnsi="Arial" w:cs="Arial"/>
          <w:sz w:val="24"/>
          <w:szCs w:val="24"/>
        </w:rPr>
        <w:t xml:space="preserve"> the World Health Organisation (1998) exclaimed would be “</w:t>
      </w:r>
      <w:r w:rsidRPr="00247090">
        <w:rPr>
          <w:rFonts w:ascii="Arial" w:hAnsi="Arial" w:cs="Arial"/>
          <w:i/>
          <w:iCs/>
          <w:sz w:val="24"/>
          <w:szCs w:val="24"/>
        </w:rPr>
        <w:t>unacceptable</w:t>
      </w:r>
      <w:r w:rsidRPr="00247090">
        <w:rPr>
          <w:rFonts w:ascii="Arial" w:hAnsi="Arial" w:cs="Arial"/>
          <w:sz w:val="24"/>
          <w:szCs w:val="24"/>
        </w:rPr>
        <w:t>”.</w:t>
      </w:r>
    </w:p>
    <w:p w14:paraId="7C246F06" w14:textId="77777777" w:rsidR="007E5876" w:rsidRPr="00247090" w:rsidRDefault="007E5876" w:rsidP="007E5876">
      <w:pPr>
        <w:rPr>
          <w:rFonts w:ascii="Arial" w:hAnsi="Arial" w:cs="Arial"/>
          <w:sz w:val="24"/>
          <w:szCs w:val="24"/>
        </w:rPr>
      </w:pPr>
      <w:r>
        <w:rPr>
          <w:rFonts w:ascii="Arial" w:hAnsi="Arial" w:cs="Arial"/>
          <w:sz w:val="24"/>
          <w:szCs w:val="24"/>
        </w:rPr>
        <w:t>1</w:t>
      </w:r>
      <w:r w:rsidRPr="00247090">
        <w:rPr>
          <w:rFonts w:ascii="Arial" w:hAnsi="Arial" w:cs="Arial"/>
          <w:sz w:val="24"/>
          <w:szCs w:val="24"/>
        </w:rPr>
        <w:t xml:space="preserve"> put herself forward to potentially care for the child, so I completed a collaborative assessment with the child’s social worker.  A viability assessment considers the likelihood of a connected person’s ability to meet the needs of a child (Family Rights Group, 2018) and it is holistic in approach as it considers a range of areas, but for the purposes of this assignment I will focus primarily on family composition, health and working with others.  </w:t>
      </w:r>
    </w:p>
    <w:p w14:paraId="1CC42587"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If a viability assessment is positive this then leads to a full connected persons assessment detailing all areas of the person’s life (Adams, 2019).  Some carers complain that this process is intrusive (Family Rights Group, 2023) but this is completed to ensure that the proposed placement is safe (Advanced CCA, 2021).  An area which carers find challenging to comprehend is that ex-partners are interviewed however this is completed following findings from a serious case review in Brighton and Hove in 1999 (Procedures Online, 2022) and now forms part of the Local Authority Fostering Services Safeguarding (Wales) Regulations (2018) (Legislation, 2023g) to reduce the risk of known safeguarding concerns. </w:t>
      </w:r>
    </w:p>
    <w:p w14:paraId="2BE078B2" w14:textId="77777777" w:rsidR="007E5876" w:rsidRPr="00247090" w:rsidRDefault="007E5876" w:rsidP="007E5876">
      <w:pPr>
        <w:rPr>
          <w:rFonts w:ascii="Arial" w:hAnsi="Arial" w:cs="Arial"/>
          <w:sz w:val="24"/>
          <w:szCs w:val="24"/>
        </w:rPr>
      </w:pPr>
      <w:r>
        <w:rPr>
          <w:rFonts w:ascii="Arial" w:hAnsi="Arial" w:cs="Arial"/>
          <w:sz w:val="24"/>
          <w:szCs w:val="24"/>
        </w:rPr>
        <w:t>1</w:t>
      </w:r>
      <w:r w:rsidRPr="00247090">
        <w:rPr>
          <w:rFonts w:ascii="Arial" w:hAnsi="Arial" w:cs="Arial"/>
          <w:sz w:val="24"/>
          <w:szCs w:val="24"/>
        </w:rPr>
        <w:t xml:space="preserve"> found it difficult to understand why she required an assessment as she has a biological link to the child.  Section 66 of the Children Act (1989) states that children’s services have a duty to assess any carer who does not have parental responsibility (Legislation, 2023d) and </w:t>
      </w:r>
      <w:r>
        <w:rPr>
          <w:rFonts w:ascii="Arial" w:hAnsi="Arial" w:cs="Arial"/>
          <w:sz w:val="24"/>
          <w:szCs w:val="24"/>
        </w:rPr>
        <w:t>F</w:t>
      </w:r>
      <w:r w:rsidRPr="00247090">
        <w:rPr>
          <w:rFonts w:ascii="Arial" w:hAnsi="Arial" w:cs="Arial"/>
          <w:sz w:val="24"/>
          <w:szCs w:val="24"/>
        </w:rPr>
        <w:t xml:space="preserve">ostering </w:t>
      </w:r>
      <w:r>
        <w:rPr>
          <w:rFonts w:ascii="Arial" w:hAnsi="Arial" w:cs="Arial"/>
          <w:sz w:val="24"/>
          <w:szCs w:val="24"/>
        </w:rPr>
        <w:t>R</w:t>
      </w:r>
      <w:r w:rsidRPr="00247090">
        <w:rPr>
          <w:rFonts w:ascii="Arial" w:hAnsi="Arial" w:cs="Arial"/>
          <w:sz w:val="24"/>
          <w:szCs w:val="24"/>
        </w:rPr>
        <w:t xml:space="preserve">egulations mean that all carers; connected persons or general, are subject to the same statutory requirements.  In terms of my values this is an area where I have had self-conflict and reflected upon in supervision, as according to the Welsh Assembly Government (2014) most connected persons carers in Wales are grandparents who were not expecting to provide care, but due to trauma within the family have been approached by social services; whereas general foster carers have contemplated fostering, have clear motivation and considered timing before applying (Kinship, 2023b).  I do however </w:t>
      </w:r>
      <w:r w:rsidRPr="00247090">
        <w:rPr>
          <w:rFonts w:ascii="Arial" w:hAnsi="Arial" w:cs="Arial"/>
          <w:sz w:val="24"/>
          <w:szCs w:val="24"/>
        </w:rPr>
        <w:lastRenderedPageBreak/>
        <w:t xml:space="preserve">understand that all children looked after need a high standard of care and support and this is the rationale for the same requirements.  </w:t>
      </w:r>
    </w:p>
    <w:p w14:paraId="5D831789" w14:textId="77777777" w:rsidR="007E5876" w:rsidRPr="00247090" w:rsidRDefault="007E5876" w:rsidP="007E5876">
      <w:pPr>
        <w:rPr>
          <w:rFonts w:ascii="Arial" w:hAnsi="Arial" w:cs="Arial"/>
          <w:sz w:val="24"/>
          <w:szCs w:val="24"/>
        </w:rPr>
      </w:pPr>
      <w:r>
        <w:rPr>
          <w:rFonts w:ascii="Arial" w:hAnsi="Arial" w:cs="Arial"/>
          <w:sz w:val="24"/>
          <w:szCs w:val="24"/>
        </w:rPr>
        <w:t>1</w:t>
      </w:r>
      <w:r w:rsidRPr="00247090">
        <w:rPr>
          <w:rFonts w:ascii="Arial" w:hAnsi="Arial" w:cs="Arial"/>
          <w:sz w:val="24"/>
          <w:szCs w:val="24"/>
        </w:rPr>
        <w:t xml:space="preserve"> stated that she had a stigma towards social workers and Colton et al. (2003) describes this is a common theme in safeguarding.  The child’s social worker and I used various communication styles and transparency in the assessment process (Hall et al., 2013) to adhere to the Codes of Professional Practice in terms of striving to build trust and confidence (SCW, 2017).  Despite explaining the assessment process during the family group conference, we used a procedural, systematic approach again to reaffirm the process ensuring that </w:t>
      </w:r>
      <w:r>
        <w:rPr>
          <w:rFonts w:ascii="Arial" w:hAnsi="Arial" w:cs="Arial"/>
          <w:sz w:val="24"/>
          <w:szCs w:val="24"/>
        </w:rPr>
        <w:t>1</w:t>
      </w:r>
      <w:r w:rsidRPr="00247090">
        <w:rPr>
          <w:rFonts w:ascii="Arial" w:hAnsi="Arial" w:cs="Arial"/>
          <w:sz w:val="24"/>
          <w:szCs w:val="24"/>
        </w:rPr>
        <w:t xml:space="preserve"> understood the assessment clearly (Milner et al., 2020).  She confirmed she understood and provided consent to proceed.  </w:t>
      </w:r>
    </w:p>
    <w:p w14:paraId="092AB891"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I provided her with the Active Offer in line with the Welsh Assembly Government’s ‘More Than Just Words’ strategy and she opted for her assessment to be conducted through English.  As a Welsh speaker I am confident in providing the offer however as </w:t>
      </w:r>
      <w:r>
        <w:rPr>
          <w:rFonts w:ascii="Arial" w:hAnsi="Arial" w:cs="Arial"/>
          <w:sz w:val="24"/>
          <w:szCs w:val="24"/>
        </w:rPr>
        <w:t>1 and 2</w:t>
      </w:r>
      <w:r w:rsidRPr="00247090">
        <w:rPr>
          <w:rFonts w:ascii="Arial" w:hAnsi="Arial" w:cs="Arial"/>
          <w:sz w:val="24"/>
          <w:szCs w:val="24"/>
        </w:rPr>
        <w:t xml:space="preserve"> lived together in an urbanised area close to the England border, some professionals may assume language preference.  It is important never to presume and always offer to promote dignity, respect and engagement (We Care Wales, 2023).  </w:t>
      </w:r>
    </w:p>
    <w:p w14:paraId="46F74554"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I provided </w:t>
      </w:r>
      <w:r>
        <w:rPr>
          <w:rFonts w:ascii="Arial" w:hAnsi="Arial" w:cs="Arial"/>
          <w:sz w:val="24"/>
          <w:szCs w:val="24"/>
        </w:rPr>
        <w:t>1</w:t>
      </w:r>
      <w:r w:rsidRPr="00247090">
        <w:rPr>
          <w:rFonts w:ascii="Arial" w:hAnsi="Arial" w:cs="Arial"/>
          <w:sz w:val="24"/>
          <w:szCs w:val="24"/>
        </w:rPr>
        <w:t xml:space="preserve"> with the forms to complete regarding her health and address history from birth and encouraged her to complete these to promote collaboration and coproduction</w:t>
      </w:r>
      <w:r>
        <w:rPr>
          <w:rFonts w:ascii="Arial" w:hAnsi="Arial" w:cs="Arial"/>
          <w:sz w:val="24"/>
          <w:szCs w:val="24"/>
        </w:rPr>
        <w:t>, ensuring that she did not require any adaptions</w:t>
      </w:r>
      <w:r w:rsidRPr="00247090">
        <w:rPr>
          <w:rFonts w:ascii="Arial" w:hAnsi="Arial" w:cs="Arial"/>
          <w:sz w:val="24"/>
          <w:szCs w:val="24"/>
        </w:rPr>
        <w:t xml:space="preserve">.  These </w:t>
      </w:r>
      <w:r>
        <w:rPr>
          <w:rFonts w:ascii="Arial" w:hAnsi="Arial" w:cs="Arial"/>
          <w:sz w:val="24"/>
          <w:szCs w:val="24"/>
        </w:rPr>
        <w:t xml:space="preserve">health and safety </w:t>
      </w:r>
      <w:r w:rsidRPr="00247090">
        <w:rPr>
          <w:rFonts w:ascii="Arial" w:hAnsi="Arial" w:cs="Arial"/>
          <w:sz w:val="24"/>
          <w:szCs w:val="24"/>
        </w:rPr>
        <w:t xml:space="preserve">checks are integral to the assessment as the address history allows us to check whether she has been known to services in other local authorities (Personnel Checks, 2023) and if they had any safeguarding concerns.  Completing health checks were challenging as </w:t>
      </w:r>
      <w:r>
        <w:rPr>
          <w:rFonts w:ascii="Arial" w:hAnsi="Arial" w:cs="Arial"/>
          <w:sz w:val="24"/>
          <w:szCs w:val="24"/>
        </w:rPr>
        <w:t>1</w:t>
      </w:r>
      <w:r w:rsidRPr="00247090">
        <w:rPr>
          <w:rFonts w:ascii="Arial" w:hAnsi="Arial" w:cs="Arial"/>
          <w:sz w:val="24"/>
          <w:szCs w:val="24"/>
        </w:rPr>
        <w:t xml:space="preserve"> resides in Wales, but her general practitioner was registered in England, so as well as cross</w:t>
      </w:r>
      <w:r>
        <w:rPr>
          <w:rFonts w:ascii="Arial" w:hAnsi="Arial" w:cs="Arial"/>
          <w:sz w:val="24"/>
          <w:szCs w:val="24"/>
        </w:rPr>
        <w:t>-</w:t>
      </w:r>
      <w:r w:rsidRPr="00247090">
        <w:rPr>
          <w:rFonts w:ascii="Arial" w:hAnsi="Arial" w:cs="Arial"/>
          <w:sz w:val="24"/>
          <w:szCs w:val="24"/>
        </w:rPr>
        <w:t xml:space="preserve">county issues there were also cross-country barriers regarding sharing of information (Gov Wales, 2023).  Medical checks are important in foster care assessments as they focus on historic and current physical and mental health because we need to analyse that the carers’ own health and the wellbeing and safety of the child looked after would not be compromised (Fostering People, 2023).  </w:t>
      </w:r>
      <w:r>
        <w:rPr>
          <w:rFonts w:ascii="Arial" w:hAnsi="Arial" w:cs="Arial"/>
          <w:sz w:val="24"/>
          <w:szCs w:val="24"/>
        </w:rPr>
        <w:t>1</w:t>
      </w:r>
      <w:r w:rsidRPr="00247090">
        <w:rPr>
          <w:rFonts w:ascii="Arial" w:hAnsi="Arial" w:cs="Arial"/>
          <w:sz w:val="24"/>
          <w:szCs w:val="24"/>
        </w:rPr>
        <w:t xml:space="preserve"> reported that she was awaiting a knee replacement, therefore as part of the assessment we discussed how this could impact her ability to provide basic care and stimulation for a baby.  It is important to note that </w:t>
      </w:r>
      <w:r>
        <w:rPr>
          <w:rFonts w:ascii="Arial" w:hAnsi="Arial" w:cs="Arial"/>
          <w:sz w:val="24"/>
          <w:szCs w:val="24"/>
        </w:rPr>
        <w:t>1</w:t>
      </w:r>
      <w:r w:rsidRPr="00247090">
        <w:rPr>
          <w:rFonts w:ascii="Arial" w:hAnsi="Arial" w:cs="Arial"/>
          <w:sz w:val="24"/>
          <w:szCs w:val="24"/>
        </w:rPr>
        <w:t xml:space="preserve"> is in her early seventies and although there is no upper age limit for fostering in Wales (Foster Wales, 2023b) and under the Equality Act (2010) we are not able to discriminate on age (Legislation, 2023e).  We had to assess the probability of her being able to care for the child until he was eighteen.  As the average life expectancy for females in Wales is 82.6 years (Clark, 2023) and there is a lack of support network this is a concern.  She was not able to identify a contingency plan in the case of illness and this could cause anxiety and placement instability for the child as he gets older.</w:t>
      </w:r>
    </w:p>
    <w:p w14:paraId="172B7944" w14:textId="77777777" w:rsidR="007E5876" w:rsidRPr="00247090" w:rsidRDefault="007E5876" w:rsidP="007E5876">
      <w:pPr>
        <w:rPr>
          <w:rFonts w:ascii="Arial" w:hAnsi="Arial" w:cs="Arial"/>
          <w:sz w:val="24"/>
          <w:szCs w:val="24"/>
        </w:rPr>
      </w:pPr>
      <w:r>
        <w:rPr>
          <w:rFonts w:ascii="Arial" w:hAnsi="Arial" w:cs="Arial"/>
          <w:sz w:val="24"/>
          <w:szCs w:val="24"/>
        </w:rPr>
        <w:t>1</w:t>
      </w:r>
      <w:r w:rsidRPr="00247090">
        <w:rPr>
          <w:rFonts w:ascii="Arial" w:hAnsi="Arial" w:cs="Arial"/>
          <w:sz w:val="24"/>
          <w:szCs w:val="24"/>
        </w:rPr>
        <w:t xml:space="preserve"> disclosed historic anxiety, depression and stress which she attributed to compassion fatigue from</w:t>
      </w:r>
      <w:r>
        <w:rPr>
          <w:rFonts w:ascii="Arial" w:hAnsi="Arial" w:cs="Arial"/>
          <w:sz w:val="24"/>
          <w:szCs w:val="24"/>
        </w:rPr>
        <w:t xml:space="preserve"> 2</w:t>
      </w:r>
      <w:r w:rsidRPr="00247090">
        <w:rPr>
          <w:rFonts w:ascii="Arial" w:hAnsi="Arial" w:cs="Arial"/>
          <w:sz w:val="24"/>
          <w:szCs w:val="24"/>
        </w:rPr>
        <w:t xml:space="preserve">’s suicidal ideation which Sabo (2011) recognises can be a common factor when supporting individuals with mental health concerns.  Through </w:t>
      </w:r>
      <w:r w:rsidRPr="00247090">
        <w:rPr>
          <w:rFonts w:ascii="Arial" w:hAnsi="Arial" w:cs="Arial"/>
          <w:sz w:val="24"/>
          <w:szCs w:val="24"/>
        </w:rPr>
        <w:lastRenderedPageBreak/>
        <w:t xml:space="preserve">the assessment process I used a narrative approach to discuss the </w:t>
      </w:r>
      <w:r>
        <w:rPr>
          <w:rFonts w:ascii="Arial" w:hAnsi="Arial" w:cs="Arial"/>
          <w:sz w:val="24"/>
          <w:szCs w:val="24"/>
        </w:rPr>
        <w:t>1</w:t>
      </w:r>
      <w:r w:rsidRPr="00247090">
        <w:rPr>
          <w:rFonts w:ascii="Arial" w:hAnsi="Arial" w:cs="Arial"/>
          <w:sz w:val="24"/>
          <w:szCs w:val="24"/>
        </w:rPr>
        <w:t>’s mental health timeline as a story (</w:t>
      </w:r>
      <w:proofErr w:type="spellStart"/>
      <w:r w:rsidRPr="00247090">
        <w:rPr>
          <w:rFonts w:ascii="Arial" w:hAnsi="Arial" w:cs="Arial"/>
          <w:sz w:val="24"/>
          <w:szCs w:val="24"/>
        </w:rPr>
        <w:t>Reissman</w:t>
      </w:r>
      <w:proofErr w:type="spellEnd"/>
      <w:r w:rsidRPr="00247090">
        <w:rPr>
          <w:rFonts w:ascii="Arial" w:hAnsi="Arial" w:cs="Arial"/>
          <w:sz w:val="24"/>
          <w:szCs w:val="24"/>
        </w:rPr>
        <w:t xml:space="preserve"> and Quinney, 2005) and Hardy (2018) explain</w:t>
      </w:r>
      <w:r>
        <w:rPr>
          <w:rFonts w:ascii="Arial" w:hAnsi="Arial" w:cs="Arial"/>
          <w:sz w:val="24"/>
          <w:szCs w:val="24"/>
        </w:rPr>
        <w:t>s</w:t>
      </w:r>
      <w:r w:rsidRPr="00247090">
        <w:rPr>
          <w:rFonts w:ascii="Arial" w:hAnsi="Arial" w:cs="Arial"/>
          <w:sz w:val="24"/>
          <w:szCs w:val="24"/>
        </w:rPr>
        <w:t xml:space="preserve"> how </w:t>
      </w:r>
      <w:r>
        <w:rPr>
          <w:rFonts w:ascii="Arial" w:hAnsi="Arial" w:cs="Arial"/>
          <w:sz w:val="24"/>
          <w:szCs w:val="24"/>
        </w:rPr>
        <w:t>beneficia</w:t>
      </w:r>
      <w:r w:rsidRPr="00247090">
        <w:rPr>
          <w:rFonts w:ascii="Arial" w:hAnsi="Arial" w:cs="Arial"/>
          <w:sz w:val="24"/>
          <w:szCs w:val="24"/>
        </w:rPr>
        <w:t>l chronologies are</w:t>
      </w:r>
      <w:r>
        <w:rPr>
          <w:rFonts w:ascii="Arial" w:hAnsi="Arial" w:cs="Arial"/>
          <w:sz w:val="24"/>
          <w:szCs w:val="24"/>
        </w:rPr>
        <w:t xml:space="preserve"> in social work</w:t>
      </w:r>
      <w:r w:rsidRPr="00247090">
        <w:rPr>
          <w:rFonts w:ascii="Arial" w:hAnsi="Arial" w:cs="Arial"/>
          <w:sz w:val="24"/>
          <w:szCs w:val="24"/>
        </w:rPr>
        <w:t>.  This identified deteriorations in her mental health during times of stress in her life.  We discussed this by offering an empathetic perspective by actively listening and demonstrating an understanding of her emotions (</w:t>
      </w:r>
      <w:proofErr w:type="spellStart"/>
      <w:r w:rsidRPr="00247090">
        <w:rPr>
          <w:rFonts w:ascii="Arial" w:hAnsi="Arial" w:cs="Arial"/>
          <w:sz w:val="24"/>
          <w:szCs w:val="24"/>
        </w:rPr>
        <w:t>Erikkson</w:t>
      </w:r>
      <w:proofErr w:type="spellEnd"/>
      <w:r w:rsidRPr="00247090">
        <w:rPr>
          <w:rFonts w:ascii="Arial" w:hAnsi="Arial" w:cs="Arial"/>
          <w:sz w:val="24"/>
          <w:szCs w:val="24"/>
        </w:rPr>
        <w:t xml:space="preserve"> and Englander, 2017) but we also needed reassurance that she would be able to manage potential future stresses.  </w:t>
      </w:r>
      <w:proofErr w:type="spellStart"/>
      <w:r w:rsidRPr="00247090">
        <w:rPr>
          <w:rFonts w:ascii="Arial" w:hAnsi="Arial" w:cs="Arial"/>
          <w:sz w:val="24"/>
          <w:szCs w:val="24"/>
        </w:rPr>
        <w:t>Bergsund</w:t>
      </w:r>
      <w:proofErr w:type="spellEnd"/>
      <w:r w:rsidRPr="00247090">
        <w:rPr>
          <w:rFonts w:ascii="Arial" w:hAnsi="Arial" w:cs="Arial"/>
          <w:sz w:val="24"/>
          <w:szCs w:val="24"/>
        </w:rPr>
        <w:t xml:space="preserve"> et al. (2019) acknowledge that fostering is a stressful task, and we were concerned about her coping mechanisms particularly given the lack of support network.  We discussed generational attitudes to mental health and </w:t>
      </w:r>
      <w:proofErr w:type="spellStart"/>
      <w:r w:rsidRPr="00247090">
        <w:rPr>
          <w:rFonts w:ascii="Arial" w:hAnsi="Arial" w:cs="Arial"/>
          <w:sz w:val="24"/>
          <w:szCs w:val="24"/>
        </w:rPr>
        <w:t>Baral</w:t>
      </w:r>
      <w:proofErr w:type="spellEnd"/>
      <w:r w:rsidRPr="00247090">
        <w:rPr>
          <w:rFonts w:ascii="Arial" w:hAnsi="Arial" w:cs="Arial"/>
          <w:sz w:val="24"/>
          <w:szCs w:val="24"/>
        </w:rPr>
        <w:t xml:space="preserve"> et al. (2022) identify that younger generations have more knowledge and understanding of mental health symptoms and how to seek support.  Although Kemble (2014) reports that there continues to be taboo regarding mental health, Time to Change Wales (2023) state that one in four people in Wales have mental health difficulties and research from Cardiff University (2021) report that there was an increase in mental health prevalence following the Covid-19 pandemic.  </w:t>
      </w:r>
      <w:r>
        <w:rPr>
          <w:rFonts w:ascii="Arial" w:hAnsi="Arial" w:cs="Arial"/>
          <w:sz w:val="24"/>
          <w:szCs w:val="24"/>
        </w:rPr>
        <w:t>1</w:t>
      </w:r>
      <w:r w:rsidRPr="00247090">
        <w:rPr>
          <w:rFonts w:ascii="Arial" w:hAnsi="Arial" w:cs="Arial"/>
          <w:sz w:val="24"/>
          <w:szCs w:val="24"/>
        </w:rPr>
        <w:t xml:space="preserve"> assured no current concerns with regards to her mental health and wellbeing however in our </w:t>
      </w:r>
      <w:r>
        <w:rPr>
          <w:rFonts w:ascii="Arial" w:hAnsi="Arial" w:cs="Arial"/>
          <w:sz w:val="24"/>
          <w:szCs w:val="24"/>
        </w:rPr>
        <w:t xml:space="preserve">professional judgement </w:t>
      </w:r>
      <w:r w:rsidRPr="00247090">
        <w:rPr>
          <w:rFonts w:ascii="Arial" w:hAnsi="Arial" w:cs="Arial"/>
          <w:sz w:val="24"/>
          <w:szCs w:val="24"/>
        </w:rPr>
        <w:t xml:space="preserve">we were concerned about her ability to seek support if required and the risk of disguised compliance.  </w:t>
      </w:r>
      <w:proofErr w:type="spellStart"/>
      <w:r w:rsidRPr="00247090">
        <w:rPr>
          <w:rFonts w:ascii="Arial" w:hAnsi="Arial" w:cs="Arial"/>
          <w:sz w:val="24"/>
          <w:szCs w:val="24"/>
        </w:rPr>
        <w:t>Reder</w:t>
      </w:r>
      <w:proofErr w:type="spellEnd"/>
      <w:r w:rsidRPr="00247090">
        <w:rPr>
          <w:rFonts w:ascii="Arial" w:hAnsi="Arial" w:cs="Arial"/>
          <w:sz w:val="24"/>
          <w:szCs w:val="24"/>
        </w:rPr>
        <w:t xml:space="preserve"> et al. (1993) define this as “</w:t>
      </w:r>
      <w:r w:rsidRPr="00247090">
        <w:rPr>
          <w:rFonts w:ascii="Arial" w:hAnsi="Arial" w:cs="Arial"/>
          <w:i/>
          <w:iCs/>
          <w:sz w:val="24"/>
          <w:szCs w:val="24"/>
        </w:rPr>
        <w:t>appearing to cooperate with professionals in order to allay concerns and stop professional engagement</w:t>
      </w:r>
      <w:r w:rsidRPr="00247090">
        <w:rPr>
          <w:rFonts w:ascii="Arial" w:hAnsi="Arial" w:cs="Arial"/>
          <w:sz w:val="24"/>
          <w:szCs w:val="24"/>
        </w:rPr>
        <w:t>” which can be damaging to a child’s safety and wellbeing (</w:t>
      </w:r>
      <w:proofErr w:type="spellStart"/>
      <w:r w:rsidRPr="00247090">
        <w:rPr>
          <w:rFonts w:ascii="Arial" w:hAnsi="Arial" w:cs="Arial"/>
          <w:sz w:val="24"/>
          <w:szCs w:val="24"/>
        </w:rPr>
        <w:t>Akehurst</w:t>
      </w:r>
      <w:proofErr w:type="spellEnd"/>
      <w:r w:rsidRPr="00247090">
        <w:rPr>
          <w:rFonts w:ascii="Arial" w:hAnsi="Arial" w:cs="Arial"/>
          <w:sz w:val="24"/>
          <w:szCs w:val="24"/>
        </w:rPr>
        <w:t>, 2015).</w:t>
      </w:r>
    </w:p>
    <w:p w14:paraId="79D7DFB2"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Exploring the social learning theory involved me considering Bandura’s view (1977) that observing, modelling and imitating can influence the behaviour of others.  As </w:t>
      </w:r>
      <w:r>
        <w:rPr>
          <w:rFonts w:ascii="Arial" w:hAnsi="Arial" w:cs="Arial"/>
          <w:sz w:val="24"/>
          <w:szCs w:val="24"/>
        </w:rPr>
        <w:t>1</w:t>
      </w:r>
      <w:r w:rsidRPr="00247090">
        <w:rPr>
          <w:rFonts w:ascii="Arial" w:hAnsi="Arial" w:cs="Arial"/>
          <w:sz w:val="24"/>
          <w:szCs w:val="24"/>
        </w:rPr>
        <w:t xml:space="preserve"> did not seek support regarding her mental health, we were not able to ascertain the full extent of her psychological wellbeing, so it is difficult to assess the extent of adverse childhood experiences felt by </w:t>
      </w:r>
      <w:r>
        <w:rPr>
          <w:rFonts w:ascii="Arial" w:hAnsi="Arial" w:cs="Arial"/>
          <w:sz w:val="24"/>
          <w:szCs w:val="24"/>
        </w:rPr>
        <w:t>2</w:t>
      </w:r>
      <w:r w:rsidRPr="00247090">
        <w:rPr>
          <w:rFonts w:ascii="Arial" w:hAnsi="Arial" w:cs="Arial"/>
          <w:sz w:val="24"/>
          <w:szCs w:val="24"/>
        </w:rPr>
        <w:t xml:space="preserve">.  </w:t>
      </w:r>
      <w:proofErr w:type="spellStart"/>
      <w:r w:rsidRPr="00247090">
        <w:rPr>
          <w:rFonts w:ascii="Arial" w:hAnsi="Arial" w:cs="Arial"/>
          <w:sz w:val="24"/>
          <w:szCs w:val="24"/>
        </w:rPr>
        <w:t>Landstedt</w:t>
      </w:r>
      <w:proofErr w:type="spellEnd"/>
      <w:r w:rsidRPr="00247090">
        <w:rPr>
          <w:rFonts w:ascii="Arial" w:hAnsi="Arial" w:cs="Arial"/>
          <w:sz w:val="24"/>
          <w:szCs w:val="24"/>
        </w:rPr>
        <w:t xml:space="preserve"> and </w:t>
      </w:r>
      <w:proofErr w:type="spellStart"/>
      <w:r w:rsidRPr="00247090">
        <w:rPr>
          <w:rFonts w:ascii="Arial" w:hAnsi="Arial" w:cs="Arial"/>
          <w:sz w:val="24"/>
          <w:szCs w:val="24"/>
        </w:rPr>
        <w:t>Almquist</w:t>
      </w:r>
      <w:proofErr w:type="spellEnd"/>
      <w:r w:rsidRPr="00247090">
        <w:rPr>
          <w:rFonts w:ascii="Arial" w:hAnsi="Arial" w:cs="Arial"/>
          <w:sz w:val="24"/>
          <w:szCs w:val="24"/>
        </w:rPr>
        <w:t xml:space="preserve"> (2019) argue that individuals whose parents had mental health difficulties were twice as likely to present with poor psychological health themselves.  Engel (1980) argues that there are biological, psychological and social components of mental health in his biopsychosocial model</w:t>
      </w:r>
      <w:r>
        <w:rPr>
          <w:rFonts w:ascii="Arial" w:hAnsi="Arial" w:cs="Arial"/>
          <w:sz w:val="24"/>
          <w:szCs w:val="24"/>
        </w:rPr>
        <w:t xml:space="preserve">.  </w:t>
      </w:r>
      <w:r w:rsidRPr="00247090">
        <w:rPr>
          <w:rFonts w:ascii="Arial" w:hAnsi="Arial" w:cs="Arial"/>
          <w:sz w:val="24"/>
          <w:szCs w:val="24"/>
        </w:rPr>
        <w:t xml:space="preserve">Reflecting on this model in supervision, I like the holistic approach but feel that it is more medically focused, and I agree with Benning (2015) who states that the model does not consider subjective experiences.  </w:t>
      </w:r>
    </w:p>
    <w:p w14:paraId="69ADA021"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We discussed family composition and from attending the family group conference it was evident that there was a lack of ecological support, and </w:t>
      </w:r>
      <w:r>
        <w:rPr>
          <w:rFonts w:ascii="Arial" w:hAnsi="Arial" w:cs="Arial"/>
          <w:sz w:val="24"/>
          <w:szCs w:val="24"/>
        </w:rPr>
        <w:t>1 and 2</w:t>
      </w:r>
      <w:r w:rsidRPr="00247090">
        <w:rPr>
          <w:rFonts w:ascii="Arial" w:hAnsi="Arial" w:cs="Arial"/>
          <w:sz w:val="24"/>
          <w:szCs w:val="24"/>
        </w:rPr>
        <w:t xml:space="preserve"> were</w:t>
      </w:r>
      <w:r>
        <w:rPr>
          <w:rFonts w:ascii="Arial" w:hAnsi="Arial" w:cs="Arial"/>
          <w:sz w:val="24"/>
          <w:szCs w:val="24"/>
        </w:rPr>
        <w:t xml:space="preserve"> </w:t>
      </w:r>
      <w:r w:rsidRPr="00247090">
        <w:rPr>
          <w:rFonts w:ascii="Arial" w:hAnsi="Arial" w:cs="Arial"/>
          <w:sz w:val="24"/>
          <w:szCs w:val="24"/>
        </w:rPr>
        <w:t>isolated.  Research by OECD (2023) states that there are links between social isolation and increased health risks, and Brandt et al. (2022) go on to share this view, linking isolation with poor mental health.  As part of exploring coproduction within the SSWBWA</w:t>
      </w:r>
      <w:r>
        <w:rPr>
          <w:rFonts w:ascii="Arial" w:hAnsi="Arial" w:cs="Arial"/>
          <w:sz w:val="24"/>
          <w:szCs w:val="24"/>
        </w:rPr>
        <w:t xml:space="preserve"> </w:t>
      </w:r>
      <w:r w:rsidRPr="00247090">
        <w:rPr>
          <w:rFonts w:ascii="Arial" w:hAnsi="Arial" w:cs="Arial"/>
          <w:sz w:val="24"/>
          <w:szCs w:val="24"/>
        </w:rPr>
        <w:t>(2014)</w:t>
      </w:r>
      <w:r>
        <w:rPr>
          <w:rFonts w:ascii="Arial" w:hAnsi="Arial" w:cs="Arial"/>
          <w:sz w:val="24"/>
          <w:szCs w:val="24"/>
        </w:rPr>
        <w:t>,</w:t>
      </w:r>
      <w:r w:rsidRPr="00247090">
        <w:rPr>
          <w:rFonts w:ascii="Arial" w:hAnsi="Arial" w:cs="Arial"/>
          <w:sz w:val="24"/>
          <w:szCs w:val="24"/>
        </w:rPr>
        <w:t xml:space="preserve"> this was challenging due to the lack of support network or links to community</w:t>
      </w:r>
      <w:r>
        <w:rPr>
          <w:rFonts w:ascii="Arial" w:hAnsi="Arial" w:cs="Arial"/>
          <w:sz w:val="24"/>
          <w:szCs w:val="24"/>
        </w:rPr>
        <w:t xml:space="preserve"> resources</w:t>
      </w:r>
      <w:r w:rsidRPr="00247090">
        <w:rPr>
          <w:rFonts w:ascii="Arial" w:hAnsi="Arial" w:cs="Arial"/>
          <w:sz w:val="24"/>
          <w:szCs w:val="24"/>
        </w:rPr>
        <w:t xml:space="preserve"> (SCW, 2022).  </w:t>
      </w:r>
      <w:r>
        <w:rPr>
          <w:rFonts w:ascii="Arial" w:hAnsi="Arial" w:cs="Arial"/>
          <w:sz w:val="24"/>
          <w:szCs w:val="24"/>
        </w:rPr>
        <w:t>1</w:t>
      </w:r>
      <w:r w:rsidRPr="00247090">
        <w:rPr>
          <w:rFonts w:ascii="Arial" w:hAnsi="Arial" w:cs="Arial"/>
          <w:sz w:val="24"/>
          <w:szCs w:val="24"/>
        </w:rPr>
        <w:t xml:space="preserve"> explained that she</w:t>
      </w:r>
      <w:r>
        <w:rPr>
          <w:rFonts w:ascii="Arial" w:hAnsi="Arial" w:cs="Arial"/>
          <w:sz w:val="24"/>
          <w:szCs w:val="24"/>
        </w:rPr>
        <w:t xml:space="preserve"> is heterosexual and has</w:t>
      </w:r>
      <w:r w:rsidRPr="00247090">
        <w:rPr>
          <w:rFonts w:ascii="Arial" w:hAnsi="Arial" w:cs="Arial"/>
          <w:sz w:val="24"/>
          <w:szCs w:val="24"/>
        </w:rPr>
        <w:t xml:space="preserve"> never been in a relationship and </w:t>
      </w:r>
      <w:r>
        <w:rPr>
          <w:rFonts w:ascii="Arial" w:hAnsi="Arial" w:cs="Arial"/>
          <w:sz w:val="24"/>
          <w:szCs w:val="24"/>
        </w:rPr>
        <w:t xml:space="preserve">2 </w:t>
      </w:r>
      <w:r w:rsidRPr="00247090">
        <w:rPr>
          <w:rFonts w:ascii="Arial" w:hAnsi="Arial" w:cs="Arial"/>
          <w:sz w:val="24"/>
          <w:szCs w:val="24"/>
        </w:rPr>
        <w:t>was conceived from a short fling.  She advised that she promote</w:t>
      </w:r>
      <w:r>
        <w:rPr>
          <w:rFonts w:ascii="Arial" w:hAnsi="Arial" w:cs="Arial"/>
          <w:sz w:val="24"/>
          <w:szCs w:val="24"/>
        </w:rPr>
        <w:t>d</w:t>
      </w:r>
      <w:r w:rsidRPr="00247090">
        <w:rPr>
          <w:rFonts w:ascii="Arial" w:hAnsi="Arial" w:cs="Arial"/>
          <w:sz w:val="24"/>
          <w:szCs w:val="24"/>
        </w:rPr>
        <w:t xml:space="preserve"> contact and involved the father in important decisions such as education applications.  Contact was sporadic until </w:t>
      </w:r>
      <w:r>
        <w:rPr>
          <w:rFonts w:ascii="Arial" w:hAnsi="Arial" w:cs="Arial"/>
          <w:sz w:val="24"/>
          <w:szCs w:val="24"/>
        </w:rPr>
        <w:t>2</w:t>
      </w:r>
      <w:r w:rsidRPr="00247090">
        <w:rPr>
          <w:rFonts w:ascii="Arial" w:hAnsi="Arial" w:cs="Arial"/>
          <w:sz w:val="24"/>
          <w:szCs w:val="24"/>
        </w:rPr>
        <w:t xml:space="preserve"> was twelve years old then this ceased.  We explained that although this was not a serious relationship, we would need to speak with him as part of the assessment process as the Coram </w:t>
      </w:r>
      <w:proofErr w:type="spellStart"/>
      <w:r w:rsidRPr="00247090">
        <w:rPr>
          <w:rFonts w:ascii="Arial" w:hAnsi="Arial" w:cs="Arial"/>
          <w:sz w:val="24"/>
          <w:szCs w:val="24"/>
        </w:rPr>
        <w:t>Baaf</w:t>
      </w:r>
      <w:proofErr w:type="spellEnd"/>
      <w:r w:rsidRPr="00247090">
        <w:rPr>
          <w:rFonts w:ascii="Arial" w:hAnsi="Arial" w:cs="Arial"/>
          <w:sz w:val="24"/>
          <w:szCs w:val="24"/>
        </w:rPr>
        <w:t xml:space="preserve"> (2016) guidelines describe an ex-partner as someone the connected person has lived with, </w:t>
      </w:r>
      <w:r w:rsidRPr="00247090">
        <w:rPr>
          <w:rFonts w:ascii="Arial" w:hAnsi="Arial" w:cs="Arial"/>
          <w:sz w:val="24"/>
          <w:szCs w:val="24"/>
        </w:rPr>
        <w:lastRenderedPageBreak/>
        <w:t xml:space="preserve">been married to or had a child with.  </w:t>
      </w:r>
      <w:r>
        <w:rPr>
          <w:rFonts w:ascii="Arial" w:hAnsi="Arial" w:cs="Arial"/>
          <w:sz w:val="24"/>
          <w:szCs w:val="24"/>
        </w:rPr>
        <w:t>1</w:t>
      </w:r>
      <w:r w:rsidRPr="00247090">
        <w:rPr>
          <w:rFonts w:ascii="Arial" w:hAnsi="Arial" w:cs="Arial"/>
          <w:sz w:val="24"/>
          <w:szCs w:val="24"/>
        </w:rPr>
        <w:t xml:space="preserve"> advised that he passed away five years prior.  I discussed this within supervision and as there are no other family who can corroborate this, I would need to view the death certificate to verify.  I found this to be a difficult conversation to have as it felt insensitive, however I needed </w:t>
      </w:r>
      <w:r>
        <w:rPr>
          <w:rFonts w:ascii="Arial" w:hAnsi="Arial" w:cs="Arial"/>
          <w:sz w:val="24"/>
          <w:szCs w:val="24"/>
        </w:rPr>
        <w:t xml:space="preserve">verification and </w:t>
      </w:r>
      <w:r w:rsidRPr="00247090">
        <w:rPr>
          <w:rFonts w:ascii="Arial" w:hAnsi="Arial" w:cs="Arial"/>
          <w:sz w:val="24"/>
          <w:szCs w:val="24"/>
        </w:rPr>
        <w:t xml:space="preserve">evidence for the assessment to complete an informed analysis and recommendation.  We discussed the quality of his relationship with </w:t>
      </w:r>
      <w:r>
        <w:rPr>
          <w:rFonts w:ascii="Arial" w:hAnsi="Arial" w:cs="Arial"/>
          <w:sz w:val="24"/>
          <w:szCs w:val="24"/>
        </w:rPr>
        <w:t>1 and 2</w:t>
      </w:r>
      <w:r w:rsidRPr="00247090">
        <w:rPr>
          <w:rFonts w:ascii="Arial" w:hAnsi="Arial" w:cs="Arial"/>
          <w:sz w:val="24"/>
          <w:szCs w:val="24"/>
        </w:rPr>
        <w:t xml:space="preserve"> and she became visibly upset at this part of the assessment.  I was self-aware of my communication style and offered </w:t>
      </w:r>
      <w:r>
        <w:rPr>
          <w:rFonts w:ascii="Arial" w:hAnsi="Arial" w:cs="Arial"/>
          <w:sz w:val="24"/>
          <w:szCs w:val="24"/>
        </w:rPr>
        <w:t>1</w:t>
      </w:r>
      <w:r w:rsidRPr="00247090">
        <w:rPr>
          <w:rFonts w:ascii="Arial" w:hAnsi="Arial" w:cs="Arial"/>
          <w:sz w:val="24"/>
          <w:szCs w:val="24"/>
        </w:rPr>
        <w:t xml:space="preserve"> time to compose however she consented to continue with the assessment.  She disclosed that she noticed traits of anorexia-nervosa in </w:t>
      </w:r>
      <w:r>
        <w:rPr>
          <w:rFonts w:ascii="Arial" w:hAnsi="Arial" w:cs="Arial"/>
          <w:sz w:val="24"/>
          <w:szCs w:val="24"/>
        </w:rPr>
        <w:t>2</w:t>
      </w:r>
      <w:r w:rsidRPr="00247090">
        <w:rPr>
          <w:rFonts w:ascii="Arial" w:hAnsi="Arial" w:cs="Arial"/>
          <w:sz w:val="24"/>
          <w:szCs w:val="24"/>
        </w:rPr>
        <w:t xml:space="preserve"> from the age of eight and Mental Help (2023) report that most eating disorders are diagnosed before age twenty, but fewer than 10% occur before age ten so this raised a concern in the assessment.  </w:t>
      </w:r>
      <w:r>
        <w:rPr>
          <w:rFonts w:ascii="Arial" w:hAnsi="Arial" w:cs="Arial"/>
          <w:sz w:val="24"/>
          <w:szCs w:val="24"/>
        </w:rPr>
        <w:t>1</w:t>
      </w:r>
      <w:r w:rsidRPr="00247090">
        <w:rPr>
          <w:rFonts w:ascii="Arial" w:hAnsi="Arial" w:cs="Arial"/>
          <w:sz w:val="24"/>
          <w:szCs w:val="24"/>
        </w:rPr>
        <w:t xml:space="preserve"> confirmed that she did not communicate with or seek support from school or services and instead monitored </w:t>
      </w:r>
      <w:r>
        <w:rPr>
          <w:rFonts w:ascii="Arial" w:hAnsi="Arial" w:cs="Arial"/>
          <w:sz w:val="24"/>
          <w:szCs w:val="24"/>
        </w:rPr>
        <w:t>2’s behaviours</w:t>
      </w:r>
      <w:r w:rsidRPr="00247090">
        <w:rPr>
          <w:rFonts w:ascii="Arial" w:hAnsi="Arial" w:cs="Arial"/>
          <w:sz w:val="24"/>
          <w:szCs w:val="24"/>
        </w:rPr>
        <w:t xml:space="preserve">.  </w:t>
      </w:r>
      <w:r>
        <w:rPr>
          <w:rFonts w:ascii="Arial" w:hAnsi="Arial" w:cs="Arial"/>
          <w:sz w:val="24"/>
          <w:szCs w:val="24"/>
        </w:rPr>
        <w:t>2</w:t>
      </w:r>
      <w:r w:rsidRPr="00247090">
        <w:rPr>
          <w:rFonts w:ascii="Arial" w:hAnsi="Arial" w:cs="Arial"/>
          <w:sz w:val="24"/>
          <w:szCs w:val="24"/>
        </w:rPr>
        <w:t xml:space="preserve"> later disclosed that she had been sexually abused by her father since age four onwards.  As part of the assessment, we assessed </w:t>
      </w:r>
      <w:r>
        <w:rPr>
          <w:rFonts w:ascii="Arial" w:hAnsi="Arial" w:cs="Arial"/>
          <w:sz w:val="24"/>
          <w:szCs w:val="24"/>
        </w:rPr>
        <w:t>1’s</w:t>
      </w:r>
      <w:r w:rsidRPr="00247090">
        <w:rPr>
          <w:rFonts w:ascii="Arial" w:hAnsi="Arial" w:cs="Arial"/>
          <w:sz w:val="24"/>
          <w:szCs w:val="24"/>
        </w:rPr>
        <w:t xml:space="preserve"> capacity to safeguard the unborn child, so we discussed how she has historically evidenced safeguarding.  We spoke about this disclosure and </w:t>
      </w:r>
      <w:r>
        <w:rPr>
          <w:rFonts w:ascii="Arial" w:hAnsi="Arial" w:cs="Arial"/>
          <w:sz w:val="24"/>
          <w:szCs w:val="24"/>
        </w:rPr>
        <w:t>1</w:t>
      </w:r>
      <w:r w:rsidRPr="00247090">
        <w:rPr>
          <w:rFonts w:ascii="Arial" w:hAnsi="Arial" w:cs="Arial"/>
          <w:sz w:val="24"/>
          <w:szCs w:val="24"/>
        </w:rPr>
        <w:t xml:space="preserve"> informed us that she did not report this to the police or social services.  I altered my communication to a questioning model to gather clear information and build an accurate picture of what had occurred as I found that the use of the narrative model was providing unclear and mixed messages (Milner et al., 2020).</w:t>
      </w:r>
    </w:p>
    <w:p w14:paraId="44E5048E"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Tice et al. (1989) report that 50% of individuals diagnosed with eating disorders have been victims of sexual abuse, therefore not reporting this disclosure may have impacted her daughter’s physical as well as emotional wellbeing.  Collaboratively with my colleague we asked why she did not report these concerns and she stated that she did not believe </w:t>
      </w:r>
      <w:r>
        <w:rPr>
          <w:rFonts w:ascii="Arial" w:hAnsi="Arial" w:cs="Arial"/>
          <w:sz w:val="24"/>
          <w:szCs w:val="24"/>
        </w:rPr>
        <w:t>2</w:t>
      </w:r>
      <w:r w:rsidRPr="00247090">
        <w:rPr>
          <w:rFonts w:ascii="Arial" w:hAnsi="Arial" w:cs="Arial"/>
          <w:sz w:val="24"/>
          <w:szCs w:val="24"/>
        </w:rPr>
        <w:t>’s allegations at the time.  Fabrizio (2018) argues that this lack of belief can set the victim for a “</w:t>
      </w:r>
      <w:r w:rsidRPr="00247090">
        <w:rPr>
          <w:rFonts w:ascii="Arial" w:hAnsi="Arial" w:cs="Arial"/>
          <w:i/>
          <w:iCs/>
          <w:sz w:val="24"/>
          <w:szCs w:val="24"/>
        </w:rPr>
        <w:t xml:space="preserve">lifetime of incredible internal conflict”.  </w:t>
      </w:r>
    </w:p>
    <w:p w14:paraId="20EC8B03" w14:textId="77777777" w:rsidR="007E5876" w:rsidRPr="00247090" w:rsidRDefault="007E5876" w:rsidP="007E5876">
      <w:pPr>
        <w:rPr>
          <w:rFonts w:ascii="Arial" w:hAnsi="Arial" w:cs="Arial"/>
          <w:sz w:val="24"/>
          <w:szCs w:val="24"/>
        </w:rPr>
      </w:pPr>
      <w:r w:rsidRPr="00247090">
        <w:rPr>
          <w:rFonts w:ascii="Arial" w:hAnsi="Arial" w:cs="Arial"/>
          <w:sz w:val="24"/>
          <w:szCs w:val="24"/>
        </w:rPr>
        <w:t>Statistics state that there were 3729 crimes in Wales involving child sexual abuse in 2021 – 2022 (Welsh Government, 2022) but the NSPCC (2021) acknowledge that it is not possible to have accurate child sexual abuse statistics due to fear and stigma.  This is particularly complicated by the fact that two-thirds of such abuse is perpetrated by a family member, or someone known to the child (</w:t>
      </w:r>
      <w:proofErr w:type="spellStart"/>
      <w:r w:rsidRPr="00247090">
        <w:rPr>
          <w:rFonts w:ascii="Arial" w:hAnsi="Arial" w:cs="Arial"/>
          <w:sz w:val="24"/>
          <w:szCs w:val="24"/>
        </w:rPr>
        <w:t>McNeish</w:t>
      </w:r>
      <w:proofErr w:type="spellEnd"/>
      <w:r w:rsidRPr="00247090">
        <w:rPr>
          <w:rFonts w:ascii="Arial" w:hAnsi="Arial" w:cs="Arial"/>
          <w:sz w:val="24"/>
          <w:szCs w:val="24"/>
        </w:rPr>
        <w:t xml:space="preserve"> and Scott, 2018).</w:t>
      </w:r>
    </w:p>
    <w:p w14:paraId="2D9DBA3F"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When assessing ability to safeguard and provide emotional warmth, myself and my colleague found it concerning that although </w:t>
      </w:r>
      <w:r>
        <w:rPr>
          <w:rFonts w:ascii="Arial" w:hAnsi="Arial" w:cs="Arial"/>
          <w:sz w:val="24"/>
          <w:szCs w:val="24"/>
        </w:rPr>
        <w:t>2</w:t>
      </w:r>
      <w:r w:rsidRPr="00247090">
        <w:rPr>
          <w:rFonts w:ascii="Arial" w:hAnsi="Arial" w:cs="Arial"/>
          <w:sz w:val="24"/>
          <w:szCs w:val="24"/>
        </w:rPr>
        <w:t xml:space="preserve"> made a disclosure, she was not supported, listened to, or provided with empathy.  Although </w:t>
      </w:r>
      <w:proofErr w:type="spellStart"/>
      <w:r w:rsidRPr="00247090">
        <w:rPr>
          <w:rFonts w:ascii="Arial" w:hAnsi="Arial" w:cs="Arial"/>
          <w:sz w:val="24"/>
          <w:szCs w:val="24"/>
        </w:rPr>
        <w:t>Drevitch</w:t>
      </w:r>
      <w:proofErr w:type="spellEnd"/>
      <w:r w:rsidRPr="00247090">
        <w:rPr>
          <w:rFonts w:ascii="Arial" w:hAnsi="Arial" w:cs="Arial"/>
          <w:sz w:val="24"/>
          <w:szCs w:val="24"/>
        </w:rPr>
        <w:t xml:space="preserve"> (2022) report that there is no one-way to react to a disclosure, Parents Protect (2018) advise it is crucial to respond promptly and with care.  This raised significant concern when assessing the </w:t>
      </w:r>
      <w:r>
        <w:rPr>
          <w:rFonts w:ascii="Arial" w:hAnsi="Arial" w:cs="Arial"/>
          <w:sz w:val="24"/>
          <w:szCs w:val="24"/>
        </w:rPr>
        <w:t>1</w:t>
      </w:r>
      <w:r w:rsidRPr="00247090">
        <w:rPr>
          <w:rFonts w:ascii="Arial" w:hAnsi="Arial" w:cs="Arial"/>
          <w:sz w:val="24"/>
          <w:szCs w:val="24"/>
        </w:rPr>
        <w:t>’s ability to safeguard the child as evidence shows that this is not something she has done successfully in the past</w:t>
      </w:r>
      <w:r>
        <w:rPr>
          <w:rFonts w:ascii="Arial" w:hAnsi="Arial" w:cs="Arial"/>
          <w:sz w:val="24"/>
          <w:szCs w:val="24"/>
        </w:rPr>
        <w:t>;</w:t>
      </w:r>
      <w:r w:rsidRPr="00247090">
        <w:rPr>
          <w:rFonts w:ascii="Arial" w:hAnsi="Arial" w:cs="Arial"/>
          <w:sz w:val="24"/>
          <w:szCs w:val="24"/>
        </w:rPr>
        <w:t xml:space="preserve"> and Grinnell and </w:t>
      </w:r>
      <w:proofErr w:type="spellStart"/>
      <w:r w:rsidRPr="00247090">
        <w:rPr>
          <w:rFonts w:ascii="Arial" w:hAnsi="Arial" w:cs="Arial"/>
          <w:sz w:val="24"/>
          <w:szCs w:val="24"/>
        </w:rPr>
        <w:t>Unrau</w:t>
      </w:r>
      <w:proofErr w:type="spellEnd"/>
      <w:r w:rsidRPr="00247090">
        <w:rPr>
          <w:rFonts w:ascii="Arial" w:hAnsi="Arial" w:cs="Arial"/>
          <w:sz w:val="24"/>
          <w:szCs w:val="24"/>
        </w:rPr>
        <w:t xml:space="preserve"> (2010) reiterate that assessment analysis are evidence-based.  </w:t>
      </w:r>
    </w:p>
    <w:p w14:paraId="16FED9A8"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My colleague and I used scenarios to better understand how </w:t>
      </w:r>
      <w:r>
        <w:rPr>
          <w:rFonts w:ascii="Arial" w:hAnsi="Arial" w:cs="Arial"/>
          <w:sz w:val="24"/>
          <w:szCs w:val="24"/>
        </w:rPr>
        <w:t>1</w:t>
      </w:r>
      <w:r w:rsidRPr="00247090">
        <w:rPr>
          <w:rFonts w:ascii="Arial" w:hAnsi="Arial" w:cs="Arial"/>
          <w:sz w:val="24"/>
          <w:szCs w:val="24"/>
        </w:rPr>
        <w:t xml:space="preserve"> would respond in particular situations, and Critchley (2013) agrees that the use of scenarios are beneficial in assessment, particularly due to the child being unborn, meaning it was </w:t>
      </w:r>
      <w:r w:rsidRPr="00247090">
        <w:rPr>
          <w:rFonts w:ascii="Arial" w:hAnsi="Arial" w:cs="Arial"/>
          <w:sz w:val="24"/>
          <w:szCs w:val="24"/>
        </w:rPr>
        <w:lastRenderedPageBreak/>
        <w:t>not possible to focus on any known presentation, behaviours or potential areas of conflict.  We discussed a scenario whereby</w:t>
      </w:r>
      <w:r>
        <w:rPr>
          <w:rFonts w:ascii="Arial" w:hAnsi="Arial" w:cs="Arial"/>
          <w:sz w:val="24"/>
          <w:szCs w:val="24"/>
        </w:rPr>
        <w:t xml:space="preserve"> if</w:t>
      </w:r>
      <w:r w:rsidRPr="00247090">
        <w:rPr>
          <w:rFonts w:ascii="Arial" w:hAnsi="Arial" w:cs="Arial"/>
          <w:sz w:val="24"/>
          <w:szCs w:val="24"/>
        </w:rPr>
        <w:t xml:space="preserve"> there was another concern regarding </w:t>
      </w:r>
      <w:r>
        <w:rPr>
          <w:rFonts w:ascii="Arial" w:hAnsi="Arial" w:cs="Arial"/>
          <w:sz w:val="24"/>
          <w:szCs w:val="24"/>
        </w:rPr>
        <w:t>2</w:t>
      </w:r>
      <w:r w:rsidRPr="00247090">
        <w:rPr>
          <w:rFonts w:ascii="Arial" w:hAnsi="Arial" w:cs="Arial"/>
          <w:sz w:val="24"/>
          <w:szCs w:val="24"/>
        </w:rPr>
        <w:t xml:space="preserve">’s mental health, displaying further suicidal ideation and intent, and how the </w:t>
      </w:r>
      <w:r>
        <w:rPr>
          <w:rFonts w:ascii="Arial" w:hAnsi="Arial" w:cs="Arial"/>
          <w:sz w:val="24"/>
          <w:szCs w:val="24"/>
        </w:rPr>
        <w:t>1</w:t>
      </w:r>
      <w:r w:rsidRPr="00247090">
        <w:rPr>
          <w:rFonts w:ascii="Arial" w:hAnsi="Arial" w:cs="Arial"/>
          <w:sz w:val="24"/>
          <w:szCs w:val="24"/>
        </w:rPr>
        <w:t xml:space="preserve"> would manage these concerns.  She stated that she may inform professionals but would initially discuss with </w:t>
      </w:r>
      <w:r>
        <w:rPr>
          <w:rFonts w:ascii="Arial" w:hAnsi="Arial" w:cs="Arial"/>
          <w:sz w:val="24"/>
          <w:szCs w:val="24"/>
        </w:rPr>
        <w:t>2</w:t>
      </w:r>
      <w:r w:rsidRPr="00247090">
        <w:rPr>
          <w:rFonts w:ascii="Arial" w:hAnsi="Arial" w:cs="Arial"/>
          <w:sz w:val="24"/>
          <w:szCs w:val="24"/>
        </w:rPr>
        <w:t xml:space="preserve">.  In our judgement this raised concern regarding </w:t>
      </w:r>
      <w:r>
        <w:rPr>
          <w:rFonts w:ascii="Arial" w:hAnsi="Arial" w:cs="Arial"/>
          <w:sz w:val="24"/>
          <w:szCs w:val="24"/>
        </w:rPr>
        <w:t>1</w:t>
      </w:r>
      <w:r w:rsidRPr="00247090">
        <w:rPr>
          <w:rFonts w:ascii="Arial" w:hAnsi="Arial" w:cs="Arial"/>
          <w:sz w:val="24"/>
          <w:szCs w:val="24"/>
        </w:rPr>
        <w:t>’s ability to prioritise the needs of the child and work transparently with services (Fox, 2022).   The Children Act (1989) explains “</w:t>
      </w:r>
      <w:r w:rsidRPr="00247090">
        <w:rPr>
          <w:rFonts w:ascii="Arial" w:hAnsi="Arial" w:cs="Arial"/>
          <w:i/>
          <w:iCs/>
          <w:sz w:val="24"/>
          <w:szCs w:val="24"/>
        </w:rPr>
        <w:t>the welfare of the child is paramount</w:t>
      </w:r>
      <w:r w:rsidRPr="00247090">
        <w:rPr>
          <w:rFonts w:ascii="Arial" w:hAnsi="Arial" w:cs="Arial"/>
          <w:sz w:val="24"/>
          <w:szCs w:val="24"/>
        </w:rPr>
        <w:t xml:space="preserve">” (Legislation, 2023d) and </w:t>
      </w:r>
      <w:r>
        <w:rPr>
          <w:rFonts w:ascii="Arial" w:hAnsi="Arial" w:cs="Arial"/>
          <w:sz w:val="24"/>
          <w:szCs w:val="24"/>
        </w:rPr>
        <w:t>1</w:t>
      </w:r>
      <w:r w:rsidRPr="00247090">
        <w:rPr>
          <w:rFonts w:ascii="Arial" w:hAnsi="Arial" w:cs="Arial"/>
          <w:sz w:val="24"/>
          <w:szCs w:val="24"/>
        </w:rPr>
        <w:t xml:space="preserve"> was unable to provide reassurance that she would prioritise the child.  Whilst it is commendable that she is supporting </w:t>
      </w:r>
      <w:r>
        <w:rPr>
          <w:rFonts w:ascii="Arial" w:hAnsi="Arial" w:cs="Arial"/>
          <w:sz w:val="24"/>
          <w:szCs w:val="24"/>
        </w:rPr>
        <w:t>2</w:t>
      </w:r>
      <w:r w:rsidRPr="00247090">
        <w:rPr>
          <w:rFonts w:ascii="Arial" w:hAnsi="Arial" w:cs="Arial"/>
          <w:sz w:val="24"/>
          <w:szCs w:val="24"/>
        </w:rPr>
        <w:t xml:space="preserve">, our analysis of the assessment was to ensure that the needs of the child would be met and he would be safeguarded, but in our professional judgement we were concerned that this would not </w:t>
      </w:r>
      <w:r>
        <w:rPr>
          <w:rFonts w:ascii="Arial" w:hAnsi="Arial" w:cs="Arial"/>
          <w:sz w:val="24"/>
          <w:szCs w:val="24"/>
        </w:rPr>
        <w:t>be prioritised.</w:t>
      </w:r>
    </w:p>
    <w:p w14:paraId="49F0C28B"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My colleague and I used the What Matters conversation in accordance with the SSWBWA (2014).  SCW (2022c) describe these conversations as outcome-focused, ensuring that the carer has a voice and promotes collaborative working.  In our professional judgement we found that within this conversation </w:t>
      </w:r>
      <w:r>
        <w:rPr>
          <w:rFonts w:ascii="Arial" w:hAnsi="Arial" w:cs="Arial"/>
          <w:sz w:val="24"/>
          <w:szCs w:val="24"/>
        </w:rPr>
        <w:t>1</w:t>
      </w:r>
      <w:r w:rsidRPr="00247090">
        <w:rPr>
          <w:rFonts w:ascii="Arial" w:hAnsi="Arial" w:cs="Arial"/>
          <w:sz w:val="24"/>
          <w:szCs w:val="24"/>
        </w:rPr>
        <w:t xml:space="preserve">’s main focus was </w:t>
      </w:r>
      <w:r>
        <w:rPr>
          <w:rFonts w:ascii="Arial" w:hAnsi="Arial" w:cs="Arial"/>
          <w:sz w:val="24"/>
          <w:szCs w:val="24"/>
        </w:rPr>
        <w:t>2</w:t>
      </w:r>
      <w:r w:rsidRPr="00247090">
        <w:rPr>
          <w:rFonts w:ascii="Arial" w:hAnsi="Arial" w:cs="Arial"/>
          <w:sz w:val="24"/>
          <w:szCs w:val="24"/>
        </w:rPr>
        <w:t xml:space="preserve">, rather than the welfare of her unborn grandson.  Divided loyalties are a common theme in connected persons care (Creating a Family, 2023) and Rose et al. (2022) go on to explain the balancing act and change in family dynamics can be a big challenge for families.  </w:t>
      </w:r>
      <w:r>
        <w:rPr>
          <w:rFonts w:ascii="Arial" w:hAnsi="Arial" w:cs="Arial"/>
          <w:sz w:val="24"/>
          <w:szCs w:val="24"/>
        </w:rPr>
        <w:t>1</w:t>
      </w:r>
      <w:r w:rsidRPr="00247090">
        <w:rPr>
          <w:rFonts w:ascii="Arial" w:hAnsi="Arial" w:cs="Arial"/>
          <w:sz w:val="24"/>
          <w:szCs w:val="24"/>
        </w:rPr>
        <w:t xml:space="preserve"> was not able to recognise the local authority’s concerns therefore in my professional judgement I was concerned about disguised compliance, minimising risk and not acting appropriately when concerns arose, therefore compromising the safety and welfare of the child.  </w:t>
      </w:r>
    </w:p>
    <w:p w14:paraId="34643766"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Although many expectant mothers do experience some form of mental health in pregnancy, the Royal College of Psychiatrists (2023) confirm that most are not referred to children’s services; however, in this case the concerns were so significant that a referral was warranted.  </w:t>
      </w:r>
      <w:r>
        <w:rPr>
          <w:rFonts w:ascii="Arial" w:hAnsi="Arial" w:cs="Arial"/>
          <w:sz w:val="24"/>
          <w:szCs w:val="24"/>
        </w:rPr>
        <w:t>1</w:t>
      </w:r>
      <w:r w:rsidRPr="00247090">
        <w:rPr>
          <w:rFonts w:ascii="Arial" w:hAnsi="Arial" w:cs="Arial"/>
          <w:sz w:val="24"/>
          <w:szCs w:val="24"/>
        </w:rPr>
        <w:t xml:space="preserve"> argued that it was not ethical to complete assessments whilst </w:t>
      </w:r>
      <w:r>
        <w:rPr>
          <w:rFonts w:ascii="Arial" w:hAnsi="Arial" w:cs="Arial"/>
          <w:sz w:val="24"/>
          <w:szCs w:val="24"/>
        </w:rPr>
        <w:t>2</w:t>
      </w:r>
      <w:r w:rsidRPr="00247090">
        <w:rPr>
          <w:rFonts w:ascii="Arial" w:hAnsi="Arial" w:cs="Arial"/>
          <w:sz w:val="24"/>
          <w:szCs w:val="24"/>
        </w:rPr>
        <w:t xml:space="preserve"> was pregnant and I did empathise with this as pregnancy brings mixed emotions to many women, but </w:t>
      </w:r>
      <w:proofErr w:type="spellStart"/>
      <w:r w:rsidRPr="00247090">
        <w:rPr>
          <w:rFonts w:ascii="Arial" w:hAnsi="Arial" w:cs="Arial"/>
          <w:sz w:val="24"/>
          <w:szCs w:val="24"/>
        </w:rPr>
        <w:t>Lushey</w:t>
      </w:r>
      <w:proofErr w:type="spellEnd"/>
      <w:r w:rsidRPr="00247090">
        <w:rPr>
          <w:rFonts w:ascii="Arial" w:hAnsi="Arial" w:cs="Arial"/>
          <w:sz w:val="24"/>
          <w:szCs w:val="24"/>
        </w:rPr>
        <w:t xml:space="preserve"> et al. (2014) reports that some parental issues can have negative effects on unborn children, therefore some assessments need to be completed pre-birth.  Taking this information into account I did use an empathetic approach and frequently checked that </w:t>
      </w:r>
      <w:r>
        <w:rPr>
          <w:rFonts w:ascii="Arial" w:hAnsi="Arial" w:cs="Arial"/>
          <w:sz w:val="24"/>
          <w:szCs w:val="24"/>
        </w:rPr>
        <w:t>1</w:t>
      </w:r>
      <w:r w:rsidRPr="00247090">
        <w:rPr>
          <w:rFonts w:ascii="Arial" w:hAnsi="Arial" w:cs="Arial"/>
          <w:sz w:val="24"/>
          <w:szCs w:val="24"/>
        </w:rPr>
        <w:t xml:space="preserve"> felt comfortable continuing with the assessment.  Although </w:t>
      </w:r>
      <w:r>
        <w:rPr>
          <w:rFonts w:ascii="Arial" w:hAnsi="Arial" w:cs="Arial"/>
          <w:sz w:val="24"/>
          <w:szCs w:val="24"/>
        </w:rPr>
        <w:t>1</w:t>
      </w:r>
      <w:r w:rsidRPr="00247090">
        <w:rPr>
          <w:rFonts w:ascii="Arial" w:hAnsi="Arial" w:cs="Arial"/>
          <w:sz w:val="24"/>
          <w:szCs w:val="24"/>
        </w:rPr>
        <w:t xml:space="preserve"> herself was not pregnant, I was aware that this was her first grandchild and emotions can be heightened.  </w:t>
      </w:r>
    </w:p>
    <w:p w14:paraId="03AE02EC"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Ethically I found it challenging to complete this assessment as I was able to empathise with the </w:t>
      </w:r>
      <w:r>
        <w:rPr>
          <w:rFonts w:ascii="Arial" w:hAnsi="Arial" w:cs="Arial"/>
          <w:sz w:val="24"/>
          <w:szCs w:val="24"/>
        </w:rPr>
        <w:t>1</w:t>
      </w:r>
      <w:r w:rsidRPr="00247090">
        <w:rPr>
          <w:rFonts w:ascii="Arial" w:hAnsi="Arial" w:cs="Arial"/>
          <w:sz w:val="24"/>
          <w:szCs w:val="24"/>
        </w:rPr>
        <w:t xml:space="preserve">’s wishes to support </w:t>
      </w:r>
      <w:r>
        <w:rPr>
          <w:rFonts w:ascii="Arial" w:hAnsi="Arial" w:cs="Arial"/>
          <w:sz w:val="24"/>
          <w:szCs w:val="24"/>
        </w:rPr>
        <w:t>2</w:t>
      </w:r>
      <w:r w:rsidRPr="00247090">
        <w:rPr>
          <w:rFonts w:ascii="Arial" w:hAnsi="Arial" w:cs="Arial"/>
          <w:sz w:val="24"/>
          <w:szCs w:val="24"/>
        </w:rPr>
        <w:t xml:space="preserve"> and she exclaimed that at that time </w:t>
      </w:r>
      <w:r>
        <w:rPr>
          <w:rFonts w:ascii="Arial" w:hAnsi="Arial" w:cs="Arial"/>
          <w:sz w:val="24"/>
          <w:szCs w:val="24"/>
        </w:rPr>
        <w:t>2</w:t>
      </w:r>
      <w:r w:rsidRPr="00247090">
        <w:rPr>
          <w:rFonts w:ascii="Arial" w:hAnsi="Arial" w:cs="Arial"/>
          <w:sz w:val="24"/>
          <w:szCs w:val="24"/>
        </w:rPr>
        <w:t xml:space="preserve"> had rights whereby the unborn did not have legal rights to recognition under the Human Rights Act (1998) (Legislation, 2023f).  However, under section 47 of the Children Act (1989) social services can commence child protection procedures if there are concerns that the baby will be at risk of significant harm when born (Legislation, 2023d).  This was challenging in terms of our assessment as we needed to focus on analysing future ability to care for and safeguard the child and we were unable to include the voice of the child.  I was conscious to try and include the voice as O’Reilly and Dolan (2015) comment that serious case reviews including the tragedies of Victoria Climbie and Peter Connolly have themes of lack of the child’s </w:t>
      </w:r>
      <w:r w:rsidRPr="00247090">
        <w:rPr>
          <w:rFonts w:ascii="Arial" w:hAnsi="Arial" w:cs="Arial"/>
          <w:sz w:val="24"/>
          <w:szCs w:val="24"/>
        </w:rPr>
        <w:lastRenderedPageBreak/>
        <w:t xml:space="preserve">voice.  Including the voice of the child is important in a child-focused and collaborative approaches according to Wilson (2018).  The inclusion of voice is detailed in legislation including the Children Act 1989 and 2004, article twelve of the UN Convention on the Rights of the Child </w:t>
      </w:r>
      <w:r>
        <w:rPr>
          <w:rFonts w:ascii="Arial" w:hAnsi="Arial" w:cs="Arial"/>
          <w:sz w:val="24"/>
          <w:szCs w:val="24"/>
        </w:rPr>
        <w:t xml:space="preserve">(1989) </w:t>
      </w:r>
      <w:r w:rsidRPr="00247090">
        <w:rPr>
          <w:rFonts w:ascii="Arial" w:hAnsi="Arial" w:cs="Arial"/>
          <w:sz w:val="24"/>
          <w:szCs w:val="24"/>
        </w:rPr>
        <w:t xml:space="preserve">and the Codes of Professional Practice, emphasising its importance. </w:t>
      </w:r>
    </w:p>
    <w:p w14:paraId="45B2DA6C" w14:textId="77777777" w:rsidR="007E5876" w:rsidRPr="00247090" w:rsidRDefault="007E5876" w:rsidP="007E5876">
      <w:pPr>
        <w:rPr>
          <w:rFonts w:ascii="Arial" w:hAnsi="Arial" w:cs="Arial"/>
          <w:sz w:val="24"/>
          <w:szCs w:val="24"/>
        </w:rPr>
      </w:pPr>
      <w:r w:rsidRPr="00247090">
        <w:rPr>
          <w:rFonts w:ascii="Arial" w:hAnsi="Arial" w:cs="Arial"/>
          <w:sz w:val="24"/>
          <w:szCs w:val="24"/>
        </w:rPr>
        <w:t>When exploring family composition, it is imperative to consider the attachment theory.  Freud states that the mother and child attachment is the primary bond (Fitton, 2013) however Bowlby (1988) goes further by hypothesizing that children behave in three particular manners to avoid separation: secure attachment, anxious resistant attachment and avoidance.  Kennedy and Kennedy (2004) later discussed a fourth style of attachment whereby children have no predictable pattern of behaviours.  This is important as there are numerous literacy articles that state attachment bonds develop in the womb (</w:t>
      </w:r>
      <w:proofErr w:type="spellStart"/>
      <w:r w:rsidRPr="00247090">
        <w:rPr>
          <w:rFonts w:ascii="Arial" w:hAnsi="Arial" w:cs="Arial"/>
          <w:sz w:val="24"/>
          <w:szCs w:val="24"/>
        </w:rPr>
        <w:t>Trombetta</w:t>
      </w:r>
      <w:proofErr w:type="spellEnd"/>
      <w:r w:rsidRPr="00247090">
        <w:rPr>
          <w:rFonts w:ascii="Arial" w:hAnsi="Arial" w:cs="Arial"/>
          <w:sz w:val="24"/>
          <w:szCs w:val="24"/>
        </w:rPr>
        <w:t xml:space="preserve"> et al., 2021) and Zhang et al. (2022) conducted a study which evidenced a link between suicidal ideation in pregnancy and attachment concerns.  </w:t>
      </w:r>
      <w:r>
        <w:rPr>
          <w:rFonts w:ascii="Arial" w:hAnsi="Arial" w:cs="Arial"/>
          <w:sz w:val="24"/>
          <w:szCs w:val="24"/>
        </w:rPr>
        <w:t>1</w:t>
      </w:r>
      <w:r w:rsidRPr="00247090">
        <w:rPr>
          <w:rFonts w:ascii="Arial" w:hAnsi="Arial" w:cs="Arial"/>
          <w:sz w:val="24"/>
          <w:szCs w:val="24"/>
        </w:rPr>
        <w:t xml:space="preserve"> was resistant to accepting any support regarding attachment including training and support which raised concern regarding her ability to work with others, improving knowledge and understanding and being able to meet the child’s needs, which in turn impact the caring and safeguarding role. </w:t>
      </w:r>
    </w:p>
    <w:p w14:paraId="79722E08" w14:textId="77777777" w:rsidR="007E5876" w:rsidRPr="00247090" w:rsidRDefault="007E5876" w:rsidP="007E5876">
      <w:pPr>
        <w:rPr>
          <w:rFonts w:ascii="Arial" w:hAnsi="Arial" w:cs="Arial"/>
          <w:sz w:val="24"/>
          <w:szCs w:val="24"/>
        </w:rPr>
      </w:pPr>
      <w:r>
        <w:rPr>
          <w:rFonts w:ascii="Arial" w:hAnsi="Arial" w:cs="Arial"/>
          <w:sz w:val="24"/>
          <w:szCs w:val="24"/>
        </w:rPr>
        <w:t>2</w:t>
      </w:r>
      <w:r w:rsidRPr="00247090">
        <w:rPr>
          <w:rFonts w:ascii="Arial" w:hAnsi="Arial" w:cs="Arial"/>
          <w:sz w:val="24"/>
          <w:szCs w:val="24"/>
        </w:rPr>
        <w:t xml:space="preserve"> was being supported by mental health services, but </w:t>
      </w:r>
      <w:r>
        <w:rPr>
          <w:rFonts w:ascii="Arial" w:hAnsi="Arial" w:cs="Arial"/>
          <w:sz w:val="24"/>
          <w:szCs w:val="24"/>
        </w:rPr>
        <w:t>1</w:t>
      </w:r>
      <w:r w:rsidRPr="00247090">
        <w:rPr>
          <w:rFonts w:ascii="Arial" w:hAnsi="Arial" w:cs="Arial"/>
          <w:sz w:val="24"/>
          <w:szCs w:val="24"/>
        </w:rPr>
        <w:t xml:space="preserve"> was unaware of any contingency plans should there be a deterioration in emotional wellbeing.  We were concerned about the safeguarding of </w:t>
      </w:r>
      <w:r>
        <w:rPr>
          <w:rFonts w:ascii="Arial" w:hAnsi="Arial" w:cs="Arial"/>
          <w:sz w:val="24"/>
          <w:szCs w:val="24"/>
        </w:rPr>
        <w:t>2</w:t>
      </w:r>
      <w:r w:rsidRPr="00247090">
        <w:rPr>
          <w:rFonts w:ascii="Arial" w:hAnsi="Arial" w:cs="Arial"/>
          <w:sz w:val="24"/>
          <w:szCs w:val="24"/>
        </w:rPr>
        <w:t xml:space="preserve"> also considering her history of mental health as she had attempted suicide several times.  Most recently she attempted to hang herself in the home that she shares with </w:t>
      </w:r>
      <w:r>
        <w:rPr>
          <w:rFonts w:ascii="Arial" w:hAnsi="Arial" w:cs="Arial"/>
          <w:sz w:val="24"/>
          <w:szCs w:val="24"/>
        </w:rPr>
        <w:t>1</w:t>
      </w:r>
      <w:r w:rsidRPr="00247090">
        <w:rPr>
          <w:rFonts w:ascii="Arial" w:hAnsi="Arial" w:cs="Arial"/>
          <w:sz w:val="24"/>
          <w:szCs w:val="24"/>
        </w:rPr>
        <w:t xml:space="preserve"> and neither party informed mental health nor social services about this and in my professional judgement this raised further concern regarding disguised compliance and ability to work collaboratively.  Fostering Network (2023) identify working with others and communication as key elements of the fostering task and </w:t>
      </w:r>
      <w:proofErr w:type="spellStart"/>
      <w:r w:rsidRPr="00247090">
        <w:rPr>
          <w:rFonts w:ascii="Arial" w:hAnsi="Arial" w:cs="Arial"/>
          <w:sz w:val="24"/>
          <w:szCs w:val="24"/>
        </w:rPr>
        <w:t>Jahans</w:t>
      </w:r>
      <w:proofErr w:type="spellEnd"/>
      <w:r w:rsidRPr="00247090">
        <w:rPr>
          <w:rFonts w:ascii="Arial" w:hAnsi="Arial" w:cs="Arial"/>
          <w:sz w:val="24"/>
          <w:szCs w:val="24"/>
        </w:rPr>
        <w:t xml:space="preserve">-Baynton and </w:t>
      </w:r>
      <w:proofErr w:type="spellStart"/>
      <w:r w:rsidRPr="00247090">
        <w:rPr>
          <w:rFonts w:ascii="Arial" w:hAnsi="Arial" w:cs="Arial"/>
          <w:sz w:val="24"/>
          <w:szCs w:val="24"/>
        </w:rPr>
        <w:t>Grealist</w:t>
      </w:r>
      <w:proofErr w:type="spellEnd"/>
      <w:r w:rsidRPr="00247090">
        <w:rPr>
          <w:rFonts w:ascii="Arial" w:hAnsi="Arial" w:cs="Arial"/>
          <w:sz w:val="24"/>
          <w:szCs w:val="24"/>
        </w:rPr>
        <w:t xml:space="preserve"> (2021) report risk of noncollaborative working leading to child safeguarding concerns. </w:t>
      </w:r>
    </w:p>
    <w:p w14:paraId="2C5CF014"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Despite the child being unborn he has been subjected to at least two adverse childhood experiences: parental separation and mental illness.  The Wellbeing of Future Generations (Wales) Act (2015) (Legislation, 2023h) states that 36% of individuals in Wales have had one to three ACEs.  There is evidence to show that ACEs are linked to increase harm as the child gets older (Bellis et al., 2015).  I discussed training opportunities regarding ACEs, challenging behaviours and effects of trauma which Adkins et al. (2020) state is important knowledge for foster carers.  </w:t>
      </w:r>
      <w:r>
        <w:rPr>
          <w:rFonts w:ascii="Arial" w:hAnsi="Arial" w:cs="Arial"/>
          <w:sz w:val="24"/>
          <w:szCs w:val="24"/>
        </w:rPr>
        <w:t>1</w:t>
      </w:r>
      <w:r w:rsidRPr="00247090">
        <w:rPr>
          <w:rFonts w:ascii="Arial" w:hAnsi="Arial" w:cs="Arial"/>
          <w:sz w:val="24"/>
          <w:szCs w:val="24"/>
        </w:rPr>
        <w:t xml:space="preserve"> was dismissive of these opportunities stating she had parented</w:t>
      </w:r>
      <w:r>
        <w:rPr>
          <w:rFonts w:ascii="Arial" w:hAnsi="Arial" w:cs="Arial"/>
          <w:sz w:val="24"/>
          <w:szCs w:val="24"/>
        </w:rPr>
        <w:t xml:space="preserve"> 2</w:t>
      </w:r>
      <w:r w:rsidRPr="00247090">
        <w:rPr>
          <w:rFonts w:ascii="Arial" w:hAnsi="Arial" w:cs="Arial"/>
          <w:sz w:val="24"/>
          <w:szCs w:val="24"/>
        </w:rPr>
        <w:t xml:space="preserve"> without support.  It is important to consider the traumas that a child looked after may have faced and Gautier and </w:t>
      </w:r>
      <w:proofErr w:type="spellStart"/>
      <w:r w:rsidRPr="00247090">
        <w:rPr>
          <w:rFonts w:ascii="Arial" w:hAnsi="Arial" w:cs="Arial"/>
          <w:sz w:val="24"/>
          <w:szCs w:val="24"/>
        </w:rPr>
        <w:t>Wellard</w:t>
      </w:r>
      <w:proofErr w:type="spellEnd"/>
      <w:r w:rsidRPr="00247090">
        <w:rPr>
          <w:rFonts w:ascii="Arial" w:hAnsi="Arial" w:cs="Arial"/>
          <w:sz w:val="24"/>
          <w:szCs w:val="24"/>
        </w:rPr>
        <w:t xml:space="preserve"> (2014) report that 90% of connected persons carers found caring for a connected child more challenging than raising their own child.  This lack of willingness to improve knowledge, understanding and practice was concerning as foster carers are expected to engage in training to keep up to date with practices, improve confidence and skills and ensure safeguarding and outcomes for the child (Safe Base, 2022).  </w:t>
      </w:r>
    </w:p>
    <w:p w14:paraId="0472FCD2" w14:textId="77777777" w:rsidR="007E5876" w:rsidRPr="00247090" w:rsidRDefault="007E5876" w:rsidP="007E5876">
      <w:pPr>
        <w:rPr>
          <w:rFonts w:ascii="Arial" w:hAnsi="Arial" w:cs="Arial"/>
          <w:sz w:val="24"/>
          <w:szCs w:val="24"/>
        </w:rPr>
      </w:pPr>
      <w:r w:rsidRPr="00247090">
        <w:rPr>
          <w:rFonts w:ascii="Arial" w:hAnsi="Arial" w:cs="Arial"/>
          <w:sz w:val="24"/>
          <w:szCs w:val="24"/>
        </w:rPr>
        <w:lastRenderedPageBreak/>
        <w:t xml:space="preserve">Throughout the assessment I was transparent in raising my concerns with </w:t>
      </w:r>
      <w:r>
        <w:rPr>
          <w:rFonts w:ascii="Arial" w:hAnsi="Arial" w:cs="Arial"/>
          <w:sz w:val="24"/>
          <w:szCs w:val="24"/>
        </w:rPr>
        <w:t>1</w:t>
      </w:r>
      <w:r w:rsidRPr="00247090">
        <w:rPr>
          <w:rFonts w:ascii="Arial" w:hAnsi="Arial" w:cs="Arial"/>
          <w:sz w:val="24"/>
          <w:szCs w:val="24"/>
        </w:rPr>
        <w:t xml:space="preserve"> about her ability to safeguard and meet the needs of the child.  At the end of the assessment, I used the procedural approach to explain the next steps where myself and my colleague would agree a recommendation and seek managerial oversight then we would inform of the outcome.  </w:t>
      </w:r>
    </w:p>
    <w:p w14:paraId="4A59B7B1" w14:textId="77777777" w:rsidR="007E5876" w:rsidRPr="00247090" w:rsidRDefault="007E5876" w:rsidP="007E5876">
      <w:pPr>
        <w:rPr>
          <w:rFonts w:ascii="Arial" w:hAnsi="Arial" w:cs="Arial"/>
          <w:sz w:val="24"/>
          <w:szCs w:val="24"/>
        </w:rPr>
      </w:pPr>
      <w:r w:rsidRPr="00247090">
        <w:rPr>
          <w:rFonts w:ascii="Arial" w:hAnsi="Arial" w:cs="Arial"/>
          <w:sz w:val="24"/>
          <w:szCs w:val="24"/>
        </w:rPr>
        <w:t>The other social worker and I collaboratively discussed and analysed the assessment at length and recorded the information accurately.  We discussed the strengths and vulnerabilities and in our professional judgement we agreed that</w:t>
      </w:r>
      <w:r>
        <w:rPr>
          <w:rFonts w:ascii="Arial" w:hAnsi="Arial" w:cs="Arial"/>
          <w:sz w:val="24"/>
          <w:szCs w:val="24"/>
        </w:rPr>
        <w:t xml:space="preserve"> 1</w:t>
      </w:r>
      <w:r w:rsidRPr="00247090">
        <w:rPr>
          <w:rFonts w:ascii="Arial" w:hAnsi="Arial" w:cs="Arial"/>
          <w:sz w:val="24"/>
          <w:szCs w:val="24"/>
        </w:rPr>
        <w:t xml:space="preserve"> would not be able to prioritise the child, safeguard effectively and meet the Fostering Service National Minimum Standards (Department for Education, 2011).  We then met with the service manager to outline our concerns and she was in agreement with our professional judgement and recommendation.  </w:t>
      </w:r>
    </w:p>
    <w:p w14:paraId="6EE8CC00"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Delivering the news of a negative outcome is not a pleasant element of the role.  My colleague and I arranged a convenient date and time to visit </w:t>
      </w:r>
      <w:r>
        <w:rPr>
          <w:rFonts w:ascii="Arial" w:hAnsi="Arial" w:cs="Arial"/>
          <w:sz w:val="24"/>
          <w:szCs w:val="24"/>
        </w:rPr>
        <w:t>1</w:t>
      </w:r>
      <w:r w:rsidRPr="00247090">
        <w:rPr>
          <w:rFonts w:ascii="Arial" w:hAnsi="Arial" w:cs="Arial"/>
          <w:sz w:val="24"/>
          <w:szCs w:val="24"/>
        </w:rPr>
        <w:t xml:space="preserve"> to discuss the outcome of the assessment and explain the reason for this.  We again used a procedural approach but also showed empathy as it is an upsetting discussion to have.  I provided her with a letter detailing the main reasons for the negative outcome and appeal process.  I offered to go through each section of the assessment with her to discuss the contentious points however she declined, stating she would rather read it in her own time and consider seeking her own legal advice and we respected her wishes.  </w:t>
      </w:r>
    </w:p>
    <w:p w14:paraId="73E71FDF"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I used Driscoll’s model of reflection in supervision to consider the assessment and I feel that we were transparent throughout the process and explained concerns as they were raised.  </w:t>
      </w:r>
      <w:r>
        <w:rPr>
          <w:rFonts w:ascii="Arial" w:hAnsi="Arial" w:cs="Arial"/>
          <w:sz w:val="24"/>
          <w:szCs w:val="24"/>
        </w:rPr>
        <w:t>1</w:t>
      </w:r>
      <w:r w:rsidRPr="00247090">
        <w:rPr>
          <w:rFonts w:ascii="Arial" w:hAnsi="Arial" w:cs="Arial"/>
          <w:sz w:val="24"/>
          <w:szCs w:val="24"/>
        </w:rPr>
        <w:t xml:space="preserve"> may have felt powerless when we were explaining the outcome and when exploring conflict theory, it acknowledges that negative reactions are inevitable as sometimes as social workers we have to give news that people do not want to hear (Farrington and </w:t>
      </w:r>
      <w:proofErr w:type="spellStart"/>
      <w:r w:rsidRPr="00247090">
        <w:rPr>
          <w:rFonts w:ascii="Arial" w:hAnsi="Arial" w:cs="Arial"/>
          <w:sz w:val="24"/>
          <w:szCs w:val="24"/>
        </w:rPr>
        <w:t>Chertok</w:t>
      </w:r>
      <w:proofErr w:type="spellEnd"/>
      <w:r w:rsidRPr="00247090">
        <w:rPr>
          <w:rFonts w:ascii="Arial" w:hAnsi="Arial" w:cs="Arial"/>
          <w:sz w:val="24"/>
          <w:szCs w:val="24"/>
        </w:rPr>
        <w:t xml:space="preserve">, 1993).  Smith et al. (2012) summarise the reason for this by explaining that most social work relationships are involuntary.  </w:t>
      </w:r>
    </w:p>
    <w:p w14:paraId="04BEA23B"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To conclude, my role in this assessment was to analyse the strengths and vulnerabilities of a carer and her ability to care for and safeguard the child.  </w:t>
      </w:r>
      <w:proofErr w:type="spellStart"/>
      <w:r w:rsidRPr="00247090">
        <w:rPr>
          <w:rFonts w:ascii="Arial" w:hAnsi="Arial" w:cs="Arial"/>
          <w:sz w:val="24"/>
          <w:szCs w:val="24"/>
        </w:rPr>
        <w:t>Sidebotham</w:t>
      </w:r>
      <w:proofErr w:type="spellEnd"/>
      <w:r w:rsidRPr="00247090">
        <w:rPr>
          <w:rFonts w:ascii="Arial" w:hAnsi="Arial" w:cs="Arial"/>
          <w:sz w:val="24"/>
          <w:szCs w:val="24"/>
        </w:rPr>
        <w:t xml:space="preserve"> et al. (2016) explain that the safeguarding process is a multidisciplinary approach with all professionals working together to safeguard the child.  I have identified relevant legislation, policies and procedures required for safeguarding and undertaking viability assessments.  There were concerns raised regarding the </w:t>
      </w:r>
      <w:r>
        <w:rPr>
          <w:rFonts w:ascii="Arial" w:hAnsi="Arial" w:cs="Arial"/>
          <w:sz w:val="24"/>
          <w:szCs w:val="24"/>
        </w:rPr>
        <w:t>2</w:t>
      </w:r>
      <w:r w:rsidRPr="00247090">
        <w:rPr>
          <w:rFonts w:ascii="Arial" w:hAnsi="Arial" w:cs="Arial"/>
          <w:sz w:val="24"/>
          <w:szCs w:val="24"/>
        </w:rPr>
        <w:t xml:space="preserve">’s mental health and safeguarding concerns for her welfare.  She has appropriate support from her care coordinator, but it is still important for me to have a broad knowledge of adult safeguarding and procedures to be able to work collaboratively and share information and concerns appropriately.  Similarly, I was not involved in the Children Act (1989) section 47 investigations, but these were being completed alongside the viability assessment therefore it was critical for me to have a sound understanding of these frameworks and adhere to timescales set out by the Children Act (1989) and legal constraints. </w:t>
      </w:r>
    </w:p>
    <w:p w14:paraId="20625A6C" w14:textId="77777777" w:rsidR="007E5876" w:rsidRPr="00247090" w:rsidRDefault="007E5876" w:rsidP="007E5876">
      <w:pPr>
        <w:rPr>
          <w:rFonts w:ascii="Arial" w:hAnsi="Arial" w:cs="Arial"/>
          <w:sz w:val="24"/>
          <w:szCs w:val="24"/>
        </w:rPr>
      </w:pPr>
      <w:r w:rsidRPr="00247090">
        <w:rPr>
          <w:rFonts w:ascii="Arial" w:hAnsi="Arial" w:cs="Arial"/>
          <w:sz w:val="24"/>
          <w:szCs w:val="24"/>
        </w:rPr>
        <w:t>I found it difficult to comprehend why</w:t>
      </w:r>
      <w:r>
        <w:rPr>
          <w:rFonts w:ascii="Arial" w:hAnsi="Arial" w:cs="Arial"/>
          <w:sz w:val="24"/>
          <w:szCs w:val="24"/>
        </w:rPr>
        <w:t xml:space="preserve"> 1</w:t>
      </w:r>
      <w:r w:rsidRPr="00247090">
        <w:rPr>
          <w:rFonts w:ascii="Arial" w:hAnsi="Arial" w:cs="Arial"/>
          <w:sz w:val="24"/>
          <w:szCs w:val="24"/>
        </w:rPr>
        <w:t xml:space="preserve"> was not communicating with professionals and reporting the deterioration in</w:t>
      </w:r>
      <w:r>
        <w:rPr>
          <w:rFonts w:ascii="Arial" w:hAnsi="Arial" w:cs="Arial"/>
          <w:sz w:val="24"/>
          <w:szCs w:val="24"/>
        </w:rPr>
        <w:t xml:space="preserve"> 2</w:t>
      </w:r>
      <w:r w:rsidRPr="00247090">
        <w:rPr>
          <w:rFonts w:ascii="Arial" w:hAnsi="Arial" w:cs="Arial"/>
          <w:sz w:val="24"/>
          <w:szCs w:val="24"/>
        </w:rPr>
        <w:t xml:space="preserve">’s mental health.  I utilised supervision to reflect </w:t>
      </w:r>
      <w:r w:rsidRPr="00247090">
        <w:rPr>
          <w:rFonts w:ascii="Arial" w:hAnsi="Arial" w:cs="Arial"/>
          <w:sz w:val="24"/>
          <w:szCs w:val="24"/>
        </w:rPr>
        <w:lastRenderedPageBreak/>
        <w:t xml:space="preserve">on the assessment, my experiences and value base.  I reflected on my various use of communication, altering my styles to suit the information required for the assessment.  I have found that I do prefer the narrative approach however due to inconsistencies in the information provided I did use more of a questioning model to achieve accurate and concise information, particularly regarding vulnerabilities and risk.  </w:t>
      </w:r>
    </w:p>
    <w:p w14:paraId="7833A26B" w14:textId="77777777" w:rsidR="007E5876" w:rsidRPr="00247090" w:rsidRDefault="007E5876" w:rsidP="007E5876">
      <w:pPr>
        <w:rPr>
          <w:rFonts w:ascii="Arial" w:hAnsi="Arial" w:cs="Arial"/>
          <w:sz w:val="24"/>
          <w:szCs w:val="24"/>
        </w:rPr>
      </w:pPr>
      <w:r w:rsidRPr="00247090">
        <w:rPr>
          <w:rFonts w:ascii="Arial" w:hAnsi="Arial" w:cs="Arial"/>
          <w:sz w:val="24"/>
          <w:szCs w:val="24"/>
        </w:rPr>
        <w:t xml:space="preserve">The viability assessment was holistic and covered a range of areas and although it is brief, it gathers sufficient information to make an informed decision with professional judgement regarding whether a potential placement would be viable and safe.  This assessment was a joint piece of work where I worked collaboratively with the child’s social worker and we both analysed and felt in our professional judgement, that the vulnerabilities, risks and concerns outweighed the strengths.  It is in the best interest to assess connected persons in the first instance, however if this is not deemed a safe space then alternative options need to be considered.  </w:t>
      </w:r>
    </w:p>
    <w:p w14:paraId="6FEAE41F" w14:textId="77777777" w:rsidR="007E5876" w:rsidRPr="00247090" w:rsidRDefault="007E5876" w:rsidP="007E5876">
      <w:pPr>
        <w:rPr>
          <w:rFonts w:ascii="Arial" w:hAnsi="Arial" w:cs="Arial"/>
          <w:sz w:val="24"/>
          <w:szCs w:val="24"/>
        </w:rPr>
      </w:pPr>
      <w:r w:rsidRPr="00247090">
        <w:rPr>
          <w:rFonts w:ascii="Arial" w:hAnsi="Arial" w:cs="Arial"/>
          <w:sz w:val="24"/>
          <w:szCs w:val="24"/>
        </w:rPr>
        <w:t>I do not think that completing viability assessments with negative outcomes will become any easier as I progress in my social work career however as my knowledge and confident increase this will have a positive impact on my professional judgement moving forward.  When assessing and considering safeguarding it is imperative to keep in the forefront of my mind that the welfare of the child is paramount.</w:t>
      </w:r>
    </w:p>
    <w:p w14:paraId="213E5FD7" w14:textId="449C71A3" w:rsidR="007E5876" w:rsidRPr="00247090" w:rsidRDefault="007E5876" w:rsidP="007E5876">
      <w:pPr>
        <w:jc w:val="right"/>
        <w:rPr>
          <w:rFonts w:ascii="Arial" w:hAnsi="Arial" w:cs="Arial"/>
          <w:sz w:val="24"/>
          <w:szCs w:val="24"/>
        </w:rPr>
      </w:pPr>
      <w:r w:rsidRPr="00247090">
        <w:rPr>
          <w:rFonts w:ascii="Arial" w:hAnsi="Arial" w:cs="Arial"/>
          <w:sz w:val="24"/>
          <w:szCs w:val="24"/>
        </w:rPr>
        <w:t>Word count: 4</w:t>
      </w:r>
      <w:r>
        <w:rPr>
          <w:rFonts w:ascii="Arial" w:hAnsi="Arial" w:cs="Arial"/>
          <w:sz w:val="24"/>
          <w:szCs w:val="24"/>
        </w:rPr>
        <w:t>59</w:t>
      </w:r>
      <w:r>
        <w:rPr>
          <w:rFonts w:ascii="Arial" w:hAnsi="Arial" w:cs="Arial"/>
          <w:sz w:val="24"/>
          <w:szCs w:val="24"/>
        </w:rPr>
        <w:t>8</w:t>
      </w:r>
    </w:p>
    <w:p w14:paraId="425BBBF2" w14:textId="77777777" w:rsidR="00ED1205" w:rsidRDefault="00ED1205" w:rsidP="007E5876">
      <w:pPr>
        <w:rPr>
          <w:rFonts w:ascii="Arial" w:hAnsi="Arial" w:cs="Arial"/>
          <w:sz w:val="24"/>
          <w:szCs w:val="24"/>
          <w:u w:val="single"/>
        </w:rPr>
      </w:pPr>
    </w:p>
    <w:p w14:paraId="1C19B42C" w14:textId="77777777" w:rsidR="00ED1205" w:rsidRDefault="00ED1205" w:rsidP="00B54215">
      <w:pPr>
        <w:jc w:val="center"/>
        <w:rPr>
          <w:rFonts w:ascii="Arial" w:hAnsi="Arial" w:cs="Arial"/>
          <w:sz w:val="24"/>
          <w:szCs w:val="24"/>
          <w:u w:val="single"/>
        </w:rPr>
      </w:pPr>
    </w:p>
    <w:p w14:paraId="23C55A02" w14:textId="77777777" w:rsidR="00ED1205" w:rsidRDefault="00ED1205" w:rsidP="00B54215">
      <w:pPr>
        <w:jc w:val="center"/>
        <w:rPr>
          <w:rFonts w:ascii="Arial" w:hAnsi="Arial" w:cs="Arial"/>
          <w:sz w:val="24"/>
          <w:szCs w:val="24"/>
          <w:u w:val="single"/>
        </w:rPr>
      </w:pPr>
    </w:p>
    <w:p w14:paraId="4E442EC4" w14:textId="77777777" w:rsidR="00ED1205" w:rsidRDefault="00ED1205" w:rsidP="00B54215">
      <w:pPr>
        <w:jc w:val="center"/>
        <w:rPr>
          <w:rFonts w:ascii="Arial" w:hAnsi="Arial" w:cs="Arial"/>
          <w:sz w:val="24"/>
          <w:szCs w:val="24"/>
          <w:u w:val="single"/>
        </w:rPr>
      </w:pPr>
    </w:p>
    <w:p w14:paraId="5AA0FBEC" w14:textId="77777777" w:rsidR="00ED1205" w:rsidRDefault="00ED1205" w:rsidP="00B54215">
      <w:pPr>
        <w:jc w:val="center"/>
        <w:rPr>
          <w:rFonts w:ascii="Arial" w:hAnsi="Arial" w:cs="Arial"/>
          <w:sz w:val="24"/>
          <w:szCs w:val="24"/>
          <w:u w:val="single"/>
        </w:rPr>
      </w:pPr>
    </w:p>
    <w:p w14:paraId="6EC935EE" w14:textId="77777777" w:rsidR="00ED1205" w:rsidRDefault="00ED1205" w:rsidP="00B54215">
      <w:pPr>
        <w:jc w:val="center"/>
        <w:rPr>
          <w:rFonts w:ascii="Arial" w:hAnsi="Arial" w:cs="Arial"/>
          <w:sz w:val="24"/>
          <w:szCs w:val="24"/>
          <w:u w:val="single"/>
        </w:rPr>
      </w:pPr>
    </w:p>
    <w:p w14:paraId="4368E157" w14:textId="77777777" w:rsidR="00ED1205" w:rsidRDefault="00ED1205" w:rsidP="00B54215">
      <w:pPr>
        <w:jc w:val="center"/>
        <w:rPr>
          <w:rFonts w:ascii="Arial" w:hAnsi="Arial" w:cs="Arial"/>
          <w:sz w:val="24"/>
          <w:szCs w:val="24"/>
          <w:u w:val="single"/>
        </w:rPr>
      </w:pPr>
    </w:p>
    <w:p w14:paraId="040C39D8" w14:textId="77777777" w:rsidR="00ED1205" w:rsidRDefault="00ED1205" w:rsidP="00B54215">
      <w:pPr>
        <w:jc w:val="center"/>
        <w:rPr>
          <w:rFonts w:ascii="Arial" w:hAnsi="Arial" w:cs="Arial"/>
          <w:sz w:val="24"/>
          <w:szCs w:val="24"/>
          <w:u w:val="single"/>
        </w:rPr>
      </w:pPr>
    </w:p>
    <w:p w14:paraId="6343006C" w14:textId="77777777" w:rsidR="00ED1205" w:rsidRDefault="00ED1205" w:rsidP="00B54215">
      <w:pPr>
        <w:jc w:val="center"/>
        <w:rPr>
          <w:rFonts w:ascii="Arial" w:hAnsi="Arial" w:cs="Arial"/>
          <w:sz w:val="24"/>
          <w:szCs w:val="24"/>
          <w:u w:val="single"/>
        </w:rPr>
      </w:pPr>
    </w:p>
    <w:p w14:paraId="2FF9511C" w14:textId="77777777" w:rsidR="00ED1205" w:rsidRDefault="00ED1205" w:rsidP="00B54215">
      <w:pPr>
        <w:jc w:val="center"/>
        <w:rPr>
          <w:rFonts w:ascii="Arial" w:hAnsi="Arial" w:cs="Arial"/>
          <w:sz w:val="24"/>
          <w:szCs w:val="24"/>
          <w:u w:val="single"/>
        </w:rPr>
      </w:pPr>
    </w:p>
    <w:p w14:paraId="232C92E9" w14:textId="77777777" w:rsidR="00ED1205" w:rsidRDefault="00ED1205" w:rsidP="00B54215">
      <w:pPr>
        <w:jc w:val="center"/>
        <w:rPr>
          <w:rFonts w:ascii="Arial" w:hAnsi="Arial" w:cs="Arial"/>
          <w:sz w:val="24"/>
          <w:szCs w:val="24"/>
          <w:u w:val="single"/>
        </w:rPr>
      </w:pPr>
    </w:p>
    <w:p w14:paraId="024C8B69" w14:textId="77777777" w:rsidR="00ED1205" w:rsidRDefault="00ED1205" w:rsidP="00B54215">
      <w:pPr>
        <w:jc w:val="center"/>
        <w:rPr>
          <w:rFonts w:ascii="Arial" w:hAnsi="Arial" w:cs="Arial"/>
          <w:sz w:val="24"/>
          <w:szCs w:val="24"/>
          <w:u w:val="single"/>
        </w:rPr>
      </w:pPr>
    </w:p>
    <w:p w14:paraId="3155187B" w14:textId="77777777" w:rsidR="00ED1205" w:rsidRDefault="00ED1205" w:rsidP="00B54215">
      <w:pPr>
        <w:jc w:val="center"/>
        <w:rPr>
          <w:rFonts w:ascii="Arial" w:hAnsi="Arial" w:cs="Arial"/>
          <w:sz w:val="24"/>
          <w:szCs w:val="24"/>
          <w:u w:val="single"/>
        </w:rPr>
      </w:pPr>
    </w:p>
    <w:p w14:paraId="0E8DFF2F" w14:textId="77777777" w:rsidR="00ED1205" w:rsidRDefault="00ED1205" w:rsidP="00B54215">
      <w:pPr>
        <w:jc w:val="center"/>
        <w:rPr>
          <w:rFonts w:ascii="Arial" w:hAnsi="Arial" w:cs="Arial"/>
          <w:sz w:val="24"/>
          <w:szCs w:val="24"/>
          <w:u w:val="single"/>
        </w:rPr>
      </w:pPr>
    </w:p>
    <w:p w14:paraId="52E4E129" w14:textId="40C05EFE" w:rsidR="00ED1205" w:rsidRDefault="00ED1205" w:rsidP="00B54215">
      <w:pPr>
        <w:jc w:val="center"/>
        <w:rPr>
          <w:rFonts w:ascii="Arial" w:hAnsi="Arial" w:cs="Arial"/>
          <w:sz w:val="24"/>
          <w:szCs w:val="24"/>
          <w:u w:val="single"/>
        </w:rPr>
      </w:pPr>
    </w:p>
    <w:p w14:paraId="2CA98D7B" w14:textId="77777777" w:rsidR="007E5876" w:rsidRDefault="007E5876" w:rsidP="00B54215">
      <w:pPr>
        <w:jc w:val="center"/>
        <w:rPr>
          <w:rFonts w:ascii="Arial" w:hAnsi="Arial" w:cs="Arial"/>
          <w:sz w:val="24"/>
          <w:szCs w:val="24"/>
          <w:u w:val="single"/>
        </w:rPr>
      </w:pPr>
    </w:p>
    <w:p w14:paraId="0B1D6C46" w14:textId="313ED7AD" w:rsidR="00B54215" w:rsidRDefault="00B54215" w:rsidP="00B54215">
      <w:pPr>
        <w:jc w:val="center"/>
        <w:rPr>
          <w:rFonts w:ascii="Arial" w:hAnsi="Arial" w:cs="Arial"/>
          <w:sz w:val="24"/>
          <w:szCs w:val="24"/>
          <w:u w:val="single"/>
        </w:rPr>
      </w:pPr>
      <w:r>
        <w:rPr>
          <w:rFonts w:ascii="Arial" w:hAnsi="Arial" w:cs="Arial"/>
          <w:sz w:val="24"/>
          <w:szCs w:val="24"/>
          <w:u w:val="single"/>
        </w:rPr>
        <w:lastRenderedPageBreak/>
        <w:t xml:space="preserve">References </w:t>
      </w:r>
    </w:p>
    <w:p w14:paraId="667B1968"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Adams, P. (2019) </w:t>
      </w:r>
      <w:r w:rsidRPr="00773A1C">
        <w:rPr>
          <w:rFonts w:ascii="Arial" w:hAnsi="Arial" w:cs="Arial"/>
          <w:i/>
          <w:iCs/>
          <w:color w:val="000000" w:themeColor="text1"/>
          <w:sz w:val="24"/>
          <w:szCs w:val="24"/>
        </w:rPr>
        <w:t xml:space="preserve">Undertaking a Connected Person/ Family and Friend’s Assessment, </w:t>
      </w:r>
      <w:r w:rsidRPr="00773A1C">
        <w:rPr>
          <w:rFonts w:ascii="Arial" w:hAnsi="Arial" w:cs="Arial"/>
          <w:color w:val="000000" w:themeColor="text1"/>
          <w:sz w:val="24"/>
          <w:szCs w:val="24"/>
        </w:rPr>
        <w:t xml:space="preserve">Coram </w:t>
      </w:r>
      <w:proofErr w:type="spellStart"/>
      <w:r w:rsidRPr="00773A1C">
        <w:rPr>
          <w:rFonts w:ascii="Arial" w:hAnsi="Arial" w:cs="Arial"/>
          <w:color w:val="000000" w:themeColor="text1"/>
          <w:sz w:val="24"/>
          <w:szCs w:val="24"/>
        </w:rPr>
        <w:t>Baaf</w:t>
      </w:r>
      <w:proofErr w:type="spellEnd"/>
      <w:r w:rsidRPr="00773A1C">
        <w:rPr>
          <w:rFonts w:ascii="Arial" w:hAnsi="Arial" w:cs="Arial"/>
          <w:color w:val="000000" w:themeColor="text1"/>
          <w:sz w:val="24"/>
          <w:szCs w:val="24"/>
        </w:rPr>
        <w:t>.</w:t>
      </w:r>
    </w:p>
    <w:p w14:paraId="1B8A945C"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Adkins, T., Reiss, S., </w:t>
      </w:r>
      <w:proofErr w:type="spellStart"/>
      <w:r w:rsidRPr="00773A1C">
        <w:rPr>
          <w:rFonts w:ascii="Arial" w:hAnsi="Arial" w:cs="Arial"/>
          <w:color w:val="000000" w:themeColor="text1"/>
          <w:sz w:val="24"/>
          <w:szCs w:val="24"/>
        </w:rPr>
        <w:t>Doergek</w:t>
      </w:r>
      <w:proofErr w:type="spellEnd"/>
      <w:r w:rsidRPr="00773A1C">
        <w:rPr>
          <w:rFonts w:ascii="Arial" w:hAnsi="Arial" w:cs="Arial"/>
          <w:color w:val="000000" w:themeColor="text1"/>
          <w:sz w:val="24"/>
          <w:szCs w:val="24"/>
        </w:rPr>
        <w:t xml:space="preserve">, K. and </w:t>
      </w:r>
      <w:proofErr w:type="spellStart"/>
      <w:r w:rsidRPr="00773A1C">
        <w:rPr>
          <w:rFonts w:ascii="Arial" w:hAnsi="Arial" w:cs="Arial"/>
          <w:color w:val="000000" w:themeColor="text1"/>
          <w:sz w:val="24"/>
          <w:szCs w:val="24"/>
        </w:rPr>
        <w:t>Nulu</w:t>
      </w:r>
      <w:proofErr w:type="spellEnd"/>
      <w:r w:rsidRPr="00773A1C">
        <w:rPr>
          <w:rFonts w:ascii="Arial" w:hAnsi="Arial" w:cs="Arial"/>
          <w:color w:val="000000" w:themeColor="text1"/>
          <w:sz w:val="24"/>
          <w:szCs w:val="24"/>
        </w:rPr>
        <w:t xml:space="preserve">, S. (2020) </w:t>
      </w:r>
      <w:r w:rsidRPr="00773A1C">
        <w:rPr>
          <w:rFonts w:ascii="Arial" w:hAnsi="Arial" w:cs="Arial"/>
          <w:i/>
          <w:iCs/>
          <w:color w:val="000000" w:themeColor="text1"/>
          <w:sz w:val="24"/>
          <w:szCs w:val="24"/>
        </w:rPr>
        <w:t xml:space="preserve">Adverse Childhood Experience Histories in Foster Parents: Connections to Foster Children’s Emotional and Behavioural Difficulties, </w:t>
      </w:r>
      <w:r w:rsidRPr="00773A1C">
        <w:rPr>
          <w:rFonts w:ascii="Arial" w:hAnsi="Arial" w:cs="Arial"/>
          <w:color w:val="000000" w:themeColor="text1"/>
          <w:sz w:val="24"/>
          <w:szCs w:val="24"/>
        </w:rPr>
        <w:t xml:space="preserve">Child Abuse and Neglect, 104, p. 104475. </w:t>
      </w:r>
    </w:p>
    <w:p w14:paraId="2E6A3E47"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Advanced CCA (2021) </w:t>
      </w:r>
      <w:r w:rsidRPr="00773A1C">
        <w:rPr>
          <w:rFonts w:ascii="Arial" w:hAnsi="Arial" w:cs="Arial"/>
          <w:i/>
          <w:iCs/>
          <w:color w:val="000000" w:themeColor="text1"/>
          <w:sz w:val="24"/>
          <w:szCs w:val="24"/>
        </w:rPr>
        <w:t xml:space="preserve">Connected Persons Assessment, </w:t>
      </w:r>
      <w:r w:rsidRPr="00773A1C">
        <w:rPr>
          <w:rFonts w:ascii="Arial" w:hAnsi="Arial" w:cs="Arial"/>
          <w:color w:val="000000" w:themeColor="text1"/>
          <w:sz w:val="24"/>
          <w:szCs w:val="24"/>
        </w:rPr>
        <w:t xml:space="preserve">[ONLINE] Available at: </w:t>
      </w:r>
      <w:hyperlink r:id="rId7" w:history="1">
        <w:r w:rsidRPr="00773A1C">
          <w:rPr>
            <w:rStyle w:val="Hyperlink"/>
            <w:rFonts w:ascii="Arial" w:hAnsi="Arial" w:cs="Arial"/>
            <w:color w:val="000000" w:themeColor="text1"/>
            <w:sz w:val="24"/>
            <w:szCs w:val="24"/>
          </w:rPr>
          <w:t>www.advancedcca.co.uk/connected-persons-assessments</w:t>
        </w:r>
      </w:hyperlink>
      <w:r w:rsidRPr="00773A1C">
        <w:rPr>
          <w:rFonts w:ascii="Arial" w:hAnsi="Arial" w:cs="Arial"/>
          <w:color w:val="000000" w:themeColor="text1"/>
          <w:sz w:val="24"/>
          <w:szCs w:val="24"/>
        </w:rPr>
        <w:t xml:space="preserve"> [Accessed on 5 August 2023] </w:t>
      </w:r>
    </w:p>
    <w:p w14:paraId="3CE3EDC1"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Akehurst</w:t>
      </w:r>
      <w:proofErr w:type="spellEnd"/>
      <w:r w:rsidRPr="00773A1C">
        <w:rPr>
          <w:rFonts w:ascii="Arial" w:hAnsi="Arial" w:cs="Arial"/>
          <w:color w:val="000000" w:themeColor="text1"/>
          <w:sz w:val="24"/>
          <w:szCs w:val="24"/>
        </w:rPr>
        <w:t xml:space="preserve">, R. (2015) </w:t>
      </w:r>
      <w:r w:rsidRPr="00773A1C">
        <w:rPr>
          <w:rFonts w:ascii="Arial" w:hAnsi="Arial" w:cs="Arial"/>
          <w:i/>
          <w:iCs/>
          <w:color w:val="000000" w:themeColor="text1"/>
          <w:sz w:val="24"/>
          <w:szCs w:val="24"/>
        </w:rPr>
        <w:t xml:space="preserve">Child Neglect Identification: The Health Visitor’s Role, </w:t>
      </w:r>
      <w:r w:rsidRPr="00773A1C">
        <w:rPr>
          <w:rFonts w:ascii="Arial" w:hAnsi="Arial" w:cs="Arial"/>
          <w:color w:val="000000" w:themeColor="text1"/>
          <w:sz w:val="24"/>
          <w:szCs w:val="24"/>
        </w:rPr>
        <w:t>Community Practitioner, 88 (11) pp. 38 – 43.</w:t>
      </w:r>
    </w:p>
    <w:p w14:paraId="0F24D54A"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Bandura, A. (1977) </w:t>
      </w:r>
      <w:r w:rsidRPr="00773A1C">
        <w:rPr>
          <w:rFonts w:ascii="Arial" w:hAnsi="Arial" w:cs="Arial"/>
          <w:i/>
          <w:iCs/>
          <w:color w:val="000000" w:themeColor="text1"/>
          <w:sz w:val="24"/>
          <w:szCs w:val="24"/>
        </w:rPr>
        <w:t xml:space="preserve">Social Learning Theory, </w:t>
      </w:r>
      <w:r w:rsidRPr="00773A1C">
        <w:rPr>
          <w:rFonts w:ascii="Arial" w:hAnsi="Arial" w:cs="Arial"/>
          <w:color w:val="000000" w:themeColor="text1"/>
          <w:sz w:val="24"/>
          <w:szCs w:val="24"/>
        </w:rPr>
        <w:t xml:space="preserve">Englewood Cliffs: NJ Pretence Hall. </w:t>
      </w:r>
    </w:p>
    <w:p w14:paraId="13173900"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Baral</w:t>
      </w:r>
      <w:proofErr w:type="spellEnd"/>
      <w:r w:rsidRPr="00773A1C">
        <w:rPr>
          <w:rFonts w:ascii="Arial" w:hAnsi="Arial" w:cs="Arial"/>
          <w:color w:val="000000" w:themeColor="text1"/>
          <w:sz w:val="24"/>
          <w:szCs w:val="24"/>
        </w:rPr>
        <w:t xml:space="preserve">, S.P., Prasad, P. and </w:t>
      </w:r>
      <w:proofErr w:type="spellStart"/>
      <w:r w:rsidRPr="00773A1C">
        <w:rPr>
          <w:rFonts w:ascii="Arial" w:hAnsi="Arial" w:cs="Arial"/>
          <w:color w:val="000000" w:themeColor="text1"/>
          <w:sz w:val="24"/>
          <w:szCs w:val="24"/>
        </w:rPr>
        <w:t>Raghuvamshi</w:t>
      </w:r>
      <w:proofErr w:type="spellEnd"/>
      <w:r w:rsidRPr="00773A1C">
        <w:rPr>
          <w:rFonts w:ascii="Arial" w:hAnsi="Arial" w:cs="Arial"/>
          <w:color w:val="000000" w:themeColor="text1"/>
          <w:sz w:val="24"/>
          <w:szCs w:val="24"/>
        </w:rPr>
        <w:t xml:space="preserve">, G. (2022) </w:t>
      </w:r>
      <w:r w:rsidRPr="00773A1C">
        <w:rPr>
          <w:rFonts w:ascii="Arial" w:hAnsi="Arial" w:cs="Arial"/>
          <w:i/>
          <w:iCs/>
          <w:color w:val="000000" w:themeColor="text1"/>
          <w:sz w:val="24"/>
          <w:szCs w:val="24"/>
        </w:rPr>
        <w:t xml:space="preserve">Mental Health Awareness and Generational Gap, </w:t>
      </w:r>
      <w:r w:rsidRPr="00773A1C">
        <w:rPr>
          <w:rFonts w:ascii="Arial" w:hAnsi="Arial" w:cs="Arial"/>
          <w:color w:val="000000" w:themeColor="text1"/>
          <w:sz w:val="24"/>
          <w:szCs w:val="24"/>
        </w:rPr>
        <w:t xml:space="preserve">Journal of Psychiatry, 64 (3) p. 636. </w:t>
      </w:r>
    </w:p>
    <w:p w14:paraId="7CF2628E"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BASW (2020) </w:t>
      </w:r>
      <w:r w:rsidRPr="00773A1C">
        <w:rPr>
          <w:rFonts w:ascii="Arial" w:hAnsi="Arial" w:cs="Arial"/>
          <w:i/>
          <w:iCs/>
          <w:color w:val="000000" w:themeColor="text1"/>
          <w:sz w:val="24"/>
          <w:szCs w:val="24"/>
        </w:rPr>
        <w:t xml:space="preserve">Family Group Conferencing and Relationship Based Practice in Social Work Webinar: Resources and Accompanying Documents, </w:t>
      </w:r>
      <w:r w:rsidRPr="00773A1C">
        <w:rPr>
          <w:rFonts w:ascii="Arial" w:hAnsi="Arial" w:cs="Arial"/>
          <w:color w:val="000000" w:themeColor="text1"/>
          <w:sz w:val="24"/>
          <w:szCs w:val="24"/>
        </w:rPr>
        <w:t xml:space="preserve">[ONLINE] Available at: </w:t>
      </w:r>
      <w:hyperlink r:id="rId8" w:history="1">
        <w:r w:rsidRPr="00773A1C">
          <w:rPr>
            <w:rStyle w:val="Hyperlink"/>
            <w:rFonts w:ascii="Arial" w:hAnsi="Arial" w:cs="Arial"/>
            <w:color w:val="000000" w:themeColor="text1"/>
            <w:sz w:val="24"/>
            <w:szCs w:val="24"/>
          </w:rPr>
          <w:t>www.basw.co.uk/resources/family-group-confrencing-fcgs-and-relationship-based-practice-in-social-work-webinar</w:t>
        </w:r>
      </w:hyperlink>
      <w:r w:rsidRPr="00773A1C">
        <w:rPr>
          <w:rFonts w:ascii="Arial" w:hAnsi="Arial" w:cs="Arial"/>
          <w:color w:val="000000" w:themeColor="text1"/>
          <w:sz w:val="24"/>
          <w:szCs w:val="24"/>
        </w:rPr>
        <w:t xml:space="preserve"> [Accessed on 2 August 2023]. </w:t>
      </w:r>
    </w:p>
    <w:p w14:paraId="79BBCC35"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Bellis, M.A., Ashton, M., Hughes, K., Ford, K., Bishop, J. and </w:t>
      </w:r>
      <w:proofErr w:type="spellStart"/>
      <w:r w:rsidRPr="00773A1C">
        <w:rPr>
          <w:rFonts w:ascii="Arial" w:hAnsi="Arial" w:cs="Arial"/>
          <w:color w:val="000000" w:themeColor="text1"/>
          <w:sz w:val="24"/>
          <w:szCs w:val="24"/>
        </w:rPr>
        <w:t>Paranjothy</w:t>
      </w:r>
      <w:proofErr w:type="spellEnd"/>
      <w:r w:rsidRPr="00773A1C">
        <w:rPr>
          <w:rFonts w:ascii="Arial" w:hAnsi="Arial" w:cs="Arial"/>
          <w:color w:val="000000" w:themeColor="text1"/>
          <w:sz w:val="24"/>
          <w:szCs w:val="24"/>
        </w:rPr>
        <w:t xml:space="preserve">, S. (2015) </w:t>
      </w:r>
      <w:r w:rsidRPr="00773A1C">
        <w:rPr>
          <w:rFonts w:ascii="Arial" w:hAnsi="Arial" w:cs="Arial"/>
          <w:i/>
          <w:iCs/>
          <w:color w:val="000000" w:themeColor="text1"/>
          <w:sz w:val="24"/>
          <w:szCs w:val="24"/>
        </w:rPr>
        <w:t xml:space="preserve">Welsh Adverse Childhood Experiences (ACE) Study: Adverse Childhood Experiences and their Impact on Health-Harming Behaviours in the Welsh Adult Population, </w:t>
      </w:r>
      <w:r w:rsidRPr="00773A1C">
        <w:rPr>
          <w:rFonts w:ascii="Arial" w:hAnsi="Arial" w:cs="Arial"/>
          <w:color w:val="000000" w:themeColor="text1"/>
          <w:sz w:val="24"/>
          <w:szCs w:val="24"/>
        </w:rPr>
        <w:t xml:space="preserve">Public Health Wales. </w:t>
      </w:r>
    </w:p>
    <w:p w14:paraId="3495F960"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Benning, T.B. (2015) </w:t>
      </w:r>
      <w:r w:rsidRPr="00773A1C">
        <w:rPr>
          <w:rFonts w:ascii="Arial" w:hAnsi="Arial" w:cs="Arial"/>
          <w:i/>
          <w:iCs/>
          <w:color w:val="000000" w:themeColor="text1"/>
          <w:sz w:val="24"/>
          <w:szCs w:val="24"/>
        </w:rPr>
        <w:t xml:space="preserve">Limitations of the Biopsychosocial Model in Psychiatry, </w:t>
      </w:r>
      <w:r w:rsidRPr="00773A1C">
        <w:rPr>
          <w:rFonts w:ascii="Arial" w:hAnsi="Arial" w:cs="Arial"/>
          <w:color w:val="000000" w:themeColor="text1"/>
          <w:sz w:val="24"/>
          <w:szCs w:val="24"/>
        </w:rPr>
        <w:t xml:space="preserve">Advances in Medical Education and Practice, 6, pp. 347 – 352. </w:t>
      </w:r>
    </w:p>
    <w:p w14:paraId="788CB5E8"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Bergsund</w:t>
      </w:r>
      <w:proofErr w:type="spellEnd"/>
      <w:r w:rsidRPr="00773A1C">
        <w:rPr>
          <w:rFonts w:ascii="Arial" w:hAnsi="Arial" w:cs="Arial"/>
          <w:color w:val="000000" w:themeColor="text1"/>
          <w:sz w:val="24"/>
          <w:szCs w:val="24"/>
        </w:rPr>
        <w:t xml:space="preserve">, H.B., Wentzel-Larsen, T. and Jacobsen, H. (2019) </w:t>
      </w:r>
      <w:r w:rsidRPr="00773A1C">
        <w:rPr>
          <w:rFonts w:ascii="Arial" w:hAnsi="Arial" w:cs="Arial"/>
          <w:i/>
          <w:iCs/>
          <w:color w:val="000000" w:themeColor="text1"/>
          <w:sz w:val="24"/>
          <w:szCs w:val="24"/>
        </w:rPr>
        <w:t xml:space="preserve">Parenting Stress in Long-Term Foster Carers: A Longitudinal Study, </w:t>
      </w:r>
      <w:r w:rsidRPr="00773A1C">
        <w:rPr>
          <w:rFonts w:ascii="Arial" w:hAnsi="Arial" w:cs="Arial"/>
          <w:color w:val="000000" w:themeColor="text1"/>
          <w:sz w:val="24"/>
          <w:szCs w:val="24"/>
        </w:rPr>
        <w:t xml:space="preserve">Child and Family Social Work, 25 (1) pp. 53 – 62. </w:t>
      </w:r>
    </w:p>
    <w:p w14:paraId="492B83E9"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Bowlby, J. (1988) </w:t>
      </w:r>
      <w:r w:rsidRPr="00773A1C">
        <w:rPr>
          <w:rFonts w:ascii="Arial" w:hAnsi="Arial" w:cs="Arial"/>
          <w:i/>
          <w:iCs/>
          <w:color w:val="000000" w:themeColor="text1"/>
          <w:sz w:val="24"/>
          <w:szCs w:val="24"/>
        </w:rPr>
        <w:t xml:space="preserve">A Secure Base: Parent-Child Attachment and Healthy Human Development, </w:t>
      </w:r>
      <w:r w:rsidRPr="00773A1C">
        <w:rPr>
          <w:rFonts w:ascii="Arial" w:hAnsi="Arial" w:cs="Arial"/>
          <w:color w:val="000000" w:themeColor="text1"/>
          <w:sz w:val="24"/>
          <w:szCs w:val="24"/>
        </w:rPr>
        <w:t xml:space="preserve">New York: Basic Books. </w:t>
      </w:r>
    </w:p>
    <w:p w14:paraId="25705A96"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Brandt, L., Liu, S., Heim, C. and Heinz, A. (2022) </w:t>
      </w:r>
      <w:r w:rsidRPr="00773A1C">
        <w:rPr>
          <w:rFonts w:ascii="Arial" w:hAnsi="Arial" w:cs="Arial"/>
          <w:i/>
          <w:iCs/>
          <w:color w:val="000000" w:themeColor="text1"/>
          <w:sz w:val="24"/>
          <w:szCs w:val="24"/>
        </w:rPr>
        <w:t xml:space="preserve">The Effects of Social Isolation, Stress and Discrimination on Mental Health, </w:t>
      </w:r>
      <w:r w:rsidRPr="00773A1C">
        <w:rPr>
          <w:rFonts w:ascii="Arial" w:hAnsi="Arial" w:cs="Arial"/>
          <w:color w:val="000000" w:themeColor="text1"/>
          <w:sz w:val="24"/>
          <w:szCs w:val="24"/>
        </w:rPr>
        <w:t xml:space="preserve">Translational Psychiatry, 12 (1) p. 398. </w:t>
      </w:r>
    </w:p>
    <w:p w14:paraId="624FF745"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Brower, A.M. (1988) </w:t>
      </w:r>
      <w:r w:rsidRPr="00773A1C">
        <w:rPr>
          <w:rFonts w:ascii="Arial" w:hAnsi="Arial" w:cs="Arial"/>
          <w:i/>
          <w:iCs/>
          <w:color w:val="000000" w:themeColor="text1"/>
          <w:sz w:val="24"/>
          <w:szCs w:val="24"/>
        </w:rPr>
        <w:t xml:space="preserve">Can the Ecological Model Guide Social Work Practice?, </w:t>
      </w:r>
      <w:r w:rsidRPr="00773A1C">
        <w:rPr>
          <w:rFonts w:ascii="Arial" w:hAnsi="Arial" w:cs="Arial"/>
          <w:color w:val="000000" w:themeColor="text1"/>
          <w:sz w:val="24"/>
          <w:szCs w:val="24"/>
        </w:rPr>
        <w:t>Social Services Review, 62 (3) pp. 411 – 429.</w:t>
      </w:r>
    </w:p>
    <w:p w14:paraId="30CDF68C"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Cardiff University (2021) </w:t>
      </w:r>
      <w:r w:rsidRPr="00773A1C">
        <w:rPr>
          <w:rFonts w:ascii="Arial" w:hAnsi="Arial" w:cs="Arial"/>
          <w:i/>
          <w:iCs/>
          <w:color w:val="000000" w:themeColor="text1"/>
          <w:sz w:val="24"/>
          <w:szCs w:val="24"/>
        </w:rPr>
        <w:t xml:space="preserve">Share of People in Wales Experiencing Severe Mental health Issues More than Doubled During the Pandemic, Report Finds, </w:t>
      </w:r>
      <w:r w:rsidRPr="00773A1C">
        <w:rPr>
          <w:rFonts w:ascii="Arial" w:hAnsi="Arial" w:cs="Arial"/>
          <w:color w:val="000000" w:themeColor="text1"/>
          <w:sz w:val="24"/>
          <w:szCs w:val="24"/>
        </w:rPr>
        <w:t xml:space="preserve">[ONLINE] Available at: </w:t>
      </w:r>
      <w:hyperlink r:id="rId9" w:history="1">
        <w:r w:rsidRPr="00773A1C">
          <w:rPr>
            <w:rStyle w:val="Hyperlink"/>
            <w:rFonts w:ascii="Arial" w:hAnsi="Arial" w:cs="Arial"/>
            <w:color w:val="000000" w:themeColor="text1"/>
            <w:sz w:val="24"/>
            <w:szCs w:val="24"/>
          </w:rPr>
          <w:t>www.cardiff.ac.uk/news/view/2534728-share-of-people-experiencing-severe-mental-health-issues-more-than-doubled-during-pandemic,-report-finds</w:t>
        </w:r>
      </w:hyperlink>
      <w:r w:rsidRPr="00773A1C">
        <w:rPr>
          <w:rFonts w:ascii="Arial" w:hAnsi="Arial" w:cs="Arial"/>
          <w:color w:val="000000" w:themeColor="text1"/>
          <w:sz w:val="24"/>
          <w:szCs w:val="24"/>
        </w:rPr>
        <w:t xml:space="preserve"> [Accessed on 9 August 2023].</w:t>
      </w:r>
    </w:p>
    <w:p w14:paraId="68782296"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lastRenderedPageBreak/>
        <w:t xml:space="preserve">Clark, D. (2023) </w:t>
      </w:r>
      <w:r w:rsidRPr="00773A1C">
        <w:rPr>
          <w:rFonts w:ascii="Arial" w:hAnsi="Arial" w:cs="Arial"/>
          <w:i/>
          <w:iCs/>
          <w:color w:val="000000" w:themeColor="text1"/>
          <w:sz w:val="24"/>
          <w:szCs w:val="24"/>
        </w:rPr>
        <w:t xml:space="preserve">Life Expectancy in Wales in 2018/20 by Age and Gender, </w:t>
      </w:r>
      <w:r w:rsidRPr="00773A1C">
        <w:rPr>
          <w:rFonts w:ascii="Arial" w:hAnsi="Arial" w:cs="Arial"/>
          <w:color w:val="000000" w:themeColor="text1"/>
          <w:sz w:val="24"/>
          <w:szCs w:val="24"/>
        </w:rPr>
        <w:t xml:space="preserve">[ONLINE] Available at: </w:t>
      </w:r>
      <w:hyperlink r:id="rId10" w:history="1">
        <w:r w:rsidRPr="00773A1C">
          <w:rPr>
            <w:rStyle w:val="Hyperlink"/>
            <w:rFonts w:ascii="Arial" w:hAnsi="Arial" w:cs="Arial"/>
            <w:color w:val="000000" w:themeColor="text1"/>
            <w:sz w:val="24"/>
            <w:szCs w:val="24"/>
          </w:rPr>
          <w:t>www.statista.com/statistics/907749/life-expectancy-in-Wales-by-age-and-gender</w:t>
        </w:r>
      </w:hyperlink>
      <w:r w:rsidRPr="00773A1C">
        <w:rPr>
          <w:rFonts w:ascii="Arial" w:hAnsi="Arial" w:cs="Arial"/>
          <w:color w:val="000000" w:themeColor="text1"/>
          <w:sz w:val="24"/>
          <w:szCs w:val="24"/>
        </w:rPr>
        <w:t xml:space="preserve"> [Accessed on 4 August 2023]. </w:t>
      </w:r>
    </w:p>
    <w:p w14:paraId="63D3CA81" w14:textId="77777777" w:rsidR="00ED1205" w:rsidRPr="00773A1C" w:rsidRDefault="00ED1205" w:rsidP="00ED1205">
      <w:pPr>
        <w:rPr>
          <w:rFonts w:ascii="Arial" w:hAnsi="Arial" w:cs="Arial"/>
          <w:i/>
          <w:iCs/>
          <w:color w:val="000000" w:themeColor="text1"/>
          <w:sz w:val="24"/>
          <w:szCs w:val="24"/>
        </w:rPr>
      </w:pPr>
      <w:r w:rsidRPr="00773A1C">
        <w:rPr>
          <w:rFonts w:ascii="Arial" w:hAnsi="Arial" w:cs="Arial"/>
          <w:color w:val="000000" w:themeColor="text1"/>
          <w:sz w:val="24"/>
          <w:szCs w:val="24"/>
        </w:rPr>
        <w:t xml:space="preserve">Coram </w:t>
      </w:r>
      <w:proofErr w:type="spellStart"/>
      <w:r w:rsidRPr="00773A1C">
        <w:rPr>
          <w:rFonts w:ascii="Arial" w:hAnsi="Arial" w:cs="Arial"/>
          <w:color w:val="000000" w:themeColor="text1"/>
          <w:sz w:val="24"/>
          <w:szCs w:val="24"/>
        </w:rPr>
        <w:t>Baaf</w:t>
      </w:r>
      <w:proofErr w:type="spellEnd"/>
      <w:r w:rsidRPr="00773A1C">
        <w:rPr>
          <w:rFonts w:ascii="Arial" w:hAnsi="Arial" w:cs="Arial"/>
          <w:color w:val="000000" w:themeColor="text1"/>
          <w:sz w:val="24"/>
          <w:szCs w:val="24"/>
        </w:rPr>
        <w:t xml:space="preserve"> (2016) </w:t>
      </w:r>
      <w:r w:rsidRPr="00773A1C">
        <w:rPr>
          <w:rFonts w:ascii="Arial" w:hAnsi="Arial" w:cs="Arial"/>
          <w:i/>
          <w:iCs/>
          <w:color w:val="000000" w:themeColor="text1"/>
          <w:sz w:val="24"/>
          <w:szCs w:val="24"/>
        </w:rPr>
        <w:t xml:space="preserve">Guidance Notes for Connected Person/ Family and Friends Report. </w:t>
      </w:r>
    </w:p>
    <w:p w14:paraId="4F0C93EC"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Cotton, M., Drakeford, M., Roberts, S., Scholte, E., Casas, F. and Williams, M. (2003) </w:t>
      </w:r>
      <w:r w:rsidRPr="00773A1C">
        <w:rPr>
          <w:rFonts w:ascii="Arial" w:hAnsi="Arial" w:cs="Arial"/>
          <w:i/>
          <w:iCs/>
          <w:color w:val="000000" w:themeColor="text1"/>
          <w:sz w:val="24"/>
          <w:szCs w:val="24"/>
        </w:rPr>
        <w:t xml:space="preserve">Social Workers, Parents and Stigma, </w:t>
      </w:r>
      <w:r w:rsidRPr="00773A1C">
        <w:rPr>
          <w:rFonts w:ascii="Arial" w:hAnsi="Arial" w:cs="Arial"/>
          <w:color w:val="000000" w:themeColor="text1"/>
          <w:sz w:val="24"/>
          <w:szCs w:val="24"/>
        </w:rPr>
        <w:t xml:space="preserve">Child and Family Social Work, 2 (4) pp. 247 – 257. </w:t>
      </w:r>
    </w:p>
    <w:p w14:paraId="3093B581"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Creating a Family (2023) </w:t>
      </w:r>
      <w:r w:rsidRPr="00773A1C">
        <w:rPr>
          <w:rFonts w:ascii="Arial" w:hAnsi="Arial" w:cs="Arial"/>
          <w:i/>
          <w:iCs/>
          <w:color w:val="000000" w:themeColor="text1"/>
          <w:sz w:val="24"/>
          <w:szCs w:val="24"/>
        </w:rPr>
        <w:t xml:space="preserve">Common Challenges in Kinship Care and How to Overcome them, </w:t>
      </w:r>
      <w:r w:rsidRPr="00773A1C">
        <w:rPr>
          <w:rFonts w:ascii="Arial" w:hAnsi="Arial" w:cs="Arial"/>
          <w:color w:val="000000" w:themeColor="text1"/>
          <w:sz w:val="24"/>
          <w:szCs w:val="24"/>
        </w:rPr>
        <w:t xml:space="preserve">[ONLINE] Available at: </w:t>
      </w:r>
      <w:hyperlink r:id="rId11" w:history="1">
        <w:r w:rsidRPr="00773A1C">
          <w:rPr>
            <w:rStyle w:val="Hyperlink"/>
            <w:rFonts w:ascii="Arial" w:hAnsi="Arial" w:cs="Arial"/>
            <w:color w:val="000000" w:themeColor="text1"/>
            <w:sz w:val="24"/>
            <w:szCs w:val="24"/>
          </w:rPr>
          <w:t>www.creatingafamily.org/foster-care/fostering-blog/common-challenges-in-kinship-care-how-to-overcome-them</w:t>
        </w:r>
      </w:hyperlink>
      <w:r w:rsidRPr="00773A1C">
        <w:rPr>
          <w:rFonts w:ascii="Arial" w:hAnsi="Arial" w:cs="Arial"/>
          <w:color w:val="000000" w:themeColor="text1"/>
          <w:sz w:val="24"/>
          <w:szCs w:val="24"/>
        </w:rPr>
        <w:t xml:space="preserve"> [Accessed on 30 July 2023]. </w:t>
      </w:r>
    </w:p>
    <w:p w14:paraId="2DA6D780"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Critchley, A. (2018) </w:t>
      </w:r>
      <w:r w:rsidRPr="00773A1C">
        <w:rPr>
          <w:rFonts w:ascii="Arial" w:hAnsi="Arial" w:cs="Arial"/>
          <w:i/>
          <w:iCs/>
          <w:color w:val="000000" w:themeColor="text1"/>
          <w:sz w:val="24"/>
          <w:szCs w:val="24"/>
        </w:rPr>
        <w:t xml:space="preserve">Jumping Through Hoops, </w:t>
      </w:r>
      <w:r w:rsidRPr="00773A1C">
        <w:rPr>
          <w:rFonts w:ascii="Arial" w:hAnsi="Arial" w:cs="Arial"/>
          <w:color w:val="000000" w:themeColor="text1"/>
          <w:sz w:val="24"/>
          <w:szCs w:val="24"/>
        </w:rPr>
        <w:t xml:space="preserve">Edinburgh. </w:t>
      </w:r>
    </w:p>
    <w:p w14:paraId="74A627D5"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Department for Education (2011) </w:t>
      </w:r>
      <w:r w:rsidRPr="00773A1C">
        <w:rPr>
          <w:rFonts w:ascii="Arial" w:hAnsi="Arial" w:cs="Arial"/>
          <w:i/>
          <w:iCs/>
          <w:color w:val="000000" w:themeColor="text1"/>
          <w:sz w:val="24"/>
          <w:szCs w:val="24"/>
        </w:rPr>
        <w:t xml:space="preserve">Fostering Services: National Minimum Standards, </w:t>
      </w:r>
      <w:r w:rsidRPr="00773A1C">
        <w:rPr>
          <w:rFonts w:ascii="Arial" w:hAnsi="Arial" w:cs="Arial"/>
          <w:color w:val="000000" w:themeColor="text1"/>
          <w:sz w:val="24"/>
          <w:szCs w:val="24"/>
        </w:rPr>
        <w:t xml:space="preserve">[ONLINE] Available at: </w:t>
      </w:r>
      <w:hyperlink r:id="rId12" w:history="1">
        <w:r w:rsidRPr="00773A1C">
          <w:rPr>
            <w:rStyle w:val="Hyperlink"/>
            <w:rFonts w:ascii="Arial" w:hAnsi="Arial" w:cs="Arial"/>
            <w:color w:val="000000" w:themeColor="text1"/>
            <w:sz w:val="24"/>
            <w:szCs w:val="24"/>
          </w:rPr>
          <w:t>www.gov.uk/overnment/publications/fostering-services-national-minimum-standards</w:t>
        </w:r>
      </w:hyperlink>
      <w:r w:rsidRPr="00773A1C">
        <w:rPr>
          <w:rFonts w:ascii="Arial" w:hAnsi="Arial" w:cs="Arial"/>
          <w:color w:val="000000" w:themeColor="text1"/>
          <w:sz w:val="24"/>
          <w:szCs w:val="24"/>
        </w:rPr>
        <w:t xml:space="preserve"> [Accessed on 28 July 2023].</w:t>
      </w:r>
    </w:p>
    <w:p w14:paraId="25530A85"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Drevitch</w:t>
      </w:r>
      <w:proofErr w:type="spellEnd"/>
      <w:r w:rsidRPr="00773A1C">
        <w:rPr>
          <w:rFonts w:ascii="Arial" w:hAnsi="Arial" w:cs="Arial"/>
          <w:color w:val="000000" w:themeColor="text1"/>
          <w:sz w:val="24"/>
          <w:szCs w:val="24"/>
        </w:rPr>
        <w:t xml:space="preserve">, G. (2022) </w:t>
      </w:r>
      <w:r w:rsidRPr="00773A1C">
        <w:rPr>
          <w:rFonts w:ascii="Arial" w:hAnsi="Arial" w:cs="Arial"/>
          <w:i/>
          <w:iCs/>
          <w:color w:val="000000" w:themeColor="text1"/>
          <w:sz w:val="24"/>
          <w:szCs w:val="24"/>
        </w:rPr>
        <w:t xml:space="preserve">3 Ways to Respond to a Sexual Assault Disclosure, </w:t>
      </w:r>
      <w:r w:rsidRPr="00773A1C">
        <w:rPr>
          <w:rFonts w:ascii="Arial" w:hAnsi="Arial" w:cs="Arial"/>
          <w:color w:val="000000" w:themeColor="text1"/>
          <w:sz w:val="24"/>
          <w:szCs w:val="24"/>
        </w:rPr>
        <w:t xml:space="preserve">[ONLINE] Available at: </w:t>
      </w:r>
      <w:hyperlink r:id="rId13" w:history="1">
        <w:r w:rsidRPr="00773A1C">
          <w:rPr>
            <w:rStyle w:val="Hyperlink"/>
            <w:rFonts w:ascii="Arial" w:hAnsi="Arial" w:cs="Arial"/>
            <w:color w:val="000000" w:themeColor="text1"/>
            <w:sz w:val="24"/>
            <w:szCs w:val="24"/>
          </w:rPr>
          <w:t>www.psychologytoday.com/gb/blog/awareness-action/202204/3-ways-respond-sexual-assault-disclosure%3famp</w:t>
        </w:r>
      </w:hyperlink>
      <w:r w:rsidRPr="00773A1C">
        <w:rPr>
          <w:rFonts w:ascii="Arial" w:hAnsi="Arial" w:cs="Arial"/>
          <w:color w:val="000000" w:themeColor="text1"/>
          <w:sz w:val="24"/>
          <w:szCs w:val="24"/>
        </w:rPr>
        <w:t xml:space="preserve"> [Accessed 19 August 2023]. </w:t>
      </w:r>
    </w:p>
    <w:p w14:paraId="7DC758C5"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Drury-Hudson, J. (1999) </w:t>
      </w:r>
      <w:r w:rsidRPr="00773A1C">
        <w:rPr>
          <w:rFonts w:ascii="Arial" w:hAnsi="Arial" w:cs="Arial"/>
          <w:i/>
          <w:iCs/>
          <w:color w:val="000000" w:themeColor="text1"/>
          <w:sz w:val="24"/>
          <w:szCs w:val="24"/>
        </w:rPr>
        <w:t xml:space="preserve">Decision Making in Child Protection: The Use of Theoretical, Empirical and Procedural Knowledge by Novices and Experts and Implications for Fieldwork Placement, </w:t>
      </w:r>
      <w:r w:rsidRPr="00773A1C">
        <w:rPr>
          <w:rFonts w:ascii="Arial" w:hAnsi="Arial" w:cs="Arial"/>
          <w:color w:val="000000" w:themeColor="text1"/>
          <w:sz w:val="24"/>
          <w:szCs w:val="24"/>
        </w:rPr>
        <w:t>British Journal of Social Work, 29 (1) pp. 147 – 169.</w:t>
      </w:r>
    </w:p>
    <w:p w14:paraId="63A57034"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Engel, G.L. (1980) </w:t>
      </w:r>
      <w:r w:rsidRPr="00773A1C">
        <w:rPr>
          <w:rFonts w:ascii="Arial" w:hAnsi="Arial" w:cs="Arial"/>
          <w:i/>
          <w:iCs/>
          <w:color w:val="000000" w:themeColor="text1"/>
          <w:sz w:val="24"/>
          <w:szCs w:val="24"/>
        </w:rPr>
        <w:t xml:space="preserve">The Clinical Application of the Biopsychosocial Model, </w:t>
      </w:r>
      <w:r w:rsidRPr="00773A1C">
        <w:rPr>
          <w:rFonts w:ascii="Arial" w:hAnsi="Arial" w:cs="Arial"/>
          <w:color w:val="000000" w:themeColor="text1"/>
          <w:sz w:val="24"/>
          <w:szCs w:val="24"/>
        </w:rPr>
        <w:t xml:space="preserve">American Journal of Psychiatry, 137 (5) pp. 535 – 544. </w:t>
      </w:r>
    </w:p>
    <w:p w14:paraId="5CCE77CB"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Eriksson, K. and Englander, M. (2017) </w:t>
      </w:r>
      <w:r w:rsidRPr="00773A1C">
        <w:rPr>
          <w:rFonts w:ascii="Arial" w:hAnsi="Arial" w:cs="Arial"/>
          <w:i/>
          <w:iCs/>
          <w:color w:val="000000" w:themeColor="text1"/>
          <w:sz w:val="24"/>
          <w:szCs w:val="24"/>
        </w:rPr>
        <w:t xml:space="preserve">Empathy in Social Work, </w:t>
      </w:r>
      <w:r w:rsidRPr="00773A1C">
        <w:rPr>
          <w:rFonts w:ascii="Arial" w:hAnsi="Arial" w:cs="Arial"/>
          <w:color w:val="000000" w:themeColor="text1"/>
          <w:sz w:val="24"/>
          <w:szCs w:val="24"/>
        </w:rPr>
        <w:t xml:space="preserve">Journal of Social Work Education, 53 (4) pp. 607 – 621. </w:t>
      </w:r>
    </w:p>
    <w:p w14:paraId="77D69F14"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Fabrizio, K. (2018) </w:t>
      </w:r>
      <w:r w:rsidRPr="00773A1C">
        <w:rPr>
          <w:rFonts w:ascii="Arial" w:hAnsi="Arial" w:cs="Arial"/>
          <w:i/>
          <w:iCs/>
          <w:color w:val="000000" w:themeColor="text1"/>
          <w:sz w:val="24"/>
          <w:szCs w:val="24"/>
        </w:rPr>
        <w:t xml:space="preserve">When Mom Doesn’t Believe, Validate or Protect her Daughter when she has been Sexually Assaulted/ Abused, </w:t>
      </w:r>
      <w:r w:rsidRPr="00773A1C">
        <w:rPr>
          <w:rFonts w:ascii="Arial" w:hAnsi="Arial" w:cs="Arial"/>
          <w:color w:val="000000" w:themeColor="text1"/>
          <w:sz w:val="24"/>
          <w:szCs w:val="24"/>
        </w:rPr>
        <w:t xml:space="preserve">[ONLINE] Available at: </w:t>
      </w:r>
      <w:hyperlink r:id="rId14" w:anchor="1" w:history="1">
        <w:r w:rsidRPr="00773A1C">
          <w:rPr>
            <w:rStyle w:val="Hyperlink"/>
            <w:rFonts w:ascii="Arial" w:hAnsi="Arial" w:cs="Arial"/>
            <w:color w:val="000000" w:themeColor="text1"/>
            <w:sz w:val="24"/>
            <w:szCs w:val="24"/>
          </w:rPr>
          <w:t>www.psychcentral.com/blog/gppd-daughter/2018/02/when-mom-doesnt-believe-or-validate-her-daughter-when-she-was-sexually-assaulted-abused#1</w:t>
        </w:r>
      </w:hyperlink>
      <w:r w:rsidRPr="00773A1C">
        <w:rPr>
          <w:rFonts w:ascii="Arial" w:hAnsi="Arial" w:cs="Arial"/>
          <w:color w:val="000000" w:themeColor="text1"/>
          <w:sz w:val="24"/>
          <w:szCs w:val="24"/>
        </w:rPr>
        <w:t xml:space="preserve"> [Accessed on 4 August 2023]. </w:t>
      </w:r>
    </w:p>
    <w:p w14:paraId="7FA1B786"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Family Rights Group (2023) </w:t>
      </w:r>
      <w:r w:rsidRPr="00773A1C">
        <w:rPr>
          <w:rFonts w:ascii="Arial" w:hAnsi="Arial" w:cs="Arial"/>
          <w:i/>
          <w:iCs/>
          <w:color w:val="000000" w:themeColor="text1"/>
          <w:sz w:val="24"/>
          <w:szCs w:val="24"/>
        </w:rPr>
        <w:t xml:space="preserve">Kinship Assessments Guide Section 3 – Factors to Consider During the Assessment, </w:t>
      </w:r>
      <w:r w:rsidRPr="00773A1C">
        <w:rPr>
          <w:rFonts w:ascii="Arial" w:hAnsi="Arial" w:cs="Arial"/>
          <w:color w:val="000000" w:themeColor="text1"/>
          <w:sz w:val="24"/>
          <w:szCs w:val="24"/>
        </w:rPr>
        <w:t xml:space="preserve">[ONLINE] Available at: </w:t>
      </w:r>
      <w:hyperlink r:id="rId15" w:history="1">
        <w:r w:rsidRPr="00773A1C">
          <w:rPr>
            <w:rStyle w:val="Hyperlink"/>
            <w:rFonts w:ascii="Arial" w:hAnsi="Arial" w:cs="Arial"/>
            <w:color w:val="000000" w:themeColor="text1"/>
            <w:sz w:val="24"/>
            <w:szCs w:val="24"/>
          </w:rPr>
          <w:t>www.frg.org.uk/policy-and-campaigns/kinship-care/kinship-assessment-guide-section-3-factors-to-consider-during-the-assessment</w:t>
        </w:r>
      </w:hyperlink>
      <w:r w:rsidRPr="00773A1C">
        <w:rPr>
          <w:rFonts w:ascii="Arial" w:hAnsi="Arial" w:cs="Arial"/>
          <w:color w:val="000000" w:themeColor="text1"/>
          <w:sz w:val="24"/>
          <w:szCs w:val="24"/>
        </w:rPr>
        <w:t xml:space="preserve"> [Accessed on 2 August 2023]. </w:t>
      </w:r>
    </w:p>
    <w:p w14:paraId="7A0A9A38" w14:textId="77777777" w:rsidR="00ED1205" w:rsidRPr="00773A1C" w:rsidRDefault="00ED1205" w:rsidP="00ED1205">
      <w:pPr>
        <w:rPr>
          <w:rFonts w:ascii="Arial" w:hAnsi="Arial" w:cs="Arial"/>
          <w:i/>
          <w:iCs/>
          <w:color w:val="000000" w:themeColor="text1"/>
          <w:sz w:val="24"/>
          <w:szCs w:val="24"/>
        </w:rPr>
      </w:pPr>
      <w:r w:rsidRPr="00773A1C">
        <w:rPr>
          <w:rFonts w:ascii="Arial" w:hAnsi="Arial" w:cs="Arial"/>
          <w:color w:val="000000" w:themeColor="text1"/>
          <w:sz w:val="24"/>
          <w:szCs w:val="24"/>
        </w:rPr>
        <w:t xml:space="preserve">Farrington, K. and </w:t>
      </w:r>
      <w:proofErr w:type="spellStart"/>
      <w:r w:rsidRPr="00773A1C">
        <w:rPr>
          <w:rFonts w:ascii="Arial" w:hAnsi="Arial" w:cs="Arial"/>
          <w:color w:val="000000" w:themeColor="text1"/>
          <w:sz w:val="24"/>
          <w:szCs w:val="24"/>
        </w:rPr>
        <w:t>Chertok</w:t>
      </w:r>
      <w:proofErr w:type="spellEnd"/>
      <w:r w:rsidRPr="00773A1C">
        <w:rPr>
          <w:rFonts w:ascii="Arial" w:hAnsi="Arial" w:cs="Arial"/>
          <w:color w:val="000000" w:themeColor="text1"/>
          <w:sz w:val="24"/>
          <w:szCs w:val="24"/>
        </w:rPr>
        <w:t xml:space="preserve">, E. (1993) </w:t>
      </w:r>
      <w:r w:rsidRPr="00773A1C">
        <w:rPr>
          <w:rFonts w:ascii="Arial" w:hAnsi="Arial" w:cs="Arial"/>
          <w:i/>
          <w:iCs/>
          <w:color w:val="000000" w:themeColor="text1"/>
          <w:sz w:val="24"/>
          <w:szCs w:val="24"/>
        </w:rPr>
        <w:t xml:space="preserve">Social Conflict Theories of the Family, </w:t>
      </w:r>
    </w:p>
    <w:p w14:paraId="03CB5101" w14:textId="77777777" w:rsidR="00ED1205"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Fitton, V.A. (2013) </w:t>
      </w:r>
      <w:r w:rsidRPr="00773A1C">
        <w:rPr>
          <w:rFonts w:ascii="Arial" w:hAnsi="Arial" w:cs="Arial"/>
          <w:i/>
          <w:iCs/>
          <w:color w:val="000000" w:themeColor="text1"/>
          <w:sz w:val="24"/>
          <w:szCs w:val="24"/>
        </w:rPr>
        <w:t xml:space="preserve">Attachment Theory, History, Research and Practice, </w:t>
      </w:r>
      <w:r w:rsidRPr="00773A1C">
        <w:rPr>
          <w:rFonts w:ascii="Arial" w:hAnsi="Arial" w:cs="Arial"/>
          <w:color w:val="000000" w:themeColor="text1"/>
          <w:sz w:val="24"/>
          <w:szCs w:val="24"/>
        </w:rPr>
        <w:t xml:space="preserve">Child and Adolescent Psychotherapy and Psychoanalysis, pp. 121- 143. </w:t>
      </w:r>
    </w:p>
    <w:p w14:paraId="29EF542E"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lastRenderedPageBreak/>
        <w:t xml:space="preserve">Foster Wales (2023b) </w:t>
      </w:r>
      <w:r w:rsidRPr="00773A1C">
        <w:rPr>
          <w:rFonts w:ascii="Arial" w:hAnsi="Arial" w:cs="Arial"/>
          <w:i/>
          <w:iCs/>
          <w:color w:val="000000" w:themeColor="text1"/>
          <w:sz w:val="24"/>
          <w:szCs w:val="24"/>
        </w:rPr>
        <w:t xml:space="preserve">Who Can Foster, </w:t>
      </w:r>
      <w:r w:rsidRPr="00773A1C">
        <w:rPr>
          <w:rFonts w:ascii="Arial" w:hAnsi="Arial" w:cs="Arial"/>
          <w:color w:val="000000" w:themeColor="text1"/>
          <w:sz w:val="24"/>
          <w:szCs w:val="24"/>
        </w:rPr>
        <w:t xml:space="preserve">[ONLINE] Available at: </w:t>
      </w:r>
      <w:hyperlink r:id="rId16" w:history="1">
        <w:r w:rsidRPr="00773A1C">
          <w:rPr>
            <w:rStyle w:val="Hyperlink"/>
            <w:rFonts w:ascii="Arial" w:hAnsi="Arial" w:cs="Arial"/>
            <w:color w:val="000000" w:themeColor="text1"/>
            <w:sz w:val="24"/>
            <w:szCs w:val="24"/>
          </w:rPr>
          <w:t>www.fosterwales.gov.wales/who-can-foster</w:t>
        </w:r>
      </w:hyperlink>
      <w:r w:rsidRPr="00773A1C">
        <w:rPr>
          <w:rFonts w:ascii="Arial" w:hAnsi="Arial" w:cs="Arial"/>
          <w:color w:val="000000" w:themeColor="text1"/>
          <w:sz w:val="24"/>
          <w:szCs w:val="24"/>
        </w:rPr>
        <w:t xml:space="preserve"> [Accessed on 8 August 2023].</w:t>
      </w:r>
    </w:p>
    <w:p w14:paraId="5D7D20C1"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Fostering Network (2023) </w:t>
      </w:r>
      <w:r w:rsidRPr="00773A1C">
        <w:rPr>
          <w:rFonts w:ascii="Arial" w:hAnsi="Arial" w:cs="Arial"/>
          <w:i/>
          <w:iCs/>
          <w:color w:val="000000" w:themeColor="text1"/>
          <w:sz w:val="24"/>
          <w:szCs w:val="24"/>
        </w:rPr>
        <w:t xml:space="preserve">Working with Social Workers, </w:t>
      </w:r>
      <w:r w:rsidRPr="00773A1C">
        <w:rPr>
          <w:rFonts w:ascii="Arial" w:hAnsi="Arial" w:cs="Arial"/>
          <w:color w:val="000000" w:themeColor="text1"/>
          <w:sz w:val="24"/>
          <w:szCs w:val="24"/>
        </w:rPr>
        <w:t xml:space="preserve">[ONLINE] Available at: </w:t>
      </w:r>
      <w:hyperlink r:id="rId17" w:history="1">
        <w:r w:rsidRPr="00773A1C">
          <w:rPr>
            <w:rStyle w:val="Hyperlink"/>
            <w:rFonts w:ascii="Arial" w:hAnsi="Arial" w:cs="Arial"/>
            <w:color w:val="000000" w:themeColor="text1"/>
            <w:sz w:val="24"/>
            <w:szCs w:val="24"/>
          </w:rPr>
          <w:t>www.thefosteringnetwork.org.uk/advice-information/being-foster-carer/working-social-workers</w:t>
        </w:r>
      </w:hyperlink>
      <w:r w:rsidRPr="00773A1C">
        <w:rPr>
          <w:rFonts w:ascii="Arial" w:hAnsi="Arial" w:cs="Arial"/>
          <w:color w:val="000000" w:themeColor="text1"/>
          <w:sz w:val="24"/>
          <w:szCs w:val="24"/>
        </w:rPr>
        <w:t xml:space="preserve"> [Accessed on 27 July 2023]. </w:t>
      </w:r>
    </w:p>
    <w:p w14:paraId="245E8739"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Fostering People (2023) </w:t>
      </w:r>
      <w:r w:rsidRPr="00773A1C">
        <w:rPr>
          <w:rFonts w:ascii="Arial" w:hAnsi="Arial" w:cs="Arial"/>
          <w:i/>
          <w:iCs/>
          <w:color w:val="000000" w:themeColor="text1"/>
          <w:sz w:val="24"/>
          <w:szCs w:val="24"/>
        </w:rPr>
        <w:t xml:space="preserve">Foster Care Background Checks and References, </w:t>
      </w:r>
      <w:r w:rsidRPr="00773A1C">
        <w:rPr>
          <w:rFonts w:ascii="Arial" w:hAnsi="Arial" w:cs="Arial"/>
          <w:color w:val="000000" w:themeColor="text1"/>
          <w:sz w:val="24"/>
          <w:szCs w:val="24"/>
        </w:rPr>
        <w:t xml:space="preserve">[ONLINE] Available at: </w:t>
      </w:r>
      <w:hyperlink r:id="rId18" w:history="1">
        <w:r w:rsidRPr="00773A1C">
          <w:rPr>
            <w:rStyle w:val="Hyperlink"/>
            <w:rFonts w:ascii="Arial" w:hAnsi="Arial" w:cs="Arial"/>
            <w:color w:val="000000" w:themeColor="text1"/>
            <w:sz w:val="24"/>
            <w:szCs w:val="24"/>
          </w:rPr>
          <w:t>www.fosteringpeople.co.uk/about-fostering/how-to-become-a-foster-parent/checks-and-references</w:t>
        </w:r>
      </w:hyperlink>
      <w:r w:rsidRPr="00773A1C">
        <w:rPr>
          <w:rFonts w:ascii="Arial" w:hAnsi="Arial" w:cs="Arial"/>
          <w:color w:val="000000" w:themeColor="text1"/>
          <w:sz w:val="24"/>
          <w:szCs w:val="24"/>
        </w:rPr>
        <w:t xml:space="preserve"> [Accessed on 3 August 2023]. </w:t>
      </w:r>
    </w:p>
    <w:p w14:paraId="597659E4"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Fox, L. (2022) </w:t>
      </w:r>
      <w:r w:rsidRPr="00773A1C">
        <w:rPr>
          <w:rFonts w:ascii="Arial" w:hAnsi="Arial" w:cs="Arial"/>
          <w:i/>
          <w:iCs/>
          <w:color w:val="000000" w:themeColor="text1"/>
          <w:sz w:val="24"/>
          <w:szCs w:val="24"/>
        </w:rPr>
        <w:t xml:space="preserve">Detecting Parental Deception in the Child Safeguarding Context, </w:t>
      </w:r>
      <w:r w:rsidRPr="00773A1C">
        <w:rPr>
          <w:rFonts w:ascii="Arial" w:hAnsi="Arial" w:cs="Arial"/>
          <w:color w:val="000000" w:themeColor="text1"/>
          <w:sz w:val="24"/>
          <w:szCs w:val="24"/>
        </w:rPr>
        <w:t xml:space="preserve">Child Abuse Review, 31 (2). </w:t>
      </w:r>
    </w:p>
    <w:p w14:paraId="2C6364E8"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Gautier, L. and </w:t>
      </w:r>
      <w:proofErr w:type="spellStart"/>
      <w:r w:rsidRPr="00773A1C">
        <w:rPr>
          <w:rFonts w:ascii="Arial" w:hAnsi="Arial" w:cs="Arial"/>
          <w:color w:val="000000" w:themeColor="text1"/>
          <w:sz w:val="24"/>
          <w:szCs w:val="24"/>
        </w:rPr>
        <w:t>Wellard</w:t>
      </w:r>
      <w:proofErr w:type="spellEnd"/>
      <w:r w:rsidRPr="00773A1C">
        <w:rPr>
          <w:rFonts w:ascii="Arial" w:hAnsi="Arial" w:cs="Arial"/>
          <w:color w:val="000000" w:themeColor="text1"/>
          <w:sz w:val="24"/>
          <w:szCs w:val="24"/>
        </w:rPr>
        <w:t xml:space="preserve">, C. (2014) </w:t>
      </w:r>
      <w:r w:rsidRPr="00773A1C">
        <w:rPr>
          <w:rFonts w:ascii="Arial" w:hAnsi="Arial" w:cs="Arial"/>
          <w:i/>
          <w:iCs/>
          <w:color w:val="000000" w:themeColor="text1"/>
          <w:sz w:val="24"/>
          <w:szCs w:val="24"/>
        </w:rPr>
        <w:t xml:space="preserve">Disadvantage, Discrimination, Resilience: The Lives of Kinship Families, </w:t>
      </w:r>
      <w:r w:rsidRPr="00773A1C">
        <w:rPr>
          <w:rFonts w:ascii="Arial" w:hAnsi="Arial" w:cs="Arial"/>
          <w:color w:val="000000" w:themeColor="text1"/>
          <w:sz w:val="24"/>
          <w:szCs w:val="24"/>
        </w:rPr>
        <w:t xml:space="preserve">Grandparents Plus. </w:t>
      </w:r>
    </w:p>
    <w:p w14:paraId="7C22F364"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Gov Wales (2023) </w:t>
      </w:r>
      <w:r w:rsidRPr="00773A1C">
        <w:rPr>
          <w:rFonts w:ascii="Arial" w:hAnsi="Arial" w:cs="Arial"/>
          <w:i/>
          <w:iCs/>
          <w:color w:val="000000" w:themeColor="text1"/>
          <w:sz w:val="24"/>
          <w:szCs w:val="24"/>
        </w:rPr>
        <w:t xml:space="preserve">England/ Wales NHS Cross Border Healthcare Services: Statement of Values and Principles, </w:t>
      </w:r>
      <w:r w:rsidRPr="00773A1C">
        <w:rPr>
          <w:rFonts w:ascii="Arial" w:hAnsi="Arial" w:cs="Arial"/>
          <w:color w:val="000000" w:themeColor="text1"/>
          <w:sz w:val="24"/>
          <w:szCs w:val="24"/>
        </w:rPr>
        <w:t xml:space="preserve">Welsh Assembly Government: Cardiff. </w:t>
      </w:r>
    </w:p>
    <w:p w14:paraId="63E03EBC"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Grinnell, R.M. and </w:t>
      </w:r>
      <w:proofErr w:type="spellStart"/>
      <w:r w:rsidRPr="00773A1C">
        <w:rPr>
          <w:rFonts w:ascii="Arial" w:hAnsi="Arial" w:cs="Arial"/>
          <w:color w:val="000000" w:themeColor="text1"/>
          <w:sz w:val="24"/>
          <w:szCs w:val="24"/>
        </w:rPr>
        <w:t>Unrau</w:t>
      </w:r>
      <w:proofErr w:type="spellEnd"/>
      <w:r w:rsidRPr="00773A1C">
        <w:rPr>
          <w:rFonts w:ascii="Arial" w:hAnsi="Arial" w:cs="Arial"/>
          <w:color w:val="000000" w:themeColor="text1"/>
          <w:sz w:val="24"/>
          <w:szCs w:val="24"/>
        </w:rPr>
        <w:t xml:space="preserve">, Y.A. (2010) </w:t>
      </w:r>
      <w:r w:rsidRPr="00773A1C">
        <w:rPr>
          <w:rFonts w:ascii="Arial" w:hAnsi="Arial" w:cs="Arial"/>
          <w:i/>
          <w:iCs/>
          <w:color w:val="000000" w:themeColor="text1"/>
          <w:sz w:val="24"/>
          <w:szCs w:val="24"/>
        </w:rPr>
        <w:t xml:space="preserve">Social Work Research and Evaluation: Foundations of Evidence-Based Practice, </w:t>
      </w:r>
      <w:r w:rsidRPr="00773A1C">
        <w:rPr>
          <w:rFonts w:ascii="Arial" w:hAnsi="Arial" w:cs="Arial"/>
          <w:color w:val="000000" w:themeColor="text1"/>
          <w:sz w:val="24"/>
          <w:szCs w:val="24"/>
        </w:rPr>
        <w:t xml:space="preserve">Oxford University Press. </w:t>
      </w:r>
    </w:p>
    <w:p w14:paraId="2CD3926E"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Hall, C., </w:t>
      </w:r>
      <w:proofErr w:type="spellStart"/>
      <w:r w:rsidRPr="00773A1C">
        <w:rPr>
          <w:rFonts w:ascii="Arial" w:hAnsi="Arial" w:cs="Arial"/>
          <w:color w:val="000000" w:themeColor="text1"/>
          <w:sz w:val="24"/>
          <w:szCs w:val="24"/>
        </w:rPr>
        <w:t>Juhila</w:t>
      </w:r>
      <w:proofErr w:type="spellEnd"/>
      <w:r w:rsidRPr="00773A1C">
        <w:rPr>
          <w:rFonts w:ascii="Arial" w:hAnsi="Arial" w:cs="Arial"/>
          <w:color w:val="000000" w:themeColor="text1"/>
          <w:sz w:val="24"/>
          <w:szCs w:val="24"/>
        </w:rPr>
        <w:t xml:space="preserve">, K., Matarese, M. and van </w:t>
      </w:r>
      <w:proofErr w:type="spellStart"/>
      <w:r w:rsidRPr="00773A1C">
        <w:rPr>
          <w:rFonts w:ascii="Arial" w:hAnsi="Arial" w:cs="Arial"/>
          <w:color w:val="000000" w:themeColor="text1"/>
          <w:sz w:val="24"/>
          <w:szCs w:val="24"/>
        </w:rPr>
        <w:t>Nijnatten</w:t>
      </w:r>
      <w:proofErr w:type="spellEnd"/>
      <w:r w:rsidRPr="00773A1C">
        <w:rPr>
          <w:rFonts w:ascii="Arial" w:hAnsi="Arial" w:cs="Arial"/>
          <w:color w:val="000000" w:themeColor="text1"/>
          <w:sz w:val="24"/>
          <w:szCs w:val="24"/>
        </w:rPr>
        <w:t xml:space="preserve">, C. (2013) </w:t>
      </w:r>
      <w:r w:rsidRPr="00773A1C">
        <w:rPr>
          <w:rFonts w:ascii="Arial" w:hAnsi="Arial" w:cs="Arial"/>
          <w:i/>
          <w:iCs/>
          <w:color w:val="000000" w:themeColor="text1"/>
          <w:sz w:val="24"/>
          <w:szCs w:val="24"/>
        </w:rPr>
        <w:t xml:space="preserve">Analysing Social Work Communication, </w:t>
      </w:r>
      <w:r w:rsidRPr="00773A1C">
        <w:rPr>
          <w:rFonts w:ascii="Arial" w:hAnsi="Arial" w:cs="Arial"/>
          <w:color w:val="000000" w:themeColor="text1"/>
          <w:sz w:val="24"/>
          <w:szCs w:val="24"/>
        </w:rPr>
        <w:t xml:space="preserve">Discourse in Practice: Routledge. </w:t>
      </w:r>
    </w:p>
    <w:p w14:paraId="4BA56186"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Hardy, R. (2018) </w:t>
      </w:r>
      <w:r w:rsidRPr="00773A1C">
        <w:rPr>
          <w:rFonts w:ascii="Arial" w:hAnsi="Arial" w:cs="Arial"/>
          <w:i/>
          <w:iCs/>
          <w:color w:val="000000" w:themeColor="text1"/>
          <w:sz w:val="24"/>
          <w:szCs w:val="24"/>
        </w:rPr>
        <w:t xml:space="preserve">Why a Chronology should be the First Thing you do in Assessment, </w:t>
      </w:r>
      <w:r w:rsidRPr="00773A1C">
        <w:rPr>
          <w:rFonts w:ascii="Arial" w:hAnsi="Arial" w:cs="Arial"/>
          <w:color w:val="000000" w:themeColor="text1"/>
          <w:sz w:val="24"/>
          <w:szCs w:val="24"/>
        </w:rPr>
        <w:t xml:space="preserve">[ONLINE] Available at: </w:t>
      </w:r>
      <w:hyperlink r:id="rId19" w:history="1">
        <w:r w:rsidRPr="00773A1C">
          <w:rPr>
            <w:rStyle w:val="Hyperlink"/>
            <w:rFonts w:ascii="Arial" w:hAnsi="Arial" w:cs="Arial"/>
            <w:color w:val="000000" w:themeColor="text1"/>
            <w:sz w:val="24"/>
            <w:szCs w:val="24"/>
          </w:rPr>
          <w:t>www.communitycare.co.uk/2018/08/15/chronology-first-thing-assssment</w:t>
        </w:r>
      </w:hyperlink>
      <w:r w:rsidRPr="00773A1C">
        <w:rPr>
          <w:rFonts w:ascii="Arial" w:hAnsi="Arial" w:cs="Arial"/>
          <w:color w:val="000000" w:themeColor="text1"/>
          <w:sz w:val="24"/>
          <w:szCs w:val="24"/>
        </w:rPr>
        <w:t xml:space="preserve"> [Accessed on 4 August 2023]. </w:t>
      </w:r>
    </w:p>
    <w:p w14:paraId="229B2A2C"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Jahans</w:t>
      </w:r>
      <w:proofErr w:type="spellEnd"/>
      <w:r w:rsidRPr="00773A1C">
        <w:rPr>
          <w:rFonts w:ascii="Arial" w:hAnsi="Arial" w:cs="Arial"/>
          <w:color w:val="000000" w:themeColor="text1"/>
          <w:sz w:val="24"/>
          <w:szCs w:val="24"/>
        </w:rPr>
        <w:t xml:space="preserve">-Baynton, K. and </w:t>
      </w:r>
      <w:proofErr w:type="spellStart"/>
      <w:r w:rsidRPr="00773A1C">
        <w:rPr>
          <w:rFonts w:ascii="Arial" w:hAnsi="Arial" w:cs="Arial"/>
          <w:color w:val="000000" w:themeColor="text1"/>
          <w:sz w:val="24"/>
          <w:szCs w:val="24"/>
        </w:rPr>
        <w:t>Grealish</w:t>
      </w:r>
      <w:proofErr w:type="spellEnd"/>
      <w:r w:rsidRPr="00773A1C">
        <w:rPr>
          <w:rFonts w:ascii="Arial" w:hAnsi="Arial" w:cs="Arial"/>
          <w:color w:val="000000" w:themeColor="text1"/>
          <w:sz w:val="24"/>
          <w:szCs w:val="24"/>
        </w:rPr>
        <w:t xml:space="preserve">, A. (2021) </w:t>
      </w:r>
      <w:r w:rsidRPr="00773A1C">
        <w:rPr>
          <w:rFonts w:ascii="Arial" w:hAnsi="Arial" w:cs="Arial"/>
          <w:i/>
          <w:iCs/>
          <w:color w:val="000000" w:themeColor="text1"/>
          <w:sz w:val="24"/>
          <w:szCs w:val="24"/>
        </w:rPr>
        <w:t xml:space="preserve">Safeguarding Communications between Multiagency Professionals when Working with Children and Young People: A Qualitative Study, </w:t>
      </w:r>
      <w:r w:rsidRPr="00773A1C">
        <w:rPr>
          <w:rFonts w:ascii="Arial" w:hAnsi="Arial" w:cs="Arial"/>
          <w:color w:val="000000" w:themeColor="text1"/>
          <w:sz w:val="24"/>
          <w:szCs w:val="24"/>
        </w:rPr>
        <w:t xml:space="preserve">Journal of Child and Adolescent Psychiatric Nursing, 35 (2) pp. 171 – 178. </w:t>
      </w:r>
    </w:p>
    <w:p w14:paraId="35ADA151"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Kemble, R. (2014) </w:t>
      </w:r>
      <w:r w:rsidRPr="00773A1C">
        <w:rPr>
          <w:rFonts w:ascii="Arial" w:hAnsi="Arial" w:cs="Arial"/>
          <w:i/>
          <w:iCs/>
          <w:color w:val="000000" w:themeColor="text1"/>
          <w:sz w:val="24"/>
          <w:szCs w:val="24"/>
        </w:rPr>
        <w:t xml:space="preserve">The Intolerable Taboo of Mental Illness, </w:t>
      </w:r>
      <w:r w:rsidRPr="00773A1C">
        <w:rPr>
          <w:rFonts w:ascii="Arial" w:hAnsi="Arial" w:cs="Arial"/>
          <w:color w:val="000000" w:themeColor="text1"/>
          <w:sz w:val="24"/>
          <w:szCs w:val="24"/>
        </w:rPr>
        <w:t>Social Alternatives, 33 (3) pp. 20 -23.</w:t>
      </w:r>
    </w:p>
    <w:p w14:paraId="61127744"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Kinship (2023b) </w:t>
      </w:r>
      <w:r w:rsidRPr="00773A1C">
        <w:rPr>
          <w:rFonts w:ascii="Arial" w:hAnsi="Arial" w:cs="Arial"/>
          <w:i/>
          <w:iCs/>
          <w:color w:val="000000" w:themeColor="text1"/>
          <w:sz w:val="24"/>
          <w:szCs w:val="24"/>
        </w:rPr>
        <w:t xml:space="preserve">What is Kinship Care? </w:t>
      </w:r>
      <w:r w:rsidRPr="00773A1C">
        <w:rPr>
          <w:rFonts w:ascii="Arial" w:hAnsi="Arial" w:cs="Arial"/>
          <w:color w:val="000000" w:themeColor="text1"/>
          <w:sz w:val="24"/>
          <w:szCs w:val="24"/>
        </w:rPr>
        <w:t xml:space="preserve">[ONLINE] Available at: </w:t>
      </w:r>
      <w:hyperlink r:id="rId20" w:history="1">
        <w:r w:rsidRPr="00773A1C">
          <w:rPr>
            <w:rStyle w:val="Hyperlink"/>
            <w:rFonts w:ascii="Arial" w:hAnsi="Arial" w:cs="Arial"/>
            <w:color w:val="000000" w:themeColor="text1"/>
            <w:sz w:val="24"/>
            <w:szCs w:val="24"/>
          </w:rPr>
          <w:t>www.kinship.org.uk/advice-and-information/what-is-kinship-care</w:t>
        </w:r>
      </w:hyperlink>
      <w:r w:rsidRPr="00773A1C">
        <w:rPr>
          <w:rFonts w:ascii="Arial" w:hAnsi="Arial" w:cs="Arial"/>
          <w:color w:val="000000" w:themeColor="text1"/>
          <w:sz w:val="24"/>
          <w:szCs w:val="24"/>
        </w:rPr>
        <w:t xml:space="preserve"> [Accessed on 2 August 2023]. </w:t>
      </w:r>
    </w:p>
    <w:p w14:paraId="1C76598D"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Landstedt</w:t>
      </w:r>
      <w:proofErr w:type="spellEnd"/>
      <w:r w:rsidRPr="00773A1C">
        <w:rPr>
          <w:rFonts w:ascii="Arial" w:hAnsi="Arial" w:cs="Arial"/>
          <w:color w:val="000000" w:themeColor="text1"/>
          <w:sz w:val="24"/>
          <w:szCs w:val="24"/>
        </w:rPr>
        <w:t xml:space="preserve">, E. and </w:t>
      </w:r>
      <w:proofErr w:type="spellStart"/>
      <w:r w:rsidRPr="00773A1C">
        <w:rPr>
          <w:rFonts w:ascii="Arial" w:hAnsi="Arial" w:cs="Arial"/>
          <w:color w:val="000000" w:themeColor="text1"/>
          <w:sz w:val="24"/>
          <w:szCs w:val="24"/>
        </w:rPr>
        <w:t>Almquist</w:t>
      </w:r>
      <w:proofErr w:type="spellEnd"/>
      <w:r w:rsidRPr="00773A1C">
        <w:rPr>
          <w:rFonts w:ascii="Arial" w:hAnsi="Arial" w:cs="Arial"/>
          <w:color w:val="000000" w:themeColor="text1"/>
          <w:sz w:val="24"/>
          <w:szCs w:val="24"/>
        </w:rPr>
        <w:t xml:space="preserve">, Y.B. (2019) </w:t>
      </w:r>
      <w:r w:rsidRPr="00773A1C">
        <w:rPr>
          <w:rFonts w:ascii="Arial" w:hAnsi="Arial" w:cs="Arial"/>
          <w:i/>
          <w:iCs/>
          <w:color w:val="000000" w:themeColor="text1"/>
          <w:sz w:val="24"/>
          <w:szCs w:val="24"/>
        </w:rPr>
        <w:t xml:space="preserve">Intergenerational Patterns of Mental Health Problems: The Role of Childhood Status Position, </w:t>
      </w:r>
      <w:r w:rsidRPr="00773A1C">
        <w:rPr>
          <w:rFonts w:ascii="Arial" w:hAnsi="Arial" w:cs="Arial"/>
          <w:color w:val="000000" w:themeColor="text1"/>
          <w:sz w:val="24"/>
          <w:szCs w:val="24"/>
        </w:rPr>
        <w:t>BMC Psychiatry, 19 (286).</w:t>
      </w:r>
    </w:p>
    <w:p w14:paraId="035634A4"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Legislation (2023d) </w:t>
      </w:r>
      <w:r w:rsidRPr="00773A1C">
        <w:rPr>
          <w:rFonts w:ascii="Arial" w:hAnsi="Arial" w:cs="Arial"/>
          <w:i/>
          <w:iCs/>
          <w:color w:val="000000" w:themeColor="text1"/>
          <w:sz w:val="24"/>
          <w:szCs w:val="24"/>
        </w:rPr>
        <w:t xml:space="preserve">Children Act 1989, </w:t>
      </w:r>
      <w:r w:rsidRPr="00773A1C">
        <w:rPr>
          <w:rFonts w:ascii="Arial" w:hAnsi="Arial" w:cs="Arial"/>
          <w:color w:val="000000" w:themeColor="text1"/>
          <w:sz w:val="24"/>
          <w:szCs w:val="24"/>
        </w:rPr>
        <w:t xml:space="preserve">[ONLINE] Available at: </w:t>
      </w:r>
      <w:hyperlink r:id="rId21" w:history="1">
        <w:r w:rsidRPr="00773A1C">
          <w:rPr>
            <w:rStyle w:val="Hyperlink"/>
            <w:rFonts w:ascii="Arial" w:hAnsi="Arial" w:cs="Arial"/>
            <w:color w:val="000000" w:themeColor="text1"/>
            <w:sz w:val="24"/>
            <w:szCs w:val="24"/>
          </w:rPr>
          <w:t>www.legislation.gov.uk/ukpga/1989/41/contents</w:t>
        </w:r>
      </w:hyperlink>
      <w:r w:rsidRPr="00773A1C">
        <w:rPr>
          <w:rFonts w:ascii="Arial" w:hAnsi="Arial" w:cs="Arial"/>
          <w:color w:val="000000" w:themeColor="text1"/>
          <w:sz w:val="24"/>
          <w:szCs w:val="24"/>
        </w:rPr>
        <w:t xml:space="preserve"> [Accessed on 25 July 2023].</w:t>
      </w:r>
    </w:p>
    <w:p w14:paraId="1D2E36D2"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Legislation (2023e)</w:t>
      </w:r>
      <w:r w:rsidRPr="00773A1C">
        <w:rPr>
          <w:rFonts w:ascii="Arial" w:hAnsi="Arial" w:cs="Arial"/>
          <w:i/>
          <w:iCs/>
          <w:color w:val="000000" w:themeColor="text1"/>
          <w:sz w:val="24"/>
          <w:szCs w:val="24"/>
        </w:rPr>
        <w:t xml:space="preserve"> Equality Act 2010, </w:t>
      </w:r>
      <w:r w:rsidRPr="00773A1C">
        <w:rPr>
          <w:rFonts w:ascii="Arial" w:hAnsi="Arial" w:cs="Arial"/>
          <w:color w:val="000000" w:themeColor="text1"/>
          <w:sz w:val="24"/>
          <w:szCs w:val="24"/>
        </w:rPr>
        <w:t xml:space="preserve">[ONLINE] Available at: </w:t>
      </w:r>
      <w:hyperlink r:id="rId22" w:history="1">
        <w:r w:rsidRPr="00773A1C">
          <w:rPr>
            <w:rStyle w:val="Hyperlink"/>
            <w:rFonts w:ascii="Arial" w:hAnsi="Arial" w:cs="Arial"/>
            <w:color w:val="000000" w:themeColor="text1"/>
            <w:sz w:val="24"/>
            <w:szCs w:val="24"/>
          </w:rPr>
          <w:t>www.legislation.gov.uk/ukpga/2010/15/contents</w:t>
        </w:r>
      </w:hyperlink>
      <w:r w:rsidRPr="00773A1C">
        <w:rPr>
          <w:rFonts w:ascii="Arial" w:hAnsi="Arial" w:cs="Arial"/>
          <w:color w:val="000000" w:themeColor="text1"/>
          <w:sz w:val="24"/>
          <w:szCs w:val="24"/>
        </w:rPr>
        <w:t xml:space="preserve"> [Accessed on 27 July 2023]. </w:t>
      </w:r>
    </w:p>
    <w:p w14:paraId="10F9D575"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Legislation (2023f) </w:t>
      </w:r>
      <w:r w:rsidRPr="00773A1C">
        <w:rPr>
          <w:rFonts w:ascii="Arial" w:hAnsi="Arial" w:cs="Arial"/>
          <w:i/>
          <w:iCs/>
          <w:color w:val="000000" w:themeColor="text1"/>
          <w:sz w:val="24"/>
          <w:szCs w:val="24"/>
        </w:rPr>
        <w:t xml:space="preserve">Human Rights Act 1998, </w:t>
      </w:r>
      <w:r w:rsidRPr="00773A1C">
        <w:rPr>
          <w:rFonts w:ascii="Arial" w:hAnsi="Arial" w:cs="Arial"/>
          <w:color w:val="000000" w:themeColor="text1"/>
          <w:sz w:val="24"/>
          <w:szCs w:val="24"/>
        </w:rPr>
        <w:t xml:space="preserve">[ONLINE] Available at: </w:t>
      </w:r>
      <w:hyperlink r:id="rId23" w:history="1">
        <w:r w:rsidRPr="00773A1C">
          <w:rPr>
            <w:rStyle w:val="Hyperlink"/>
            <w:rFonts w:ascii="Arial" w:hAnsi="Arial" w:cs="Arial"/>
            <w:color w:val="000000" w:themeColor="text1"/>
            <w:sz w:val="24"/>
            <w:szCs w:val="24"/>
          </w:rPr>
          <w:t>www.legislation.gov.uk/ukpga/1998/42/contents</w:t>
        </w:r>
      </w:hyperlink>
      <w:r w:rsidRPr="00773A1C">
        <w:rPr>
          <w:rFonts w:ascii="Arial" w:hAnsi="Arial" w:cs="Arial"/>
          <w:color w:val="000000" w:themeColor="text1"/>
          <w:sz w:val="24"/>
          <w:szCs w:val="24"/>
        </w:rPr>
        <w:t xml:space="preserve"> [Accessed on 26 July 2023].</w:t>
      </w:r>
    </w:p>
    <w:p w14:paraId="5B7EA1B3"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lastRenderedPageBreak/>
        <w:t xml:space="preserve">Legislation (2023g) </w:t>
      </w:r>
      <w:r w:rsidRPr="00773A1C">
        <w:rPr>
          <w:rFonts w:ascii="Arial" w:hAnsi="Arial" w:cs="Arial"/>
          <w:i/>
          <w:iCs/>
          <w:color w:val="000000" w:themeColor="text1"/>
          <w:sz w:val="24"/>
          <w:szCs w:val="24"/>
        </w:rPr>
        <w:t xml:space="preserve">The Local Authority Fostering Services (Wales) Regulations (2018), </w:t>
      </w:r>
      <w:r w:rsidRPr="00773A1C">
        <w:rPr>
          <w:rFonts w:ascii="Arial" w:hAnsi="Arial" w:cs="Arial"/>
          <w:color w:val="000000" w:themeColor="text1"/>
          <w:sz w:val="24"/>
          <w:szCs w:val="24"/>
        </w:rPr>
        <w:t xml:space="preserve">[ONLINE] Available at: </w:t>
      </w:r>
      <w:hyperlink r:id="rId24" w:history="1">
        <w:r w:rsidRPr="00773A1C">
          <w:rPr>
            <w:rStyle w:val="Hyperlink"/>
            <w:rFonts w:ascii="Arial" w:hAnsi="Arial" w:cs="Arial"/>
            <w:color w:val="000000" w:themeColor="text1"/>
            <w:sz w:val="24"/>
            <w:szCs w:val="24"/>
          </w:rPr>
          <w:t>www.legislation.gov.uk/wsi/2018/1339/contents/made</w:t>
        </w:r>
      </w:hyperlink>
      <w:r w:rsidRPr="00773A1C">
        <w:rPr>
          <w:rFonts w:ascii="Arial" w:hAnsi="Arial" w:cs="Arial"/>
          <w:color w:val="000000" w:themeColor="text1"/>
          <w:sz w:val="24"/>
          <w:szCs w:val="24"/>
        </w:rPr>
        <w:t xml:space="preserve"> [Accessed on 25 July 2023].</w:t>
      </w:r>
    </w:p>
    <w:p w14:paraId="240E32B6"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Legislation (2023h) </w:t>
      </w:r>
      <w:r w:rsidRPr="00773A1C">
        <w:rPr>
          <w:rFonts w:ascii="Arial" w:hAnsi="Arial" w:cs="Arial"/>
          <w:i/>
          <w:iCs/>
          <w:color w:val="000000" w:themeColor="text1"/>
          <w:sz w:val="24"/>
          <w:szCs w:val="24"/>
        </w:rPr>
        <w:t xml:space="preserve">Wellbeing of Future Generations (Wales) Act (2015), </w:t>
      </w:r>
      <w:r w:rsidRPr="00773A1C">
        <w:rPr>
          <w:rFonts w:ascii="Arial" w:hAnsi="Arial" w:cs="Arial"/>
          <w:color w:val="000000" w:themeColor="text1"/>
          <w:sz w:val="24"/>
          <w:szCs w:val="24"/>
        </w:rPr>
        <w:t xml:space="preserve">[ONLINE] Available at: </w:t>
      </w:r>
      <w:hyperlink r:id="rId25" w:history="1">
        <w:r w:rsidRPr="00773A1C">
          <w:rPr>
            <w:rStyle w:val="Hyperlink"/>
            <w:rFonts w:ascii="Arial" w:hAnsi="Arial" w:cs="Arial"/>
            <w:color w:val="000000" w:themeColor="text1"/>
            <w:sz w:val="24"/>
            <w:szCs w:val="24"/>
          </w:rPr>
          <w:t>www.legislation.gov.uk/anaw/2015/2/contents/enacted</w:t>
        </w:r>
      </w:hyperlink>
      <w:r w:rsidRPr="00773A1C">
        <w:rPr>
          <w:rFonts w:ascii="Arial" w:hAnsi="Arial" w:cs="Arial"/>
          <w:color w:val="000000" w:themeColor="text1"/>
          <w:sz w:val="24"/>
          <w:szCs w:val="24"/>
        </w:rPr>
        <w:t xml:space="preserve"> [Accessed on 27 July 2023]. </w:t>
      </w:r>
    </w:p>
    <w:p w14:paraId="4FBC2C0F"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Lushey</w:t>
      </w:r>
      <w:proofErr w:type="spellEnd"/>
      <w:r w:rsidRPr="00773A1C">
        <w:rPr>
          <w:rFonts w:ascii="Arial" w:hAnsi="Arial" w:cs="Arial"/>
          <w:color w:val="000000" w:themeColor="text1"/>
          <w:sz w:val="24"/>
          <w:szCs w:val="24"/>
        </w:rPr>
        <w:t xml:space="preserve">, C., Ward, H. and Barlow, J. (2014) </w:t>
      </w:r>
      <w:r w:rsidRPr="00773A1C">
        <w:rPr>
          <w:rFonts w:ascii="Arial" w:hAnsi="Arial" w:cs="Arial"/>
          <w:i/>
          <w:iCs/>
          <w:color w:val="000000" w:themeColor="text1"/>
          <w:sz w:val="24"/>
          <w:szCs w:val="24"/>
        </w:rPr>
        <w:t xml:space="preserve">Social Work Assessments where there are Concerns that an Unborn Child may be at Risk of Significant Maltreatment: Legal and Ethical Issues, </w:t>
      </w:r>
      <w:r w:rsidRPr="00773A1C">
        <w:rPr>
          <w:rFonts w:ascii="Arial" w:hAnsi="Arial" w:cs="Arial"/>
          <w:color w:val="000000" w:themeColor="text1"/>
          <w:sz w:val="24"/>
          <w:szCs w:val="24"/>
        </w:rPr>
        <w:t xml:space="preserve">International Congress on Child Abuse and Neglect. </w:t>
      </w:r>
    </w:p>
    <w:p w14:paraId="00F32148"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Maclean, S. [2020] </w:t>
      </w:r>
      <w:r w:rsidRPr="00773A1C">
        <w:rPr>
          <w:rFonts w:ascii="Arial" w:hAnsi="Arial" w:cs="Arial"/>
          <w:i/>
          <w:iCs/>
          <w:color w:val="000000" w:themeColor="text1"/>
          <w:sz w:val="24"/>
          <w:szCs w:val="24"/>
        </w:rPr>
        <w:t xml:space="preserve">The Big Six Reflective Model </w:t>
      </w:r>
      <w:r w:rsidRPr="00773A1C">
        <w:rPr>
          <w:rFonts w:ascii="Arial" w:hAnsi="Arial" w:cs="Arial"/>
          <w:color w:val="000000" w:themeColor="text1"/>
          <w:sz w:val="24"/>
          <w:szCs w:val="24"/>
        </w:rPr>
        <w:t xml:space="preserve">[ONLINE] Available at: </w:t>
      </w:r>
      <w:hyperlink r:id="rId26" w:history="1">
        <w:r w:rsidRPr="00773A1C">
          <w:rPr>
            <w:rStyle w:val="Hyperlink"/>
            <w:rFonts w:ascii="Arial" w:hAnsi="Arial" w:cs="Arial"/>
            <w:color w:val="000000" w:themeColor="text1"/>
            <w:sz w:val="24"/>
            <w:szCs w:val="24"/>
          </w:rPr>
          <w:t>www.youtube.com/watch?v=eSCUPmSPTY</w:t>
        </w:r>
      </w:hyperlink>
      <w:r w:rsidRPr="00773A1C">
        <w:rPr>
          <w:rFonts w:ascii="Arial" w:hAnsi="Arial" w:cs="Arial"/>
          <w:color w:val="000000" w:themeColor="text1"/>
          <w:sz w:val="24"/>
          <w:szCs w:val="24"/>
        </w:rPr>
        <w:t xml:space="preserve"> [Accessed on 02 January 2023]. </w:t>
      </w:r>
    </w:p>
    <w:p w14:paraId="0A5074DE"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Maslow, A.H. (1943) </w:t>
      </w:r>
      <w:r w:rsidRPr="00773A1C">
        <w:rPr>
          <w:rFonts w:ascii="Arial" w:hAnsi="Arial" w:cs="Arial"/>
          <w:i/>
          <w:iCs/>
          <w:color w:val="000000" w:themeColor="text1"/>
          <w:sz w:val="24"/>
          <w:szCs w:val="24"/>
        </w:rPr>
        <w:t xml:space="preserve">A Theory of Human Motivation, </w:t>
      </w:r>
      <w:r w:rsidRPr="00773A1C">
        <w:rPr>
          <w:rFonts w:ascii="Arial" w:hAnsi="Arial" w:cs="Arial"/>
          <w:color w:val="000000" w:themeColor="text1"/>
          <w:sz w:val="24"/>
          <w:szCs w:val="24"/>
        </w:rPr>
        <w:t xml:space="preserve">Psychological Review, 50, pp. 370 – 396. </w:t>
      </w:r>
    </w:p>
    <w:p w14:paraId="4BA0147B" w14:textId="77777777" w:rsidR="00ED1205" w:rsidRPr="00773A1C" w:rsidRDefault="00ED1205" w:rsidP="00ED1205">
      <w:pPr>
        <w:rPr>
          <w:rFonts w:ascii="Arial" w:hAnsi="Arial" w:cs="Arial"/>
          <w:color w:val="000000" w:themeColor="text1"/>
          <w:sz w:val="24"/>
          <w:szCs w:val="24"/>
        </w:rPr>
      </w:pPr>
      <w:proofErr w:type="spellStart"/>
      <w:r w:rsidRPr="00773A1C">
        <w:rPr>
          <w:rFonts w:ascii="Arial" w:hAnsi="Arial" w:cs="Arial"/>
          <w:color w:val="000000" w:themeColor="text1"/>
          <w:sz w:val="24"/>
          <w:szCs w:val="24"/>
        </w:rPr>
        <w:t>McNeish</w:t>
      </w:r>
      <w:proofErr w:type="spellEnd"/>
      <w:r w:rsidRPr="00773A1C">
        <w:rPr>
          <w:rFonts w:ascii="Arial" w:hAnsi="Arial" w:cs="Arial"/>
          <w:color w:val="000000" w:themeColor="text1"/>
          <w:sz w:val="24"/>
          <w:szCs w:val="24"/>
        </w:rPr>
        <w:t xml:space="preserve">, D. and Scott, S. (2018) </w:t>
      </w:r>
      <w:r w:rsidRPr="00773A1C">
        <w:rPr>
          <w:rFonts w:ascii="Arial" w:hAnsi="Arial" w:cs="Arial"/>
          <w:i/>
          <w:iCs/>
          <w:color w:val="000000" w:themeColor="text1"/>
          <w:sz w:val="24"/>
          <w:szCs w:val="24"/>
        </w:rPr>
        <w:t xml:space="preserve">Key Messages from Research on Intrafamilial Child Sexual Abuse, </w:t>
      </w:r>
      <w:r w:rsidRPr="00773A1C">
        <w:rPr>
          <w:rFonts w:ascii="Arial" w:hAnsi="Arial" w:cs="Arial"/>
          <w:color w:val="000000" w:themeColor="text1"/>
          <w:sz w:val="24"/>
          <w:szCs w:val="24"/>
        </w:rPr>
        <w:t xml:space="preserve">Centre of Expertise on Child Sexual Abuse. </w:t>
      </w:r>
    </w:p>
    <w:p w14:paraId="573EA1FD" w14:textId="77777777" w:rsidR="00ED1205" w:rsidRPr="00773A1C" w:rsidRDefault="00ED1205" w:rsidP="00ED1205">
      <w:pPr>
        <w:rPr>
          <w:rFonts w:ascii="Arial" w:hAnsi="Arial" w:cs="Arial"/>
          <w:color w:val="000000" w:themeColor="text1"/>
          <w:sz w:val="24"/>
          <w:szCs w:val="24"/>
        </w:rPr>
      </w:pPr>
      <w:r w:rsidRPr="00773A1C">
        <w:rPr>
          <w:rFonts w:ascii="Arial" w:hAnsi="Arial" w:cs="Arial"/>
          <w:color w:val="000000" w:themeColor="text1"/>
          <w:sz w:val="24"/>
          <w:szCs w:val="24"/>
        </w:rPr>
        <w:t xml:space="preserve">Mental Health Help (2023) </w:t>
      </w:r>
      <w:r w:rsidRPr="00773A1C">
        <w:rPr>
          <w:rFonts w:ascii="Arial" w:hAnsi="Arial" w:cs="Arial"/>
          <w:i/>
          <w:iCs/>
          <w:color w:val="000000" w:themeColor="text1"/>
          <w:sz w:val="24"/>
          <w:szCs w:val="24"/>
        </w:rPr>
        <w:t xml:space="preserve">Prevalence, Onset and Course of Eating Disorders, </w:t>
      </w:r>
      <w:r w:rsidRPr="00773A1C">
        <w:rPr>
          <w:rFonts w:ascii="Arial" w:hAnsi="Arial" w:cs="Arial"/>
          <w:color w:val="000000" w:themeColor="text1"/>
          <w:sz w:val="24"/>
          <w:szCs w:val="24"/>
        </w:rPr>
        <w:t xml:space="preserve">[ONLINE] Available at: </w:t>
      </w:r>
      <w:hyperlink r:id="rId27" w:history="1">
        <w:r w:rsidRPr="00773A1C">
          <w:rPr>
            <w:rStyle w:val="Hyperlink"/>
            <w:rFonts w:ascii="Arial" w:hAnsi="Arial" w:cs="Arial"/>
            <w:color w:val="000000" w:themeColor="text1"/>
            <w:sz w:val="24"/>
            <w:szCs w:val="24"/>
          </w:rPr>
          <w:t>www.mentalhelp.net/eating-disorders/prevalence-onset-and-course</w:t>
        </w:r>
      </w:hyperlink>
      <w:r w:rsidRPr="00773A1C">
        <w:rPr>
          <w:rFonts w:ascii="Arial" w:hAnsi="Arial" w:cs="Arial"/>
          <w:color w:val="000000" w:themeColor="text1"/>
          <w:sz w:val="24"/>
          <w:szCs w:val="24"/>
        </w:rPr>
        <w:t xml:space="preserve"> [Accessed on 29 July 2023].</w:t>
      </w:r>
    </w:p>
    <w:p w14:paraId="18D94D44" w14:textId="77777777" w:rsidR="00ED1205" w:rsidRPr="00773A1C" w:rsidRDefault="00ED1205" w:rsidP="00ED1205">
      <w:pPr>
        <w:rPr>
          <w:rFonts w:ascii="Arial" w:hAnsi="Arial" w:cs="Arial"/>
          <w:color w:val="000000" w:themeColor="text1"/>
          <w:sz w:val="24"/>
          <w:szCs w:val="24"/>
        </w:rPr>
      </w:pPr>
      <w:bookmarkStart w:id="0" w:name="_Hlk148130910"/>
      <w:r w:rsidRPr="00773A1C">
        <w:rPr>
          <w:rFonts w:ascii="Arial" w:hAnsi="Arial" w:cs="Arial"/>
          <w:color w:val="000000" w:themeColor="text1"/>
          <w:sz w:val="24"/>
          <w:szCs w:val="24"/>
        </w:rPr>
        <w:t xml:space="preserve">Milner, J., Myers, S. and O’Byrne, P. (2020) </w:t>
      </w:r>
      <w:r w:rsidRPr="00773A1C">
        <w:rPr>
          <w:rFonts w:ascii="Arial" w:hAnsi="Arial" w:cs="Arial"/>
          <w:i/>
          <w:iCs/>
          <w:color w:val="000000" w:themeColor="text1"/>
          <w:sz w:val="24"/>
          <w:szCs w:val="24"/>
        </w:rPr>
        <w:t>Assessment in Social Work</w:t>
      </w:r>
      <w:r w:rsidRPr="00773A1C">
        <w:rPr>
          <w:rFonts w:ascii="Arial" w:hAnsi="Arial" w:cs="Arial"/>
          <w:color w:val="000000" w:themeColor="text1"/>
          <w:sz w:val="24"/>
          <w:szCs w:val="24"/>
        </w:rPr>
        <w:t>, Bloomsbury Publishing.</w:t>
      </w:r>
    </w:p>
    <w:bookmarkEnd w:id="0"/>
    <w:p w14:paraId="6375E1D3"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NSPCC (2021) </w:t>
      </w:r>
      <w:r w:rsidRPr="00164FF0">
        <w:rPr>
          <w:rFonts w:ascii="Arial" w:hAnsi="Arial" w:cs="Arial"/>
          <w:i/>
          <w:iCs/>
          <w:color w:val="000000" w:themeColor="text1"/>
          <w:sz w:val="24"/>
          <w:szCs w:val="24"/>
        </w:rPr>
        <w:t xml:space="preserve">Child Abuse Statistics Briefing, </w:t>
      </w:r>
      <w:r w:rsidRPr="00164FF0">
        <w:rPr>
          <w:rFonts w:ascii="Arial" w:hAnsi="Arial" w:cs="Arial"/>
          <w:color w:val="000000" w:themeColor="text1"/>
          <w:sz w:val="24"/>
          <w:szCs w:val="24"/>
        </w:rPr>
        <w:t xml:space="preserve">[ONLINE] Available at: </w:t>
      </w:r>
      <w:hyperlink r:id="rId28" w:history="1">
        <w:r w:rsidRPr="00164FF0">
          <w:rPr>
            <w:rStyle w:val="Hyperlink"/>
            <w:rFonts w:ascii="Arial" w:hAnsi="Arial" w:cs="Arial"/>
            <w:color w:val="000000" w:themeColor="text1"/>
            <w:sz w:val="24"/>
            <w:szCs w:val="24"/>
          </w:rPr>
          <w:t>www.learning.nspcc.org.uk/research-resources/statistics-briefings/child-sexual-abuse</w:t>
        </w:r>
      </w:hyperlink>
      <w:r w:rsidRPr="00164FF0">
        <w:rPr>
          <w:rFonts w:ascii="Arial" w:hAnsi="Arial" w:cs="Arial"/>
          <w:color w:val="000000" w:themeColor="text1"/>
          <w:sz w:val="24"/>
          <w:szCs w:val="24"/>
        </w:rPr>
        <w:t xml:space="preserve"> [Accessed on 30 July 2023]. </w:t>
      </w:r>
    </w:p>
    <w:p w14:paraId="3C65375D"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NSPCC (2023) </w:t>
      </w:r>
      <w:r w:rsidRPr="00164FF0">
        <w:rPr>
          <w:rFonts w:ascii="Arial" w:hAnsi="Arial" w:cs="Arial"/>
          <w:i/>
          <w:iCs/>
          <w:color w:val="000000" w:themeColor="text1"/>
          <w:sz w:val="24"/>
          <w:szCs w:val="24"/>
        </w:rPr>
        <w:t xml:space="preserve">Parents with a Mental Health Problem: Learning from Case Reviews, </w:t>
      </w:r>
      <w:r w:rsidRPr="00164FF0">
        <w:rPr>
          <w:rFonts w:ascii="Arial" w:hAnsi="Arial" w:cs="Arial"/>
          <w:color w:val="000000" w:themeColor="text1"/>
          <w:sz w:val="24"/>
          <w:szCs w:val="24"/>
        </w:rPr>
        <w:t xml:space="preserve">[ONLINE] Available at: </w:t>
      </w:r>
      <w:hyperlink r:id="rId29" w:history="1">
        <w:r w:rsidRPr="00164FF0">
          <w:rPr>
            <w:rStyle w:val="Hyperlink"/>
            <w:rFonts w:ascii="Arial" w:hAnsi="Arial" w:cs="Arial"/>
            <w:color w:val="000000" w:themeColor="text1"/>
            <w:sz w:val="24"/>
            <w:szCs w:val="24"/>
          </w:rPr>
          <w:t>www.learning.nspcc.org.uk/research-resources/learning-from-case-reviews/parents-with-a-mental-health-problem</w:t>
        </w:r>
      </w:hyperlink>
      <w:r w:rsidRPr="00164FF0">
        <w:rPr>
          <w:rFonts w:ascii="Arial" w:hAnsi="Arial" w:cs="Arial"/>
          <w:color w:val="000000" w:themeColor="text1"/>
          <w:sz w:val="24"/>
          <w:szCs w:val="24"/>
        </w:rPr>
        <w:t xml:space="preserve"> [Accessed on 2 August 2023]. </w:t>
      </w:r>
    </w:p>
    <w:p w14:paraId="1209D137"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O’Reilly, L. and Dolan, P. (2015) </w:t>
      </w:r>
      <w:r w:rsidRPr="00164FF0">
        <w:rPr>
          <w:rFonts w:ascii="Arial" w:hAnsi="Arial" w:cs="Arial"/>
          <w:i/>
          <w:iCs/>
          <w:color w:val="000000" w:themeColor="text1"/>
          <w:sz w:val="24"/>
          <w:szCs w:val="24"/>
        </w:rPr>
        <w:t xml:space="preserve">The Voice of the Child in Social Work Assessment: Age-Appropriate Communication with Children, </w:t>
      </w:r>
      <w:r w:rsidRPr="00164FF0">
        <w:rPr>
          <w:rFonts w:ascii="Arial" w:hAnsi="Arial" w:cs="Arial"/>
          <w:color w:val="000000" w:themeColor="text1"/>
          <w:sz w:val="24"/>
          <w:szCs w:val="24"/>
        </w:rPr>
        <w:t xml:space="preserve">British Journal of Social Work, 46 (5) pp. 1191 – 1207. </w:t>
      </w:r>
    </w:p>
    <w:p w14:paraId="1DABEA13"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Organisation for Economic Cooperation and Development (2023) </w:t>
      </w:r>
      <w:r w:rsidRPr="00164FF0">
        <w:rPr>
          <w:rFonts w:ascii="Arial" w:hAnsi="Arial" w:cs="Arial"/>
          <w:i/>
          <w:iCs/>
          <w:color w:val="000000" w:themeColor="text1"/>
          <w:sz w:val="24"/>
          <w:szCs w:val="24"/>
        </w:rPr>
        <w:t xml:space="preserve">Lack of Social Support, </w:t>
      </w:r>
      <w:r w:rsidRPr="00164FF0">
        <w:rPr>
          <w:rFonts w:ascii="Arial" w:hAnsi="Arial" w:cs="Arial"/>
          <w:color w:val="000000" w:themeColor="text1"/>
          <w:sz w:val="24"/>
          <w:szCs w:val="24"/>
        </w:rPr>
        <w:t xml:space="preserve">[ONLINE] Available at: </w:t>
      </w:r>
      <w:hyperlink r:id="rId30" w:history="1">
        <w:r w:rsidRPr="00164FF0">
          <w:rPr>
            <w:rStyle w:val="Hyperlink"/>
            <w:rFonts w:ascii="Arial" w:hAnsi="Arial" w:cs="Arial"/>
            <w:color w:val="000000" w:themeColor="text1"/>
            <w:sz w:val="24"/>
            <w:szCs w:val="24"/>
          </w:rPr>
          <w:t>www.data.oecd.org/healthrisk/lack-of-social-support</w:t>
        </w:r>
      </w:hyperlink>
      <w:r w:rsidRPr="00164FF0">
        <w:rPr>
          <w:rFonts w:ascii="Arial" w:hAnsi="Arial" w:cs="Arial"/>
          <w:color w:val="000000" w:themeColor="text1"/>
          <w:sz w:val="24"/>
          <w:szCs w:val="24"/>
        </w:rPr>
        <w:t xml:space="preserve"> [Accessed on 30 July 2023]. </w:t>
      </w:r>
    </w:p>
    <w:p w14:paraId="673F8C21"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Parents Protect (2018) </w:t>
      </w:r>
      <w:r w:rsidRPr="00164FF0">
        <w:rPr>
          <w:rFonts w:ascii="Arial" w:hAnsi="Arial" w:cs="Arial"/>
          <w:i/>
          <w:iCs/>
          <w:color w:val="000000" w:themeColor="text1"/>
          <w:sz w:val="24"/>
          <w:szCs w:val="24"/>
        </w:rPr>
        <w:t xml:space="preserve">If a Child Tells you About Abuse, </w:t>
      </w:r>
      <w:r w:rsidRPr="00164FF0">
        <w:rPr>
          <w:rFonts w:ascii="Arial" w:hAnsi="Arial" w:cs="Arial"/>
          <w:color w:val="000000" w:themeColor="text1"/>
          <w:sz w:val="24"/>
          <w:szCs w:val="24"/>
        </w:rPr>
        <w:t xml:space="preserve">[ONLINE] Available at: </w:t>
      </w:r>
      <w:hyperlink r:id="rId31" w:history="1">
        <w:r w:rsidRPr="00164FF0">
          <w:rPr>
            <w:rStyle w:val="Hyperlink"/>
            <w:rFonts w:ascii="Arial" w:hAnsi="Arial" w:cs="Arial"/>
            <w:color w:val="000000" w:themeColor="text1"/>
            <w:sz w:val="24"/>
            <w:szCs w:val="24"/>
          </w:rPr>
          <w:t>www.parentsprotect.co.uk/if-a-child-tells-you-about-abuse</w:t>
        </w:r>
      </w:hyperlink>
      <w:r w:rsidRPr="00164FF0">
        <w:rPr>
          <w:rFonts w:ascii="Arial" w:hAnsi="Arial" w:cs="Arial"/>
          <w:color w:val="000000" w:themeColor="text1"/>
          <w:sz w:val="24"/>
          <w:szCs w:val="24"/>
        </w:rPr>
        <w:t xml:space="preserve"> [Accessed on 30 July 2023]. </w:t>
      </w:r>
    </w:p>
    <w:p w14:paraId="0BEFB4CB"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Personnel Checks (2023) </w:t>
      </w:r>
      <w:r w:rsidRPr="00164FF0">
        <w:rPr>
          <w:rFonts w:ascii="Arial" w:hAnsi="Arial" w:cs="Arial"/>
          <w:i/>
          <w:iCs/>
          <w:color w:val="000000" w:themeColor="text1"/>
          <w:sz w:val="24"/>
          <w:szCs w:val="24"/>
        </w:rPr>
        <w:t xml:space="preserve">What Checks Should I Expect as a Foster Carer in the UK? </w:t>
      </w:r>
      <w:r w:rsidRPr="00164FF0">
        <w:rPr>
          <w:rFonts w:ascii="Arial" w:hAnsi="Arial" w:cs="Arial"/>
          <w:color w:val="000000" w:themeColor="text1"/>
          <w:sz w:val="24"/>
          <w:szCs w:val="24"/>
        </w:rPr>
        <w:t xml:space="preserve">[ONLINE] Available at: </w:t>
      </w:r>
      <w:hyperlink r:id="rId32" w:history="1">
        <w:r w:rsidRPr="00164FF0">
          <w:rPr>
            <w:rStyle w:val="Hyperlink"/>
            <w:rFonts w:ascii="Arial" w:hAnsi="Arial" w:cs="Arial"/>
            <w:color w:val="000000" w:themeColor="text1"/>
            <w:sz w:val="24"/>
            <w:szCs w:val="24"/>
          </w:rPr>
          <w:t>www.personnelchecks.co.uk/knowledge-hub/checks-foster-carer-uk</w:t>
        </w:r>
      </w:hyperlink>
      <w:r w:rsidRPr="00164FF0">
        <w:rPr>
          <w:rFonts w:ascii="Arial" w:hAnsi="Arial" w:cs="Arial"/>
          <w:color w:val="000000" w:themeColor="text1"/>
          <w:sz w:val="24"/>
          <w:szCs w:val="24"/>
        </w:rPr>
        <w:t xml:space="preserve"> [Accessed on 2 August 2023]. </w:t>
      </w:r>
    </w:p>
    <w:p w14:paraId="05F78B51"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lastRenderedPageBreak/>
        <w:t xml:space="preserve">Procedures Online (2022) </w:t>
      </w:r>
      <w:r w:rsidRPr="00164FF0">
        <w:rPr>
          <w:rFonts w:ascii="Arial" w:hAnsi="Arial" w:cs="Arial"/>
          <w:i/>
          <w:iCs/>
          <w:color w:val="000000" w:themeColor="text1"/>
          <w:sz w:val="24"/>
          <w:szCs w:val="24"/>
        </w:rPr>
        <w:t xml:space="preserve">Guidance on References in Adoption, </w:t>
      </w:r>
      <w:r w:rsidRPr="00164FF0">
        <w:rPr>
          <w:rFonts w:ascii="Arial" w:hAnsi="Arial" w:cs="Arial"/>
          <w:color w:val="000000" w:themeColor="text1"/>
          <w:sz w:val="24"/>
          <w:szCs w:val="24"/>
        </w:rPr>
        <w:t xml:space="preserve">[ONLINE] Available at: </w:t>
      </w:r>
      <w:hyperlink r:id="rId33" w:history="1">
        <w:r w:rsidRPr="00164FF0">
          <w:rPr>
            <w:rStyle w:val="Hyperlink"/>
            <w:rFonts w:ascii="Arial" w:hAnsi="Arial" w:cs="Arial"/>
            <w:color w:val="000000" w:themeColor="text1"/>
            <w:sz w:val="24"/>
            <w:szCs w:val="24"/>
          </w:rPr>
          <w:t>www.proceduresonline.com/oneadoption/oneadoption/g_other_ref.html</w:t>
        </w:r>
      </w:hyperlink>
      <w:r w:rsidRPr="00164FF0">
        <w:rPr>
          <w:rFonts w:ascii="Arial" w:hAnsi="Arial" w:cs="Arial"/>
          <w:color w:val="000000" w:themeColor="text1"/>
          <w:sz w:val="24"/>
          <w:szCs w:val="24"/>
        </w:rPr>
        <w:t xml:space="preserve"> [Accessed on 27 July 2023].  </w:t>
      </w:r>
    </w:p>
    <w:p w14:paraId="04A8656A" w14:textId="77777777" w:rsidR="00ED1205" w:rsidRPr="00164FF0" w:rsidRDefault="00ED1205" w:rsidP="00ED1205">
      <w:pPr>
        <w:rPr>
          <w:rFonts w:ascii="Arial" w:hAnsi="Arial" w:cs="Arial"/>
          <w:color w:val="000000" w:themeColor="text1"/>
          <w:sz w:val="24"/>
          <w:szCs w:val="24"/>
        </w:rPr>
      </w:pPr>
      <w:proofErr w:type="spellStart"/>
      <w:r w:rsidRPr="00164FF0">
        <w:rPr>
          <w:rFonts w:ascii="Arial" w:hAnsi="Arial" w:cs="Arial"/>
          <w:color w:val="000000" w:themeColor="text1"/>
          <w:sz w:val="24"/>
          <w:szCs w:val="24"/>
        </w:rPr>
        <w:t>Reder</w:t>
      </w:r>
      <w:proofErr w:type="spellEnd"/>
      <w:r w:rsidRPr="00164FF0">
        <w:rPr>
          <w:rFonts w:ascii="Arial" w:hAnsi="Arial" w:cs="Arial"/>
          <w:color w:val="000000" w:themeColor="text1"/>
          <w:sz w:val="24"/>
          <w:szCs w:val="24"/>
        </w:rPr>
        <w:t xml:space="preserve">, P., Duncan, S. and Gray, M. (1993) </w:t>
      </w:r>
      <w:r w:rsidRPr="00164FF0">
        <w:rPr>
          <w:rFonts w:ascii="Arial" w:hAnsi="Arial" w:cs="Arial"/>
          <w:i/>
          <w:iCs/>
          <w:color w:val="000000" w:themeColor="text1"/>
          <w:sz w:val="24"/>
          <w:szCs w:val="24"/>
        </w:rPr>
        <w:t xml:space="preserve">Beyond Blame: Child Abuse Tragedies Revisited, </w:t>
      </w:r>
      <w:r w:rsidRPr="00164FF0">
        <w:rPr>
          <w:rFonts w:ascii="Arial" w:hAnsi="Arial" w:cs="Arial"/>
          <w:color w:val="000000" w:themeColor="text1"/>
          <w:sz w:val="24"/>
          <w:szCs w:val="24"/>
        </w:rPr>
        <w:t xml:space="preserve">London: Routledge. </w:t>
      </w:r>
    </w:p>
    <w:p w14:paraId="4B4755D2" w14:textId="77777777" w:rsidR="00ED1205" w:rsidRPr="00164FF0" w:rsidRDefault="00ED1205" w:rsidP="00ED1205">
      <w:pPr>
        <w:rPr>
          <w:rFonts w:ascii="Arial" w:hAnsi="Arial" w:cs="Arial"/>
          <w:color w:val="000000" w:themeColor="text1"/>
          <w:sz w:val="24"/>
          <w:szCs w:val="24"/>
        </w:rPr>
      </w:pPr>
      <w:proofErr w:type="spellStart"/>
      <w:r w:rsidRPr="00164FF0">
        <w:rPr>
          <w:rFonts w:ascii="Arial" w:hAnsi="Arial" w:cs="Arial"/>
          <w:color w:val="000000" w:themeColor="text1"/>
          <w:sz w:val="24"/>
          <w:szCs w:val="24"/>
        </w:rPr>
        <w:t>Reissman</w:t>
      </w:r>
      <w:proofErr w:type="spellEnd"/>
      <w:r w:rsidRPr="00164FF0">
        <w:rPr>
          <w:rFonts w:ascii="Arial" w:hAnsi="Arial" w:cs="Arial"/>
          <w:color w:val="000000" w:themeColor="text1"/>
          <w:sz w:val="24"/>
          <w:szCs w:val="24"/>
        </w:rPr>
        <w:t xml:space="preserve">, C.K. and Quinney, L. (2005) </w:t>
      </w:r>
      <w:r w:rsidRPr="00164FF0">
        <w:rPr>
          <w:rFonts w:ascii="Arial" w:hAnsi="Arial" w:cs="Arial"/>
          <w:i/>
          <w:iCs/>
          <w:color w:val="000000" w:themeColor="text1"/>
          <w:sz w:val="24"/>
          <w:szCs w:val="24"/>
        </w:rPr>
        <w:t xml:space="preserve">Narrative in Social Work, </w:t>
      </w:r>
      <w:r w:rsidRPr="00164FF0">
        <w:rPr>
          <w:rFonts w:ascii="Arial" w:hAnsi="Arial" w:cs="Arial"/>
          <w:color w:val="000000" w:themeColor="text1"/>
          <w:sz w:val="24"/>
          <w:szCs w:val="24"/>
        </w:rPr>
        <w:t xml:space="preserve">Qualitative Social Work, 4 (4) pp. 391 – 412. </w:t>
      </w:r>
    </w:p>
    <w:p w14:paraId="0AB4299E"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Rose, L., Taylor, E.P., Di </w:t>
      </w:r>
      <w:proofErr w:type="spellStart"/>
      <w:r w:rsidRPr="00164FF0">
        <w:rPr>
          <w:rFonts w:ascii="Arial" w:hAnsi="Arial" w:cs="Arial"/>
          <w:color w:val="000000" w:themeColor="text1"/>
          <w:sz w:val="24"/>
          <w:szCs w:val="24"/>
        </w:rPr>
        <w:t>Folco</w:t>
      </w:r>
      <w:proofErr w:type="spellEnd"/>
      <w:r w:rsidRPr="00164FF0">
        <w:rPr>
          <w:rFonts w:ascii="Arial" w:hAnsi="Arial" w:cs="Arial"/>
          <w:color w:val="000000" w:themeColor="text1"/>
          <w:sz w:val="24"/>
          <w:szCs w:val="24"/>
        </w:rPr>
        <w:t xml:space="preserve">, S., </w:t>
      </w:r>
      <w:proofErr w:type="spellStart"/>
      <w:r w:rsidRPr="00164FF0">
        <w:rPr>
          <w:rFonts w:ascii="Arial" w:hAnsi="Arial" w:cs="Arial"/>
          <w:color w:val="000000" w:themeColor="text1"/>
          <w:sz w:val="24"/>
          <w:szCs w:val="24"/>
        </w:rPr>
        <w:t>Dupin</w:t>
      </w:r>
      <w:proofErr w:type="spellEnd"/>
      <w:r w:rsidRPr="00164FF0">
        <w:rPr>
          <w:rFonts w:ascii="Arial" w:hAnsi="Arial" w:cs="Arial"/>
          <w:color w:val="000000" w:themeColor="text1"/>
          <w:sz w:val="24"/>
          <w:szCs w:val="24"/>
        </w:rPr>
        <w:t xml:space="preserve">, M., </w:t>
      </w:r>
      <w:proofErr w:type="spellStart"/>
      <w:r w:rsidRPr="00164FF0">
        <w:rPr>
          <w:rFonts w:ascii="Arial" w:hAnsi="Arial" w:cs="Arial"/>
          <w:color w:val="000000" w:themeColor="text1"/>
          <w:sz w:val="24"/>
          <w:szCs w:val="24"/>
        </w:rPr>
        <w:t>Mithen</w:t>
      </w:r>
      <w:proofErr w:type="spellEnd"/>
      <w:r w:rsidRPr="00164FF0">
        <w:rPr>
          <w:rFonts w:ascii="Arial" w:hAnsi="Arial" w:cs="Arial"/>
          <w:color w:val="000000" w:themeColor="text1"/>
          <w:sz w:val="24"/>
          <w:szCs w:val="24"/>
        </w:rPr>
        <w:t xml:space="preserve">, H. and Wen, Z. (2022) </w:t>
      </w:r>
      <w:r w:rsidRPr="00164FF0">
        <w:rPr>
          <w:rFonts w:ascii="Arial" w:hAnsi="Arial" w:cs="Arial"/>
          <w:i/>
          <w:iCs/>
          <w:color w:val="000000" w:themeColor="text1"/>
          <w:sz w:val="24"/>
          <w:szCs w:val="24"/>
        </w:rPr>
        <w:t xml:space="preserve">Family Dynamics in Kinship Care, </w:t>
      </w:r>
      <w:r w:rsidRPr="00164FF0">
        <w:rPr>
          <w:rFonts w:ascii="Arial" w:hAnsi="Arial" w:cs="Arial"/>
          <w:color w:val="000000" w:themeColor="text1"/>
          <w:sz w:val="24"/>
          <w:szCs w:val="24"/>
        </w:rPr>
        <w:t xml:space="preserve">Child and Family Social Work, 27 (4) pp. 635 – 645. </w:t>
      </w:r>
    </w:p>
    <w:p w14:paraId="3CAD3B16"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Royal College of Psychiatrists (2023) </w:t>
      </w:r>
      <w:r w:rsidRPr="00164FF0">
        <w:rPr>
          <w:rFonts w:ascii="Arial" w:hAnsi="Arial" w:cs="Arial"/>
          <w:i/>
          <w:iCs/>
          <w:color w:val="000000" w:themeColor="text1"/>
          <w:sz w:val="24"/>
          <w:szCs w:val="24"/>
        </w:rPr>
        <w:t xml:space="preserve">Children’s Social Services and Safeguarding, </w:t>
      </w:r>
      <w:r w:rsidRPr="00164FF0">
        <w:rPr>
          <w:rFonts w:ascii="Arial" w:hAnsi="Arial" w:cs="Arial"/>
          <w:color w:val="000000" w:themeColor="text1"/>
          <w:sz w:val="24"/>
          <w:szCs w:val="24"/>
        </w:rPr>
        <w:t xml:space="preserve">[ONLINE] Available at: </w:t>
      </w:r>
      <w:hyperlink r:id="rId34" w:history="1">
        <w:r w:rsidRPr="00164FF0">
          <w:rPr>
            <w:rStyle w:val="Hyperlink"/>
            <w:rFonts w:ascii="Arial" w:hAnsi="Arial" w:cs="Arial"/>
            <w:color w:val="000000" w:themeColor="text1"/>
            <w:sz w:val="24"/>
            <w:szCs w:val="24"/>
          </w:rPr>
          <w:t>www.rcpsych.co.uk/mental-health/treatments-and-wellbeing/childrens-social-services-and-safeguarding</w:t>
        </w:r>
      </w:hyperlink>
      <w:r w:rsidRPr="00164FF0">
        <w:rPr>
          <w:rFonts w:ascii="Arial" w:hAnsi="Arial" w:cs="Arial"/>
          <w:color w:val="000000" w:themeColor="text1"/>
          <w:sz w:val="24"/>
          <w:szCs w:val="24"/>
        </w:rPr>
        <w:t xml:space="preserve"> [Accessed on 1 August, 2023].</w:t>
      </w:r>
    </w:p>
    <w:p w14:paraId="5CC086AB"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Sabo, B. (2011) </w:t>
      </w:r>
      <w:r w:rsidRPr="00164FF0">
        <w:rPr>
          <w:rFonts w:ascii="Arial" w:hAnsi="Arial" w:cs="Arial"/>
          <w:i/>
          <w:iCs/>
          <w:color w:val="000000" w:themeColor="text1"/>
          <w:sz w:val="24"/>
          <w:szCs w:val="24"/>
        </w:rPr>
        <w:t xml:space="preserve">Reflecting on the Concept of Compassion Fatigue, </w:t>
      </w:r>
      <w:r w:rsidRPr="00164FF0">
        <w:rPr>
          <w:rFonts w:ascii="Arial" w:hAnsi="Arial" w:cs="Arial"/>
          <w:color w:val="000000" w:themeColor="text1"/>
          <w:sz w:val="24"/>
          <w:szCs w:val="24"/>
        </w:rPr>
        <w:t>Online Journal of Issues in Nursing, 16 (1).</w:t>
      </w:r>
    </w:p>
    <w:p w14:paraId="60FB397E"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Safe Base (2022) </w:t>
      </w:r>
      <w:r w:rsidRPr="00164FF0">
        <w:rPr>
          <w:rFonts w:ascii="Arial" w:hAnsi="Arial" w:cs="Arial"/>
          <w:i/>
          <w:iCs/>
          <w:color w:val="000000" w:themeColor="text1"/>
          <w:sz w:val="24"/>
          <w:szCs w:val="24"/>
        </w:rPr>
        <w:t xml:space="preserve">Why is Training Important for Foster Carers?, </w:t>
      </w:r>
      <w:r w:rsidRPr="00164FF0">
        <w:rPr>
          <w:rFonts w:ascii="Arial" w:hAnsi="Arial" w:cs="Arial"/>
          <w:color w:val="000000" w:themeColor="text1"/>
          <w:sz w:val="24"/>
          <w:szCs w:val="24"/>
        </w:rPr>
        <w:t xml:space="preserve">[ONLINE] Available at: </w:t>
      </w:r>
      <w:hyperlink r:id="rId35" w:history="1">
        <w:r w:rsidRPr="00164FF0">
          <w:rPr>
            <w:rStyle w:val="Hyperlink"/>
            <w:rFonts w:ascii="Arial" w:hAnsi="Arial" w:cs="Arial"/>
            <w:color w:val="000000" w:themeColor="text1"/>
            <w:sz w:val="24"/>
            <w:szCs w:val="24"/>
          </w:rPr>
          <w:t>www.safebasefostering.org.uk/why-is-training-important-for-foster-carers</w:t>
        </w:r>
      </w:hyperlink>
      <w:r w:rsidRPr="00164FF0">
        <w:rPr>
          <w:rFonts w:ascii="Arial" w:hAnsi="Arial" w:cs="Arial"/>
          <w:color w:val="000000" w:themeColor="text1"/>
          <w:sz w:val="24"/>
          <w:szCs w:val="24"/>
        </w:rPr>
        <w:t xml:space="preserve"> [Accessed on 6 August 2023]. </w:t>
      </w:r>
    </w:p>
    <w:p w14:paraId="20D97BC7"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Sampson, M. (2020) </w:t>
      </w:r>
      <w:r w:rsidRPr="00164FF0">
        <w:rPr>
          <w:rFonts w:ascii="Arial" w:hAnsi="Arial" w:cs="Arial"/>
          <w:i/>
          <w:iCs/>
          <w:color w:val="000000" w:themeColor="text1"/>
          <w:sz w:val="24"/>
          <w:szCs w:val="24"/>
        </w:rPr>
        <w:t xml:space="preserve">Can the Family Group Conferencing Model Alleviate Tensions Between Social Workers Dual Responsibility of Child Protection ad Family Support? </w:t>
      </w:r>
      <w:r w:rsidRPr="00164FF0">
        <w:rPr>
          <w:rFonts w:ascii="Arial" w:hAnsi="Arial" w:cs="Arial"/>
          <w:color w:val="000000" w:themeColor="text1"/>
          <w:sz w:val="24"/>
          <w:szCs w:val="24"/>
        </w:rPr>
        <w:t xml:space="preserve">New Vistas, 6, (2) pp. 18 – 23. </w:t>
      </w:r>
    </w:p>
    <w:p w14:paraId="526E5570" w14:textId="77777777" w:rsidR="00ED1205" w:rsidRPr="00164FF0" w:rsidRDefault="00ED1205" w:rsidP="00ED1205">
      <w:pPr>
        <w:rPr>
          <w:rFonts w:ascii="Arial" w:hAnsi="Arial" w:cs="Arial"/>
          <w:color w:val="000000" w:themeColor="text1"/>
          <w:sz w:val="24"/>
          <w:szCs w:val="24"/>
        </w:rPr>
      </w:pPr>
      <w:proofErr w:type="spellStart"/>
      <w:r w:rsidRPr="00164FF0">
        <w:rPr>
          <w:rFonts w:ascii="Arial" w:hAnsi="Arial" w:cs="Arial"/>
          <w:color w:val="000000" w:themeColor="text1"/>
          <w:sz w:val="24"/>
          <w:szCs w:val="24"/>
        </w:rPr>
        <w:t>Sidebotham</w:t>
      </w:r>
      <w:proofErr w:type="spellEnd"/>
      <w:r w:rsidRPr="00164FF0">
        <w:rPr>
          <w:rFonts w:ascii="Arial" w:hAnsi="Arial" w:cs="Arial"/>
          <w:color w:val="000000" w:themeColor="text1"/>
          <w:sz w:val="24"/>
          <w:szCs w:val="24"/>
        </w:rPr>
        <w:t xml:space="preserve">, P., Brandon, M., Bailey, S., </w:t>
      </w:r>
      <w:proofErr w:type="spellStart"/>
      <w:r w:rsidRPr="00164FF0">
        <w:rPr>
          <w:rFonts w:ascii="Arial" w:hAnsi="Arial" w:cs="Arial"/>
          <w:color w:val="000000" w:themeColor="text1"/>
          <w:sz w:val="24"/>
          <w:szCs w:val="24"/>
        </w:rPr>
        <w:t>Belderson</w:t>
      </w:r>
      <w:proofErr w:type="spellEnd"/>
      <w:r w:rsidRPr="00164FF0">
        <w:rPr>
          <w:rFonts w:ascii="Arial" w:hAnsi="Arial" w:cs="Arial"/>
          <w:color w:val="000000" w:themeColor="text1"/>
          <w:sz w:val="24"/>
          <w:szCs w:val="24"/>
        </w:rPr>
        <w:t xml:space="preserve">, P., </w:t>
      </w:r>
      <w:proofErr w:type="spellStart"/>
      <w:r w:rsidRPr="00164FF0">
        <w:rPr>
          <w:rFonts w:ascii="Arial" w:hAnsi="Arial" w:cs="Arial"/>
          <w:color w:val="000000" w:themeColor="text1"/>
          <w:sz w:val="24"/>
          <w:szCs w:val="24"/>
        </w:rPr>
        <w:t>Dodsworth</w:t>
      </w:r>
      <w:proofErr w:type="spellEnd"/>
      <w:r w:rsidRPr="00164FF0">
        <w:rPr>
          <w:rFonts w:ascii="Arial" w:hAnsi="Arial" w:cs="Arial"/>
          <w:color w:val="000000" w:themeColor="text1"/>
          <w:sz w:val="24"/>
          <w:szCs w:val="24"/>
        </w:rPr>
        <w:t xml:space="preserve">, J., Garstang, J., Harrison, E., </w:t>
      </w:r>
      <w:proofErr w:type="spellStart"/>
      <w:r w:rsidRPr="00164FF0">
        <w:rPr>
          <w:rFonts w:ascii="Arial" w:hAnsi="Arial" w:cs="Arial"/>
          <w:color w:val="000000" w:themeColor="text1"/>
          <w:sz w:val="24"/>
          <w:szCs w:val="24"/>
        </w:rPr>
        <w:t>Retzer</w:t>
      </w:r>
      <w:proofErr w:type="spellEnd"/>
      <w:r w:rsidRPr="00164FF0">
        <w:rPr>
          <w:rFonts w:ascii="Arial" w:hAnsi="Arial" w:cs="Arial"/>
          <w:color w:val="000000" w:themeColor="text1"/>
          <w:sz w:val="24"/>
          <w:szCs w:val="24"/>
        </w:rPr>
        <w:t xml:space="preserve">, A. and Sorensen, P. (2016) </w:t>
      </w:r>
      <w:r w:rsidRPr="00164FF0">
        <w:rPr>
          <w:rFonts w:ascii="Arial" w:hAnsi="Arial" w:cs="Arial"/>
          <w:i/>
          <w:iCs/>
          <w:color w:val="000000" w:themeColor="text1"/>
          <w:sz w:val="24"/>
          <w:szCs w:val="24"/>
        </w:rPr>
        <w:t xml:space="preserve">Pathway to Harm, Pathways to Protection: A Triennial Analysis of Serious Case Reviews 2011 to 2014: Final Report, </w:t>
      </w:r>
      <w:r w:rsidRPr="00164FF0">
        <w:rPr>
          <w:rFonts w:ascii="Arial" w:hAnsi="Arial" w:cs="Arial"/>
          <w:color w:val="000000" w:themeColor="text1"/>
          <w:sz w:val="24"/>
          <w:szCs w:val="24"/>
        </w:rPr>
        <w:t xml:space="preserve">Department for Education: London.  </w:t>
      </w:r>
    </w:p>
    <w:p w14:paraId="6DD082DA"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Smith, M., Gallagher, M., </w:t>
      </w:r>
      <w:proofErr w:type="spellStart"/>
      <w:r w:rsidRPr="00164FF0">
        <w:rPr>
          <w:rFonts w:ascii="Arial" w:hAnsi="Arial" w:cs="Arial"/>
          <w:color w:val="000000" w:themeColor="text1"/>
          <w:sz w:val="24"/>
          <w:szCs w:val="24"/>
        </w:rPr>
        <w:t>Wosu</w:t>
      </w:r>
      <w:proofErr w:type="spellEnd"/>
      <w:r w:rsidRPr="00164FF0">
        <w:rPr>
          <w:rFonts w:ascii="Arial" w:hAnsi="Arial" w:cs="Arial"/>
          <w:color w:val="000000" w:themeColor="text1"/>
          <w:sz w:val="24"/>
          <w:szCs w:val="24"/>
        </w:rPr>
        <w:t xml:space="preserve">, H., Stewart, C.V., Hunter, S., Evans, S., Montgomery, C., Holiday, S. and Wilkinson, H. (2012) </w:t>
      </w:r>
      <w:r w:rsidRPr="00164FF0">
        <w:rPr>
          <w:rFonts w:ascii="Arial" w:hAnsi="Arial" w:cs="Arial"/>
          <w:i/>
          <w:iCs/>
          <w:color w:val="000000" w:themeColor="text1"/>
          <w:sz w:val="24"/>
          <w:szCs w:val="24"/>
        </w:rPr>
        <w:t xml:space="preserve">Engaging with Involuntary Service Users in Social Work: Findings from a Knowledge Exchange Project, </w:t>
      </w:r>
      <w:r w:rsidRPr="00164FF0">
        <w:rPr>
          <w:rFonts w:ascii="Arial" w:hAnsi="Arial" w:cs="Arial"/>
          <w:color w:val="000000" w:themeColor="text1"/>
          <w:sz w:val="24"/>
          <w:szCs w:val="24"/>
        </w:rPr>
        <w:t xml:space="preserve">British Journal of Social Work, 42 (8) pp. 1460 – 1477. </w:t>
      </w:r>
    </w:p>
    <w:p w14:paraId="7338C4E0"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Social Care Wales (2022a)</w:t>
      </w:r>
      <w:r w:rsidRPr="00164FF0">
        <w:rPr>
          <w:rFonts w:ascii="Arial" w:hAnsi="Arial" w:cs="Arial"/>
          <w:i/>
          <w:iCs/>
          <w:color w:val="000000" w:themeColor="text1"/>
          <w:sz w:val="24"/>
          <w:szCs w:val="24"/>
        </w:rPr>
        <w:t xml:space="preserve"> Co-production</w:t>
      </w:r>
      <w:r w:rsidRPr="00164FF0">
        <w:rPr>
          <w:rFonts w:ascii="Arial" w:hAnsi="Arial" w:cs="Arial"/>
          <w:color w:val="000000" w:themeColor="text1"/>
          <w:sz w:val="24"/>
          <w:szCs w:val="24"/>
        </w:rPr>
        <w:t xml:space="preserve"> [ONLINE] Available at: </w:t>
      </w:r>
      <w:hyperlink r:id="rId36" w:history="1">
        <w:r w:rsidRPr="00164FF0">
          <w:rPr>
            <w:rStyle w:val="Hyperlink"/>
            <w:rFonts w:ascii="Arial" w:hAnsi="Arial" w:cs="Arial"/>
            <w:color w:val="000000" w:themeColor="text1"/>
            <w:sz w:val="24"/>
            <w:szCs w:val="24"/>
          </w:rPr>
          <w:t>www.socialcare.wales/resources-guidance/information-and-learning-hub/learning-resources/social-services-and-well-being-wales-act-2014</w:t>
        </w:r>
      </w:hyperlink>
      <w:r w:rsidRPr="00164FF0">
        <w:rPr>
          <w:rFonts w:ascii="Arial" w:hAnsi="Arial" w:cs="Arial"/>
          <w:color w:val="000000" w:themeColor="text1"/>
          <w:sz w:val="24"/>
          <w:szCs w:val="24"/>
        </w:rPr>
        <w:t xml:space="preserve"> [Accessed on: 30 December 2022].</w:t>
      </w:r>
    </w:p>
    <w:p w14:paraId="63E5C3ED"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Social Care Wales (2022c) </w:t>
      </w:r>
      <w:r w:rsidRPr="00164FF0">
        <w:rPr>
          <w:rFonts w:ascii="Arial" w:hAnsi="Arial" w:cs="Arial"/>
          <w:i/>
          <w:iCs/>
          <w:color w:val="000000" w:themeColor="text1"/>
          <w:sz w:val="24"/>
          <w:szCs w:val="24"/>
        </w:rPr>
        <w:t xml:space="preserve">What Matters Conversations and Assessment, </w:t>
      </w:r>
      <w:r w:rsidRPr="00164FF0">
        <w:rPr>
          <w:rFonts w:ascii="Arial" w:hAnsi="Arial" w:cs="Arial"/>
          <w:color w:val="000000" w:themeColor="text1"/>
          <w:sz w:val="24"/>
          <w:szCs w:val="24"/>
        </w:rPr>
        <w:t xml:space="preserve">[ONLINE] Available at: </w:t>
      </w:r>
      <w:hyperlink r:id="rId37" w:history="1">
        <w:r w:rsidRPr="00164FF0">
          <w:rPr>
            <w:rStyle w:val="Hyperlink"/>
            <w:rFonts w:ascii="Arial" w:hAnsi="Arial" w:cs="Arial"/>
            <w:color w:val="000000" w:themeColor="text1"/>
            <w:sz w:val="24"/>
            <w:szCs w:val="24"/>
          </w:rPr>
          <w:t>www.socialcare.wales/resources-guidance/improving-care-and-support/care-and-support-at-home/what-matters-conversations-and-assessments</w:t>
        </w:r>
      </w:hyperlink>
      <w:r w:rsidRPr="00164FF0">
        <w:rPr>
          <w:rFonts w:ascii="Arial" w:hAnsi="Arial" w:cs="Arial"/>
          <w:color w:val="000000" w:themeColor="text1"/>
          <w:sz w:val="24"/>
          <w:szCs w:val="24"/>
        </w:rPr>
        <w:t xml:space="preserve"> [Accessed on 12 August 2023]. </w:t>
      </w:r>
    </w:p>
    <w:p w14:paraId="009A535D"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Social Care Wales (2023a) </w:t>
      </w:r>
      <w:r w:rsidRPr="00164FF0">
        <w:rPr>
          <w:rFonts w:ascii="Arial" w:hAnsi="Arial" w:cs="Arial"/>
          <w:i/>
          <w:iCs/>
          <w:color w:val="000000" w:themeColor="text1"/>
          <w:sz w:val="24"/>
          <w:szCs w:val="24"/>
        </w:rPr>
        <w:t xml:space="preserve">Social Services and Wellbeing (Wales) Act (2014) </w:t>
      </w:r>
      <w:r w:rsidRPr="00164FF0">
        <w:rPr>
          <w:rFonts w:ascii="Arial" w:hAnsi="Arial" w:cs="Arial"/>
          <w:color w:val="000000" w:themeColor="text1"/>
          <w:sz w:val="24"/>
          <w:szCs w:val="24"/>
        </w:rPr>
        <w:t xml:space="preserve">[ONLINE] Available at: </w:t>
      </w:r>
      <w:hyperlink r:id="rId38" w:history="1">
        <w:r w:rsidRPr="00164FF0">
          <w:rPr>
            <w:rStyle w:val="Hyperlink"/>
            <w:rFonts w:ascii="Arial" w:hAnsi="Arial" w:cs="Arial"/>
            <w:color w:val="000000" w:themeColor="text1"/>
            <w:sz w:val="24"/>
            <w:szCs w:val="24"/>
          </w:rPr>
          <w:t>www.socialcare.wales/resources-guidance/information-and-learning-hub/sswbact</w:t>
        </w:r>
      </w:hyperlink>
      <w:r w:rsidRPr="00164FF0">
        <w:rPr>
          <w:rFonts w:ascii="Arial" w:hAnsi="Arial" w:cs="Arial"/>
          <w:color w:val="000000" w:themeColor="text1"/>
          <w:sz w:val="24"/>
          <w:szCs w:val="24"/>
        </w:rPr>
        <w:t xml:space="preserve"> [Accessed on 30 May 2023].</w:t>
      </w:r>
    </w:p>
    <w:p w14:paraId="3B7CB85B"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lastRenderedPageBreak/>
        <w:t xml:space="preserve">Tice, L., Hall, R.C., Beresford, T.P. and </w:t>
      </w:r>
      <w:proofErr w:type="spellStart"/>
      <w:r w:rsidRPr="00164FF0">
        <w:rPr>
          <w:rFonts w:ascii="Arial" w:hAnsi="Arial" w:cs="Arial"/>
          <w:color w:val="000000" w:themeColor="text1"/>
          <w:sz w:val="24"/>
          <w:szCs w:val="24"/>
        </w:rPr>
        <w:t>Quinnoes</w:t>
      </w:r>
      <w:proofErr w:type="spellEnd"/>
      <w:r w:rsidRPr="00164FF0">
        <w:rPr>
          <w:rFonts w:ascii="Arial" w:hAnsi="Arial" w:cs="Arial"/>
          <w:color w:val="000000" w:themeColor="text1"/>
          <w:sz w:val="24"/>
          <w:szCs w:val="24"/>
        </w:rPr>
        <w:t xml:space="preserve">, J. and Hall, A.K. (1989) </w:t>
      </w:r>
      <w:r w:rsidRPr="00164FF0">
        <w:rPr>
          <w:rFonts w:ascii="Arial" w:hAnsi="Arial" w:cs="Arial"/>
          <w:i/>
          <w:iCs/>
          <w:color w:val="000000" w:themeColor="text1"/>
          <w:sz w:val="24"/>
          <w:szCs w:val="24"/>
        </w:rPr>
        <w:t xml:space="preserve">Sexual Abuse in Patients with Eating Disorders, </w:t>
      </w:r>
      <w:r w:rsidRPr="00164FF0">
        <w:rPr>
          <w:rFonts w:ascii="Arial" w:hAnsi="Arial" w:cs="Arial"/>
          <w:color w:val="000000" w:themeColor="text1"/>
          <w:sz w:val="24"/>
          <w:szCs w:val="24"/>
        </w:rPr>
        <w:t xml:space="preserve">Psychiatric Medicine, 7 (4) pp. 257 – 267. </w:t>
      </w:r>
    </w:p>
    <w:p w14:paraId="3AB93CEC"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Time to Change Wales (2023) </w:t>
      </w:r>
      <w:r w:rsidRPr="00164FF0">
        <w:rPr>
          <w:rFonts w:ascii="Arial" w:hAnsi="Arial" w:cs="Arial"/>
          <w:i/>
          <w:iCs/>
          <w:color w:val="000000" w:themeColor="text1"/>
          <w:sz w:val="24"/>
          <w:szCs w:val="24"/>
        </w:rPr>
        <w:t xml:space="preserve">What is Stigma? </w:t>
      </w:r>
      <w:r w:rsidRPr="00164FF0">
        <w:rPr>
          <w:rFonts w:ascii="Arial" w:hAnsi="Arial" w:cs="Arial"/>
          <w:color w:val="000000" w:themeColor="text1"/>
          <w:sz w:val="24"/>
          <w:szCs w:val="24"/>
        </w:rPr>
        <w:t xml:space="preserve">[ONLINE] Available at: </w:t>
      </w:r>
      <w:hyperlink r:id="rId39" w:history="1">
        <w:r w:rsidRPr="00164FF0">
          <w:rPr>
            <w:rStyle w:val="Hyperlink"/>
            <w:rFonts w:ascii="Arial" w:hAnsi="Arial" w:cs="Arial"/>
            <w:color w:val="000000" w:themeColor="text1"/>
            <w:sz w:val="24"/>
            <w:szCs w:val="24"/>
          </w:rPr>
          <w:t>www.timetochangewales.org.uk/en/mental-health-stigma/what-stigma</w:t>
        </w:r>
      </w:hyperlink>
      <w:r w:rsidRPr="00164FF0">
        <w:rPr>
          <w:rFonts w:ascii="Arial" w:hAnsi="Arial" w:cs="Arial"/>
          <w:color w:val="000000" w:themeColor="text1"/>
          <w:sz w:val="24"/>
          <w:szCs w:val="24"/>
        </w:rPr>
        <w:t xml:space="preserve"> [Accessed on 9 August 2023]. </w:t>
      </w:r>
    </w:p>
    <w:p w14:paraId="6F630212" w14:textId="77777777" w:rsidR="00ED1205" w:rsidRPr="00164FF0" w:rsidRDefault="00ED1205" w:rsidP="00ED1205">
      <w:pPr>
        <w:rPr>
          <w:rFonts w:ascii="Arial" w:hAnsi="Arial" w:cs="Arial"/>
          <w:color w:val="000000" w:themeColor="text1"/>
          <w:sz w:val="24"/>
          <w:szCs w:val="24"/>
        </w:rPr>
      </w:pPr>
      <w:proofErr w:type="spellStart"/>
      <w:r w:rsidRPr="00164FF0">
        <w:rPr>
          <w:rFonts w:ascii="Arial" w:hAnsi="Arial" w:cs="Arial"/>
          <w:color w:val="000000" w:themeColor="text1"/>
          <w:sz w:val="24"/>
          <w:szCs w:val="24"/>
        </w:rPr>
        <w:t>Trombetta</w:t>
      </w:r>
      <w:proofErr w:type="spellEnd"/>
      <w:r w:rsidRPr="00164FF0">
        <w:rPr>
          <w:rFonts w:ascii="Arial" w:hAnsi="Arial" w:cs="Arial"/>
          <w:color w:val="000000" w:themeColor="text1"/>
          <w:sz w:val="24"/>
          <w:szCs w:val="24"/>
        </w:rPr>
        <w:t xml:space="preserve">, T., </w:t>
      </w:r>
      <w:proofErr w:type="spellStart"/>
      <w:r w:rsidRPr="00164FF0">
        <w:rPr>
          <w:rFonts w:ascii="Arial" w:hAnsi="Arial" w:cs="Arial"/>
          <w:color w:val="000000" w:themeColor="text1"/>
          <w:sz w:val="24"/>
          <w:szCs w:val="24"/>
        </w:rPr>
        <w:t>Girdano</w:t>
      </w:r>
      <w:proofErr w:type="spellEnd"/>
      <w:r w:rsidRPr="00164FF0">
        <w:rPr>
          <w:rFonts w:ascii="Arial" w:hAnsi="Arial" w:cs="Arial"/>
          <w:color w:val="000000" w:themeColor="text1"/>
          <w:sz w:val="24"/>
          <w:szCs w:val="24"/>
        </w:rPr>
        <w:t xml:space="preserve">, M., </w:t>
      </w:r>
      <w:proofErr w:type="spellStart"/>
      <w:r w:rsidRPr="00164FF0">
        <w:rPr>
          <w:rFonts w:ascii="Arial" w:hAnsi="Arial" w:cs="Arial"/>
          <w:color w:val="000000" w:themeColor="text1"/>
          <w:sz w:val="24"/>
          <w:szCs w:val="24"/>
        </w:rPr>
        <w:t>Santoniccolo</w:t>
      </w:r>
      <w:proofErr w:type="spellEnd"/>
      <w:r w:rsidRPr="00164FF0">
        <w:rPr>
          <w:rFonts w:ascii="Arial" w:hAnsi="Arial" w:cs="Arial"/>
          <w:color w:val="000000" w:themeColor="text1"/>
          <w:sz w:val="24"/>
          <w:szCs w:val="24"/>
        </w:rPr>
        <w:t xml:space="preserve">, F., Vismara, L., </w:t>
      </w:r>
      <w:proofErr w:type="spellStart"/>
      <w:r w:rsidRPr="00164FF0">
        <w:rPr>
          <w:rFonts w:ascii="Arial" w:hAnsi="Arial" w:cs="Arial"/>
          <w:color w:val="000000" w:themeColor="text1"/>
          <w:sz w:val="24"/>
          <w:szCs w:val="24"/>
        </w:rPr>
        <w:t>Vedova</w:t>
      </w:r>
      <w:proofErr w:type="spellEnd"/>
      <w:r w:rsidRPr="00164FF0">
        <w:rPr>
          <w:rFonts w:ascii="Arial" w:hAnsi="Arial" w:cs="Arial"/>
          <w:color w:val="000000" w:themeColor="text1"/>
          <w:sz w:val="24"/>
          <w:szCs w:val="24"/>
        </w:rPr>
        <w:t xml:space="preserve">, A.M.D. and Rolle, L. (2021) </w:t>
      </w:r>
      <w:r w:rsidRPr="00164FF0">
        <w:rPr>
          <w:rFonts w:ascii="Arial" w:hAnsi="Arial" w:cs="Arial"/>
          <w:i/>
          <w:iCs/>
          <w:color w:val="000000" w:themeColor="text1"/>
          <w:sz w:val="24"/>
          <w:szCs w:val="24"/>
        </w:rPr>
        <w:t xml:space="preserve">Prenatal Attachment and Parent to Infant Attachment: A Systematic Review, </w:t>
      </w:r>
      <w:r w:rsidRPr="00164FF0">
        <w:rPr>
          <w:rFonts w:ascii="Arial" w:hAnsi="Arial" w:cs="Arial"/>
          <w:color w:val="000000" w:themeColor="text1"/>
          <w:sz w:val="24"/>
          <w:szCs w:val="24"/>
        </w:rPr>
        <w:t xml:space="preserve">Frontiers Psychology, 12. </w:t>
      </w:r>
    </w:p>
    <w:p w14:paraId="445372A9"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Wales Safeguarding Procedures (2023b) </w:t>
      </w:r>
      <w:r w:rsidRPr="00164FF0">
        <w:rPr>
          <w:rFonts w:ascii="Arial" w:hAnsi="Arial" w:cs="Arial"/>
          <w:i/>
          <w:iCs/>
          <w:color w:val="000000" w:themeColor="text1"/>
          <w:sz w:val="24"/>
          <w:szCs w:val="24"/>
        </w:rPr>
        <w:t xml:space="preserve">Wales Safeguarding Procedures, </w:t>
      </w:r>
      <w:r w:rsidRPr="00164FF0">
        <w:rPr>
          <w:rFonts w:ascii="Arial" w:hAnsi="Arial" w:cs="Arial"/>
          <w:color w:val="000000" w:themeColor="text1"/>
          <w:sz w:val="24"/>
          <w:szCs w:val="24"/>
        </w:rPr>
        <w:t xml:space="preserve">[ONLINE] Available at: </w:t>
      </w:r>
      <w:hyperlink r:id="rId40" w:history="1">
        <w:r w:rsidRPr="00164FF0">
          <w:rPr>
            <w:rStyle w:val="Hyperlink"/>
            <w:rFonts w:ascii="Arial" w:hAnsi="Arial" w:cs="Arial"/>
            <w:color w:val="000000" w:themeColor="text1"/>
            <w:sz w:val="24"/>
            <w:szCs w:val="24"/>
          </w:rPr>
          <w:t>www.safeguarding.wales/en/</w:t>
        </w:r>
      </w:hyperlink>
      <w:r w:rsidRPr="00164FF0">
        <w:rPr>
          <w:rFonts w:ascii="Arial" w:hAnsi="Arial" w:cs="Arial"/>
          <w:color w:val="000000" w:themeColor="text1"/>
          <w:sz w:val="24"/>
          <w:szCs w:val="24"/>
        </w:rPr>
        <w:t xml:space="preserve"> [Accessed on 10 August 2023].</w:t>
      </w:r>
    </w:p>
    <w:p w14:paraId="50629CA1"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We Care (2023) </w:t>
      </w:r>
      <w:r w:rsidRPr="00164FF0">
        <w:rPr>
          <w:rFonts w:ascii="Arial" w:hAnsi="Arial" w:cs="Arial"/>
          <w:i/>
          <w:iCs/>
          <w:color w:val="000000" w:themeColor="text1"/>
          <w:sz w:val="24"/>
          <w:szCs w:val="24"/>
        </w:rPr>
        <w:t xml:space="preserve">More Than Just Words </w:t>
      </w:r>
      <w:r w:rsidRPr="00164FF0">
        <w:rPr>
          <w:rFonts w:ascii="Arial" w:hAnsi="Arial" w:cs="Arial"/>
          <w:color w:val="000000" w:themeColor="text1"/>
          <w:sz w:val="24"/>
          <w:szCs w:val="24"/>
        </w:rPr>
        <w:t xml:space="preserve">[ONLINE] Available at: </w:t>
      </w:r>
      <w:hyperlink r:id="rId41" w:history="1">
        <w:r w:rsidRPr="00164FF0">
          <w:rPr>
            <w:rStyle w:val="Hyperlink"/>
            <w:rFonts w:ascii="Arial" w:hAnsi="Arial" w:cs="Arial"/>
            <w:color w:val="000000" w:themeColor="text1"/>
            <w:sz w:val="24"/>
            <w:szCs w:val="24"/>
          </w:rPr>
          <w:t>www.wecare.wales/morethanjustwords</w:t>
        </w:r>
      </w:hyperlink>
      <w:r w:rsidRPr="00164FF0">
        <w:rPr>
          <w:rFonts w:ascii="Arial" w:hAnsi="Arial" w:cs="Arial"/>
          <w:color w:val="000000" w:themeColor="text1"/>
          <w:sz w:val="24"/>
          <w:szCs w:val="24"/>
        </w:rPr>
        <w:t xml:space="preserve"> [Accessed on 20 May 2023].</w:t>
      </w:r>
    </w:p>
    <w:p w14:paraId="721FA128"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Welsh Assembly Government (2014) </w:t>
      </w:r>
      <w:r w:rsidRPr="00164FF0">
        <w:rPr>
          <w:rFonts w:ascii="Arial" w:hAnsi="Arial" w:cs="Arial"/>
          <w:i/>
          <w:iCs/>
          <w:color w:val="000000" w:themeColor="text1"/>
          <w:sz w:val="24"/>
          <w:szCs w:val="24"/>
        </w:rPr>
        <w:t xml:space="preserve">Kinship Care Guide for Wales, </w:t>
      </w:r>
      <w:r w:rsidRPr="00164FF0">
        <w:rPr>
          <w:rFonts w:ascii="Arial" w:hAnsi="Arial" w:cs="Arial"/>
          <w:color w:val="000000" w:themeColor="text1"/>
          <w:sz w:val="24"/>
          <w:szCs w:val="24"/>
        </w:rPr>
        <w:t>Cardiff:</w:t>
      </w:r>
      <w:r w:rsidRPr="00164FF0">
        <w:rPr>
          <w:rFonts w:ascii="Arial" w:hAnsi="Arial" w:cs="Arial"/>
          <w:i/>
          <w:iCs/>
          <w:color w:val="000000" w:themeColor="text1"/>
          <w:sz w:val="24"/>
          <w:szCs w:val="24"/>
        </w:rPr>
        <w:t xml:space="preserve"> </w:t>
      </w:r>
      <w:r w:rsidRPr="00164FF0">
        <w:rPr>
          <w:rFonts w:ascii="Arial" w:hAnsi="Arial" w:cs="Arial"/>
          <w:color w:val="000000" w:themeColor="text1"/>
          <w:sz w:val="24"/>
          <w:szCs w:val="24"/>
        </w:rPr>
        <w:t>Welsh Assembly Government.</w:t>
      </w:r>
    </w:p>
    <w:p w14:paraId="42765F1C"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Welsh Assembly Government (2022)</w:t>
      </w:r>
      <w:r w:rsidRPr="00164FF0">
        <w:rPr>
          <w:rFonts w:ascii="Arial" w:hAnsi="Arial" w:cs="Arial"/>
          <w:i/>
          <w:iCs/>
          <w:color w:val="000000" w:themeColor="text1"/>
          <w:sz w:val="24"/>
          <w:szCs w:val="24"/>
        </w:rPr>
        <w:t xml:space="preserve"> More than Just Words: Five Year Plan 2022 – 2027, </w:t>
      </w:r>
      <w:r w:rsidRPr="00164FF0">
        <w:rPr>
          <w:rFonts w:ascii="Arial" w:hAnsi="Arial" w:cs="Arial"/>
          <w:color w:val="000000" w:themeColor="text1"/>
          <w:sz w:val="24"/>
          <w:szCs w:val="24"/>
        </w:rPr>
        <w:t>Welsh Assembly Government: Cardiff.</w:t>
      </w:r>
    </w:p>
    <w:p w14:paraId="522B9E72"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Wilson, J. (2018) </w:t>
      </w:r>
      <w:r w:rsidRPr="00164FF0">
        <w:rPr>
          <w:rFonts w:ascii="Arial" w:hAnsi="Arial" w:cs="Arial"/>
          <w:i/>
          <w:iCs/>
          <w:color w:val="000000" w:themeColor="text1"/>
          <w:sz w:val="24"/>
          <w:szCs w:val="24"/>
        </w:rPr>
        <w:t xml:space="preserve">Child Focused Practice: A Collaborative Systematic Approach, </w:t>
      </w:r>
      <w:r w:rsidRPr="00164FF0">
        <w:rPr>
          <w:rFonts w:ascii="Arial" w:hAnsi="Arial" w:cs="Arial"/>
          <w:color w:val="000000" w:themeColor="text1"/>
          <w:sz w:val="24"/>
          <w:szCs w:val="24"/>
        </w:rPr>
        <w:t xml:space="preserve">Routledge. </w:t>
      </w:r>
    </w:p>
    <w:p w14:paraId="6E6A5D1E"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World Health Organisation (1998) </w:t>
      </w:r>
      <w:r w:rsidRPr="00164FF0">
        <w:rPr>
          <w:rFonts w:ascii="Arial" w:hAnsi="Arial" w:cs="Arial"/>
          <w:i/>
          <w:iCs/>
          <w:color w:val="000000" w:themeColor="text1"/>
          <w:sz w:val="24"/>
          <w:szCs w:val="24"/>
        </w:rPr>
        <w:t xml:space="preserve">Proposed International Guidelines on Ethical Issues in Medical Genetics and Genetic Services, </w:t>
      </w:r>
      <w:r w:rsidRPr="00164FF0">
        <w:rPr>
          <w:rFonts w:ascii="Arial" w:hAnsi="Arial" w:cs="Arial"/>
          <w:color w:val="000000" w:themeColor="text1"/>
          <w:sz w:val="24"/>
          <w:szCs w:val="24"/>
        </w:rPr>
        <w:t xml:space="preserve">Geneva: World Health Organisation. </w:t>
      </w:r>
    </w:p>
    <w:p w14:paraId="018342B6" w14:textId="77777777" w:rsidR="00ED1205" w:rsidRPr="00164FF0" w:rsidRDefault="00ED1205" w:rsidP="00ED1205">
      <w:pPr>
        <w:rPr>
          <w:rFonts w:ascii="Arial" w:hAnsi="Arial" w:cs="Arial"/>
          <w:color w:val="000000" w:themeColor="text1"/>
          <w:sz w:val="24"/>
          <w:szCs w:val="24"/>
        </w:rPr>
      </w:pPr>
      <w:r w:rsidRPr="00164FF0">
        <w:rPr>
          <w:rFonts w:ascii="Arial" w:hAnsi="Arial" w:cs="Arial"/>
          <w:color w:val="000000" w:themeColor="text1"/>
          <w:sz w:val="24"/>
          <w:szCs w:val="24"/>
        </w:rPr>
        <w:t xml:space="preserve">Zhang, L., Yang, Y., Li, M., Zhou, X., Zhang, K., Yin, X. and Lui, H. (2022) </w:t>
      </w:r>
      <w:r w:rsidRPr="00164FF0">
        <w:rPr>
          <w:rFonts w:ascii="Arial" w:hAnsi="Arial" w:cs="Arial"/>
          <w:i/>
          <w:iCs/>
          <w:color w:val="000000" w:themeColor="text1"/>
          <w:sz w:val="24"/>
          <w:szCs w:val="24"/>
        </w:rPr>
        <w:t xml:space="preserve">The Prevalence of Suicidal Ideation and Predictive Factors Among Pregnant Women in the Third Trimester, </w:t>
      </w:r>
      <w:r w:rsidRPr="00164FF0">
        <w:rPr>
          <w:rFonts w:ascii="Arial" w:hAnsi="Arial" w:cs="Arial"/>
          <w:color w:val="000000" w:themeColor="text1"/>
          <w:sz w:val="24"/>
          <w:szCs w:val="24"/>
        </w:rPr>
        <w:t xml:space="preserve">BMC Pregnancy and Childbirth, 22, p. 266. </w:t>
      </w:r>
    </w:p>
    <w:p w14:paraId="688B4A8C" w14:textId="77777777" w:rsidR="00B54215" w:rsidRPr="00B54215" w:rsidRDefault="00B54215" w:rsidP="00B54215">
      <w:pPr>
        <w:rPr>
          <w:rFonts w:ascii="Arial" w:hAnsi="Arial" w:cs="Arial"/>
          <w:sz w:val="24"/>
          <w:szCs w:val="24"/>
        </w:rPr>
      </w:pPr>
    </w:p>
    <w:sectPr w:rsidR="00B54215" w:rsidRPr="00B54215">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3E7D6" w14:textId="77777777" w:rsidR="00A679C1" w:rsidRDefault="00A679C1" w:rsidP="00A679C1">
      <w:pPr>
        <w:spacing w:after="0" w:line="240" w:lineRule="auto"/>
      </w:pPr>
      <w:r>
        <w:separator/>
      </w:r>
    </w:p>
  </w:endnote>
  <w:endnote w:type="continuationSeparator" w:id="0">
    <w:p w14:paraId="48283285" w14:textId="77777777" w:rsidR="00A679C1" w:rsidRDefault="00A679C1" w:rsidP="00A67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7D6E" w14:textId="77777777" w:rsidR="00A679C1" w:rsidRDefault="00A679C1" w:rsidP="00A679C1">
      <w:pPr>
        <w:spacing w:after="0" w:line="240" w:lineRule="auto"/>
      </w:pPr>
      <w:r>
        <w:separator/>
      </w:r>
    </w:p>
  </w:footnote>
  <w:footnote w:type="continuationSeparator" w:id="0">
    <w:p w14:paraId="32218959" w14:textId="77777777" w:rsidR="00A679C1" w:rsidRDefault="00A679C1" w:rsidP="00A67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EBB52" w14:textId="421D9D97" w:rsidR="00A679C1" w:rsidRDefault="00A679C1">
    <w:pPr>
      <w:pStyle w:val="Header"/>
    </w:pPr>
    <w:r>
      <w:t>Task 3                                                                                                                                     Learner ID: 2221510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4F41E0"/>
    <w:multiLevelType w:val="hybridMultilevel"/>
    <w:tmpl w:val="FFA0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8861E2"/>
    <w:multiLevelType w:val="hybridMultilevel"/>
    <w:tmpl w:val="ADA2B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070676">
    <w:abstractNumId w:val="0"/>
  </w:num>
  <w:num w:numId="2" w16cid:durableId="442768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0F"/>
    <w:rsid w:val="000216EF"/>
    <w:rsid w:val="000242F4"/>
    <w:rsid w:val="0004135A"/>
    <w:rsid w:val="00044EEC"/>
    <w:rsid w:val="00045BBD"/>
    <w:rsid w:val="00054CE4"/>
    <w:rsid w:val="00054DDF"/>
    <w:rsid w:val="00070311"/>
    <w:rsid w:val="0009124B"/>
    <w:rsid w:val="00097351"/>
    <w:rsid w:val="000A7033"/>
    <w:rsid w:val="000A7B8B"/>
    <w:rsid w:val="000B33CF"/>
    <w:rsid w:val="000D24D1"/>
    <w:rsid w:val="000E08C8"/>
    <w:rsid w:val="000E45C7"/>
    <w:rsid w:val="000F1102"/>
    <w:rsid w:val="001043C3"/>
    <w:rsid w:val="00107E01"/>
    <w:rsid w:val="00124107"/>
    <w:rsid w:val="00140367"/>
    <w:rsid w:val="001619C3"/>
    <w:rsid w:val="0016499A"/>
    <w:rsid w:val="0018312A"/>
    <w:rsid w:val="001D0CAF"/>
    <w:rsid w:val="001E1449"/>
    <w:rsid w:val="001F2722"/>
    <w:rsid w:val="002015FD"/>
    <w:rsid w:val="00204D59"/>
    <w:rsid w:val="00211BD9"/>
    <w:rsid w:val="002323FB"/>
    <w:rsid w:val="00247090"/>
    <w:rsid w:val="002578B2"/>
    <w:rsid w:val="002624E0"/>
    <w:rsid w:val="00263E04"/>
    <w:rsid w:val="0028475B"/>
    <w:rsid w:val="00285D13"/>
    <w:rsid w:val="002864BE"/>
    <w:rsid w:val="00287FC2"/>
    <w:rsid w:val="00294B8B"/>
    <w:rsid w:val="002A2653"/>
    <w:rsid w:val="002B4FD0"/>
    <w:rsid w:val="002C330F"/>
    <w:rsid w:val="002D3202"/>
    <w:rsid w:val="003122B4"/>
    <w:rsid w:val="00316C69"/>
    <w:rsid w:val="00342DB7"/>
    <w:rsid w:val="003672BF"/>
    <w:rsid w:val="003769E1"/>
    <w:rsid w:val="003850E7"/>
    <w:rsid w:val="00395F3A"/>
    <w:rsid w:val="00395F4A"/>
    <w:rsid w:val="003A1F2A"/>
    <w:rsid w:val="003A4906"/>
    <w:rsid w:val="003F3425"/>
    <w:rsid w:val="00407A1E"/>
    <w:rsid w:val="00435323"/>
    <w:rsid w:val="004615DC"/>
    <w:rsid w:val="00463D04"/>
    <w:rsid w:val="00482A14"/>
    <w:rsid w:val="004912C1"/>
    <w:rsid w:val="004A363C"/>
    <w:rsid w:val="004B2785"/>
    <w:rsid w:val="004B3488"/>
    <w:rsid w:val="004B3971"/>
    <w:rsid w:val="004C0809"/>
    <w:rsid w:val="004C1312"/>
    <w:rsid w:val="004D1AC1"/>
    <w:rsid w:val="004D3D7A"/>
    <w:rsid w:val="004E4FE5"/>
    <w:rsid w:val="005009DD"/>
    <w:rsid w:val="005235F2"/>
    <w:rsid w:val="00531B26"/>
    <w:rsid w:val="005351BD"/>
    <w:rsid w:val="00541DAF"/>
    <w:rsid w:val="0056062B"/>
    <w:rsid w:val="00570852"/>
    <w:rsid w:val="005906AD"/>
    <w:rsid w:val="00591230"/>
    <w:rsid w:val="005B179A"/>
    <w:rsid w:val="005B42BE"/>
    <w:rsid w:val="005B7148"/>
    <w:rsid w:val="005D022B"/>
    <w:rsid w:val="005D0663"/>
    <w:rsid w:val="005D27A8"/>
    <w:rsid w:val="005D2E9C"/>
    <w:rsid w:val="005D3337"/>
    <w:rsid w:val="005D6780"/>
    <w:rsid w:val="005E345F"/>
    <w:rsid w:val="0060066C"/>
    <w:rsid w:val="00604815"/>
    <w:rsid w:val="00612D95"/>
    <w:rsid w:val="006246C7"/>
    <w:rsid w:val="00630177"/>
    <w:rsid w:val="0063255F"/>
    <w:rsid w:val="0065386A"/>
    <w:rsid w:val="00693096"/>
    <w:rsid w:val="006B06B3"/>
    <w:rsid w:val="006B0970"/>
    <w:rsid w:val="006B0FEF"/>
    <w:rsid w:val="006B4C5E"/>
    <w:rsid w:val="006B743A"/>
    <w:rsid w:val="006C2637"/>
    <w:rsid w:val="006D56CE"/>
    <w:rsid w:val="006D6B7C"/>
    <w:rsid w:val="006D7653"/>
    <w:rsid w:val="006F110C"/>
    <w:rsid w:val="006F1D78"/>
    <w:rsid w:val="007252E5"/>
    <w:rsid w:val="00725ADC"/>
    <w:rsid w:val="007644CC"/>
    <w:rsid w:val="00767310"/>
    <w:rsid w:val="00767E79"/>
    <w:rsid w:val="00772EF3"/>
    <w:rsid w:val="007741A3"/>
    <w:rsid w:val="007804E2"/>
    <w:rsid w:val="007B36F7"/>
    <w:rsid w:val="007D63AC"/>
    <w:rsid w:val="007E5876"/>
    <w:rsid w:val="007E5C57"/>
    <w:rsid w:val="007F0C94"/>
    <w:rsid w:val="007F135F"/>
    <w:rsid w:val="007F4EF2"/>
    <w:rsid w:val="007F6F9E"/>
    <w:rsid w:val="00800D73"/>
    <w:rsid w:val="00810124"/>
    <w:rsid w:val="00836839"/>
    <w:rsid w:val="008527F2"/>
    <w:rsid w:val="00857F65"/>
    <w:rsid w:val="008621B1"/>
    <w:rsid w:val="00862A86"/>
    <w:rsid w:val="00864571"/>
    <w:rsid w:val="00865BA1"/>
    <w:rsid w:val="008778C9"/>
    <w:rsid w:val="0088092F"/>
    <w:rsid w:val="00890B2A"/>
    <w:rsid w:val="00890DF8"/>
    <w:rsid w:val="008A6805"/>
    <w:rsid w:val="008A6823"/>
    <w:rsid w:val="008B05A6"/>
    <w:rsid w:val="008C673F"/>
    <w:rsid w:val="008F5654"/>
    <w:rsid w:val="00925D49"/>
    <w:rsid w:val="0093440D"/>
    <w:rsid w:val="00937380"/>
    <w:rsid w:val="00937DB7"/>
    <w:rsid w:val="00951C2E"/>
    <w:rsid w:val="00951EA7"/>
    <w:rsid w:val="0096644F"/>
    <w:rsid w:val="0097645F"/>
    <w:rsid w:val="00980D32"/>
    <w:rsid w:val="009861D5"/>
    <w:rsid w:val="00993D8F"/>
    <w:rsid w:val="009969CA"/>
    <w:rsid w:val="009A11E1"/>
    <w:rsid w:val="009A1211"/>
    <w:rsid w:val="009C5721"/>
    <w:rsid w:val="009D1D7B"/>
    <w:rsid w:val="009D455C"/>
    <w:rsid w:val="009E16B1"/>
    <w:rsid w:val="009F6696"/>
    <w:rsid w:val="00A00C9D"/>
    <w:rsid w:val="00A056E2"/>
    <w:rsid w:val="00A06876"/>
    <w:rsid w:val="00A172BE"/>
    <w:rsid w:val="00A1784A"/>
    <w:rsid w:val="00A46099"/>
    <w:rsid w:val="00A55AF8"/>
    <w:rsid w:val="00A66A90"/>
    <w:rsid w:val="00A679C1"/>
    <w:rsid w:val="00A70B1B"/>
    <w:rsid w:val="00A71CA6"/>
    <w:rsid w:val="00A77B64"/>
    <w:rsid w:val="00A912DE"/>
    <w:rsid w:val="00A919D8"/>
    <w:rsid w:val="00AB494F"/>
    <w:rsid w:val="00AB7828"/>
    <w:rsid w:val="00AE136E"/>
    <w:rsid w:val="00AF2CA5"/>
    <w:rsid w:val="00B0514B"/>
    <w:rsid w:val="00B11B38"/>
    <w:rsid w:val="00B11FA9"/>
    <w:rsid w:val="00B14C2B"/>
    <w:rsid w:val="00B16EC3"/>
    <w:rsid w:val="00B21DAD"/>
    <w:rsid w:val="00B32580"/>
    <w:rsid w:val="00B50C3F"/>
    <w:rsid w:val="00B54215"/>
    <w:rsid w:val="00B5619E"/>
    <w:rsid w:val="00B71F09"/>
    <w:rsid w:val="00B7399D"/>
    <w:rsid w:val="00B778AA"/>
    <w:rsid w:val="00B963F2"/>
    <w:rsid w:val="00BC75E9"/>
    <w:rsid w:val="00BD4B67"/>
    <w:rsid w:val="00BD775F"/>
    <w:rsid w:val="00BE0DD0"/>
    <w:rsid w:val="00BE4214"/>
    <w:rsid w:val="00BF3C78"/>
    <w:rsid w:val="00BF6393"/>
    <w:rsid w:val="00C0506C"/>
    <w:rsid w:val="00C07F21"/>
    <w:rsid w:val="00C13F9D"/>
    <w:rsid w:val="00C36C72"/>
    <w:rsid w:val="00C53F14"/>
    <w:rsid w:val="00C56455"/>
    <w:rsid w:val="00C574B6"/>
    <w:rsid w:val="00C67B47"/>
    <w:rsid w:val="00C81C4F"/>
    <w:rsid w:val="00C82C9A"/>
    <w:rsid w:val="00C86031"/>
    <w:rsid w:val="00C87F59"/>
    <w:rsid w:val="00CA5805"/>
    <w:rsid w:val="00CB5207"/>
    <w:rsid w:val="00CC1258"/>
    <w:rsid w:val="00CC338F"/>
    <w:rsid w:val="00CD1754"/>
    <w:rsid w:val="00D04667"/>
    <w:rsid w:val="00D1544B"/>
    <w:rsid w:val="00D17C48"/>
    <w:rsid w:val="00D35B15"/>
    <w:rsid w:val="00D5000F"/>
    <w:rsid w:val="00D577F2"/>
    <w:rsid w:val="00D60B47"/>
    <w:rsid w:val="00D84B26"/>
    <w:rsid w:val="00DA12EE"/>
    <w:rsid w:val="00DD31BA"/>
    <w:rsid w:val="00DD62F4"/>
    <w:rsid w:val="00DE3F48"/>
    <w:rsid w:val="00E254AD"/>
    <w:rsid w:val="00E56A34"/>
    <w:rsid w:val="00E60CBD"/>
    <w:rsid w:val="00E73B8E"/>
    <w:rsid w:val="00E74C71"/>
    <w:rsid w:val="00E8156C"/>
    <w:rsid w:val="00E913FF"/>
    <w:rsid w:val="00EA11C4"/>
    <w:rsid w:val="00EA4E30"/>
    <w:rsid w:val="00EA5864"/>
    <w:rsid w:val="00EB6B29"/>
    <w:rsid w:val="00EC049D"/>
    <w:rsid w:val="00EC7B84"/>
    <w:rsid w:val="00ED1205"/>
    <w:rsid w:val="00ED2F85"/>
    <w:rsid w:val="00EF6394"/>
    <w:rsid w:val="00EF6428"/>
    <w:rsid w:val="00F0139F"/>
    <w:rsid w:val="00F051D6"/>
    <w:rsid w:val="00F07F46"/>
    <w:rsid w:val="00F3365C"/>
    <w:rsid w:val="00F376B1"/>
    <w:rsid w:val="00F37B99"/>
    <w:rsid w:val="00F634D0"/>
    <w:rsid w:val="00F77404"/>
    <w:rsid w:val="00F961D5"/>
    <w:rsid w:val="00FA0D69"/>
    <w:rsid w:val="00FA184C"/>
    <w:rsid w:val="00FA2025"/>
    <w:rsid w:val="00FB01B8"/>
    <w:rsid w:val="00FB0E8E"/>
    <w:rsid w:val="00FB5022"/>
    <w:rsid w:val="00FC2A12"/>
    <w:rsid w:val="00FC2D89"/>
    <w:rsid w:val="00FE0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8E305"/>
  <w15:chartTrackingRefBased/>
  <w15:docId w15:val="{B3F474D5-9304-41A0-84EA-AF73BD07B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A12"/>
    <w:pPr>
      <w:ind w:left="720"/>
      <w:contextualSpacing/>
    </w:pPr>
  </w:style>
  <w:style w:type="character" w:styleId="Hyperlink">
    <w:name w:val="Hyperlink"/>
    <w:basedOn w:val="DefaultParagraphFont"/>
    <w:uiPriority w:val="99"/>
    <w:unhideWhenUsed/>
    <w:rsid w:val="004C0809"/>
    <w:rPr>
      <w:color w:val="0563C1" w:themeColor="hyperlink"/>
      <w:u w:val="single"/>
    </w:rPr>
  </w:style>
  <w:style w:type="character" w:styleId="UnresolvedMention">
    <w:name w:val="Unresolved Mention"/>
    <w:basedOn w:val="DefaultParagraphFont"/>
    <w:uiPriority w:val="99"/>
    <w:semiHidden/>
    <w:unhideWhenUsed/>
    <w:rsid w:val="004C0809"/>
    <w:rPr>
      <w:color w:val="605E5C"/>
      <w:shd w:val="clear" w:color="auto" w:fill="E1DFDD"/>
    </w:rPr>
  </w:style>
  <w:style w:type="paragraph" w:styleId="Header">
    <w:name w:val="header"/>
    <w:basedOn w:val="Normal"/>
    <w:link w:val="HeaderChar"/>
    <w:uiPriority w:val="99"/>
    <w:unhideWhenUsed/>
    <w:rsid w:val="00A67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9C1"/>
  </w:style>
  <w:style w:type="paragraph" w:styleId="Footer">
    <w:name w:val="footer"/>
    <w:basedOn w:val="Normal"/>
    <w:link w:val="FooterChar"/>
    <w:uiPriority w:val="99"/>
    <w:unhideWhenUsed/>
    <w:rsid w:val="00A67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sychologytoday.com/gb/blog/awareness-action/202204/3-ways-respond-sexual-assault-disclosure%3famp" TargetMode="External"/><Relationship Id="rId18" Type="http://schemas.openxmlformats.org/officeDocument/2006/relationships/hyperlink" Target="http://www.fosteringpeople.co.uk/about-fostering/how-to-become-a-foster-parent/checks-and-references" TargetMode="External"/><Relationship Id="rId26" Type="http://schemas.openxmlformats.org/officeDocument/2006/relationships/hyperlink" Target="http://www.youtube.com/watch?v=eSCUPmSPTY" TargetMode="External"/><Relationship Id="rId39" Type="http://schemas.openxmlformats.org/officeDocument/2006/relationships/hyperlink" Target="http://www.timetochangewales.org.uk/en/mental-health-stigma/what-stigma" TargetMode="External"/><Relationship Id="rId21" Type="http://schemas.openxmlformats.org/officeDocument/2006/relationships/hyperlink" Target="http://www.legislation.gov.uk/ukpga/1989/41/contents" TargetMode="External"/><Relationship Id="rId34" Type="http://schemas.openxmlformats.org/officeDocument/2006/relationships/hyperlink" Target="http://www.rcpsych.co.uk/mental-health/treatments-and-wellbeing/childrens-social-services-and-safeguarding" TargetMode="External"/><Relationship Id="rId42" Type="http://schemas.openxmlformats.org/officeDocument/2006/relationships/header" Target="header1.xml"/><Relationship Id="rId7" Type="http://schemas.openxmlformats.org/officeDocument/2006/relationships/hyperlink" Target="http://www.advancedcca.co.uk/connected-persons-assessments" TargetMode="External"/><Relationship Id="rId2" Type="http://schemas.openxmlformats.org/officeDocument/2006/relationships/styles" Target="styles.xml"/><Relationship Id="rId16" Type="http://schemas.openxmlformats.org/officeDocument/2006/relationships/hyperlink" Target="http://www.fosterwales.gov.wales/who-can-foster" TargetMode="External"/><Relationship Id="rId20" Type="http://schemas.openxmlformats.org/officeDocument/2006/relationships/hyperlink" Target="http://www.kinship.org.uk/advice-and-information/what-is-kinship-care" TargetMode="External"/><Relationship Id="rId29" Type="http://schemas.openxmlformats.org/officeDocument/2006/relationships/hyperlink" Target="http://www.learning.nspcc.org.uk/research-resources/learning-from-case-reviews/parents-with-a-mental-health-problem" TargetMode="External"/><Relationship Id="rId41" Type="http://schemas.openxmlformats.org/officeDocument/2006/relationships/hyperlink" Target="http://www.wecare.wales/morethanjustwo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eatingafamily.org/foster-care/fostering-blog/common-challenges-in-kinship-care-how-to-overcome-them" TargetMode="External"/><Relationship Id="rId24" Type="http://schemas.openxmlformats.org/officeDocument/2006/relationships/hyperlink" Target="http://www.legislation.gov.uk/wsi/2018/1339/contents/made" TargetMode="External"/><Relationship Id="rId32" Type="http://schemas.openxmlformats.org/officeDocument/2006/relationships/hyperlink" Target="http://www.personnelchecks.co.uk/knowledge-hub/checks-foster-carer-uk" TargetMode="External"/><Relationship Id="rId37" Type="http://schemas.openxmlformats.org/officeDocument/2006/relationships/hyperlink" Target="http://www.socialcare.wales/resources-guidance/improving-care-and-support/care-and-support-at-home/what-matters-conversations-and-assessments" TargetMode="External"/><Relationship Id="rId40" Type="http://schemas.openxmlformats.org/officeDocument/2006/relationships/hyperlink" Target="http://www.safeguarding.wales/en/" TargetMode="External"/><Relationship Id="rId5" Type="http://schemas.openxmlformats.org/officeDocument/2006/relationships/footnotes" Target="footnotes.xml"/><Relationship Id="rId15" Type="http://schemas.openxmlformats.org/officeDocument/2006/relationships/hyperlink" Target="http://www.frg.org.uk/policy-and-campaigns/kinship-care/kinship-assessment-guide-section-3-factors-to-consider-during-the-assessment" TargetMode="External"/><Relationship Id="rId23" Type="http://schemas.openxmlformats.org/officeDocument/2006/relationships/hyperlink" Target="http://www.legislation.gov.uk/ukpga/1998/42/contents" TargetMode="External"/><Relationship Id="rId28" Type="http://schemas.openxmlformats.org/officeDocument/2006/relationships/hyperlink" Target="http://www.learning.nspcc.org.uk/research-resources/statistics-briefings/child-sexual-abuse" TargetMode="External"/><Relationship Id="rId36" Type="http://schemas.openxmlformats.org/officeDocument/2006/relationships/hyperlink" Target="http://www.socialcare.wales/resources-guidance/information-and-learning-hub/learning-resources/social-services-and-well-being-wales-act-2014" TargetMode="External"/><Relationship Id="rId10" Type="http://schemas.openxmlformats.org/officeDocument/2006/relationships/hyperlink" Target="http://www.statista.com/statistics/907749/life-expectancy-in-Wales-by-age-and-gender" TargetMode="External"/><Relationship Id="rId19" Type="http://schemas.openxmlformats.org/officeDocument/2006/relationships/hyperlink" Target="http://www.communitycare.co.uk/2018/08/15/chronology-first-thing-assssment" TargetMode="External"/><Relationship Id="rId31" Type="http://schemas.openxmlformats.org/officeDocument/2006/relationships/hyperlink" Target="http://www.parentsprotect.co.uk/if-a-child-tells-you-about-abus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ardiff.ac.uk/news/view/2534728-share-of-people-experiencing-severe-mental-health-issues-more-than-doubled-during-pandemic,-report-finds" TargetMode="External"/><Relationship Id="rId14" Type="http://schemas.openxmlformats.org/officeDocument/2006/relationships/hyperlink" Target="http://www.psychcentral.com/blog/gppd-daughter/2018/02/when-mom-doesnt-believe-or-validate-her-daughter-when-she-was-sexually-assaulted-abused" TargetMode="External"/><Relationship Id="rId22" Type="http://schemas.openxmlformats.org/officeDocument/2006/relationships/hyperlink" Target="http://www.legislation.gov.uk/ukpga/2010/15/contents" TargetMode="External"/><Relationship Id="rId27" Type="http://schemas.openxmlformats.org/officeDocument/2006/relationships/hyperlink" Target="http://www.mentalhelp.net/eating-disorders/prevalence-onset-and-course" TargetMode="External"/><Relationship Id="rId30" Type="http://schemas.openxmlformats.org/officeDocument/2006/relationships/hyperlink" Target="http://www.data.oecd.org/healthrisk/lack-of-social-support" TargetMode="External"/><Relationship Id="rId35" Type="http://schemas.openxmlformats.org/officeDocument/2006/relationships/hyperlink" Target="http://www.safebasefostering.org.uk/why-is-training-important-for-foster-carers" TargetMode="External"/><Relationship Id="rId43" Type="http://schemas.openxmlformats.org/officeDocument/2006/relationships/fontTable" Target="fontTable.xml"/><Relationship Id="rId8" Type="http://schemas.openxmlformats.org/officeDocument/2006/relationships/hyperlink" Target="http://www.basw.co.uk/resources/family-group-confrencing-fcgs-and-relationship-based-practice-in-social-work-webinar" TargetMode="External"/><Relationship Id="rId3" Type="http://schemas.openxmlformats.org/officeDocument/2006/relationships/settings" Target="settings.xml"/><Relationship Id="rId12" Type="http://schemas.openxmlformats.org/officeDocument/2006/relationships/hyperlink" Target="http://www.gov.uk/overnment/publications/fostering-services-national-minimum-standards" TargetMode="External"/><Relationship Id="rId17" Type="http://schemas.openxmlformats.org/officeDocument/2006/relationships/hyperlink" Target="http://www.thefosteringnetwork.org.uk/advice-information/being-foster-carer/working-social-workers" TargetMode="External"/><Relationship Id="rId25" Type="http://schemas.openxmlformats.org/officeDocument/2006/relationships/hyperlink" Target="http://www.legislation.gov.uk/anaw/2015/2/contents/enacted" TargetMode="External"/><Relationship Id="rId33" Type="http://schemas.openxmlformats.org/officeDocument/2006/relationships/hyperlink" Target="http://www.proceduresonline.com/oneadoption/oneadoption/g_other_ref.html" TargetMode="External"/><Relationship Id="rId38" Type="http://schemas.openxmlformats.org/officeDocument/2006/relationships/hyperlink" Target="http://www.socialcare.wales/resources-guidance/information-and-learning-hub/sswb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1209</TotalTime>
  <Pages>15</Pages>
  <Words>6931</Words>
  <Characters>39512</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46351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McLaren</dc:creator>
  <cp:keywords/>
  <dc:description/>
  <cp:lastModifiedBy>Catrin McLaren</cp:lastModifiedBy>
  <cp:revision>162</cp:revision>
  <dcterms:created xsi:type="dcterms:W3CDTF">2023-07-28T20:15:00Z</dcterms:created>
  <dcterms:modified xsi:type="dcterms:W3CDTF">2023-10-16T10:53:00Z</dcterms:modified>
</cp:coreProperties>
</file>