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4A5895" w14:textId="77777777" w:rsidR="00864324" w:rsidRPr="00F140A6" w:rsidRDefault="00864324" w:rsidP="00F140A6">
      <w:pPr>
        <w:jc w:val="center"/>
        <w:rPr>
          <w:rFonts w:ascii="Arial" w:hAnsi="Arial" w:cs="Arial"/>
          <w:b/>
          <w:bCs/>
          <w:sz w:val="22"/>
          <w:szCs w:val="22"/>
        </w:rPr>
      </w:pPr>
      <w:r w:rsidRPr="00F140A6">
        <w:rPr>
          <w:rFonts w:ascii="Arial" w:hAnsi="Arial" w:cs="Arial"/>
          <w:b/>
          <w:bCs/>
          <w:sz w:val="22"/>
          <w:szCs w:val="22"/>
        </w:rPr>
        <w:t>BA (Hons) Leadership and Management Skills for the Workplace</w:t>
      </w:r>
    </w:p>
    <w:p w14:paraId="6A35169B" w14:textId="77777777" w:rsidR="00864324" w:rsidRPr="00331213" w:rsidRDefault="00864324" w:rsidP="00F140A6">
      <w:pPr>
        <w:jc w:val="center"/>
        <w:rPr>
          <w:rFonts w:ascii="Arial" w:hAnsi="Arial" w:cs="Arial"/>
          <w:sz w:val="22"/>
          <w:szCs w:val="22"/>
        </w:rPr>
      </w:pPr>
    </w:p>
    <w:p w14:paraId="11B12748" w14:textId="77777777" w:rsidR="00864324" w:rsidRPr="00331213" w:rsidRDefault="00864324" w:rsidP="00F140A6">
      <w:pPr>
        <w:jc w:val="center"/>
        <w:rPr>
          <w:rFonts w:ascii="Arial" w:hAnsi="Arial" w:cs="Arial"/>
          <w:sz w:val="22"/>
          <w:szCs w:val="22"/>
        </w:rPr>
      </w:pPr>
      <w:r w:rsidRPr="00F140A6">
        <w:rPr>
          <w:rFonts w:ascii="Arial" w:hAnsi="Arial" w:cs="Arial"/>
          <w:b/>
          <w:bCs/>
          <w:sz w:val="22"/>
          <w:szCs w:val="22"/>
        </w:rPr>
        <w:t>Module Title:</w:t>
      </w:r>
      <w:r w:rsidRPr="00331213">
        <w:rPr>
          <w:rFonts w:ascii="Arial" w:hAnsi="Arial" w:cs="Arial"/>
          <w:sz w:val="22"/>
          <w:szCs w:val="22"/>
        </w:rPr>
        <w:t xml:space="preserve"> Developing and Managing Individuals and Teams</w:t>
      </w:r>
    </w:p>
    <w:p w14:paraId="543CA901" w14:textId="77777777" w:rsidR="00864324" w:rsidRPr="00331213" w:rsidRDefault="00864324" w:rsidP="00F140A6">
      <w:pPr>
        <w:jc w:val="center"/>
        <w:rPr>
          <w:rFonts w:ascii="Arial" w:hAnsi="Arial" w:cs="Arial"/>
          <w:sz w:val="22"/>
          <w:szCs w:val="22"/>
        </w:rPr>
      </w:pPr>
      <w:r w:rsidRPr="00F140A6">
        <w:rPr>
          <w:rFonts w:ascii="Arial" w:hAnsi="Arial" w:cs="Arial"/>
          <w:b/>
          <w:bCs/>
          <w:sz w:val="22"/>
          <w:szCs w:val="22"/>
        </w:rPr>
        <w:t>Module Code:</w:t>
      </w:r>
      <w:r w:rsidRPr="00331213">
        <w:rPr>
          <w:rFonts w:ascii="Arial" w:hAnsi="Arial" w:cs="Arial"/>
          <w:sz w:val="22"/>
          <w:szCs w:val="22"/>
        </w:rPr>
        <w:t xml:space="preserve"> LCLM5002</w:t>
      </w:r>
    </w:p>
    <w:p w14:paraId="362C7FE1" w14:textId="77777777" w:rsidR="00864324" w:rsidRPr="00331213" w:rsidRDefault="00864324" w:rsidP="00F140A6">
      <w:pPr>
        <w:jc w:val="center"/>
        <w:rPr>
          <w:rFonts w:ascii="Arial" w:hAnsi="Arial" w:cs="Arial"/>
          <w:sz w:val="22"/>
          <w:szCs w:val="22"/>
        </w:rPr>
      </w:pPr>
    </w:p>
    <w:p w14:paraId="64329F85" w14:textId="77777777" w:rsidR="00864324" w:rsidRPr="00331213" w:rsidRDefault="00864324" w:rsidP="00F140A6">
      <w:pPr>
        <w:jc w:val="center"/>
        <w:rPr>
          <w:rFonts w:ascii="Arial" w:hAnsi="Arial" w:cs="Arial"/>
          <w:sz w:val="22"/>
          <w:szCs w:val="22"/>
        </w:rPr>
      </w:pPr>
      <w:r w:rsidRPr="00F140A6">
        <w:rPr>
          <w:rFonts w:ascii="Arial" w:hAnsi="Arial" w:cs="Arial"/>
          <w:b/>
          <w:bCs/>
          <w:sz w:val="22"/>
          <w:szCs w:val="22"/>
        </w:rPr>
        <w:t xml:space="preserve">Assignment Title: </w:t>
      </w:r>
      <w:r w:rsidRPr="00331213">
        <w:rPr>
          <w:rFonts w:ascii="Arial" w:hAnsi="Arial" w:cs="Arial"/>
          <w:sz w:val="22"/>
          <w:szCs w:val="22"/>
        </w:rPr>
        <w:t>Component 2 – Individual Report</w:t>
      </w:r>
    </w:p>
    <w:p w14:paraId="051EA7C8" w14:textId="77777777" w:rsidR="00864324" w:rsidRPr="00331213" w:rsidRDefault="00864324" w:rsidP="00F140A6">
      <w:pPr>
        <w:jc w:val="center"/>
        <w:rPr>
          <w:rFonts w:ascii="Arial" w:hAnsi="Arial" w:cs="Arial"/>
          <w:sz w:val="22"/>
          <w:szCs w:val="22"/>
        </w:rPr>
      </w:pPr>
    </w:p>
    <w:p w14:paraId="04175DCE" w14:textId="77777777" w:rsidR="00864324" w:rsidRPr="00F140A6" w:rsidRDefault="00864324" w:rsidP="00F140A6">
      <w:pPr>
        <w:jc w:val="center"/>
        <w:rPr>
          <w:rFonts w:ascii="Arial" w:hAnsi="Arial" w:cs="Arial"/>
          <w:b/>
          <w:bCs/>
          <w:sz w:val="22"/>
          <w:szCs w:val="22"/>
        </w:rPr>
      </w:pPr>
      <w:r w:rsidRPr="00F140A6">
        <w:rPr>
          <w:rFonts w:ascii="Arial" w:hAnsi="Arial" w:cs="Arial"/>
          <w:b/>
          <w:bCs/>
          <w:sz w:val="22"/>
          <w:szCs w:val="22"/>
        </w:rPr>
        <w:t>Report Title:</w:t>
      </w:r>
    </w:p>
    <w:p w14:paraId="0F765984" w14:textId="77777777" w:rsidR="00864324" w:rsidRPr="00331213" w:rsidRDefault="00864324" w:rsidP="00F140A6">
      <w:pPr>
        <w:jc w:val="center"/>
        <w:rPr>
          <w:rFonts w:ascii="Arial" w:hAnsi="Arial" w:cs="Arial"/>
          <w:sz w:val="22"/>
          <w:szCs w:val="22"/>
        </w:rPr>
      </w:pPr>
      <w:r w:rsidRPr="00331213">
        <w:rPr>
          <w:rFonts w:ascii="Arial" w:hAnsi="Arial" w:cs="Arial"/>
          <w:sz w:val="22"/>
          <w:szCs w:val="22"/>
        </w:rPr>
        <w:t>HR Report on Contemporary Challenges at Tesco PLC</w:t>
      </w:r>
    </w:p>
    <w:p w14:paraId="4A54E0D6" w14:textId="77777777" w:rsidR="00864324" w:rsidRPr="00F140A6" w:rsidRDefault="00864324" w:rsidP="00F140A6">
      <w:pPr>
        <w:jc w:val="center"/>
        <w:rPr>
          <w:rFonts w:ascii="Arial" w:hAnsi="Arial" w:cs="Arial"/>
          <w:b/>
          <w:bCs/>
          <w:sz w:val="22"/>
          <w:szCs w:val="22"/>
        </w:rPr>
      </w:pPr>
    </w:p>
    <w:p w14:paraId="35426150" w14:textId="77777777" w:rsidR="00864324" w:rsidRPr="00331213" w:rsidRDefault="00864324" w:rsidP="00F140A6">
      <w:pPr>
        <w:jc w:val="center"/>
        <w:rPr>
          <w:rFonts w:ascii="Arial" w:hAnsi="Arial" w:cs="Arial"/>
          <w:sz w:val="22"/>
          <w:szCs w:val="22"/>
        </w:rPr>
      </w:pPr>
      <w:r w:rsidRPr="00F140A6">
        <w:rPr>
          <w:rFonts w:ascii="Arial" w:hAnsi="Arial" w:cs="Arial"/>
          <w:b/>
          <w:bCs/>
          <w:sz w:val="22"/>
          <w:szCs w:val="22"/>
        </w:rPr>
        <w:t>Student Name:</w:t>
      </w:r>
      <w:r w:rsidRPr="00331213">
        <w:rPr>
          <w:rFonts w:ascii="Arial" w:hAnsi="Arial" w:cs="Arial"/>
          <w:sz w:val="22"/>
          <w:szCs w:val="22"/>
        </w:rPr>
        <w:t xml:space="preserve"> Vasile Calin</w:t>
      </w:r>
    </w:p>
    <w:p w14:paraId="4E9BFF4C" w14:textId="77777777" w:rsidR="00864324" w:rsidRPr="00331213" w:rsidRDefault="00864324" w:rsidP="00F140A6">
      <w:pPr>
        <w:jc w:val="center"/>
        <w:rPr>
          <w:rFonts w:ascii="Arial" w:hAnsi="Arial" w:cs="Arial"/>
          <w:sz w:val="22"/>
          <w:szCs w:val="22"/>
        </w:rPr>
      </w:pPr>
      <w:r w:rsidRPr="00F140A6">
        <w:rPr>
          <w:rFonts w:ascii="Arial" w:hAnsi="Arial" w:cs="Arial"/>
          <w:b/>
          <w:bCs/>
          <w:sz w:val="22"/>
          <w:szCs w:val="22"/>
        </w:rPr>
        <w:t>Student Number:</w:t>
      </w:r>
      <w:r w:rsidRPr="00331213">
        <w:rPr>
          <w:rFonts w:ascii="Arial" w:hAnsi="Arial" w:cs="Arial"/>
          <w:sz w:val="22"/>
          <w:szCs w:val="22"/>
        </w:rPr>
        <w:t xml:space="preserve"> 2315026</w:t>
      </w:r>
    </w:p>
    <w:p w14:paraId="519DDA27" w14:textId="77777777" w:rsidR="00864324" w:rsidRPr="00331213" w:rsidRDefault="00864324" w:rsidP="00F140A6">
      <w:pPr>
        <w:jc w:val="center"/>
        <w:rPr>
          <w:rFonts w:ascii="Arial" w:hAnsi="Arial" w:cs="Arial"/>
          <w:sz w:val="22"/>
          <w:szCs w:val="22"/>
        </w:rPr>
      </w:pPr>
    </w:p>
    <w:p w14:paraId="2FC6F850" w14:textId="77777777" w:rsidR="00864324" w:rsidRPr="00331213" w:rsidRDefault="00864324" w:rsidP="00F140A6">
      <w:pPr>
        <w:jc w:val="center"/>
        <w:rPr>
          <w:rFonts w:ascii="Arial" w:hAnsi="Arial" w:cs="Arial"/>
          <w:sz w:val="22"/>
          <w:szCs w:val="22"/>
        </w:rPr>
      </w:pPr>
      <w:r w:rsidRPr="00F140A6">
        <w:rPr>
          <w:rFonts w:ascii="Arial" w:hAnsi="Arial" w:cs="Arial"/>
          <w:b/>
          <w:bCs/>
          <w:sz w:val="22"/>
          <w:szCs w:val="22"/>
        </w:rPr>
        <w:t>Lecturer:</w:t>
      </w:r>
      <w:r w:rsidRPr="00331213">
        <w:rPr>
          <w:rFonts w:ascii="Arial" w:hAnsi="Arial" w:cs="Arial"/>
          <w:sz w:val="22"/>
          <w:szCs w:val="22"/>
        </w:rPr>
        <w:t xml:space="preserve"> Doreen Nyaa Amundam / Nishi Ramsurrun</w:t>
      </w:r>
    </w:p>
    <w:p w14:paraId="7F30EF59" w14:textId="77777777" w:rsidR="00864324" w:rsidRPr="00331213" w:rsidRDefault="00864324" w:rsidP="00F140A6">
      <w:pPr>
        <w:jc w:val="center"/>
        <w:rPr>
          <w:rFonts w:ascii="Arial" w:hAnsi="Arial" w:cs="Arial"/>
          <w:sz w:val="22"/>
          <w:szCs w:val="22"/>
        </w:rPr>
      </w:pPr>
    </w:p>
    <w:p w14:paraId="135B24D1" w14:textId="77777777" w:rsidR="00864324" w:rsidRPr="00331213" w:rsidRDefault="00864324" w:rsidP="00F140A6">
      <w:pPr>
        <w:jc w:val="center"/>
        <w:rPr>
          <w:rFonts w:ascii="Arial" w:hAnsi="Arial" w:cs="Arial"/>
          <w:sz w:val="22"/>
          <w:szCs w:val="22"/>
        </w:rPr>
      </w:pPr>
      <w:r w:rsidRPr="00F140A6">
        <w:rPr>
          <w:rFonts w:ascii="Arial" w:hAnsi="Arial" w:cs="Arial"/>
          <w:b/>
          <w:bCs/>
          <w:sz w:val="22"/>
          <w:szCs w:val="22"/>
        </w:rPr>
        <w:t>Submission Date:</w:t>
      </w:r>
      <w:r w:rsidRPr="00331213">
        <w:rPr>
          <w:rFonts w:ascii="Arial" w:hAnsi="Arial" w:cs="Arial"/>
          <w:sz w:val="22"/>
          <w:szCs w:val="22"/>
        </w:rPr>
        <w:t xml:space="preserve"> 30 March 2026</w:t>
      </w:r>
    </w:p>
    <w:p w14:paraId="2AA02697" w14:textId="77777777" w:rsidR="00864324" w:rsidRPr="00331213" w:rsidRDefault="00864324" w:rsidP="00F140A6">
      <w:pPr>
        <w:jc w:val="center"/>
        <w:rPr>
          <w:rFonts w:ascii="Arial" w:hAnsi="Arial" w:cs="Arial"/>
          <w:sz w:val="22"/>
          <w:szCs w:val="22"/>
        </w:rPr>
      </w:pPr>
    </w:p>
    <w:p w14:paraId="5CF53F54" w14:textId="136B29B3" w:rsidR="00864324" w:rsidRPr="00331213" w:rsidRDefault="00864324" w:rsidP="00F140A6">
      <w:pPr>
        <w:jc w:val="center"/>
        <w:rPr>
          <w:rFonts w:ascii="Arial" w:hAnsi="Arial" w:cs="Arial"/>
          <w:sz w:val="22"/>
          <w:szCs w:val="22"/>
        </w:rPr>
      </w:pPr>
      <w:r w:rsidRPr="00F140A6">
        <w:rPr>
          <w:rFonts w:ascii="Arial" w:hAnsi="Arial" w:cs="Arial"/>
          <w:b/>
          <w:bCs/>
          <w:sz w:val="22"/>
          <w:szCs w:val="22"/>
        </w:rPr>
        <w:t>Word Count:</w:t>
      </w:r>
      <w:r w:rsidRPr="00331213">
        <w:rPr>
          <w:rFonts w:ascii="Arial" w:hAnsi="Arial" w:cs="Arial"/>
          <w:sz w:val="22"/>
          <w:szCs w:val="22"/>
        </w:rPr>
        <w:t xml:space="preserve"> </w:t>
      </w:r>
      <w:r w:rsidR="00627939">
        <w:rPr>
          <w:rFonts w:ascii="Arial" w:hAnsi="Arial" w:cs="Arial"/>
          <w:sz w:val="22"/>
          <w:szCs w:val="22"/>
        </w:rPr>
        <w:t>2156</w:t>
      </w:r>
    </w:p>
    <w:p w14:paraId="2208B2F1" w14:textId="77777777" w:rsidR="002A015C" w:rsidRPr="00331213" w:rsidRDefault="002A015C" w:rsidP="00864324">
      <w:pPr>
        <w:rPr>
          <w:rFonts w:ascii="Arial" w:hAnsi="Arial" w:cs="Arial"/>
          <w:sz w:val="22"/>
          <w:szCs w:val="22"/>
        </w:rPr>
      </w:pPr>
    </w:p>
    <w:p w14:paraId="7E60749A" w14:textId="77777777" w:rsidR="00F140A6" w:rsidRDefault="00F140A6" w:rsidP="00864324">
      <w:pPr>
        <w:rPr>
          <w:rFonts w:ascii="Arial" w:hAnsi="Arial" w:cs="Arial"/>
          <w:b/>
          <w:bCs/>
          <w:sz w:val="22"/>
          <w:szCs w:val="22"/>
        </w:rPr>
      </w:pPr>
    </w:p>
    <w:p w14:paraId="4C0C4C6B" w14:textId="77777777" w:rsidR="00F140A6" w:rsidRDefault="00F140A6" w:rsidP="00864324">
      <w:pPr>
        <w:rPr>
          <w:rFonts w:ascii="Arial" w:hAnsi="Arial" w:cs="Arial"/>
          <w:b/>
          <w:bCs/>
          <w:sz w:val="22"/>
          <w:szCs w:val="22"/>
        </w:rPr>
      </w:pPr>
    </w:p>
    <w:p w14:paraId="3C4EF9C8" w14:textId="77777777" w:rsidR="00F140A6" w:rsidRDefault="00F140A6" w:rsidP="00864324">
      <w:pPr>
        <w:rPr>
          <w:rFonts w:ascii="Arial" w:hAnsi="Arial" w:cs="Arial"/>
          <w:b/>
          <w:bCs/>
          <w:sz w:val="22"/>
          <w:szCs w:val="22"/>
        </w:rPr>
      </w:pPr>
    </w:p>
    <w:p w14:paraId="41B99B71" w14:textId="77777777" w:rsidR="00F140A6" w:rsidRDefault="00F140A6" w:rsidP="00864324">
      <w:pPr>
        <w:rPr>
          <w:rFonts w:ascii="Arial" w:hAnsi="Arial" w:cs="Arial"/>
          <w:b/>
          <w:bCs/>
          <w:sz w:val="22"/>
          <w:szCs w:val="22"/>
        </w:rPr>
      </w:pPr>
    </w:p>
    <w:p w14:paraId="26A10599" w14:textId="77777777" w:rsidR="00F140A6" w:rsidRDefault="00F140A6" w:rsidP="00864324">
      <w:pPr>
        <w:rPr>
          <w:rFonts w:ascii="Arial" w:hAnsi="Arial" w:cs="Arial"/>
          <w:b/>
          <w:bCs/>
          <w:sz w:val="22"/>
          <w:szCs w:val="22"/>
        </w:rPr>
      </w:pPr>
    </w:p>
    <w:p w14:paraId="3506ACF4" w14:textId="77777777" w:rsidR="00F140A6" w:rsidRDefault="00F140A6" w:rsidP="00864324">
      <w:pPr>
        <w:rPr>
          <w:rFonts w:ascii="Arial" w:hAnsi="Arial" w:cs="Arial"/>
          <w:b/>
          <w:bCs/>
          <w:sz w:val="22"/>
          <w:szCs w:val="22"/>
        </w:rPr>
      </w:pPr>
    </w:p>
    <w:p w14:paraId="32F40648" w14:textId="77777777" w:rsidR="00F140A6" w:rsidRDefault="00F140A6" w:rsidP="00864324">
      <w:pPr>
        <w:rPr>
          <w:rFonts w:ascii="Arial" w:hAnsi="Arial" w:cs="Arial"/>
          <w:b/>
          <w:bCs/>
          <w:sz w:val="22"/>
          <w:szCs w:val="22"/>
        </w:rPr>
      </w:pPr>
    </w:p>
    <w:p w14:paraId="1835DE7E" w14:textId="77777777" w:rsidR="00F140A6" w:rsidRDefault="00F140A6" w:rsidP="00864324">
      <w:pPr>
        <w:rPr>
          <w:rFonts w:ascii="Arial" w:hAnsi="Arial" w:cs="Arial"/>
          <w:b/>
          <w:bCs/>
          <w:sz w:val="22"/>
          <w:szCs w:val="22"/>
        </w:rPr>
      </w:pPr>
    </w:p>
    <w:p w14:paraId="12684F30" w14:textId="77777777" w:rsidR="00F140A6" w:rsidRDefault="00F140A6" w:rsidP="00864324">
      <w:pPr>
        <w:rPr>
          <w:rFonts w:ascii="Arial" w:hAnsi="Arial" w:cs="Arial"/>
          <w:b/>
          <w:bCs/>
          <w:sz w:val="22"/>
          <w:szCs w:val="22"/>
        </w:rPr>
      </w:pPr>
    </w:p>
    <w:p w14:paraId="4D5813B9" w14:textId="77777777" w:rsidR="00F140A6" w:rsidRDefault="00F140A6" w:rsidP="00864324">
      <w:pPr>
        <w:rPr>
          <w:rFonts w:ascii="Arial" w:hAnsi="Arial" w:cs="Arial"/>
          <w:b/>
          <w:bCs/>
          <w:sz w:val="22"/>
          <w:szCs w:val="22"/>
        </w:rPr>
      </w:pPr>
    </w:p>
    <w:p w14:paraId="178B1CE5" w14:textId="46B29DAF" w:rsidR="00864324" w:rsidRPr="00F140A6" w:rsidRDefault="00864324" w:rsidP="00864324">
      <w:pPr>
        <w:rPr>
          <w:rFonts w:ascii="Arial" w:hAnsi="Arial" w:cs="Arial"/>
          <w:b/>
          <w:bCs/>
          <w:sz w:val="22"/>
          <w:szCs w:val="22"/>
        </w:rPr>
      </w:pPr>
      <w:r w:rsidRPr="00F140A6">
        <w:rPr>
          <w:rFonts w:ascii="Arial" w:hAnsi="Arial" w:cs="Arial"/>
          <w:b/>
          <w:bCs/>
          <w:sz w:val="22"/>
          <w:szCs w:val="22"/>
        </w:rPr>
        <w:lastRenderedPageBreak/>
        <w:t>Table of Contents</w:t>
      </w:r>
    </w:p>
    <w:p w14:paraId="4FD15292" w14:textId="77777777" w:rsidR="002A015C" w:rsidRPr="00331213" w:rsidRDefault="002A015C" w:rsidP="00864324">
      <w:pPr>
        <w:rPr>
          <w:rFonts w:ascii="Arial" w:hAnsi="Arial" w:cs="Arial"/>
          <w:sz w:val="22"/>
          <w:szCs w:val="22"/>
        </w:rPr>
      </w:pPr>
    </w:p>
    <w:p w14:paraId="4EE04EA3" w14:textId="77777777" w:rsidR="00864324" w:rsidRPr="00331213" w:rsidRDefault="00864324" w:rsidP="00864324">
      <w:pPr>
        <w:rPr>
          <w:rFonts w:ascii="Arial" w:hAnsi="Arial" w:cs="Arial"/>
          <w:sz w:val="22"/>
          <w:szCs w:val="22"/>
        </w:rPr>
      </w:pPr>
      <w:r w:rsidRPr="00331213">
        <w:rPr>
          <w:rFonts w:ascii="Arial" w:hAnsi="Arial" w:cs="Arial"/>
          <w:sz w:val="22"/>
          <w:szCs w:val="22"/>
        </w:rPr>
        <w:tab/>
        <w:t>1.</w:t>
      </w:r>
      <w:r w:rsidRPr="00331213">
        <w:rPr>
          <w:rFonts w:ascii="Arial" w:hAnsi="Arial" w:cs="Arial"/>
          <w:sz w:val="22"/>
          <w:szCs w:val="22"/>
        </w:rPr>
        <w:tab/>
        <w:t>Introduction …………………………………………….. 1</w:t>
      </w:r>
    </w:p>
    <w:p w14:paraId="0E35AE11" w14:textId="77777777" w:rsidR="00864324" w:rsidRPr="00331213" w:rsidRDefault="00864324" w:rsidP="00864324">
      <w:pPr>
        <w:rPr>
          <w:rFonts w:ascii="Arial" w:hAnsi="Arial" w:cs="Arial"/>
          <w:sz w:val="22"/>
          <w:szCs w:val="22"/>
        </w:rPr>
      </w:pPr>
      <w:r w:rsidRPr="00331213">
        <w:rPr>
          <w:rFonts w:ascii="Arial" w:hAnsi="Arial" w:cs="Arial"/>
          <w:sz w:val="22"/>
          <w:szCs w:val="22"/>
        </w:rPr>
        <w:tab/>
        <w:t>2.</w:t>
      </w:r>
      <w:r w:rsidRPr="00331213">
        <w:rPr>
          <w:rFonts w:ascii="Arial" w:hAnsi="Arial" w:cs="Arial"/>
          <w:sz w:val="22"/>
          <w:szCs w:val="22"/>
        </w:rPr>
        <w:tab/>
        <w:t>Explanation of Specific HR Factors …………………….. 2</w:t>
      </w:r>
    </w:p>
    <w:p w14:paraId="3C637667" w14:textId="61EB36C0" w:rsidR="00864324" w:rsidRPr="00331213" w:rsidRDefault="00864324" w:rsidP="00864324">
      <w:pPr>
        <w:rPr>
          <w:rFonts w:ascii="Arial" w:hAnsi="Arial" w:cs="Arial"/>
          <w:sz w:val="22"/>
          <w:szCs w:val="22"/>
        </w:rPr>
      </w:pPr>
      <w:r w:rsidRPr="00331213">
        <w:rPr>
          <w:rFonts w:ascii="Arial" w:hAnsi="Arial" w:cs="Arial"/>
          <w:sz w:val="22"/>
          <w:szCs w:val="22"/>
        </w:rPr>
        <w:t> </w:t>
      </w:r>
      <w:r w:rsidR="00145A30" w:rsidRPr="00331213">
        <w:rPr>
          <w:rFonts w:ascii="Arial" w:hAnsi="Arial" w:cs="Arial"/>
          <w:sz w:val="22"/>
          <w:szCs w:val="22"/>
        </w:rPr>
        <w:t xml:space="preserve">        </w:t>
      </w:r>
      <w:r w:rsidRPr="00331213">
        <w:rPr>
          <w:rFonts w:ascii="Arial" w:hAnsi="Arial" w:cs="Arial"/>
          <w:sz w:val="22"/>
          <w:szCs w:val="22"/>
        </w:rPr>
        <w:t>2.1 Meeting Technological Advancement ………………… 2</w:t>
      </w:r>
    </w:p>
    <w:p w14:paraId="4EC2180C" w14:textId="168BEDC9" w:rsidR="00864324" w:rsidRPr="00331213" w:rsidRDefault="00864324" w:rsidP="00864324">
      <w:pPr>
        <w:rPr>
          <w:rFonts w:ascii="Arial" w:hAnsi="Arial" w:cs="Arial"/>
          <w:sz w:val="22"/>
          <w:szCs w:val="22"/>
        </w:rPr>
      </w:pPr>
      <w:r w:rsidRPr="00331213">
        <w:rPr>
          <w:rFonts w:ascii="Arial" w:hAnsi="Arial" w:cs="Arial"/>
          <w:sz w:val="22"/>
          <w:szCs w:val="22"/>
        </w:rPr>
        <w:t> </w:t>
      </w:r>
      <w:r w:rsidR="00145A30" w:rsidRPr="00331213">
        <w:rPr>
          <w:rFonts w:ascii="Arial" w:hAnsi="Arial" w:cs="Arial"/>
          <w:sz w:val="22"/>
          <w:szCs w:val="22"/>
        </w:rPr>
        <w:t xml:space="preserve">        </w:t>
      </w:r>
      <w:r w:rsidRPr="00331213">
        <w:rPr>
          <w:rFonts w:ascii="Arial" w:hAnsi="Arial" w:cs="Arial"/>
          <w:sz w:val="22"/>
          <w:szCs w:val="22"/>
        </w:rPr>
        <w:t>2.2 Talent Acquisition and Retention …………………….. 3</w:t>
      </w:r>
    </w:p>
    <w:p w14:paraId="07215AE8" w14:textId="1DBAD9BD" w:rsidR="00864324" w:rsidRPr="00331213" w:rsidRDefault="00864324" w:rsidP="00864324">
      <w:pPr>
        <w:rPr>
          <w:rFonts w:ascii="Arial" w:hAnsi="Arial" w:cs="Arial"/>
          <w:sz w:val="22"/>
          <w:szCs w:val="22"/>
        </w:rPr>
      </w:pPr>
      <w:r w:rsidRPr="00331213">
        <w:rPr>
          <w:rFonts w:ascii="Arial" w:hAnsi="Arial" w:cs="Arial"/>
          <w:sz w:val="22"/>
          <w:szCs w:val="22"/>
        </w:rPr>
        <w:t> </w:t>
      </w:r>
      <w:r w:rsidR="00145A30" w:rsidRPr="00331213">
        <w:rPr>
          <w:rFonts w:ascii="Arial" w:hAnsi="Arial" w:cs="Arial"/>
          <w:sz w:val="22"/>
          <w:szCs w:val="22"/>
        </w:rPr>
        <w:t xml:space="preserve">        </w:t>
      </w:r>
      <w:r w:rsidRPr="00331213">
        <w:rPr>
          <w:rFonts w:ascii="Arial" w:hAnsi="Arial" w:cs="Arial"/>
          <w:sz w:val="22"/>
          <w:szCs w:val="22"/>
        </w:rPr>
        <w:t>2.3 Diversity, Equity and Inclusion (DEI) …………………. 4</w:t>
      </w:r>
    </w:p>
    <w:p w14:paraId="25A921E4" w14:textId="77777777" w:rsidR="00864324" w:rsidRPr="00331213" w:rsidRDefault="00864324" w:rsidP="00864324">
      <w:pPr>
        <w:rPr>
          <w:rFonts w:ascii="Arial" w:hAnsi="Arial" w:cs="Arial"/>
          <w:sz w:val="22"/>
          <w:szCs w:val="22"/>
        </w:rPr>
      </w:pPr>
      <w:r w:rsidRPr="00331213">
        <w:rPr>
          <w:rFonts w:ascii="Arial" w:hAnsi="Arial" w:cs="Arial"/>
          <w:sz w:val="22"/>
          <w:szCs w:val="22"/>
        </w:rPr>
        <w:tab/>
        <w:t>3.</w:t>
      </w:r>
      <w:r w:rsidRPr="00331213">
        <w:rPr>
          <w:rFonts w:ascii="Arial" w:hAnsi="Arial" w:cs="Arial"/>
          <w:sz w:val="22"/>
          <w:szCs w:val="22"/>
        </w:rPr>
        <w:tab/>
        <w:t>Evaluation of Contemporary HR Practices ………….. 5</w:t>
      </w:r>
    </w:p>
    <w:p w14:paraId="6485F6BA" w14:textId="4E38AD84" w:rsidR="00864324" w:rsidRPr="00331213" w:rsidRDefault="00145A30" w:rsidP="00864324">
      <w:pPr>
        <w:rPr>
          <w:rFonts w:ascii="Arial" w:hAnsi="Arial" w:cs="Arial"/>
          <w:sz w:val="22"/>
          <w:szCs w:val="22"/>
        </w:rPr>
      </w:pPr>
      <w:r w:rsidRPr="00331213">
        <w:rPr>
          <w:rFonts w:ascii="Arial" w:hAnsi="Arial" w:cs="Arial"/>
          <w:sz w:val="22"/>
          <w:szCs w:val="22"/>
        </w:rPr>
        <w:t xml:space="preserve">        </w:t>
      </w:r>
      <w:r w:rsidR="00864324" w:rsidRPr="00331213">
        <w:rPr>
          <w:rFonts w:ascii="Arial" w:hAnsi="Arial" w:cs="Arial"/>
          <w:sz w:val="22"/>
          <w:szCs w:val="22"/>
        </w:rPr>
        <w:t> 3.1 Addressing Technological Advancement ………….. 5</w:t>
      </w:r>
    </w:p>
    <w:p w14:paraId="025721AE" w14:textId="7FD4BEBB" w:rsidR="00864324" w:rsidRPr="00331213" w:rsidRDefault="00864324" w:rsidP="00864324">
      <w:pPr>
        <w:rPr>
          <w:rFonts w:ascii="Arial" w:hAnsi="Arial" w:cs="Arial"/>
          <w:sz w:val="22"/>
          <w:szCs w:val="22"/>
        </w:rPr>
      </w:pPr>
      <w:r w:rsidRPr="00331213">
        <w:rPr>
          <w:rFonts w:ascii="Arial" w:hAnsi="Arial" w:cs="Arial"/>
          <w:sz w:val="22"/>
          <w:szCs w:val="22"/>
        </w:rPr>
        <w:t> </w:t>
      </w:r>
      <w:r w:rsidR="00145A30" w:rsidRPr="00331213">
        <w:rPr>
          <w:rFonts w:ascii="Arial" w:hAnsi="Arial" w:cs="Arial"/>
          <w:sz w:val="22"/>
          <w:szCs w:val="22"/>
        </w:rPr>
        <w:t xml:space="preserve">        </w:t>
      </w:r>
      <w:r w:rsidRPr="00331213">
        <w:rPr>
          <w:rFonts w:ascii="Arial" w:hAnsi="Arial" w:cs="Arial"/>
          <w:sz w:val="22"/>
          <w:szCs w:val="22"/>
        </w:rPr>
        <w:t>3.2 Addressing Talent Acquisition and Retention …… 6</w:t>
      </w:r>
    </w:p>
    <w:p w14:paraId="71C45EA9" w14:textId="270B0D12" w:rsidR="00864324" w:rsidRPr="00331213" w:rsidRDefault="00864324" w:rsidP="00864324">
      <w:pPr>
        <w:rPr>
          <w:rFonts w:ascii="Arial" w:hAnsi="Arial" w:cs="Arial"/>
          <w:sz w:val="22"/>
          <w:szCs w:val="22"/>
        </w:rPr>
      </w:pPr>
      <w:r w:rsidRPr="00331213">
        <w:rPr>
          <w:rFonts w:ascii="Arial" w:hAnsi="Arial" w:cs="Arial"/>
          <w:sz w:val="22"/>
          <w:szCs w:val="22"/>
        </w:rPr>
        <w:t> </w:t>
      </w:r>
      <w:r w:rsidR="00145A30" w:rsidRPr="00331213">
        <w:rPr>
          <w:rFonts w:ascii="Arial" w:hAnsi="Arial" w:cs="Arial"/>
          <w:sz w:val="22"/>
          <w:szCs w:val="22"/>
        </w:rPr>
        <w:t xml:space="preserve">        </w:t>
      </w:r>
      <w:r w:rsidRPr="00331213">
        <w:rPr>
          <w:rFonts w:ascii="Arial" w:hAnsi="Arial" w:cs="Arial"/>
          <w:sz w:val="22"/>
          <w:szCs w:val="22"/>
        </w:rPr>
        <w:t>3.3 Addressing Diversity, Equity and Inclusion ………. 7</w:t>
      </w:r>
    </w:p>
    <w:p w14:paraId="00841E58" w14:textId="224667EE" w:rsidR="00864324" w:rsidRPr="00331213" w:rsidRDefault="00145A30" w:rsidP="00864324">
      <w:pPr>
        <w:rPr>
          <w:rFonts w:ascii="Arial" w:hAnsi="Arial" w:cs="Arial"/>
          <w:sz w:val="22"/>
          <w:szCs w:val="22"/>
        </w:rPr>
      </w:pPr>
      <w:r w:rsidRPr="00331213">
        <w:rPr>
          <w:rFonts w:ascii="Arial" w:hAnsi="Arial" w:cs="Arial"/>
          <w:sz w:val="22"/>
          <w:szCs w:val="22"/>
        </w:rPr>
        <w:t xml:space="preserve">            </w:t>
      </w:r>
      <w:r w:rsidR="00864324" w:rsidRPr="00331213">
        <w:rPr>
          <w:rFonts w:ascii="Arial" w:hAnsi="Arial" w:cs="Arial"/>
          <w:sz w:val="22"/>
          <w:szCs w:val="22"/>
        </w:rPr>
        <w:t>4.</w:t>
      </w:r>
      <w:r w:rsidRPr="00331213">
        <w:rPr>
          <w:rFonts w:ascii="Arial" w:hAnsi="Arial" w:cs="Arial"/>
          <w:sz w:val="22"/>
          <w:szCs w:val="22"/>
        </w:rPr>
        <w:t xml:space="preserve">         </w:t>
      </w:r>
      <w:r w:rsidR="00864324" w:rsidRPr="00331213">
        <w:rPr>
          <w:rFonts w:ascii="Arial" w:hAnsi="Arial" w:cs="Arial"/>
          <w:sz w:val="22"/>
          <w:szCs w:val="22"/>
        </w:rPr>
        <w:t>Alignment of HR Issues, Practices and Implementation at Tesco ……………………………………………………….. 8</w:t>
      </w:r>
    </w:p>
    <w:p w14:paraId="678CBB6E" w14:textId="77777777" w:rsidR="00864324" w:rsidRPr="00331213" w:rsidRDefault="00864324" w:rsidP="00864324">
      <w:pPr>
        <w:rPr>
          <w:rFonts w:ascii="Arial" w:hAnsi="Arial" w:cs="Arial"/>
          <w:sz w:val="22"/>
          <w:szCs w:val="22"/>
        </w:rPr>
      </w:pPr>
      <w:r w:rsidRPr="00331213">
        <w:rPr>
          <w:rFonts w:ascii="Arial" w:hAnsi="Arial" w:cs="Arial"/>
          <w:sz w:val="22"/>
          <w:szCs w:val="22"/>
        </w:rPr>
        <w:tab/>
        <w:t>5.</w:t>
      </w:r>
      <w:r w:rsidRPr="00331213">
        <w:rPr>
          <w:rFonts w:ascii="Arial" w:hAnsi="Arial" w:cs="Arial"/>
          <w:sz w:val="22"/>
          <w:szCs w:val="22"/>
        </w:rPr>
        <w:tab/>
        <w:t>Critical Evaluation of Managerial Implementation …. 9</w:t>
      </w:r>
    </w:p>
    <w:p w14:paraId="1CFF6446" w14:textId="77777777" w:rsidR="00864324" w:rsidRPr="00331213" w:rsidRDefault="00864324" w:rsidP="00864324">
      <w:pPr>
        <w:rPr>
          <w:rFonts w:ascii="Arial" w:hAnsi="Arial" w:cs="Arial"/>
          <w:sz w:val="22"/>
          <w:szCs w:val="22"/>
        </w:rPr>
      </w:pPr>
      <w:r w:rsidRPr="00331213">
        <w:rPr>
          <w:rFonts w:ascii="Arial" w:hAnsi="Arial" w:cs="Arial"/>
          <w:sz w:val="22"/>
          <w:szCs w:val="22"/>
        </w:rPr>
        <w:tab/>
        <w:t>6.</w:t>
      </w:r>
      <w:r w:rsidRPr="00331213">
        <w:rPr>
          <w:rFonts w:ascii="Arial" w:hAnsi="Arial" w:cs="Arial"/>
          <w:sz w:val="22"/>
          <w:szCs w:val="22"/>
        </w:rPr>
        <w:tab/>
        <w:t>Strategic Integration and Long-Term Sustainability .. 10</w:t>
      </w:r>
    </w:p>
    <w:p w14:paraId="0CB6934C" w14:textId="77777777" w:rsidR="00864324" w:rsidRPr="00331213" w:rsidRDefault="00864324" w:rsidP="00864324">
      <w:pPr>
        <w:rPr>
          <w:rFonts w:ascii="Arial" w:hAnsi="Arial" w:cs="Arial"/>
          <w:sz w:val="22"/>
          <w:szCs w:val="22"/>
        </w:rPr>
      </w:pPr>
      <w:r w:rsidRPr="00331213">
        <w:rPr>
          <w:rFonts w:ascii="Arial" w:hAnsi="Arial" w:cs="Arial"/>
          <w:sz w:val="22"/>
          <w:szCs w:val="22"/>
        </w:rPr>
        <w:tab/>
        <w:t>7.</w:t>
      </w:r>
      <w:r w:rsidRPr="00331213">
        <w:rPr>
          <w:rFonts w:ascii="Arial" w:hAnsi="Arial" w:cs="Arial"/>
          <w:sz w:val="22"/>
          <w:szCs w:val="22"/>
        </w:rPr>
        <w:tab/>
        <w:t>Conclusion and Recommendations ………………….. 11</w:t>
      </w:r>
    </w:p>
    <w:p w14:paraId="7A3D3EDF" w14:textId="37882021" w:rsidR="002A015C" w:rsidRPr="00331213" w:rsidRDefault="00864324" w:rsidP="00C8337E">
      <w:pPr>
        <w:rPr>
          <w:rFonts w:ascii="Arial" w:hAnsi="Arial" w:cs="Arial"/>
          <w:sz w:val="22"/>
          <w:szCs w:val="22"/>
        </w:rPr>
      </w:pPr>
      <w:r w:rsidRPr="00331213">
        <w:rPr>
          <w:rFonts w:ascii="Arial" w:hAnsi="Arial" w:cs="Arial"/>
          <w:sz w:val="22"/>
          <w:szCs w:val="22"/>
        </w:rPr>
        <w:tab/>
        <w:t>8.</w:t>
      </w:r>
      <w:r w:rsidRPr="00331213">
        <w:rPr>
          <w:rFonts w:ascii="Arial" w:hAnsi="Arial" w:cs="Arial"/>
          <w:sz w:val="22"/>
          <w:szCs w:val="22"/>
        </w:rPr>
        <w:tab/>
        <w:t>Reference List ………………………………………….. 12</w:t>
      </w:r>
    </w:p>
    <w:p w14:paraId="4936D09E" w14:textId="77777777" w:rsidR="00C8337E" w:rsidRDefault="00C8337E" w:rsidP="00C8337E">
      <w:pPr>
        <w:rPr>
          <w:rFonts w:ascii="Arial" w:hAnsi="Arial" w:cs="Arial"/>
          <w:sz w:val="22"/>
          <w:szCs w:val="22"/>
        </w:rPr>
      </w:pPr>
    </w:p>
    <w:p w14:paraId="1EDA53DF" w14:textId="77777777" w:rsidR="00F140A6" w:rsidRDefault="00F140A6" w:rsidP="00C8337E">
      <w:pPr>
        <w:rPr>
          <w:rFonts w:ascii="Arial" w:hAnsi="Arial" w:cs="Arial"/>
          <w:sz w:val="22"/>
          <w:szCs w:val="22"/>
        </w:rPr>
      </w:pPr>
    </w:p>
    <w:p w14:paraId="2A0392B4" w14:textId="77777777" w:rsidR="00F140A6" w:rsidRDefault="00F140A6" w:rsidP="00C8337E">
      <w:pPr>
        <w:rPr>
          <w:rFonts w:ascii="Arial" w:hAnsi="Arial" w:cs="Arial"/>
          <w:sz w:val="22"/>
          <w:szCs w:val="22"/>
        </w:rPr>
      </w:pPr>
    </w:p>
    <w:p w14:paraId="6CCAD0E2" w14:textId="77777777" w:rsidR="00F140A6" w:rsidRDefault="00F140A6" w:rsidP="00C8337E">
      <w:pPr>
        <w:rPr>
          <w:rFonts w:ascii="Arial" w:hAnsi="Arial" w:cs="Arial"/>
          <w:sz w:val="22"/>
          <w:szCs w:val="22"/>
        </w:rPr>
      </w:pPr>
    </w:p>
    <w:p w14:paraId="44511592" w14:textId="77777777" w:rsidR="00F140A6" w:rsidRDefault="00F140A6" w:rsidP="00C8337E">
      <w:pPr>
        <w:rPr>
          <w:rFonts w:ascii="Arial" w:hAnsi="Arial" w:cs="Arial"/>
          <w:sz w:val="22"/>
          <w:szCs w:val="22"/>
        </w:rPr>
      </w:pPr>
    </w:p>
    <w:p w14:paraId="47A14EC9" w14:textId="77777777" w:rsidR="00F140A6" w:rsidRDefault="00F140A6" w:rsidP="00C8337E">
      <w:pPr>
        <w:rPr>
          <w:rFonts w:ascii="Arial" w:hAnsi="Arial" w:cs="Arial"/>
          <w:sz w:val="22"/>
          <w:szCs w:val="22"/>
        </w:rPr>
      </w:pPr>
    </w:p>
    <w:p w14:paraId="5E637BC9" w14:textId="77777777" w:rsidR="00F140A6" w:rsidRDefault="00F140A6" w:rsidP="00C8337E">
      <w:pPr>
        <w:rPr>
          <w:rFonts w:ascii="Arial" w:hAnsi="Arial" w:cs="Arial"/>
          <w:sz w:val="22"/>
          <w:szCs w:val="22"/>
        </w:rPr>
      </w:pPr>
    </w:p>
    <w:p w14:paraId="2FDA59B2" w14:textId="77777777" w:rsidR="00F140A6" w:rsidRDefault="00F140A6" w:rsidP="00C8337E">
      <w:pPr>
        <w:rPr>
          <w:rFonts w:ascii="Arial" w:hAnsi="Arial" w:cs="Arial"/>
          <w:sz w:val="22"/>
          <w:szCs w:val="22"/>
        </w:rPr>
      </w:pPr>
    </w:p>
    <w:p w14:paraId="01798D14" w14:textId="77777777" w:rsidR="00F140A6" w:rsidRDefault="00F140A6" w:rsidP="00C8337E">
      <w:pPr>
        <w:rPr>
          <w:rFonts w:ascii="Arial" w:hAnsi="Arial" w:cs="Arial"/>
          <w:sz w:val="22"/>
          <w:szCs w:val="22"/>
        </w:rPr>
      </w:pPr>
    </w:p>
    <w:p w14:paraId="5A2B4837" w14:textId="77777777" w:rsidR="00F140A6" w:rsidRDefault="00F140A6" w:rsidP="00C8337E">
      <w:pPr>
        <w:rPr>
          <w:rFonts w:ascii="Arial" w:hAnsi="Arial" w:cs="Arial"/>
          <w:sz w:val="22"/>
          <w:szCs w:val="22"/>
        </w:rPr>
      </w:pPr>
    </w:p>
    <w:p w14:paraId="0F1092A6" w14:textId="77777777" w:rsidR="00F140A6" w:rsidRDefault="00F140A6" w:rsidP="00C8337E">
      <w:pPr>
        <w:rPr>
          <w:rFonts w:ascii="Arial" w:hAnsi="Arial" w:cs="Arial"/>
          <w:sz w:val="22"/>
          <w:szCs w:val="22"/>
        </w:rPr>
      </w:pPr>
    </w:p>
    <w:p w14:paraId="08DA5A0F" w14:textId="77777777" w:rsidR="00F140A6" w:rsidRPr="00331213" w:rsidRDefault="00F140A6" w:rsidP="00C8337E">
      <w:pPr>
        <w:rPr>
          <w:rFonts w:ascii="Arial" w:hAnsi="Arial" w:cs="Arial"/>
          <w:sz w:val="22"/>
          <w:szCs w:val="22"/>
        </w:rPr>
      </w:pPr>
    </w:p>
    <w:p w14:paraId="56EE210D" w14:textId="4DE704A2" w:rsidR="00C8337E" w:rsidRPr="00F140A6" w:rsidRDefault="00C8337E" w:rsidP="00C8337E">
      <w:pPr>
        <w:rPr>
          <w:rFonts w:ascii="Arial" w:hAnsi="Arial" w:cs="Arial"/>
          <w:b/>
          <w:bCs/>
          <w:sz w:val="22"/>
          <w:szCs w:val="22"/>
        </w:rPr>
      </w:pPr>
      <w:r w:rsidRPr="00F140A6">
        <w:rPr>
          <w:rFonts w:ascii="Arial" w:hAnsi="Arial" w:cs="Arial"/>
          <w:b/>
          <w:bCs/>
          <w:sz w:val="22"/>
          <w:szCs w:val="22"/>
        </w:rPr>
        <w:lastRenderedPageBreak/>
        <w:t xml:space="preserve">Introduction </w:t>
      </w:r>
    </w:p>
    <w:p w14:paraId="0876DFE5" w14:textId="77777777" w:rsidR="00C8337E" w:rsidRPr="00331213" w:rsidRDefault="00C8337E" w:rsidP="00C8337E">
      <w:pPr>
        <w:rPr>
          <w:rFonts w:ascii="Arial" w:hAnsi="Arial" w:cs="Arial"/>
          <w:sz w:val="22"/>
          <w:szCs w:val="22"/>
        </w:rPr>
      </w:pPr>
    </w:p>
    <w:p w14:paraId="3D56A524" w14:textId="5EE35E50" w:rsidR="00EC14D7" w:rsidRPr="00EC14D7" w:rsidRDefault="00EC14D7" w:rsidP="00EC14D7">
      <w:pPr>
        <w:rPr>
          <w:rStyle w:val="s1"/>
          <w:rFonts w:ascii="Arial" w:eastAsiaTheme="minorEastAsia" w:hAnsi="Arial" w:cs="Arial"/>
          <w:kern w:val="0"/>
          <w:sz w:val="22"/>
          <w:szCs w:val="22"/>
          <w:lang w:eastAsia="ro-RO"/>
          <w14:ligatures w14:val="none"/>
        </w:rPr>
      </w:pPr>
      <w:r w:rsidRPr="00EC14D7">
        <w:rPr>
          <w:rStyle w:val="s1"/>
          <w:rFonts w:ascii="Arial" w:eastAsiaTheme="minorEastAsia" w:hAnsi="Arial" w:cs="Arial"/>
          <w:kern w:val="0"/>
          <w:sz w:val="22"/>
          <w:szCs w:val="22"/>
          <w:lang w:eastAsia="ro-RO"/>
          <w14:ligatures w14:val="none"/>
        </w:rPr>
        <w:t>Human Resource Management is key in helping organizations adapt to technology, economic, and social changes (Armstrong &amp; Taylor, 2020). The United Kingdom’s retail industry is significantly changed due to digitalization, increased competition in the labor market, and the need for equality in the workplace. These developments have created unique challenges for organizations such as Tesco plc, which is a leading retailer in the United Kingdom.</w:t>
      </w:r>
    </w:p>
    <w:p w14:paraId="69A2DB2D" w14:textId="400A1C10" w:rsidR="007C1B11" w:rsidRPr="00EC14D7" w:rsidRDefault="00EC14D7" w:rsidP="00EC14D7">
      <w:pPr>
        <w:rPr>
          <w:rFonts w:ascii="Arial" w:hAnsi="Arial" w:cs="Arial"/>
          <w:sz w:val="22"/>
          <w:szCs w:val="22"/>
        </w:rPr>
      </w:pPr>
      <w:r w:rsidRPr="00EC14D7">
        <w:rPr>
          <w:rStyle w:val="s1"/>
          <w:rFonts w:ascii="Arial" w:eastAsiaTheme="minorEastAsia" w:hAnsi="Arial" w:cs="Arial"/>
          <w:kern w:val="0"/>
          <w:sz w:val="22"/>
          <w:szCs w:val="22"/>
          <w:lang w:eastAsia="ro-RO"/>
          <w14:ligatures w14:val="none"/>
        </w:rPr>
        <w:t>The report has identified three major challenges for Tesco plc in relation to human resource management. They include technology advancement, attracting and retaining the best human resources, and diversity, equity, and inclusion. It evaluates the current human resource practices and how they can be effectively implemented.</w:t>
      </w:r>
    </w:p>
    <w:p w14:paraId="2481BD75" w14:textId="77777777" w:rsidR="00EC14D7" w:rsidRDefault="00EC14D7" w:rsidP="00C8337E">
      <w:pPr>
        <w:rPr>
          <w:rFonts w:ascii="Arial" w:hAnsi="Arial" w:cs="Arial"/>
          <w:sz w:val="22"/>
          <w:szCs w:val="22"/>
        </w:rPr>
      </w:pPr>
    </w:p>
    <w:p w14:paraId="55F82299" w14:textId="204E09C6" w:rsidR="00C8337E" w:rsidRPr="00331213" w:rsidRDefault="00C8337E" w:rsidP="00C8337E">
      <w:pPr>
        <w:rPr>
          <w:rFonts w:ascii="Arial" w:hAnsi="Arial" w:cs="Arial"/>
          <w:sz w:val="22"/>
          <w:szCs w:val="22"/>
        </w:rPr>
      </w:pPr>
      <w:r w:rsidRPr="00331213">
        <w:rPr>
          <w:rFonts w:ascii="Arial" w:hAnsi="Arial" w:cs="Arial"/>
          <w:sz w:val="22"/>
          <w:szCs w:val="22"/>
        </w:rPr>
        <w:t xml:space="preserve">1. Explanation of Specific HR Factors </w:t>
      </w:r>
    </w:p>
    <w:p w14:paraId="58E5D7A0" w14:textId="28E66F3A" w:rsidR="00C8337E" w:rsidRPr="00331213" w:rsidRDefault="00C8337E" w:rsidP="00C8337E">
      <w:pPr>
        <w:rPr>
          <w:rFonts w:ascii="Arial" w:hAnsi="Arial" w:cs="Arial"/>
          <w:sz w:val="22"/>
          <w:szCs w:val="22"/>
        </w:rPr>
      </w:pPr>
      <w:r w:rsidRPr="00331213">
        <w:rPr>
          <w:rFonts w:ascii="Arial" w:hAnsi="Arial" w:cs="Arial"/>
          <w:sz w:val="22"/>
          <w:szCs w:val="22"/>
        </w:rPr>
        <w:t>1.1 Meeting Technological Advancement</w:t>
      </w:r>
    </w:p>
    <w:p w14:paraId="37F06664" w14:textId="14FFBB7B" w:rsidR="00705E95" w:rsidRPr="00705E95" w:rsidRDefault="00145A30" w:rsidP="003F2580">
      <w:pPr>
        <w:rPr>
          <w:rFonts w:ascii="Arial" w:hAnsi="Arial" w:cs="Arial"/>
          <w:sz w:val="22"/>
          <w:szCs w:val="22"/>
        </w:rPr>
      </w:pPr>
      <w:r w:rsidRPr="00331213">
        <w:rPr>
          <w:rFonts w:ascii="Arial" w:hAnsi="Arial" w:cs="Arial"/>
          <w:sz w:val="22"/>
          <w:szCs w:val="22"/>
        </w:rPr>
        <w:t>Technological advancement is one of the defining factors in the modern retail market. This is particularly evident in Tesco, which has expanded its online grocery services, introduced self-checkout systems, and invested in automated systems for managing stock. These factors necessitate that employees get used to new technological systems. Strategic HRM theory highlights the importance of matching employee skills with organizational strategy (Boxall &amp; Purcell, 2016). In this respect, technological advancement in the modern market places a significant HR obligation on ensuring that employees have technological skills.</w:t>
      </w:r>
    </w:p>
    <w:p w14:paraId="3555C502" w14:textId="0C9E9228" w:rsidR="00EC14D7" w:rsidRPr="00EC14D7" w:rsidRDefault="00EC14D7" w:rsidP="00EC14D7">
      <w:pPr>
        <w:rPr>
          <w:rFonts w:ascii="Arial" w:eastAsia="Times New Roman" w:hAnsi="Arial" w:cs="Arial"/>
          <w:color w:val="111111"/>
          <w:kern w:val="0"/>
          <w:sz w:val="22"/>
          <w:szCs w:val="22"/>
          <w:lang w:eastAsia="ro-RO"/>
          <w14:ligatures w14:val="none"/>
        </w:rPr>
      </w:pPr>
      <w:r w:rsidRPr="00EC14D7">
        <w:rPr>
          <w:rFonts w:ascii="Arial" w:eastAsia="Times New Roman" w:hAnsi="Arial" w:cs="Arial"/>
          <w:color w:val="111111"/>
          <w:kern w:val="0"/>
          <w:sz w:val="22"/>
          <w:szCs w:val="22"/>
          <w:lang w:eastAsia="ro-RO"/>
          <w14:ligatures w14:val="none"/>
        </w:rPr>
        <w:t>Workforce reskilling has thus become the need of the hour as technology systems increasingly replace human interventions. Training and development thus emerge as a vital factor for the continued productivity and competitiveness of the workforce (Noe et al., 2017).</w:t>
      </w:r>
    </w:p>
    <w:p w14:paraId="6EA27D27" w14:textId="36739EC4" w:rsidR="00A67F17" w:rsidRDefault="00EC14D7" w:rsidP="00EC14D7">
      <w:pPr>
        <w:rPr>
          <w:rFonts w:ascii="Arial" w:eastAsia="Times New Roman" w:hAnsi="Arial" w:cs="Arial"/>
          <w:color w:val="111111"/>
          <w:kern w:val="0"/>
          <w:sz w:val="22"/>
          <w:szCs w:val="22"/>
          <w:lang w:eastAsia="ro-RO"/>
          <w14:ligatures w14:val="none"/>
        </w:rPr>
      </w:pPr>
      <w:r w:rsidRPr="00EC14D7">
        <w:rPr>
          <w:rFonts w:ascii="Arial" w:eastAsia="Times New Roman" w:hAnsi="Arial" w:cs="Arial"/>
          <w:color w:val="111111"/>
          <w:kern w:val="0"/>
          <w:sz w:val="22"/>
          <w:szCs w:val="22"/>
          <w:lang w:eastAsia="ro-RO"/>
          <w14:ligatures w14:val="none"/>
        </w:rPr>
        <w:t>In cases where the workforce perceives that the technological system compromises their job security without providing adequate training and development support, the response is expected to be negative. The theory of psychological contracts suggests that the workforce expects the organization to invest in training and development in return for commitment and productivity (Rousseau, 1995).</w:t>
      </w:r>
    </w:p>
    <w:p w14:paraId="22B06652" w14:textId="77777777" w:rsidR="00EC14D7" w:rsidRPr="00331213" w:rsidRDefault="00EC14D7" w:rsidP="00EC14D7">
      <w:pPr>
        <w:rPr>
          <w:rFonts w:ascii="Arial" w:hAnsi="Arial" w:cs="Arial"/>
          <w:sz w:val="22"/>
          <w:szCs w:val="22"/>
        </w:rPr>
      </w:pPr>
    </w:p>
    <w:p w14:paraId="705AE324" w14:textId="015C6883" w:rsidR="00C8337E" w:rsidRPr="00331213" w:rsidRDefault="00C8337E" w:rsidP="00C8337E">
      <w:pPr>
        <w:rPr>
          <w:rFonts w:ascii="Arial" w:hAnsi="Arial" w:cs="Arial"/>
          <w:sz w:val="22"/>
          <w:szCs w:val="22"/>
        </w:rPr>
      </w:pPr>
      <w:r w:rsidRPr="00331213">
        <w:rPr>
          <w:rFonts w:ascii="Arial" w:hAnsi="Arial" w:cs="Arial"/>
          <w:sz w:val="22"/>
          <w:szCs w:val="22"/>
        </w:rPr>
        <w:t>1.2 Talent Acquisition and Retention</w:t>
      </w:r>
    </w:p>
    <w:p w14:paraId="01C06B7D" w14:textId="42C0828F" w:rsidR="00AC30E3" w:rsidRPr="00331213" w:rsidRDefault="00AC30E3" w:rsidP="00AC30E3">
      <w:pPr>
        <w:rPr>
          <w:rFonts w:ascii="Arial" w:hAnsi="Arial" w:cs="Arial"/>
          <w:sz w:val="22"/>
          <w:szCs w:val="22"/>
        </w:rPr>
      </w:pPr>
      <w:r w:rsidRPr="00331213">
        <w:rPr>
          <w:rFonts w:ascii="Arial" w:hAnsi="Arial" w:cs="Arial"/>
          <w:sz w:val="22"/>
          <w:szCs w:val="22"/>
        </w:rPr>
        <w:t>The UK retail industry has high employee turnover and competition for human resources. Moreover, Tesco has to compete with other major retail organizations such as Sainsbury’s and Asda. As such, it becomes imperative for the company to address human resource issues as a priority.</w:t>
      </w:r>
    </w:p>
    <w:p w14:paraId="62DE7C33" w14:textId="62BC753F" w:rsidR="00AC30E3" w:rsidRPr="00331213" w:rsidRDefault="00AC30E3" w:rsidP="00AC30E3">
      <w:pPr>
        <w:rPr>
          <w:rFonts w:ascii="Arial" w:hAnsi="Arial" w:cs="Arial"/>
          <w:sz w:val="22"/>
          <w:szCs w:val="22"/>
        </w:rPr>
      </w:pPr>
      <w:r w:rsidRPr="00331213">
        <w:rPr>
          <w:rFonts w:ascii="Arial" w:hAnsi="Arial" w:cs="Arial"/>
          <w:sz w:val="22"/>
          <w:szCs w:val="22"/>
        </w:rPr>
        <w:t xml:space="preserve">Employer branding is an essential driver of human resource acquisition. A robust employer value proposition (EVP) makes an organization more attractive to potential employees. The EVP </w:t>
      </w:r>
      <w:r w:rsidRPr="00331213">
        <w:rPr>
          <w:rFonts w:ascii="Arial" w:hAnsi="Arial" w:cs="Arial"/>
          <w:sz w:val="22"/>
          <w:szCs w:val="22"/>
        </w:rPr>
        <w:lastRenderedPageBreak/>
        <w:t>impacts employee decision-making (Backhaus &amp; Tikoo, 2004). Nowadays, employees are more inclined to seek organizations that provide opportunities for growth, security, and meaningful jobs. If Tesco does not differentiate itself as a better employer than other organizations in these areas, it will be at risk of losing talented employees to other organizations.</w:t>
      </w:r>
    </w:p>
    <w:p w14:paraId="5CB26300" w14:textId="5CDFCE70" w:rsidR="00834251" w:rsidRPr="00834251" w:rsidRDefault="00B24112" w:rsidP="00834251">
      <w:pPr>
        <w:rPr>
          <w:rFonts w:ascii="Arial" w:hAnsi="Arial" w:cs="Arial"/>
          <w:sz w:val="22"/>
          <w:szCs w:val="22"/>
        </w:rPr>
      </w:pPr>
      <w:r w:rsidRPr="00B24112">
        <w:rPr>
          <w:rFonts w:ascii="Arial" w:hAnsi="Arial" w:cs="Arial"/>
          <w:sz w:val="22"/>
          <w:szCs w:val="22"/>
        </w:rPr>
        <w:t>The motivation theory is used to examine the factors affecting the retention of employees in Tesco. Herzberg’s Two-Factor Theory states that intrinsic factors such as recognition, growth opportunity, and achievement are major contributors to the satisfaction of employees. Extrinsic factors such as salary and working conditions are considered hygiene factors (Herzberg, Mausner, &amp; Snyderman, 1959).</w:t>
      </w:r>
      <w:r w:rsidR="00AC30E3" w:rsidRPr="00331213">
        <w:rPr>
          <w:rFonts w:ascii="Arial" w:hAnsi="Arial" w:cs="Arial"/>
          <w:sz w:val="22"/>
          <w:szCs w:val="22"/>
        </w:rPr>
        <w:t>Employee engagement also plays an essential role in employee retention. Engaged employees are more productive and tend to have lower employee turnover intentions (MacLeod &amp; Clarke, 2009). In the retail industry, where employee interaction with clients is paramount, employee disengagement will be detrimental to the company.</w:t>
      </w:r>
    </w:p>
    <w:p w14:paraId="428CD363" w14:textId="77777777" w:rsidR="00834251" w:rsidRPr="00834251" w:rsidRDefault="00834251" w:rsidP="00834251">
      <w:pPr>
        <w:spacing w:after="0" w:line="240" w:lineRule="auto"/>
        <w:rPr>
          <w:rFonts w:ascii="Arial" w:eastAsia="Times New Roman" w:hAnsi="Arial" w:cs="Arial"/>
          <w:color w:val="111111"/>
          <w:kern w:val="0"/>
          <w:sz w:val="22"/>
          <w:szCs w:val="22"/>
          <w:lang w:eastAsia="ro-RO"/>
          <w14:ligatures w14:val="none"/>
        </w:rPr>
      </w:pPr>
      <w:r w:rsidRPr="00834251">
        <w:rPr>
          <w:rFonts w:ascii="Arial" w:eastAsia="Times New Roman" w:hAnsi="Arial" w:cs="Arial"/>
          <w:color w:val="111111"/>
          <w:kern w:val="0"/>
          <w:sz w:val="22"/>
          <w:szCs w:val="22"/>
          <w:lang w:eastAsia="ro-RO"/>
          <w14:ligatures w14:val="none"/>
        </w:rPr>
        <w:t>Changing workforce expectations, particularly among younger employees, have increased demand for flexibility and work–life balance, although this can be challenging within retail shift structures.</w:t>
      </w:r>
    </w:p>
    <w:p w14:paraId="6353378C" w14:textId="77777777" w:rsidR="00C8337E" w:rsidRPr="00331213" w:rsidRDefault="00C8337E" w:rsidP="00C8337E">
      <w:pPr>
        <w:rPr>
          <w:rFonts w:ascii="Arial" w:hAnsi="Arial" w:cs="Arial"/>
          <w:sz w:val="22"/>
          <w:szCs w:val="22"/>
        </w:rPr>
      </w:pPr>
    </w:p>
    <w:p w14:paraId="73E014E8" w14:textId="723ABFC3" w:rsidR="00C8337E" w:rsidRPr="00331213" w:rsidRDefault="00C8337E" w:rsidP="00C8337E">
      <w:pPr>
        <w:rPr>
          <w:rFonts w:ascii="Arial" w:hAnsi="Arial" w:cs="Arial"/>
          <w:sz w:val="22"/>
          <w:szCs w:val="22"/>
        </w:rPr>
      </w:pPr>
      <w:r w:rsidRPr="00331213">
        <w:rPr>
          <w:rFonts w:ascii="Arial" w:hAnsi="Arial" w:cs="Arial"/>
          <w:sz w:val="22"/>
          <w:szCs w:val="22"/>
        </w:rPr>
        <w:t>1.3 Diversity, Equity and Inclusion (DEI)</w:t>
      </w:r>
    </w:p>
    <w:p w14:paraId="4307F142" w14:textId="1DD17AAE" w:rsidR="00B24112" w:rsidRPr="00B24112" w:rsidRDefault="00B24112" w:rsidP="00B24112">
      <w:pPr>
        <w:rPr>
          <w:rFonts w:ascii="Arial" w:hAnsi="Arial" w:cs="Arial"/>
          <w:sz w:val="22"/>
          <w:szCs w:val="22"/>
        </w:rPr>
      </w:pPr>
      <w:r w:rsidRPr="00B24112">
        <w:rPr>
          <w:rFonts w:ascii="Arial" w:hAnsi="Arial" w:cs="Arial"/>
          <w:sz w:val="22"/>
          <w:szCs w:val="22"/>
        </w:rPr>
        <w:t>Diversity, Equity, and Inclusion is not just an obligation but also an opportunity for the organization. For instance, United Kingdom-based organizations are required by the Equality Act 2010 to avoid discrimination against employees based on different characteristics. Adhering to this law is therefore vital for the organization as it seeks to avoid legal and reputational risks. On the other hand, research has shown that organizations that succeed in diversity management are more likely to benefit the business by increasing innovation and effective decision-making (Shen et al., 2009).</w:t>
      </w:r>
    </w:p>
    <w:p w14:paraId="66771C15" w14:textId="22BF3E9B" w:rsidR="00C8337E" w:rsidRDefault="00B24112" w:rsidP="00B24112">
      <w:pPr>
        <w:rPr>
          <w:rFonts w:ascii="Arial" w:hAnsi="Arial" w:cs="Arial"/>
          <w:sz w:val="22"/>
          <w:szCs w:val="22"/>
        </w:rPr>
      </w:pPr>
      <w:r w:rsidRPr="00B24112">
        <w:rPr>
          <w:rFonts w:ascii="Arial" w:hAnsi="Arial" w:cs="Arial"/>
          <w:sz w:val="22"/>
          <w:szCs w:val="22"/>
        </w:rPr>
        <w:t>In conclusion, the management of diversity, equity, and inclusion in Tesco involves legal requirements, representation, the development of an inclusive culture, and equitable growth opportunities.</w:t>
      </w:r>
    </w:p>
    <w:p w14:paraId="5308E8A1" w14:textId="77777777" w:rsidR="00B24112" w:rsidRPr="00331213" w:rsidRDefault="00B24112" w:rsidP="00B24112">
      <w:pPr>
        <w:rPr>
          <w:rFonts w:ascii="Arial" w:hAnsi="Arial" w:cs="Arial"/>
          <w:sz w:val="22"/>
          <w:szCs w:val="22"/>
        </w:rPr>
      </w:pPr>
    </w:p>
    <w:p w14:paraId="1C68ADAD" w14:textId="74BA4302" w:rsidR="00C8337E" w:rsidRPr="00F140A6" w:rsidRDefault="00C8337E" w:rsidP="00C8337E">
      <w:pPr>
        <w:rPr>
          <w:rFonts w:ascii="Arial" w:hAnsi="Arial" w:cs="Arial"/>
          <w:b/>
          <w:bCs/>
          <w:sz w:val="22"/>
          <w:szCs w:val="22"/>
        </w:rPr>
      </w:pPr>
      <w:r w:rsidRPr="00F140A6">
        <w:rPr>
          <w:rFonts w:ascii="Arial" w:hAnsi="Arial" w:cs="Arial"/>
          <w:b/>
          <w:bCs/>
          <w:sz w:val="22"/>
          <w:szCs w:val="22"/>
        </w:rPr>
        <w:t xml:space="preserve">2. Evaluation of Contemporary HR Practices </w:t>
      </w:r>
    </w:p>
    <w:p w14:paraId="5CC48E16" w14:textId="2566990A" w:rsidR="00C8337E" w:rsidRPr="00331213" w:rsidRDefault="00C8337E" w:rsidP="00C8337E">
      <w:pPr>
        <w:rPr>
          <w:rFonts w:ascii="Arial" w:hAnsi="Arial" w:cs="Arial"/>
          <w:sz w:val="22"/>
          <w:szCs w:val="22"/>
        </w:rPr>
      </w:pPr>
      <w:r w:rsidRPr="00331213">
        <w:rPr>
          <w:rFonts w:ascii="Arial" w:hAnsi="Arial" w:cs="Arial"/>
          <w:sz w:val="22"/>
          <w:szCs w:val="22"/>
        </w:rPr>
        <w:t>2.1 Addressing Technological Advancement</w:t>
      </w:r>
    </w:p>
    <w:p w14:paraId="3A92913C" w14:textId="34BC8982" w:rsidR="00AC30E3" w:rsidRPr="00331213" w:rsidRDefault="00AC30E3" w:rsidP="00AC30E3">
      <w:pPr>
        <w:rPr>
          <w:rFonts w:ascii="Arial" w:hAnsi="Arial" w:cs="Arial"/>
          <w:sz w:val="22"/>
          <w:szCs w:val="22"/>
        </w:rPr>
      </w:pPr>
      <w:r w:rsidRPr="00331213">
        <w:rPr>
          <w:rFonts w:ascii="Arial" w:hAnsi="Arial" w:cs="Arial"/>
          <w:sz w:val="22"/>
          <w:szCs w:val="22"/>
        </w:rPr>
        <w:t>Digital learning platforms represent one of the modern approaches to reskilling employees. E-learning and blended learning approaches can facilitate training in various store locations, thus minimizing logistical expenses (Noe et al., 2017).</w:t>
      </w:r>
    </w:p>
    <w:p w14:paraId="06212440" w14:textId="2927AA7A" w:rsidR="00C8337E" w:rsidRPr="00331213" w:rsidRDefault="00AC30E3" w:rsidP="00C8337E">
      <w:pPr>
        <w:rPr>
          <w:rFonts w:ascii="Arial" w:hAnsi="Arial" w:cs="Arial"/>
          <w:sz w:val="22"/>
          <w:szCs w:val="22"/>
        </w:rPr>
      </w:pPr>
      <w:r w:rsidRPr="00331213">
        <w:rPr>
          <w:rFonts w:ascii="Arial" w:hAnsi="Arial" w:cs="Arial"/>
          <w:sz w:val="22"/>
          <w:szCs w:val="22"/>
        </w:rPr>
        <w:t>Human resource analytics form one of the foundations for evidence-based human resource planning. Through the analysis of turnover rates, performance, and training, human resources can identify gaps and forecast future requirements (CIPD, 2024). This helps to achieve a better fit between people management and organizational aims.</w:t>
      </w:r>
    </w:p>
    <w:p w14:paraId="620DF750" w14:textId="59B0B510" w:rsidR="00C8337E" w:rsidRPr="00331213" w:rsidRDefault="00C8337E" w:rsidP="00C8337E">
      <w:pPr>
        <w:rPr>
          <w:rFonts w:ascii="Arial" w:hAnsi="Arial" w:cs="Arial"/>
          <w:sz w:val="22"/>
          <w:szCs w:val="22"/>
        </w:rPr>
      </w:pPr>
      <w:r w:rsidRPr="00331213">
        <w:rPr>
          <w:rFonts w:ascii="Arial" w:hAnsi="Arial" w:cs="Arial"/>
          <w:sz w:val="22"/>
          <w:szCs w:val="22"/>
        </w:rPr>
        <w:t>2.2 Addressing Talent Acquisition and Retention</w:t>
      </w:r>
    </w:p>
    <w:p w14:paraId="20285562" w14:textId="77777777" w:rsidR="00AC30E3" w:rsidRPr="00331213" w:rsidRDefault="00AC30E3" w:rsidP="00AC30E3">
      <w:pPr>
        <w:rPr>
          <w:rFonts w:ascii="Arial" w:hAnsi="Arial" w:cs="Arial"/>
          <w:sz w:val="22"/>
          <w:szCs w:val="22"/>
        </w:rPr>
      </w:pPr>
      <w:r w:rsidRPr="00331213">
        <w:rPr>
          <w:rFonts w:ascii="Arial" w:hAnsi="Arial" w:cs="Arial"/>
          <w:sz w:val="22"/>
          <w:szCs w:val="22"/>
        </w:rPr>
        <w:lastRenderedPageBreak/>
        <w:t>Structured recruitment processes have been shown to improve the fairness and predictive validity of selection decisions (Armstrong &amp; Taylor, 2020).</w:t>
      </w:r>
    </w:p>
    <w:p w14:paraId="46606439" w14:textId="77777777" w:rsidR="00AC30E3" w:rsidRPr="00331213" w:rsidRDefault="00AC30E3" w:rsidP="00AC30E3">
      <w:pPr>
        <w:rPr>
          <w:rFonts w:ascii="Arial" w:hAnsi="Arial" w:cs="Arial"/>
          <w:sz w:val="22"/>
          <w:szCs w:val="22"/>
        </w:rPr>
      </w:pPr>
      <w:r w:rsidRPr="00331213">
        <w:rPr>
          <w:rFonts w:ascii="Arial" w:hAnsi="Arial" w:cs="Arial"/>
          <w:sz w:val="22"/>
          <w:szCs w:val="22"/>
        </w:rPr>
        <w:t>Continuous performance management systems have been shown to replace traditional annual appraisal systems (Aguinis, 2019).</w:t>
      </w:r>
    </w:p>
    <w:p w14:paraId="249837AC" w14:textId="77777777" w:rsidR="00AC30E3" w:rsidRPr="00331213" w:rsidRDefault="00AC30E3" w:rsidP="00AC30E3">
      <w:pPr>
        <w:rPr>
          <w:rFonts w:ascii="Arial" w:hAnsi="Arial" w:cs="Arial"/>
          <w:sz w:val="22"/>
          <w:szCs w:val="22"/>
        </w:rPr>
      </w:pPr>
      <w:r w:rsidRPr="00331213">
        <w:rPr>
          <w:rFonts w:ascii="Arial" w:hAnsi="Arial" w:cs="Arial"/>
          <w:sz w:val="22"/>
          <w:szCs w:val="22"/>
        </w:rPr>
        <w:t>Employer branding strategies have been shown to improve the effectiveness of recruitment strategies (Backhaus &amp; Tikoo, 2004).</w:t>
      </w:r>
    </w:p>
    <w:p w14:paraId="192AF247" w14:textId="77777777" w:rsidR="00036A83" w:rsidRPr="00331213" w:rsidRDefault="00036A83" w:rsidP="00036A83">
      <w:pPr>
        <w:spacing w:after="0" w:line="240" w:lineRule="auto"/>
        <w:rPr>
          <w:rFonts w:ascii="Arial" w:eastAsia="Times New Roman" w:hAnsi="Arial" w:cs="Arial"/>
          <w:color w:val="111111"/>
          <w:kern w:val="0"/>
          <w:sz w:val="22"/>
          <w:szCs w:val="22"/>
          <w:lang w:eastAsia="ro-RO"/>
          <w14:ligatures w14:val="none"/>
        </w:rPr>
      </w:pPr>
      <w:r w:rsidRPr="00036A83">
        <w:rPr>
          <w:rFonts w:ascii="Arial" w:eastAsia="Times New Roman" w:hAnsi="Arial" w:cs="Arial"/>
          <w:color w:val="111111"/>
          <w:kern w:val="0"/>
          <w:sz w:val="22"/>
          <w:szCs w:val="22"/>
          <w:lang w:eastAsia="ro-RO"/>
          <w14:ligatures w14:val="none"/>
        </w:rPr>
        <w:t>Flexible working can improve retention, although implementation is more difficult in retail environments.</w:t>
      </w:r>
    </w:p>
    <w:p w14:paraId="23ED21D4" w14:textId="77777777" w:rsidR="00275EB6" w:rsidRPr="00036A83" w:rsidRDefault="00275EB6" w:rsidP="00036A83">
      <w:pPr>
        <w:spacing w:after="0" w:line="240" w:lineRule="auto"/>
        <w:rPr>
          <w:rFonts w:ascii="Arial" w:eastAsia="Times New Roman" w:hAnsi="Arial" w:cs="Arial"/>
          <w:color w:val="111111"/>
          <w:kern w:val="0"/>
          <w:sz w:val="22"/>
          <w:szCs w:val="22"/>
          <w:lang w:eastAsia="ro-RO"/>
          <w14:ligatures w14:val="none"/>
        </w:rPr>
      </w:pPr>
    </w:p>
    <w:p w14:paraId="797F75D5" w14:textId="77777777" w:rsidR="00C8337E" w:rsidRPr="00331213" w:rsidRDefault="00C8337E" w:rsidP="00C8337E">
      <w:pPr>
        <w:rPr>
          <w:rFonts w:ascii="Arial" w:hAnsi="Arial" w:cs="Arial"/>
          <w:sz w:val="22"/>
          <w:szCs w:val="22"/>
        </w:rPr>
      </w:pPr>
      <w:r w:rsidRPr="00331213">
        <w:rPr>
          <w:rFonts w:ascii="Arial" w:hAnsi="Arial" w:cs="Arial"/>
          <w:sz w:val="22"/>
          <w:szCs w:val="22"/>
        </w:rPr>
        <w:t>2.3 Addressing DEI</w:t>
      </w:r>
    </w:p>
    <w:p w14:paraId="29D869F6" w14:textId="77777777" w:rsidR="00C8337E" w:rsidRPr="00331213" w:rsidRDefault="00C8337E" w:rsidP="00C8337E">
      <w:pPr>
        <w:rPr>
          <w:rFonts w:ascii="Arial" w:hAnsi="Arial" w:cs="Arial"/>
          <w:sz w:val="22"/>
          <w:szCs w:val="22"/>
        </w:rPr>
      </w:pPr>
    </w:p>
    <w:p w14:paraId="75073457" w14:textId="13581699" w:rsidR="00AC30E3" w:rsidRPr="00331213" w:rsidRDefault="00AC30E3" w:rsidP="00AC30E3">
      <w:pPr>
        <w:rPr>
          <w:rFonts w:ascii="Arial" w:hAnsi="Arial" w:cs="Arial"/>
          <w:sz w:val="22"/>
          <w:szCs w:val="22"/>
        </w:rPr>
      </w:pPr>
      <w:r w:rsidRPr="00331213">
        <w:rPr>
          <w:rFonts w:ascii="Arial" w:hAnsi="Arial" w:cs="Arial"/>
          <w:sz w:val="22"/>
          <w:szCs w:val="22"/>
        </w:rPr>
        <w:t xml:space="preserve">Anonymized recruitment and the use of diverse interviewing panels can help to eliminate bias in selection decisions (Dobbin &amp; Kalev, 2016). Inclusion training can help to raise awareness of discriminatory behaviors, but to have a lasting effect, engagement is necessary. Employee voice </w:t>
      </w:r>
      <w:r w:rsidR="00B24112" w:rsidRPr="00B24112">
        <w:rPr>
          <w:rFonts w:ascii="Arial" w:hAnsi="Arial" w:cs="Arial"/>
          <w:sz w:val="22"/>
          <w:szCs w:val="22"/>
        </w:rPr>
        <w:t>The promotion of a culture of increased psychological safety and inclusiveness may be supported (Nishii &amp; Mayer, 2009). Diversity metrics aid in the monitoring and ensuring of accountability and transparency in progression and reward mechanisms. However, the credibility of DEI initiatives may not be realized unless they are integrated with the overall performance evaluation mechanisms. Cultural change requires reinforcement at all organizational levels, including leaders and managers.</w:t>
      </w:r>
    </w:p>
    <w:p w14:paraId="7BC6EFF7" w14:textId="306FE2B8" w:rsidR="004635CF" w:rsidRDefault="00AC30E3" w:rsidP="00AC30E3">
      <w:pPr>
        <w:rPr>
          <w:rFonts w:ascii="Arial" w:hAnsi="Arial" w:cs="Arial"/>
          <w:sz w:val="22"/>
          <w:szCs w:val="22"/>
        </w:rPr>
      </w:pPr>
      <w:r w:rsidRPr="00331213">
        <w:rPr>
          <w:rFonts w:ascii="Arial" w:hAnsi="Arial" w:cs="Arial"/>
          <w:sz w:val="22"/>
          <w:szCs w:val="22"/>
        </w:rPr>
        <w:t>Therefore, to ensure that HR strategies are effective in addressing the key organizational issues that Tesco is facing, it is critical to link the issues identified with HR practices and their operationalization. The discussion that follows illustrates how technological advancement, talent acquisition and retention, and DEI issues can be addressed through HR practices and their operationalization in the context of Tesco.</w:t>
      </w:r>
    </w:p>
    <w:p w14:paraId="5C202DBD" w14:textId="77777777" w:rsidR="00810FAA" w:rsidRDefault="00810FAA" w:rsidP="00AC30E3">
      <w:pPr>
        <w:rPr>
          <w:rFonts w:ascii="Arial" w:hAnsi="Arial" w:cs="Arial"/>
          <w:sz w:val="22"/>
          <w:szCs w:val="22"/>
        </w:rPr>
      </w:pPr>
    </w:p>
    <w:p w14:paraId="417DA117" w14:textId="77777777" w:rsidR="00810FAA" w:rsidRDefault="00810FAA" w:rsidP="00AC30E3">
      <w:pPr>
        <w:rPr>
          <w:rFonts w:ascii="Arial" w:hAnsi="Arial" w:cs="Arial"/>
          <w:sz w:val="22"/>
          <w:szCs w:val="22"/>
        </w:rPr>
      </w:pPr>
    </w:p>
    <w:p w14:paraId="2532DB90" w14:textId="77777777" w:rsidR="00810FAA" w:rsidRDefault="00810FAA" w:rsidP="00AC30E3">
      <w:pPr>
        <w:rPr>
          <w:rFonts w:ascii="Arial" w:hAnsi="Arial" w:cs="Arial"/>
          <w:sz w:val="22"/>
          <w:szCs w:val="22"/>
        </w:rPr>
      </w:pPr>
    </w:p>
    <w:p w14:paraId="3612EF09" w14:textId="77777777" w:rsidR="00810FAA" w:rsidRDefault="00810FAA" w:rsidP="00AC30E3">
      <w:pPr>
        <w:rPr>
          <w:rFonts w:ascii="Arial" w:hAnsi="Arial" w:cs="Arial"/>
          <w:sz w:val="22"/>
          <w:szCs w:val="22"/>
        </w:rPr>
      </w:pPr>
    </w:p>
    <w:p w14:paraId="47B25929" w14:textId="77777777" w:rsidR="00810FAA" w:rsidRDefault="00810FAA" w:rsidP="00AC30E3">
      <w:pPr>
        <w:rPr>
          <w:rFonts w:ascii="Arial" w:hAnsi="Arial" w:cs="Arial"/>
          <w:sz w:val="22"/>
          <w:szCs w:val="22"/>
        </w:rPr>
      </w:pPr>
    </w:p>
    <w:p w14:paraId="1E74FC82" w14:textId="77777777" w:rsidR="00810FAA" w:rsidRDefault="00810FAA" w:rsidP="00AC30E3">
      <w:pPr>
        <w:rPr>
          <w:rFonts w:ascii="Arial" w:hAnsi="Arial" w:cs="Arial"/>
          <w:sz w:val="22"/>
          <w:szCs w:val="22"/>
        </w:rPr>
      </w:pPr>
    </w:p>
    <w:p w14:paraId="0BABB95F" w14:textId="77777777" w:rsidR="00810FAA" w:rsidRDefault="00810FAA" w:rsidP="00AC30E3">
      <w:pPr>
        <w:rPr>
          <w:rFonts w:ascii="Arial" w:hAnsi="Arial" w:cs="Arial"/>
          <w:sz w:val="22"/>
          <w:szCs w:val="22"/>
        </w:rPr>
      </w:pPr>
    </w:p>
    <w:p w14:paraId="6DD2F914" w14:textId="77777777" w:rsidR="00810FAA" w:rsidRDefault="00810FAA" w:rsidP="00AC30E3">
      <w:pPr>
        <w:rPr>
          <w:rFonts w:ascii="Arial" w:hAnsi="Arial" w:cs="Arial"/>
          <w:sz w:val="22"/>
          <w:szCs w:val="22"/>
        </w:rPr>
      </w:pPr>
    </w:p>
    <w:p w14:paraId="0F381FE7" w14:textId="77777777" w:rsidR="00810FAA" w:rsidRDefault="00810FAA" w:rsidP="00AC30E3">
      <w:pPr>
        <w:rPr>
          <w:rFonts w:ascii="Arial" w:hAnsi="Arial" w:cs="Arial"/>
          <w:sz w:val="22"/>
          <w:szCs w:val="22"/>
        </w:rPr>
      </w:pPr>
    </w:p>
    <w:p w14:paraId="035CE2D8" w14:textId="77777777" w:rsidR="00810FAA" w:rsidRPr="00F140A6" w:rsidRDefault="00810FAA" w:rsidP="00AC30E3">
      <w:pPr>
        <w:rPr>
          <w:rFonts w:ascii="Arial" w:hAnsi="Arial" w:cs="Arial"/>
          <w:b/>
          <w:bCs/>
          <w:sz w:val="22"/>
          <w:szCs w:val="22"/>
        </w:rPr>
      </w:pPr>
    </w:p>
    <w:p w14:paraId="4F695F4A" w14:textId="77777777" w:rsidR="009B6B43" w:rsidRDefault="009B6B43" w:rsidP="009B6B43">
      <w:pPr>
        <w:rPr>
          <w:rFonts w:ascii="Arial" w:hAnsi="Arial" w:cs="Arial"/>
          <w:b/>
          <w:bCs/>
          <w:sz w:val="22"/>
          <w:szCs w:val="22"/>
        </w:rPr>
      </w:pPr>
      <w:r w:rsidRPr="00F140A6">
        <w:rPr>
          <w:rFonts w:ascii="Arial" w:hAnsi="Arial" w:cs="Arial"/>
          <w:b/>
          <w:bCs/>
          <w:sz w:val="22"/>
          <w:szCs w:val="22"/>
        </w:rPr>
        <w:lastRenderedPageBreak/>
        <w:t>Alignment of HR Issues, Practices and Implementation at Tesco</w:t>
      </w:r>
    </w:p>
    <w:p w14:paraId="6A2B22C8" w14:textId="77777777" w:rsidR="00F140A6" w:rsidRPr="00331213" w:rsidRDefault="00F140A6" w:rsidP="009B6B43">
      <w:pPr>
        <w:rPr>
          <w:rFonts w:ascii="Arial" w:hAnsi="Arial" w:cs="Arial"/>
          <w:sz w:val="22"/>
          <w:szCs w:val="22"/>
        </w:rPr>
      </w:pPr>
    </w:p>
    <w:tbl>
      <w:tblPr>
        <w:tblpPr w:leftFromText="180" w:rightFromText="180" w:vertAnchor="text" w:tblpX="-1135" w:tblpY="1"/>
        <w:tblOverlap w:val="never"/>
        <w:tblW w:w="11625" w:type="dxa"/>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253"/>
        <w:gridCol w:w="2436"/>
        <w:gridCol w:w="4936"/>
      </w:tblGrid>
      <w:tr w:rsidR="009B6B43" w:rsidRPr="00331213" w14:paraId="029182F0" w14:textId="77777777" w:rsidTr="00810FAA">
        <w:trPr>
          <w:tblHeader/>
          <w:tblCellSpacing w:w="15" w:type="dxa"/>
        </w:trPr>
        <w:tc>
          <w:tcPr>
            <w:tcW w:w="4208" w:type="dxa"/>
            <w:vAlign w:val="center"/>
            <w:hideMark/>
          </w:tcPr>
          <w:p w14:paraId="187966B0" w14:textId="77777777" w:rsidR="009B6B43" w:rsidRPr="00F140A6" w:rsidRDefault="009B6B43" w:rsidP="00810FAA">
            <w:pPr>
              <w:rPr>
                <w:rFonts w:ascii="Arial" w:hAnsi="Arial" w:cs="Arial"/>
                <w:b/>
                <w:bCs/>
                <w:sz w:val="22"/>
                <w:szCs w:val="22"/>
              </w:rPr>
            </w:pPr>
            <w:r w:rsidRPr="00F140A6">
              <w:rPr>
                <w:rFonts w:ascii="Arial" w:hAnsi="Arial" w:cs="Arial"/>
                <w:b/>
                <w:bCs/>
                <w:sz w:val="22"/>
                <w:szCs w:val="22"/>
              </w:rPr>
              <w:t>Issue Identified</w:t>
            </w:r>
          </w:p>
        </w:tc>
        <w:tc>
          <w:tcPr>
            <w:tcW w:w="2406" w:type="dxa"/>
            <w:vAlign w:val="center"/>
            <w:hideMark/>
          </w:tcPr>
          <w:p w14:paraId="04652863" w14:textId="77777777" w:rsidR="009B6B43" w:rsidRPr="00F140A6" w:rsidRDefault="009B6B43" w:rsidP="00810FAA">
            <w:pPr>
              <w:rPr>
                <w:rFonts w:ascii="Arial" w:hAnsi="Arial" w:cs="Arial"/>
                <w:b/>
                <w:bCs/>
                <w:sz w:val="22"/>
                <w:szCs w:val="22"/>
              </w:rPr>
            </w:pPr>
            <w:r w:rsidRPr="00F140A6">
              <w:rPr>
                <w:rFonts w:ascii="Arial" w:hAnsi="Arial" w:cs="Arial"/>
                <w:b/>
                <w:bCs/>
                <w:sz w:val="22"/>
                <w:szCs w:val="22"/>
              </w:rPr>
              <w:t>HR Practice</w:t>
            </w:r>
          </w:p>
        </w:tc>
        <w:tc>
          <w:tcPr>
            <w:tcW w:w="4891" w:type="dxa"/>
            <w:vAlign w:val="center"/>
            <w:hideMark/>
          </w:tcPr>
          <w:p w14:paraId="37CB0527" w14:textId="77777777" w:rsidR="009B6B43" w:rsidRPr="00F140A6" w:rsidRDefault="009B6B43" w:rsidP="00810FAA">
            <w:pPr>
              <w:rPr>
                <w:rFonts w:ascii="Arial" w:hAnsi="Arial" w:cs="Arial"/>
                <w:b/>
                <w:bCs/>
                <w:sz w:val="22"/>
                <w:szCs w:val="22"/>
              </w:rPr>
            </w:pPr>
            <w:r w:rsidRPr="00F140A6">
              <w:rPr>
                <w:rFonts w:ascii="Arial" w:hAnsi="Arial" w:cs="Arial"/>
                <w:b/>
                <w:bCs/>
                <w:sz w:val="22"/>
                <w:szCs w:val="22"/>
              </w:rPr>
              <w:t>Implementation at Tesco</w:t>
            </w:r>
          </w:p>
        </w:tc>
      </w:tr>
      <w:tr w:rsidR="009B6B43" w:rsidRPr="00331213" w14:paraId="52E7B242" w14:textId="77777777" w:rsidTr="00810FAA">
        <w:trPr>
          <w:tblCellSpacing w:w="15" w:type="dxa"/>
        </w:trPr>
        <w:tc>
          <w:tcPr>
            <w:tcW w:w="4208" w:type="dxa"/>
            <w:vAlign w:val="center"/>
            <w:hideMark/>
          </w:tcPr>
          <w:p w14:paraId="2358D588" w14:textId="3333FBCC" w:rsidR="009B6B43" w:rsidRPr="00331213" w:rsidRDefault="00AC30E3" w:rsidP="00810FAA">
            <w:pPr>
              <w:rPr>
                <w:rFonts w:ascii="Arial" w:hAnsi="Arial" w:cs="Arial"/>
                <w:sz w:val="22"/>
                <w:szCs w:val="22"/>
              </w:rPr>
            </w:pPr>
            <w:r w:rsidRPr="00331213">
              <w:rPr>
                <w:rFonts w:ascii="Arial" w:hAnsi="Arial" w:cs="Arial"/>
                <w:sz w:val="22"/>
                <w:szCs w:val="22"/>
              </w:rPr>
              <w:t>Employees at Tesco lack digital competencies that can help them use new technology, including self-scanning, automated inventory management systems, and online shopping. This results in inefficiencies in the business and resistance to new technology.</w:t>
            </w:r>
          </w:p>
        </w:tc>
        <w:tc>
          <w:tcPr>
            <w:tcW w:w="2406" w:type="dxa"/>
            <w:vAlign w:val="center"/>
            <w:hideMark/>
          </w:tcPr>
          <w:p w14:paraId="2204798F" w14:textId="7E32E0AF" w:rsidR="009B6B43" w:rsidRPr="00331213" w:rsidRDefault="0067510E" w:rsidP="00810FAA">
            <w:pPr>
              <w:rPr>
                <w:rFonts w:ascii="Arial" w:hAnsi="Arial" w:cs="Arial"/>
                <w:sz w:val="22"/>
                <w:szCs w:val="22"/>
              </w:rPr>
            </w:pPr>
            <w:r w:rsidRPr="00331213">
              <w:rPr>
                <w:rFonts w:ascii="Arial" w:hAnsi="Arial" w:cs="Arial"/>
                <w:sz w:val="22"/>
                <w:szCs w:val="22"/>
              </w:rPr>
              <w:t>Digital training initiatives and employee reskilling strategies involving e-learning and blended learning technologies.</w:t>
            </w:r>
          </w:p>
        </w:tc>
        <w:tc>
          <w:tcPr>
            <w:tcW w:w="4891" w:type="dxa"/>
            <w:vAlign w:val="center"/>
            <w:hideMark/>
          </w:tcPr>
          <w:p w14:paraId="20B82171" w14:textId="54616AEF" w:rsidR="009B6B43" w:rsidRPr="00331213" w:rsidRDefault="005F17BA" w:rsidP="00810FAA">
            <w:pPr>
              <w:rPr>
                <w:rFonts w:ascii="Arial" w:hAnsi="Arial" w:cs="Arial"/>
                <w:sz w:val="22"/>
                <w:szCs w:val="22"/>
              </w:rPr>
            </w:pPr>
            <w:r w:rsidRPr="00331213">
              <w:rPr>
                <w:rFonts w:ascii="Arial" w:hAnsi="Arial" w:cs="Arial"/>
                <w:sz w:val="22"/>
                <w:szCs w:val="22"/>
              </w:rPr>
              <w:t>Tesco Human Resources can provide structured digital training programs for employees through in-house e-learning platforms. The digital training programs can include information about self-checkout systems, digital inventory systems, and information security. The store managers can schedule the digital training programs within the employees’ shift schedules using HR analytics.</w:t>
            </w:r>
          </w:p>
        </w:tc>
      </w:tr>
      <w:tr w:rsidR="009B6B43" w:rsidRPr="00331213" w14:paraId="560F2F29" w14:textId="77777777" w:rsidTr="00810FAA">
        <w:trPr>
          <w:tblCellSpacing w:w="15" w:type="dxa"/>
        </w:trPr>
        <w:tc>
          <w:tcPr>
            <w:tcW w:w="4208" w:type="dxa"/>
            <w:vAlign w:val="center"/>
            <w:hideMark/>
          </w:tcPr>
          <w:p w14:paraId="1DAE6F63" w14:textId="63F88BDE" w:rsidR="009B6B43" w:rsidRPr="00331213" w:rsidRDefault="00AC30E3" w:rsidP="00810FAA">
            <w:pPr>
              <w:rPr>
                <w:rFonts w:ascii="Arial" w:hAnsi="Arial" w:cs="Arial"/>
                <w:sz w:val="22"/>
                <w:szCs w:val="22"/>
              </w:rPr>
            </w:pPr>
            <w:r w:rsidRPr="00331213">
              <w:rPr>
                <w:rFonts w:ascii="Arial" w:hAnsi="Arial" w:cs="Arial"/>
                <w:sz w:val="22"/>
                <w:szCs w:val="22"/>
              </w:rPr>
              <w:t>Technological changes may lead to employee anxiety about their job security, thus causing low employee engagement and resistance to change in the organization.</w:t>
            </w:r>
          </w:p>
        </w:tc>
        <w:tc>
          <w:tcPr>
            <w:tcW w:w="2406" w:type="dxa"/>
            <w:vAlign w:val="center"/>
            <w:hideMark/>
          </w:tcPr>
          <w:p w14:paraId="47F3E189" w14:textId="6C56FCC2" w:rsidR="009B6B43" w:rsidRPr="00331213" w:rsidRDefault="0067510E" w:rsidP="00810FAA">
            <w:pPr>
              <w:rPr>
                <w:rFonts w:ascii="Arial" w:hAnsi="Arial" w:cs="Arial"/>
                <w:sz w:val="22"/>
                <w:szCs w:val="22"/>
              </w:rPr>
            </w:pPr>
            <w:r w:rsidRPr="00331213">
              <w:rPr>
                <w:rFonts w:ascii="Arial" w:hAnsi="Arial" w:cs="Arial"/>
                <w:sz w:val="22"/>
                <w:szCs w:val="22"/>
              </w:rPr>
              <w:t>Change management initiatives and associated change management communications.</w:t>
            </w:r>
          </w:p>
        </w:tc>
        <w:tc>
          <w:tcPr>
            <w:tcW w:w="4891" w:type="dxa"/>
            <w:vAlign w:val="center"/>
            <w:hideMark/>
          </w:tcPr>
          <w:p w14:paraId="722023ED" w14:textId="62651650" w:rsidR="009B6B43" w:rsidRPr="00331213" w:rsidRDefault="005F17BA" w:rsidP="00810FAA">
            <w:pPr>
              <w:rPr>
                <w:rFonts w:ascii="Arial" w:hAnsi="Arial" w:cs="Arial"/>
                <w:sz w:val="22"/>
                <w:szCs w:val="22"/>
              </w:rPr>
            </w:pPr>
            <w:r w:rsidRPr="00331213">
              <w:rPr>
                <w:rFonts w:ascii="Arial" w:hAnsi="Arial" w:cs="Arial"/>
                <w:sz w:val="22"/>
                <w:szCs w:val="22"/>
              </w:rPr>
              <w:t>The managers at Tesco should also conduct team briefings to discuss the importance of the technology upgrade. Human Resources should provide change management workshops and ensure employee participation in feedback sessions before the introduction of new technology.</w:t>
            </w:r>
          </w:p>
        </w:tc>
      </w:tr>
      <w:tr w:rsidR="009B6B43" w:rsidRPr="00331213" w14:paraId="1D43B9FD" w14:textId="77777777" w:rsidTr="00810FAA">
        <w:trPr>
          <w:tblCellSpacing w:w="15" w:type="dxa"/>
        </w:trPr>
        <w:tc>
          <w:tcPr>
            <w:tcW w:w="4208" w:type="dxa"/>
            <w:vAlign w:val="center"/>
            <w:hideMark/>
          </w:tcPr>
          <w:p w14:paraId="1F911FAC" w14:textId="4823ABB1" w:rsidR="009B6B43" w:rsidRPr="00331213" w:rsidRDefault="001E6E81" w:rsidP="00810FAA">
            <w:pPr>
              <w:rPr>
                <w:rFonts w:ascii="Arial" w:hAnsi="Arial" w:cs="Arial"/>
                <w:sz w:val="22"/>
                <w:szCs w:val="22"/>
              </w:rPr>
            </w:pPr>
            <w:r w:rsidRPr="00331213">
              <w:rPr>
                <w:rFonts w:ascii="Arial" w:hAnsi="Arial" w:cs="Arial"/>
                <w:sz w:val="22"/>
                <w:szCs w:val="22"/>
              </w:rPr>
              <w:t>Higher employee turnover rates in the retail sector make it difficult for Tesco to maintain high-quality services from experienced employees.</w:t>
            </w:r>
          </w:p>
        </w:tc>
        <w:tc>
          <w:tcPr>
            <w:tcW w:w="2406" w:type="dxa"/>
            <w:vAlign w:val="center"/>
            <w:hideMark/>
          </w:tcPr>
          <w:p w14:paraId="1D78D2EB" w14:textId="481E0B5E" w:rsidR="009B6B43" w:rsidRPr="00331213" w:rsidRDefault="005F17BA" w:rsidP="00810FAA">
            <w:pPr>
              <w:rPr>
                <w:rFonts w:ascii="Arial" w:hAnsi="Arial" w:cs="Arial"/>
                <w:sz w:val="22"/>
                <w:szCs w:val="22"/>
              </w:rPr>
            </w:pPr>
            <w:r w:rsidRPr="00331213">
              <w:rPr>
                <w:rFonts w:ascii="Arial" w:hAnsi="Arial" w:cs="Arial"/>
                <w:sz w:val="22"/>
                <w:szCs w:val="22"/>
              </w:rPr>
              <w:t>Employer branding strategies and employee career development initiatives.</w:t>
            </w:r>
          </w:p>
        </w:tc>
        <w:tc>
          <w:tcPr>
            <w:tcW w:w="4891" w:type="dxa"/>
            <w:vAlign w:val="center"/>
            <w:hideMark/>
          </w:tcPr>
          <w:p w14:paraId="3F403526" w14:textId="4E2CC292" w:rsidR="009B6B43" w:rsidRPr="00331213" w:rsidRDefault="005F17BA" w:rsidP="00810FAA">
            <w:pPr>
              <w:rPr>
                <w:rFonts w:ascii="Arial" w:hAnsi="Arial" w:cs="Arial"/>
                <w:sz w:val="22"/>
                <w:szCs w:val="22"/>
              </w:rPr>
            </w:pPr>
            <w:r w:rsidRPr="00331213">
              <w:rPr>
                <w:rFonts w:ascii="Arial" w:hAnsi="Arial" w:cs="Arial"/>
                <w:sz w:val="22"/>
                <w:szCs w:val="22"/>
              </w:rPr>
              <w:t xml:space="preserve">One possible improvement for Tesco’s Employer Value Proposition is emphasizing the opportunities for internal promotions and career progression in their recruitment campaigns. Mentoring and training workshops could help employees develop their long-term career prospects within the </w:t>
            </w:r>
            <w:bookmarkStart w:id="0" w:name="_Int_XDPMfDTt"/>
            <w:r w:rsidRPr="00331213">
              <w:rPr>
                <w:rFonts w:ascii="Arial" w:hAnsi="Arial" w:cs="Arial"/>
                <w:sz w:val="22"/>
                <w:szCs w:val="22"/>
              </w:rPr>
              <w:t>organization.</w:t>
            </w:r>
            <w:r w:rsidR="009B6B43" w:rsidRPr="00331213">
              <w:rPr>
                <w:rFonts w:ascii="Arial" w:hAnsi="Arial" w:cs="Arial"/>
                <w:sz w:val="22"/>
                <w:szCs w:val="22"/>
              </w:rPr>
              <w:t>.</w:t>
            </w:r>
            <w:bookmarkEnd w:id="0"/>
          </w:p>
        </w:tc>
      </w:tr>
      <w:tr w:rsidR="009B6B43" w:rsidRPr="00331213" w14:paraId="38B34987" w14:textId="77777777" w:rsidTr="00810FAA">
        <w:trPr>
          <w:tblCellSpacing w:w="15" w:type="dxa"/>
        </w:trPr>
        <w:tc>
          <w:tcPr>
            <w:tcW w:w="4208" w:type="dxa"/>
            <w:vAlign w:val="center"/>
            <w:hideMark/>
          </w:tcPr>
          <w:p w14:paraId="4A42E7D1" w14:textId="7994C23F" w:rsidR="009B6B43" w:rsidRPr="00331213" w:rsidRDefault="001E6E81" w:rsidP="00810FAA">
            <w:pPr>
              <w:rPr>
                <w:rFonts w:ascii="Arial" w:hAnsi="Arial" w:cs="Arial"/>
                <w:sz w:val="22"/>
                <w:szCs w:val="22"/>
              </w:rPr>
            </w:pPr>
            <w:r w:rsidRPr="00331213">
              <w:rPr>
                <w:rFonts w:ascii="Arial" w:hAnsi="Arial" w:cs="Arial"/>
                <w:sz w:val="22"/>
                <w:szCs w:val="22"/>
              </w:rPr>
              <w:t>The employees in customer-handling positions might experience perceived underappreciation, which can affect their motivation and increase the risk of turnover.</w:t>
            </w:r>
          </w:p>
        </w:tc>
        <w:tc>
          <w:tcPr>
            <w:tcW w:w="2406" w:type="dxa"/>
            <w:vAlign w:val="center"/>
            <w:hideMark/>
          </w:tcPr>
          <w:p w14:paraId="03C40CA7" w14:textId="72F71364" w:rsidR="009B6B43" w:rsidRPr="00331213" w:rsidRDefault="005F17BA" w:rsidP="00810FAA">
            <w:pPr>
              <w:rPr>
                <w:rFonts w:ascii="Arial" w:hAnsi="Arial" w:cs="Arial"/>
                <w:sz w:val="22"/>
                <w:szCs w:val="22"/>
              </w:rPr>
            </w:pPr>
            <w:r w:rsidRPr="00331213">
              <w:rPr>
                <w:rFonts w:ascii="Arial" w:hAnsi="Arial" w:cs="Arial"/>
                <w:sz w:val="22"/>
                <w:szCs w:val="22"/>
              </w:rPr>
              <w:t>Continuous performance management and employee recognition schemes.</w:t>
            </w:r>
          </w:p>
        </w:tc>
        <w:tc>
          <w:tcPr>
            <w:tcW w:w="4891" w:type="dxa"/>
            <w:vAlign w:val="center"/>
            <w:hideMark/>
          </w:tcPr>
          <w:p w14:paraId="13262056" w14:textId="43952C94" w:rsidR="009B6B43" w:rsidRPr="00331213" w:rsidRDefault="005F17BA" w:rsidP="00810FAA">
            <w:pPr>
              <w:rPr>
                <w:rFonts w:ascii="Arial" w:hAnsi="Arial" w:cs="Arial"/>
                <w:sz w:val="22"/>
                <w:szCs w:val="22"/>
              </w:rPr>
            </w:pPr>
            <w:r w:rsidRPr="00331213">
              <w:rPr>
                <w:rFonts w:ascii="Arial" w:hAnsi="Arial" w:cs="Arial"/>
                <w:sz w:val="22"/>
                <w:szCs w:val="22"/>
              </w:rPr>
              <w:t>Tesco management must conduct performance check-ins once a month instead of once a year. To increase motivation levels, recognition programs such as Employee of the Month and customer service recognition must be implemented.</w:t>
            </w:r>
          </w:p>
        </w:tc>
      </w:tr>
      <w:tr w:rsidR="009B6B43" w:rsidRPr="00331213" w14:paraId="785B2C88" w14:textId="77777777" w:rsidTr="00810FAA">
        <w:trPr>
          <w:tblCellSpacing w:w="15" w:type="dxa"/>
        </w:trPr>
        <w:tc>
          <w:tcPr>
            <w:tcW w:w="4208" w:type="dxa"/>
            <w:vAlign w:val="center"/>
            <w:hideMark/>
          </w:tcPr>
          <w:p w14:paraId="1BA323A2" w14:textId="77777777" w:rsidR="0067510E" w:rsidRPr="00331213" w:rsidRDefault="0067510E" w:rsidP="00810FAA">
            <w:pPr>
              <w:rPr>
                <w:rFonts w:ascii="Arial" w:hAnsi="Arial" w:cs="Arial"/>
                <w:sz w:val="22"/>
                <w:szCs w:val="22"/>
              </w:rPr>
            </w:pPr>
            <w:r w:rsidRPr="00331213">
              <w:rPr>
                <w:rFonts w:ascii="Arial" w:hAnsi="Arial" w:cs="Arial"/>
                <w:sz w:val="22"/>
                <w:szCs w:val="22"/>
              </w:rPr>
              <w:t xml:space="preserve">The recruitment and promotional practices might have unconscious bias, which can </w:t>
            </w:r>
          </w:p>
          <w:p w14:paraId="5118820E" w14:textId="5B23D80E" w:rsidR="009B6B43" w:rsidRPr="00331213" w:rsidRDefault="0067510E" w:rsidP="00810FAA">
            <w:pPr>
              <w:rPr>
                <w:rFonts w:ascii="Arial" w:hAnsi="Arial" w:cs="Arial"/>
                <w:sz w:val="22"/>
                <w:szCs w:val="22"/>
              </w:rPr>
            </w:pPr>
            <w:r w:rsidRPr="00331213">
              <w:rPr>
                <w:rFonts w:ascii="Arial" w:hAnsi="Arial" w:cs="Arial"/>
                <w:sz w:val="22"/>
                <w:szCs w:val="22"/>
              </w:rPr>
              <w:t xml:space="preserve">limit the employees' potential for </w:t>
            </w:r>
            <w:r w:rsidR="00317FBA" w:rsidRPr="00331213">
              <w:rPr>
                <w:rFonts w:ascii="Arial" w:hAnsi="Arial" w:cs="Arial"/>
                <w:sz w:val="22"/>
                <w:szCs w:val="22"/>
              </w:rPr>
              <w:t xml:space="preserve"> meritocratic </w:t>
            </w:r>
            <w:r w:rsidRPr="00331213">
              <w:rPr>
                <w:rFonts w:ascii="Arial" w:hAnsi="Arial" w:cs="Arial"/>
                <w:sz w:val="22"/>
                <w:szCs w:val="22"/>
              </w:rPr>
              <w:t>progression.</w:t>
            </w:r>
          </w:p>
        </w:tc>
        <w:tc>
          <w:tcPr>
            <w:tcW w:w="2406" w:type="dxa"/>
            <w:vAlign w:val="center"/>
            <w:hideMark/>
          </w:tcPr>
          <w:p w14:paraId="34422DE6" w14:textId="4E6F5326" w:rsidR="009B6B43" w:rsidRPr="00331213" w:rsidRDefault="005F17BA" w:rsidP="00810FAA">
            <w:pPr>
              <w:rPr>
                <w:rFonts w:ascii="Arial" w:hAnsi="Arial" w:cs="Arial"/>
                <w:sz w:val="22"/>
                <w:szCs w:val="22"/>
              </w:rPr>
            </w:pPr>
            <w:r w:rsidRPr="00331213">
              <w:rPr>
                <w:rFonts w:ascii="Arial" w:hAnsi="Arial" w:cs="Arial"/>
                <w:sz w:val="22"/>
                <w:szCs w:val="22"/>
              </w:rPr>
              <w:t>Anonymous recruitment processes and employee selection processes.</w:t>
            </w:r>
          </w:p>
        </w:tc>
        <w:tc>
          <w:tcPr>
            <w:tcW w:w="4891" w:type="dxa"/>
            <w:vAlign w:val="center"/>
            <w:hideMark/>
          </w:tcPr>
          <w:p w14:paraId="69E7B016" w14:textId="5ABF9165" w:rsidR="009B6B43" w:rsidRPr="00331213" w:rsidRDefault="005F17BA" w:rsidP="00810FAA">
            <w:pPr>
              <w:rPr>
                <w:rFonts w:ascii="Arial" w:hAnsi="Arial" w:cs="Arial"/>
                <w:sz w:val="22"/>
                <w:szCs w:val="22"/>
              </w:rPr>
            </w:pPr>
            <w:r w:rsidRPr="00331213">
              <w:rPr>
                <w:rFonts w:ascii="Arial" w:hAnsi="Arial" w:cs="Arial"/>
                <w:sz w:val="22"/>
                <w:szCs w:val="22"/>
              </w:rPr>
              <w:t>For instance, Tesco Human Resource can use blind CV selection by removing personal information, including names and gender, during the initial stages of the selection process. To improve the fairness of selection decisions, structured competency-based interviews and the use of diverse intervie panels can be considered.</w:t>
            </w:r>
          </w:p>
        </w:tc>
      </w:tr>
    </w:tbl>
    <w:p w14:paraId="6B57C19C" w14:textId="77777777" w:rsidR="0013067E" w:rsidRPr="0013067E" w:rsidRDefault="0013067E" w:rsidP="0013067E">
      <w:pPr>
        <w:spacing w:before="100" w:beforeAutospacing="1" w:after="100" w:afterAutospacing="1" w:line="240" w:lineRule="auto"/>
        <w:rPr>
          <w:rFonts w:ascii="Times New Roman" w:eastAsiaTheme="minorEastAsia" w:hAnsi="Times New Roman" w:cs="Times New Roman"/>
          <w:kern w:val="0"/>
          <w:lang w:eastAsia="ro-RO"/>
          <w14:ligatures w14:val="none"/>
        </w:rPr>
      </w:pPr>
    </w:p>
    <w:p w14:paraId="20AB8033" w14:textId="77777777" w:rsidR="0013067E" w:rsidRPr="0013067E" w:rsidRDefault="0013067E" w:rsidP="0013067E">
      <w:pPr>
        <w:spacing w:after="0" w:line="240" w:lineRule="auto"/>
        <w:rPr>
          <w:rFonts w:ascii="Arial" w:eastAsia="Times New Roman" w:hAnsi="Arial" w:cs="Arial"/>
          <w:color w:val="111111"/>
          <w:kern w:val="0"/>
          <w:sz w:val="22"/>
          <w:szCs w:val="22"/>
          <w:lang w:eastAsia="ro-RO"/>
          <w14:ligatures w14:val="none"/>
        </w:rPr>
      </w:pPr>
      <w:r w:rsidRPr="0013067E">
        <w:rPr>
          <w:rFonts w:ascii="Arial" w:eastAsia="Times New Roman" w:hAnsi="Arial" w:cs="Arial"/>
          <w:color w:val="111111"/>
          <w:kern w:val="0"/>
          <w:sz w:val="22"/>
          <w:szCs w:val="22"/>
          <w:lang w:eastAsia="ro-RO"/>
          <w14:ligatures w14:val="none"/>
        </w:rPr>
        <w:t>Such alignment ensures HR practices address technology change, employee retention and inclusion.</w:t>
      </w:r>
    </w:p>
    <w:p w14:paraId="7E015E83" w14:textId="77777777" w:rsidR="0046208C" w:rsidRPr="00331213" w:rsidRDefault="0046208C" w:rsidP="00C8337E">
      <w:pPr>
        <w:rPr>
          <w:rFonts w:ascii="Arial" w:hAnsi="Arial" w:cs="Arial"/>
          <w:sz w:val="22"/>
          <w:szCs w:val="22"/>
        </w:rPr>
      </w:pPr>
    </w:p>
    <w:p w14:paraId="738A3CF8" w14:textId="70D77291" w:rsidR="00C8337E" w:rsidRPr="00F140A6" w:rsidRDefault="00C8337E" w:rsidP="00C8337E">
      <w:pPr>
        <w:rPr>
          <w:rFonts w:ascii="Arial" w:hAnsi="Arial" w:cs="Arial"/>
          <w:b/>
          <w:bCs/>
          <w:sz w:val="22"/>
          <w:szCs w:val="22"/>
        </w:rPr>
      </w:pPr>
      <w:r w:rsidRPr="00F140A6">
        <w:rPr>
          <w:rFonts w:ascii="Arial" w:hAnsi="Arial" w:cs="Arial"/>
          <w:b/>
          <w:bCs/>
          <w:sz w:val="22"/>
          <w:szCs w:val="22"/>
        </w:rPr>
        <w:t xml:space="preserve">3. Critical Evaluation of Managerial Implementation </w:t>
      </w:r>
    </w:p>
    <w:p w14:paraId="1951DB79" w14:textId="77777777" w:rsidR="00C8337E" w:rsidRPr="00331213" w:rsidRDefault="00C8337E" w:rsidP="00C8337E">
      <w:pPr>
        <w:rPr>
          <w:rFonts w:ascii="Arial" w:hAnsi="Arial" w:cs="Arial"/>
          <w:sz w:val="22"/>
          <w:szCs w:val="22"/>
        </w:rPr>
      </w:pPr>
    </w:p>
    <w:p w14:paraId="05C729D3" w14:textId="77777777" w:rsidR="00B24112" w:rsidRDefault="00B24112" w:rsidP="00D26ACE">
      <w:pPr>
        <w:rPr>
          <w:rFonts w:ascii="Arial" w:hAnsi="Arial" w:cs="Arial"/>
          <w:sz w:val="22"/>
          <w:szCs w:val="22"/>
        </w:rPr>
      </w:pPr>
      <w:r w:rsidRPr="00B24112">
        <w:rPr>
          <w:rFonts w:ascii="Arial" w:hAnsi="Arial" w:cs="Arial"/>
          <w:sz w:val="22"/>
          <w:szCs w:val="22"/>
        </w:rPr>
        <w:t>The departmental managers play a critical role in the implementation of human resource policies. This is in line with the strategic human resource management (SHRM) perspective, which emphasizes the role of departmental managers in the implementation of human resource strategies (Armstrong &amp; Taylor, 2020). In the absence of the engagement of departmental managers, human resource policies may remain at the theoretical level.</w:t>
      </w:r>
    </w:p>
    <w:p w14:paraId="10A9E211" w14:textId="7F01DEA4" w:rsidR="00D26ACE" w:rsidRPr="00331213" w:rsidRDefault="00D26ACE" w:rsidP="00D26ACE">
      <w:pPr>
        <w:rPr>
          <w:rFonts w:ascii="Arial" w:hAnsi="Arial" w:cs="Arial"/>
          <w:sz w:val="22"/>
          <w:szCs w:val="22"/>
        </w:rPr>
      </w:pPr>
      <w:r w:rsidRPr="00331213">
        <w:rPr>
          <w:rFonts w:ascii="Arial" w:hAnsi="Arial" w:cs="Arial"/>
          <w:sz w:val="22"/>
          <w:szCs w:val="22"/>
        </w:rPr>
        <w:t>has the task of communicating the need for digital transformation and encouraging employees to take part in the training program. This can be done by clearly explaining the benefits of the program, which will reduce employees' resistance to change (Noe et al., 2017).</w:t>
      </w:r>
    </w:p>
    <w:p w14:paraId="33452C8E" w14:textId="4E9A4DDC" w:rsidR="00D26ACE" w:rsidRPr="00331213" w:rsidRDefault="00D26ACE" w:rsidP="00D26ACE">
      <w:pPr>
        <w:rPr>
          <w:rFonts w:ascii="Arial" w:hAnsi="Arial" w:cs="Arial"/>
          <w:sz w:val="22"/>
          <w:szCs w:val="22"/>
        </w:rPr>
      </w:pPr>
      <w:r w:rsidRPr="00331213">
        <w:rPr>
          <w:rFonts w:ascii="Arial" w:hAnsi="Arial" w:cs="Arial"/>
          <w:sz w:val="22"/>
          <w:szCs w:val="22"/>
        </w:rPr>
        <w:t>The impact of inclusive leadership styles should also be considered, as it has a significant impact on the work environment. A departmental manager who demonstrates behaviors that show fairness, openness, and respect will be able to create an environment where employees feel appreciated (Nishii &amp; Mayer, 2009). This has significant implications for DEI initiatives and turnover rates.</w:t>
      </w:r>
    </w:p>
    <w:p w14:paraId="2BDECB2C" w14:textId="60980680" w:rsidR="00D26ACE" w:rsidRPr="00331213" w:rsidRDefault="00D26ACE" w:rsidP="00D26ACE">
      <w:pPr>
        <w:rPr>
          <w:rFonts w:ascii="Arial" w:hAnsi="Arial" w:cs="Arial"/>
          <w:sz w:val="22"/>
          <w:szCs w:val="22"/>
        </w:rPr>
      </w:pPr>
      <w:r w:rsidRPr="00331213">
        <w:rPr>
          <w:rFonts w:ascii="Arial" w:hAnsi="Arial" w:cs="Arial"/>
          <w:sz w:val="22"/>
          <w:szCs w:val="22"/>
        </w:rPr>
        <w:t>However, departmental managers might be distracted by other issues, like achieving sales targets or dealing with staff shortages. In this case, it is essential to have enough training for the departmental managers to enhance their capabilities in managing employees.</w:t>
      </w:r>
    </w:p>
    <w:p w14:paraId="7881DD7F" w14:textId="43FC06B7" w:rsidR="00C8337E" w:rsidRPr="00331213" w:rsidRDefault="00D26ACE" w:rsidP="00D26ACE">
      <w:pPr>
        <w:rPr>
          <w:rFonts w:ascii="Arial" w:hAnsi="Arial" w:cs="Arial"/>
          <w:sz w:val="22"/>
          <w:szCs w:val="22"/>
        </w:rPr>
      </w:pPr>
      <w:r w:rsidRPr="00331213">
        <w:rPr>
          <w:rFonts w:ascii="Arial" w:hAnsi="Arial" w:cs="Arial"/>
          <w:sz w:val="22"/>
          <w:szCs w:val="22"/>
        </w:rPr>
        <w:t>The success of HR initiatives will depend on the alignment of HR strategies, departmental manager accountability, and organizational culture. When departmental managers are involved in HR initiatives, they will be able to implement HR strategies in practice, not just in theory.</w:t>
      </w:r>
    </w:p>
    <w:p w14:paraId="5028C471" w14:textId="77777777" w:rsidR="00B366B3" w:rsidRDefault="00B366B3" w:rsidP="00C8337E">
      <w:pPr>
        <w:rPr>
          <w:rFonts w:ascii="Arial" w:hAnsi="Arial" w:cs="Arial"/>
          <w:b/>
          <w:bCs/>
          <w:sz w:val="22"/>
          <w:szCs w:val="22"/>
        </w:rPr>
      </w:pPr>
    </w:p>
    <w:p w14:paraId="67B90707" w14:textId="77777777" w:rsidR="00627939" w:rsidRDefault="00627939" w:rsidP="00C8337E">
      <w:pPr>
        <w:rPr>
          <w:rFonts w:ascii="Arial" w:hAnsi="Arial" w:cs="Arial"/>
          <w:b/>
          <w:bCs/>
          <w:sz w:val="22"/>
          <w:szCs w:val="22"/>
        </w:rPr>
      </w:pPr>
    </w:p>
    <w:p w14:paraId="45A60CC7" w14:textId="77777777" w:rsidR="00627939" w:rsidRDefault="00627939" w:rsidP="00C8337E">
      <w:pPr>
        <w:rPr>
          <w:rFonts w:ascii="Arial" w:hAnsi="Arial" w:cs="Arial"/>
          <w:b/>
          <w:bCs/>
          <w:sz w:val="22"/>
          <w:szCs w:val="22"/>
        </w:rPr>
      </w:pPr>
    </w:p>
    <w:p w14:paraId="0A4A2709" w14:textId="77777777" w:rsidR="00627939" w:rsidRDefault="00627939" w:rsidP="00C8337E">
      <w:pPr>
        <w:rPr>
          <w:rFonts w:ascii="Arial" w:hAnsi="Arial" w:cs="Arial"/>
          <w:b/>
          <w:bCs/>
          <w:sz w:val="22"/>
          <w:szCs w:val="22"/>
        </w:rPr>
      </w:pPr>
    </w:p>
    <w:p w14:paraId="703D957F" w14:textId="77777777" w:rsidR="00627939" w:rsidRDefault="00627939" w:rsidP="00C8337E">
      <w:pPr>
        <w:rPr>
          <w:rFonts w:ascii="Arial" w:hAnsi="Arial" w:cs="Arial"/>
          <w:b/>
          <w:bCs/>
          <w:sz w:val="22"/>
          <w:szCs w:val="22"/>
        </w:rPr>
      </w:pPr>
    </w:p>
    <w:p w14:paraId="784DAB87" w14:textId="77777777" w:rsidR="00627939" w:rsidRDefault="00627939" w:rsidP="00C8337E">
      <w:pPr>
        <w:rPr>
          <w:rFonts w:ascii="Arial" w:hAnsi="Arial" w:cs="Arial"/>
          <w:b/>
          <w:bCs/>
          <w:sz w:val="22"/>
          <w:szCs w:val="22"/>
        </w:rPr>
      </w:pPr>
    </w:p>
    <w:p w14:paraId="4250C0CF" w14:textId="77777777" w:rsidR="00627939" w:rsidRDefault="00627939" w:rsidP="00C8337E">
      <w:pPr>
        <w:rPr>
          <w:rFonts w:ascii="Arial" w:hAnsi="Arial" w:cs="Arial"/>
          <w:b/>
          <w:bCs/>
          <w:sz w:val="22"/>
          <w:szCs w:val="22"/>
        </w:rPr>
      </w:pPr>
    </w:p>
    <w:p w14:paraId="6C253577" w14:textId="77777777" w:rsidR="00627939" w:rsidRDefault="00627939" w:rsidP="00C8337E">
      <w:pPr>
        <w:rPr>
          <w:rFonts w:ascii="Arial" w:hAnsi="Arial" w:cs="Arial"/>
          <w:b/>
          <w:bCs/>
          <w:sz w:val="22"/>
          <w:szCs w:val="22"/>
        </w:rPr>
      </w:pPr>
    </w:p>
    <w:p w14:paraId="750454F8" w14:textId="77777777" w:rsidR="00627939" w:rsidRPr="00F140A6" w:rsidRDefault="00627939" w:rsidP="00C8337E">
      <w:pPr>
        <w:rPr>
          <w:rFonts w:ascii="Arial" w:hAnsi="Arial" w:cs="Arial"/>
          <w:b/>
          <w:bCs/>
          <w:sz w:val="22"/>
          <w:szCs w:val="22"/>
        </w:rPr>
      </w:pPr>
    </w:p>
    <w:p w14:paraId="7F4EECD0" w14:textId="470505CE" w:rsidR="00C8337E" w:rsidRPr="00F140A6" w:rsidRDefault="00C8337E" w:rsidP="00C8337E">
      <w:pPr>
        <w:rPr>
          <w:rFonts w:ascii="Arial" w:hAnsi="Arial" w:cs="Arial"/>
          <w:b/>
          <w:bCs/>
          <w:sz w:val="22"/>
          <w:szCs w:val="22"/>
        </w:rPr>
      </w:pPr>
      <w:r w:rsidRPr="00F140A6">
        <w:rPr>
          <w:rFonts w:ascii="Arial" w:hAnsi="Arial" w:cs="Arial"/>
          <w:b/>
          <w:bCs/>
          <w:sz w:val="22"/>
          <w:szCs w:val="22"/>
        </w:rPr>
        <w:t xml:space="preserve">Conclusion and Recommendations </w:t>
      </w:r>
    </w:p>
    <w:p w14:paraId="42731637" w14:textId="030FB874" w:rsidR="00D26ACE" w:rsidRPr="00331213" w:rsidRDefault="00D26ACE" w:rsidP="00D26ACE">
      <w:pPr>
        <w:rPr>
          <w:rFonts w:ascii="Arial" w:hAnsi="Arial" w:cs="Arial"/>
          <w:sz w:val="22"/>
          <w:szCs w:val="22"/>
        </w:rPr>
      </w:pPr>
      <w:r w:rsidRPr="00331213">
        <w:rPr>
          <w:rFonts w:ascii="Arial" w:hAnsi="Arial" w:cs="Arial"/>
          <w:sz w:val="22"/>
          <w:szCs w:val="22"/>
        </w:rPr>
        <w:t>Tesco faces interrelated human resource issues related to technology advancements, talent management, and diversity, equity, and inclusion (DEI). Digitalization requires ongoing reskilling and change management. In a competitive environment, employer branding, recruitment, and engagement are critical. DEI involves compliance and opportunities for organizational performance improvement.</w:t>
      </w:r>
    </w:p>
    <w:p w14:paraId="2304B201" w14:textId="0D23FDE1" w:rsidR="00D26ACE" w:rsidRPr="00331213" w:rsidRDefault="00D26ACE" w:rsidP="00D26ACE">
      <w:pPr>
        <w:rPr>
          <w:rFonts w:ascii="Arial" w:hAnsi="Arial" w:cs="Arial"/>
          <w:sz w:val="22"/>
          <w:szCs w:val="22"/>
        </w:rPr>
      </w:pPr>
      <w:r w:rsidRPr="00331213">
        <w:rPr>
          <w:rFonts w:ascii="Arial" w:hAnsi="Arial" w:cs="Arial"/>
          <w:sz w:val="22"/>
          <w:szCs w:val="22"/>
        </w:rPr>
        <w:t>Effective solutions to current human resource issues include current human resource practices such as digital learning, HR analytics, structured recruitment, ongoing performance management, and inclusive leadership development. However, the success of these solutions depends on managerial consistency and accountability.</w:t>
      </w:r>
    </w:p>
    <w:p w14:paraId="062D8DA9" w14:textId="77777777" w:rsidR="00D26ACE" w:rsidRPr="00331213" w:rsidRDefault="00D26ACE" w:rsidP="00D26ACE">
      <w:pPr>
        <w:rPr>
          <w:rFonts w:ascii="Arial" w:hAnsi="Arial" w:cs="Arial"/>
          <w:sz w:val="22"/>
          <w:szCs w:val="22"/>
        </w:rPr>
      </w:pPr>
      <w:r w:rsidRPr="00331213">
        <w:rPr>
          <w:rFonts w:ascii="Arial" w:hAnsi="Arial" w:cs="Arial"/>
          <w:sz w:val="22"/>
          <w:szCs w:val="22"/>
        </w:rPr>
        <w:t>Based on the analysis, the following recommendations are made:</w:t>
      </w:r>
    </w:p>
    <w:p w14:paraId="1CA02FD7" w14:textId="77777777" w:rsidR="00D26ACE" w:rsidRPr="00331213" w:rsidRDefault="00D26ACE" w:rsidP="00D26ACE">
      <w:pPr>
        <w:rPr>
          <w:rFonts w:ascii="Arial" w:hAnsi="Arial" w:cs="Arial"/>
          <w:sz w:val="22"/>
          <w:szCs w:val="22"/>
        </w:rPr>
      </w:pPr>
      <w:r w:rsidRPr="00331213">
        <w:rPr>
          <w:rFonts w:ascii="Arial" w:hAnsi="Arial" w:cs="Arial"/>
          <w:sz w:val="22"/>
          <w:szCs w:val="22"/>
        </w:rPr>
        <w:t>1. Create a structured digital reskilling process using workforce analytics.</w:t>
      </w:r>
    </w:p>
    <w:p w14:paraId="4857FB5C" w14:textId="77777777" w:rsidR="00D26ACE" w:rsidRPr="00331213" w:rsidRDefault="00D26ACE" w:rsidP="00D26ACE">
      <w:pPr>
        <w:rPr>
          <w:rFonts w:ascii="Arial" w:hAnsi="Arial" w:cs="Arial"/>
          <w:sz w:val="22"/>
          <w:szCs w:val="22"/>
        </w:rPr>
      </w:pPr>
      <w:r w:rsidRPr="00331213">
        <w:rPr>
          <w:rFonts w:ascii="Arial" w:hAnsi="Arial" w:cs="Arial"/>
          <w:sz w:val="22"/>
          <w:szCs w:val="22"/>
        </w:rPr>
        <w:t>2. Improve employer branding through transparent career paths and growth opportunities.</w:t>
      </w:r>
    </w:p>
    <w:p w14:paraId="7252D15C" w14:textId="77777777" w:rsidR="00D26ACE" w:rsidRPr="00331213" w:rsidRDefault="00D26ACE" w:rsidP="00D26ACE">
      <w:pPr>
        <w:rPr>
          <w:rFonts w:ascii="Arial" w:hAnsi="Arial" w:cs="Arial"/>
          <w:sz w:val="22"/>
          <w:szCs w:val="22"/>
        </w:rPr>
      </w:pPr>
      <w:r w:rsidRPr="00331213">
        <w:rPr>
          <w:rFonts w:ascii="Arial" w:hAnsi="Arial" w:cs="Arial"/>
          <w:sz w:val="22"/>
          <w:szCs w:val="22"/>
        </w:rPr>
        <w:t>3. Incorporate DEI metrics into managerial performance reviews.</w:t>
      </w:r>
    </w:p>
    <w:p w14:paraId="6E36A790" w14:textId="77777777" w:rsidR="00D26ACE" w:rsidRPr="00331213" w:rsidRDefault="00D26ACE" w:rsidP="00D26ACE">
      <w:pPr>
        <w:rPr>
          <w:rFonts w:ascii="Arial" w:hAnsi="Arial" w:cs="Arial"/>
          <w:sz w:val="22"/>
          <w:szCs w:val="22"/>
        </w:rPr>
      </w:pPr>
      <w:r w:rsidRPr="00331213">
        <w:rPr>
          <w:rFonts w:ascii="Arial" w:hAnsi="Arial" w:cs="Arial"/>
          <w:sz w:val="22"/>
          <w:szCs w:val="22"/>
        </w:rPr>
        <w:t>4. Create an inclusive leadership and change management program for departmental managers.</w:t>
      </w:r>
    </w:p>
    <w:p w14:paraId="0FBAAC4C" w14:textId="38CF5C02" w:rsidR="00D26ACE" w:rsidRPr="00331213" w:rsidRDefault="00D26ACE" w:rsidP="00D26ACE">
      <w:pPr>
        <w:rPr>
          <w:rFonts w:ascii="Arial" w:hAnsi="Arial" w:cs="Arial"/>
          <w:sz w:val="22"/>
          <w:szCs w:val="22"/>
        </w:rPr>
      </w:pPr>
      <w:r w:rsidRPr="00331213">
        <w:rPr>
          <w:rFonts w:ascii="Arial" w:hAnsi="Arial" w:cs="Arial"/>
          <w:sz w:val="22"/>
          <w:szCs w:val="22"/>
        </w:rPr>
        <w:t>5. Create ongoing systems to monitor and measure the performance of the HR department.</w:t>
      </w:r>
    </w:p>
    <w:p w14:paraId="10096DEF" w14:textId="077087A0" w:rsidR="00C8337E" w:rsidRPr="00331213" w:rsidRDefault="00D26ACE" w:rsidP="00D26ACE">
      <w:pPr>
        <w:rPr>
          <w:rFonts w:ascii="Arial" w:hAnsi="Arial" w:cs="Arial"/>
          <w:sz w:val="22"/>
          <w:szCs w:val="22"/>
        </w:rPr>
      </w:pPr>
      <w:r w:rsidRPr="00331213">
        <w:rPr>
          <w:rFonts w:ascii="Arial" w:hAnsi="Arial" w:cs="Arial"/>
          <w:sz w:val="22"/>
          <w:szCs w:val="22"/>
        </w:rPr>
        <w:t>Through an integrated approach to human resources, Tesco can improve performance while developing individuals and teams.</w:t>
      </w:r>
    </w:p>
    <w:p w14:paraId="54CB2923" w14:textId="77777777" w:rsidR="00C8337E" w:rsidRDefault="00C8337E" w:rsidP="00C8337E">
      <w:pPr>
        <w:rPr>
          <w:rFonts w:ascii="Arial" w:hAnsi="Arial" w:cs="Arial"/>
          <w:sz w:val="22"/>
          <w:szCs w:val="22"/>
        </w:rPr>
      </w:pPr>
    </w:p>
    <w:p w14:paraId="29DB2F42" w14:textId="77777777" w:rsidR="00627939" w:rsidRDefault="00627939" w:rsidP="00C8337E">
      <w:pPr>
        <w:rPr>
          <w:rFonts w:ascii="Arial" w:hAnsi="Arial" w:cs="Arial"/>
          <w:sz w:val="22"/>
          <w:szCs w:val="22"/>
        </w:rPr>
      </w:pPr>
    </w:p>
    <w:p w14:paraId="0D260EB4" w14:textId="77777777" w:rsidR="00627939" w:rsidRDefault="00627939" w:rsidP="00C8337E">
      <w:pPr>
        <w:rPr>
          <w:rFonts w:ascii="Arial" w:hAnsi="Arial" w:cs="Arial"/>
          <w:sz w:val="22"/>
          <w:szCs w:val="22"/>
        </w:rPr>
      </w:pPr>
    </w:p>
    <w:p w14:paraId="39CC6B05" w14:textId="77777777" w:rsidR="00627939" w:rsidRDefault="00627939" w:rsidP="00C8337E">
      <w:pPr>
        <w:rPr>
          <w:rFonts w:ascii="Arial" w:hAnsi="Arial" w:cs="Arial"/>
          <w:sz w:val="22"/>
          <w:szCs w:val="22"/>
        </w:rPr>
      </w:pPr>
    </w:p>
    <w:p w14:paraId="12E75241" w14:textId="77777777" w:rsidR="00627939" w:rsidRDefault="00627939" w:rsidP="00C8337E">
      <w:pPr>
        <w:rPr>
          <w:rFonts w:ascii="Arial" w:hAnsi="Arial" w:cs="Arial"/>
          <w:sz w:val="22"/>
          <w:szCs w:val="22"/>
        </w:rPr>
      </w:pPr>
    </w:p>
    <w:p w14:paraId="1368FB91" w14:textId="77777777" w:rsidR="00627939" w:rsidRDefault="00627939" w:rsidP="00C8337E">
      <w:pPr>
        <w:rPr>
          <w:rFonts w:ascii="Arial" w:hAnsi="Arial" w:cs="Arial"/>
          <w:sz w:val="22"/>
          <w:szCs w:val="22"/>
        </w:rPr>
      </w:pPr>
    </w:p>
    <w:p w14:paraId="1717ADAB" w14:textId="77777777" w:rsidR="00627939" w:rsidRDefault="00627939" w:rsidP="00C8337E">
      <w:pPr>
        <w:rPr>
          <w:rFonts w:ascii="Arial" w:hAnsi="Arial" w:cs="Arial"/>
          <w:sz w:val="22"/>
          <w:szCs w:val="22"/>
        </w:rPr>
      </w:pPr>
    </w:p>
    <w:p w14:paraId="5BAB4D79" w14:textId="77777777" w:rsidR="00627939" w:rsidRDefault="00627939" w:rsidP="00C8337E">
      <w:pPr>
        <w:rPr>
          <w:rFonts w:ascii="Arial" w:hAnsi="Arial" w:cs="Arial"/>
          <w:sz w:val="22"/>
          <w:szCs w:val="22"/>
        </w:rPr>
      </w:pPr>
    </w:p>
    <w:p w14:paraId="72CDA15E" w14:textId="77777777" w:rsidR="00627939" w:rsidRDefault="00627939" w:rsidP="00C8337E">
      <w:pPr>
        <w:rPr>
          <w:rFonts w:ascii="Arial" w:hAnsi="Arial" w:cs="Arial"/>
          <w:sz w:val="22"/>
          <w:szCs w:val="22"/>
        </w:rPr>
      </w:pPr>
    </w:p>
    <w:p w14:paraId="0AF31BF7" w14:textId="77777777" w:rsidR="00627939" w:rsidRDefault="00627939" w:rsidP="00C8337E">
      <w:pPr>
        <w:rPr>
          <w:rFonts w:ascii="Arial" w:hAnsi="Arial" w:cs="Arial"/>
          <w:sz w:val="22"/>
          <w:szCs w:val="22"/>
        </w:rPr>
      </w:pPr>
    </w:p>
    <w:p w14:paraId="18CC7205" w14:textId="77777777" w:rsidR="00627939" w:rsidRDefault="00627939" w:rsidP="00C8337E">
      <w:pPr>
        <w:rPr>
          <w:rFonts w:ascii="Arial" w:hAnsi="Arial" w:cs="Arial"/>
          <w:sz w:val="22"/>
          <w:szCs w:val="22"/>
        </w:rPr>
      </w:pPr>
    </w:p>
    <w:p w14:paraId="668B2318" w14:textId="77777777" w:rsidR="00627939" w:rsidRDefault="00627939" w:rsidP="00C8337E">
      <w:pPr>
        <w:rPr>
          <w:rFonts w:ascii="Arial" w:hAnsi="Arial" w:cs="Arial"/>
          <w:sz w:val="22"/>
          <w:szCs w:val="22"/>
        </w:rPr>
      </w:pPr>
    </w:p>
    <w:p w14:paraId="3E1C7695" w14:textId="77777777" w:rsidR="00627939" w:rsidRPr="00331213" w:rsidRDefault="00627939" w:rsidP="00C8337E">
      <w:pPr>
        <w:rPr>
          <w:rFonts w:ascii="Arial" w:hAnsi="Arial" w:cs="Arial"/>
          <w:sz w:val="22"/>
          <w:szCs w:val="22"/>
        </w:rPr>
      </w:pPr>
    </w:p>
    <w:p w14:paraId="4AD8C20E" w14:textId="25787D4A" w:rsidR="00C8337E" w:rsidRPr="00F140A6" w:rsidRDefault="00C8337E" w:rsidP="00C8337E">
      <w:pPr>
        <w:rPr>
          <w:rFonts w:ascii="Arial" w:hAnsi="Arial" w:cs="Arial"/>
          <w:b/>
          <w:bCs/>
          <w:sz w:val="22"/>
          <w:szCs w:val="22"/>
        </w:rPr>
      </w:pPr>
      <w:r w:rsidRPr="00F140A6">
        <w:rPr>
          <w:rFonts w:ascii="Arial" w:hAnsi="Arial" w:cs="Arial"/>
          <w:b/>
          <w:bCs/>
          <w:sz w:val="22"/>
          <w:szCs w:val="22"/>
        </w:rPr>
        <w:t xml:space="preserve">Reference List </w:t>
      </w:r>
    </w:p>
    <w:p w14:paraId="78997623" w14:textId="77777777" w:rsidR="00C8337E" w:rsidRPr="00331213" w:rsidRDefault="00C8337E" w:rsidP="00C8337E">
      <w:pPr>
        <w:rPr>
          <w:rFonts w:ascii="Arial" w:hAnsi="Arial" w:cs="Arial"/>
          <w:sz w:val="22"/>
          <w:szCs w:val="22"/>
        </w:rPr>
      </w:pPr>
      <w:r w:rsidRPr="00331213">
        <w:rPr>
          <w:rFonts w:ascii="Arial" w:hAnsi="Arial" w:cs="Arial"/>
          <w:sz w:val="22"/>
          <w:szCs w:val="22"/>
        </w:rPr>
        <w:t>Aguinis, H. (2019) Performance Management for Dummies. Wiley.</w:t>
      </w:r>
    </w:p>
    <w:p w14:paraId="325621DD" w14:textId="77777777" w:rsidR="00C8337E" w:rsidRPr="00331213" w:rsidRDefault="00C8337E" w:rsidP="00C8337E">
      <w:pPr>
        <w:rPr>
          <w:rFonts w:ascii="Arial" w:hAnsi="Arial" w:cs="Arial"/>
          <w:sz w:val="22"/>
          <w:szCs w:val="22"/>
        </w:rPr>
      </w:pPr>
      <w:r w:rsidRPr="00331213">
        <w:rPr>
          <w:rFonts w:ascii="Arial" w:hAnsi="Arial" w:cs="Arial"/>
          <w:sz w:val="22"/>
          <w:szCs w:val="22"/>
        </w:rPr>
        <w:t>Armstrong, M. and Taylor, S. (2020) Armstrong’s Handbook of Human Resource Management Practice. 15th edn. London: Kogan Page.</w:t>
      </w:r>
    </w:p>
    <w:p w14:paraId="2D5DEC95" w14:textId="77777777" w:rsidR="00C8337E" w:rsidRPr="00331213" w:rsidRDefault="00C8337E" w:rsidP="00C8337E">
      <w:pPr>
        <w:rPr>
          <w:rFonts w:ascii="Arial" w:hAnsi="Arial" w:cs="Arial"/>
          <w:sz w:val="22"/>
          <w:szCs w:val="22"/>
        </w:rPr>
      </w:pPr>
      <w:r w:rsidRPr="00331213">
        <w:rPr>
          <w:rFonts w:ascii="Arial" w:hAnsi="Arial" w:cs="Arial"/>
          <w:sz w:val="22"/>
          <w:szCs w:val="22"/>
        </w:rPr>
        <w:t>Backhaus, K. and Tikoo, S. (2004) ‘Conceptualising and researching employer branding’, Career Development International, 9(5), pp. 501–517.</w:t>
      </w:r>
    </w:p>
    <w:p w14:paraId="0749ED0B" w14:textId="77777777" w:rsidR="00C8337E" w:rsidRPr="00331213" w:rsidRDefault="00C8337E" w:rsidP="00C8337E">
      <w:pPr>
        <w:rPr>
          <w:rFonts w:ascii="Arial" w:hAnsi="Arial" w:cs="Arial"/>
          <w:sz w:val="22"/>
          <w:szCs w:val="22"/>
        </w:rPr>
      </w:pPr>
      <w:r w:rsidRPr="00331213">
        <w:rPr>
          <w:rFonts w:ascii="Arial" w:hAnsi="Arial" w:cs="Arial"/>
          <w:sz w:val="22"/>
          <w:szCs w:val="22"/>
        </w:rPr>
        <w:t>Boxall, P. and Purcell, J. (2016) Strategy and Human Resource Management. 4th edn. London: Palgrave.</w:t>
      </w:r>
    </w:p>
    <w:p w14:paraId="31E84E1C" w14:textId="77777777" w:rsidR="00C8337E" w:rsidRPr="00331213" w:rsidRDefault="00C8337E" w:rsidP="00C8337E">
      <w:pPr>
        <w:rPr>
          <w:rFonts w:ascii="Arial" w:hAnsi="Arial" w:cs="Arial"/>
          <w:sz w:val="22"/>
          <w:szCs w:val="22"/>
        </w:rPr>
      </w:pPr>
      <w:r w:rsidRPr="00331213">
        <w:rPr>
          <w:rFonts w:ascii="Arial" w:hAnsi="Arial" w:cs="Arial"/>
          <w:sz w:val="22"/>
          <w:szCs w:val="22"/>
        </w:rPr>
        <w:t>CIPD (2024) Employee turnover and retention. London: CIPD.</w:t>
      </w:r>
    </w:p>
    <w:p w14:paraId="380965C2" w14:textId="77777777" w:rsidR="00C8337E" w:rsidRPr="00331213" w:rsidRDefault="00C8337E" w:rsidP="00C8337E">
      <w:pPr>
        <w:rPr>
          <w:rFonts w:ascii="Arial" w:hAnsi="Arial" w:cs="Arial"/>
          <w:sz w:val="22"/>
          <w:szCs w:val="22"/>
        </w:rPr>
      </w:pPr>
      <w:r w:rsidRPr="00331213">
        <w:rPr>
          <w:rFonts w:ascii="Arial" w:hAnsi="Arial" w:cs="Arial"/>
          <w:sz w:val="22"/>
          <w:szCs w:val="22"/>
        </w:rPr>
        <w:t>Dobbin, F. and Kalev, A. (2016) ‘Why diversity programs fail’, Harvard Business Review, 94(7/8), pp. 52–60.</w:t>
      </w:r>
    </w:p>
    <w:p w14:paraId="5B91984B" w14:textId="77777777" w:rsidR="00C8337E" w:rsidRPr="00331213" w:rsidRDefault="00C8337E" w:rsidP="00C8337E">
      <w:pPr>
        <w:rPr>
          <w:rFonts w:ascii="Arial" w:hAnsi="Arial" w:cs="Arial"/>
          <w:sz w:val="22"/>
          <w:szCs w:val="22"/>
        </w:rPr>
      </w:pPr>
      <w:r w:rsidRPr="00331213">
        <w:rPr>
          <w:rFonts w:ascii="Arial" w:hAnsi="Arial" w:cs="Arial"/>
          <w:sz w:val="22"/>
          <w:szCs w:val="22"/>
        </w:rPr>
        <w:t>Herzberg, F., Mausner, B. and Snyderman, B. (1959) The Motivation to Work. New York: Wiley.</w:t>
      </w:r>
    </w:p>
    <w:p w14:paraId="7B8C66C2" w14:textId="77777777" w:rsidR="00C8337E" w:rsidRPr="00331213" w:rsidRDefault="00C8337E" w:rsidP="00C8337E">
      <w:pPr>
        <w:rPr>
          <w:rFonts w:ascii="Arial" w:hAnsi="Arial" w:cs="Arial"/>
          <w:sz w:val="22"/>
          <w:szCs w:val="22"/>
        </w:rPr>
      </w:pPr>
      <w:r w:rsidRPr="00331213">
        <w:rPr>
          <w:rFonts w:ascii="Arial" w:hAnsi="Arial" w:cs="Arial"/>
          <w:sz w:val="22"/>
          <w:szCs w:val="22"/>
        </w:rPr>
        <w:t>MacLeod, D. and Clarke, N. (2009) Engaging for Success. London: UK Government.</w:t>
      </w:r>
    </w:p>
    <w:p w14:paraId="544F27CC" w14:textId="77777777" w:rsidR="00C8337E" w:rsidRPr="00331213" w:rsidRDefault="00C8337E" w:rsidP="00C8337E">
      <w:pPr>
        <w:rPr>
          <w:rFonts w:ascii="Arial" w:hAnsi="Arial" w:cs="Arial"/>
          <w:sz w:val="22"/>
          <w:szCs w:val="22"/>
        </w:rPr>
      </w:pPr>
      <w:r w:rsidRPr="00331213">
        <w:rPr>
          <w:rFonts w:ascii="Arial" w:hAnsi="Arial" w:cs="Arial"/>
          <w:sz w:val="22"/>
          <w:szCs w:val="22"/>
        </w:rPr>
        <w:t>Nishii, L.H. and Mayer, D.M. (2009) ‘Do inclusive leaders help to reduce turnover?’, Journal of Applied Psychology, 94(6), pp. 1412–1426.</w:t>
      </w:r>
    </w:p>
    <w:p w14:paraId="7BB698BE" w14:textId="77777777" w:rsidR="00C8337E" w:rsidRPr="00331213" w:rsidRDefault="00C8337E" w:rsidP="00C8337E">
      <w:pPr>
        <w:rPr>
          <w:rFonts w:ascii="Arial" w:hAnsi="Arial" w:cs="Arial"/>
          <w:sz w:val="22"/>
          <w:szCs w:val="22"/>
        </w:rPr>
      </w:pPr>
      <w:r w:rsidRPr="00331213">
        <w:rPr>
          <w:rFonts w:ascii="Arial" w:hAnsi="Arial" w:cs="Arial"/>
          <w:sz w:val="22"/>
          <w:szCs w:val="22"/>
        </w:rPr>
        <w:t>Noe, R.A., et al. (2017) Employee Training and Development. 7th edn. New York: McGraw-Hill.</w:t>
      </w:r>
    </w:p>
    <w:p w14:paraId="270EB6D9" w14:textId="77777777" w:rsidR="00C8337E" w:rsidRPr="00331213" w:rsidRDefault="00C8337E" w:rsidP="00C8337E">
      <w:pPr>
        <w:rPr>
          <w:rFonts w:ascii="Arial" w:hAnsi="Arial" w:cs="Arial"/>
          <w:sz w:val="22"/>
          <w:szCs w:val="22"/>
        </w:rPr>
      </w:pPr>
      <w:r w:rsidRPr="00331213">
        <w:rPr>
          <w:rFonts w:ascii="Arial" w:hAnsi="Arial" w:cs="Arial"/>
          <w:sz w:val="22"/>
          <w:szCs w:val="22"/>
        </w:rPr>
        <w:t>Rousseau, D.M. (1995) Psychological Contracts in Organizations. Sage.</w:t>
      </w:r>
    </w:p>
    <w:p w14:paraId="7756294F" w14:textId="7A896630" w:rsidR="00082C25" w:rsidRPr="00331213" w:rsidRDefault="00C8337E" w:rsidP="00C8337E">
      <w:pPr>
        <w:rPr>
          <w:rFonts w:ascii="Arial" w:hAnsi="Arial" w:cs="Arial"/>
          <w:sz w:val="22"/>
          <w:szCs w:val="22"/>
        </w:rPr>
      </w:pPr>
      <w:r w:rsidRPr="00331213">
        <w:rPr>
          <w:rFonts w:ascii="Arial" w:hAnsi="Arial" w:cs="Arial"/>
          <w:sz w:val="22"/>
          <w:szCs w:val="22"/>
        </w:rPr>
        <w:t>Shen, J., et al. (2009) ‘Managing diversity through HRM’, European Journal of International Management, 3(2), pp. 173–196.</w:t>
      </w:r>
    </w:p>
    <w:sectPr w:rsidR="00082C25" w:rsidRPr="00331213">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XDPMfDTt" int2:invalidationBookmarkName="" int2:hashCode="dke+aKBCZY4KJ7" int2:id="9Con6o4z">
      <int2:state int2:value="Rejected" int2:type="gram"/>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62F"/>
    <w:rsid w:val="00036A83"/>
    <w:rsid w:val="00082C25"/>
    <w:rsid w:val="00083EAD"/>
    <w:rsid w:val="000E0288"/>
    <w:rsid w:val="000E0669"/>
    <w:rsid w:val="00112B1D"/>
    <w:rsid w:val="0012382C"/>
    <w:rsid w:val="0013067E"/>
    <w:rsid w:val="00130B3A"/>
    <w:rsid w:val="00145A30"/>
    <w:rsid w:val="001E6E81"/>
    <w:rsid w:val="00275EB6"/>
    <w:rsid w:val="002A015C"/>
    <w:rsid w:val="002B5F97"/>
    <w:rsid w:val="002C018B"/>
    <w:rsid w:val="002F143D"/>
    <w:rsid w:val="002F7CA6"/>
    <w:rsid w:val="00317FBA"/>
    <w:rsid w:val="00331213"/>
    <w:rsid w:val="003A40FF"/>
    <w:rsid w:val="003F2580"/>
    <w:rsid w:val="0046208C"/>
    <w:rsid w:val="004635CF"/>
    <w:rsid w:val="004711EC"/>
    <w:rsid w:val="004F2C76"/>
    <w:rsid w:val="005777CB"/>
    <w:rsid w:val="005909AC"/>
    <w:rsid w:val="00596F65"/>
    <w:rsid w:val="005E3BDE"/>
    <w:rsid w:val="005F17BA"/>
    <w:rsid w:val="00627939"/>
    <w:rsid w:val="00645896"/>
    <w:rsid w:val="00646CFF"/>
    <w:rsid w:val="00652F20"/>
    <w:rsid w:val="00673C73"/>
    <w:rsid w:val="0067510E"/>
    <w:rsid w:val="006A017C"/>
    <w:rsid w:val="006C4953"/>
    <w:rsid w:val="006D486B"/>
    <w:rsid w:val="006D6BD4"/>
    <w:rsid w:val="006F3652"/>
    <w:rsid w:val="00705E95"/>
    <w:rsid w:val="007902EA"/>
    <w:rsid w:val="007B0082"/>
    <w:rsid w:val="007B062F"/>
    <w:rsid w:val="007C1B11"/>
    <w:rsid w:val="007C52D1"/>
    <w:rsid w:val="00810FAA"/>
    <w:rsid w:val="00832AF3"/>
    <w:rsid w:val="00834251"/>
    <w:rsid w:val="008400EA"/>
    <w:rsid w:val="00850413"/>
    <w:rsid w:val="00864324"/>
    <w:rsid w:val="008955B1"/>
    <w:rsid w:val="008B7B27"/>
    <w:rsid w:val="008E7F37"/>
    <w:rsid w:val="00963625"/>
    <w:rsid w:val="009B6B43"/>
    <w:rsid w:val="009C1566"/>
    <w:rsid w:val="00A67F17"/>
    <w:rsid w:val="00AA47B7"/>
    <w:rsid w:val="00AC30E3"/>
    <w:rsid w:val="00B24112"/>
    <w:rsid w:val="00B308A0"/>
    <w:rsid w:val="00B366B3"/>
    <w:rsid w:val="00B46B8E"/>
    <w:rsid w:val="00B53FAB"/>
    <w:rsid w:val="00B61684"/>
    <w:rsid w:val="00BC1A12"/>
    <w:rsid w:val="00C237E6"/>
    <w:rsid w:val="00C60E1C"/>
    <w:rsid w:val="00C616FC"/>
    <w:rsid w:val="00C8337E"/>
    <w:rsid w:val="00C912D2"/>
    <w:rsid w:val="00C961E2"/>
    <w:rsid w:val="00CA6066"/>
    <w:rsid w:val="00CB0ABE"/>
    <w:rsid w:val="00CB43D5"/>
    <w:rsid w:val="00CB4967"/>
    <w:rsid w:val="00D26ACE"/>
    <w:rsid w:val="00D43A18"/>
    <w:rsid w:val="00D47B18"/>
    <w:rsid w:val="00D6563E"/>
    <w:rsid w:val="00D71D39"/>
    <w:rsid w:val="00D80271"/>
    <w:rsid w:val="00DA2FA8"/>
    <w:rsid w:val="00DA5BAD"/>
    <w:rsid w:val="00DC227C"/>
    <w:rsid w:val="00DC54D7"/>
    <w:rsid w:val="00DE588B"/>
    <w:rsid w:val="00E7639B"/>
    <w:rsid w:val="00E94D09"/>
    <w:rsid w:val="00EC14D7"/>
    <w:rsid w:val="00F140A6"/>
    <w:rsid w:val="00F151BD"/>
    <w:rsid w:val="00F23BDD"/>
    <w:rsid w:val="00F82C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24AF5"/>
  <w15:chartTrackingRefBased/>
  <w15:docId w15:val="{22F3338A-2C36-41CD-8A1F-95F22B2A54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7B06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7B06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7B062F"/>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7B062F"/>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7B062F"/>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7B062F"/>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7B062F"/>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7B062F"/>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7B062F"/>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7B062F"/>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7B062F"/>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7B062F"/>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7B062F"/>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7B062F"/>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7B062F"/>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7B062F"/>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7B062F"/>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7B062F"/>
    <w:rPr>
      <w:rFonts w:eastAsiaTheme="majorEastAsia" w:cstheme="majorBidi"/>
      <w:color w:val="272727" w:themeColor="text1" w:themeTint="D8"/>
    </w:rPr>
  </w:style>
  <w:style w:type="paragraph" w:styleId="Titlu">
    <w:name w:val="Title"/>
    <w:basedOn w:val="Normal"/>
    <w:next w:val="Normal"/>
    <w:link w:val="TitluCaracter"/>
    <w:uiPriority w:val="10"/>
    <w:qFormat/>
    <w:rsid w:val="007B06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7B062F"/>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7B062F"/>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7B062F"/>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7B062F"/>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7B062F"/>
    <w:rPr>
      <w:i/>
      <w:iCs/>
      <w:color w:val="404040" w:themeColor="text1" w:themeTint="BF"/>
    </w:rPr>
  </w:style>
  <w:style w:type="paragraph" w:styleId="Listparagraf">
    <w:name w:val="List Paragraph"/>
    <w:basedOn w:val="Normal"/>
    <w:uiPriority w:val="34"/>
    <w:qFormat/>
    <w:rsid w:val="007B062F"/>
    <w:pPr>
      <w:ind w:left="720"/>
      <w:contextualSpacing/>
    </w:pPr>
  </w:style>
  <w:style w:type="character" w:styleId="Accentuareintens">
    <w:name w:val="Intense Emphasis"/>
    <w:basedOn w:val="Fontdeparagrafimplicit"/>
    <w:uiPriority w:val="21"/>
    <w:qFormat/>
    <w:rsid w:val="007B062F"/>
    <w:rPr>
      <w:i/>
      <w:iCs/>
      <w:color w:val="0F4761" w:themeColor="accent1" w:themeShade="BF"/>
    </w:rPr>
  </w:style>
  <w:style w:type="paragraph" w:styleId="Citatintens">
    <w:name w:val="Intense Quote"/>
    <w:basedOn w:val="Normal"/>
    <w:next w:val="Normal"/>
    <w:link w:val="CitatintensCaracter"/>
    <w:uiPriority w:val="30"/>
    <w:qFormat/>
    <w:rsid w:val="007B06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7B062F"/>
    <w:rPr>
      <w:i/>
      <w:iCs/>
      <w:color w:val="0F4761" w:themeColor="accent1" w:themeShade="BF"/>
    </w:rPr>
  </w:style>
  <w:style w:type="character" w:styleId="Referireintens">
    <w:name w:val="Intense Reference"/>
    <w:basedOn w:val="Fontdeparagrafimplicit"/>
    <w:uiPriority w:val="32"/>
    <w:qFormat/>
    <w:rsid w:val="007B062F"/>
    <w:rPr>
      <w:b/>
      <w:bCs/>
      <w:smallCaps/>
      <w:color w:val="0F4761" w:themeColor="accent1" w:themeShade="BF"/>
      <w:spacing w:val="5"/>
    </w:rPr>
  </w:style>
  <w:style w:type="paragraph" w:customStyle="1" w:styleId="p1">
    <w:name w:val="p1"/>
    <w:basedOn w:val="Normal"/>
    <w:rsid w:val="004635CF"/>
    <w:pPr>
      <w:spacing w:before="100" w:beforeAutospacing="1" w:after="100" w:afterAutospacing="1" w:line="240" w:lineRule="auto"/>
    </w:pPr>
    <w:rPr>
      <w:rFonts w:ascii="Times New Roman" w:eastAsiaTheme="minorEastAsia" w:hAnsi="Times New Roman" w:cs="Times New Roman"/>
      <w:kern w:val="0"/>
      <w:lang w:eastAsia="ro-RO"/>
      <w14:ligatures w14:val="none"/>
    </w:rPr>
  </w:style>
  <w:style w:type="character" w:customStyle="1" w:styleId="s1">
    <w:name w:val="s1"/>
    <w:basedOn w:val="Fontdeparagrafimplicit"/>
    <w:rsid w:val="004635CF"/>
  </w:style>
  <w:style w:type="character" w:customStyle="1" w:styleId="s2">
    <w:name w:val="s2"/>
    <w:basedOn w:val="Fontdeparagrafimplicit"/>
    <w:rsid w:val="00D71D39"/>
  </w:style>
  <w:style w:type="paragraph" w:customStyle="1" w:styleId="p2">
    <w:name w:val="p2"/>
    <w:basedOn w:val="Normal"/>
    <w:rsid w:val="00D71D39"/>
    <w:pPr>
      <w:spacing w:before="100" w:beforeAutospacing="1" w:after="100" w:afterAutospacing="1" w:line="240" w:lineRule="auto"/>
    </w:pPr>
    <w:rPr>
      <w:rFonts w:ascii="Times New Roman" w:eastAsiaTheme="minorEastAsia" w:hAnsi="Times New Roman" w:cs="Times New Roman"/>
      <w:kern w:val="0"/>
      <w:lang w:eastAsia="ro-RO"/>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2309</Words>
  <Characters>13393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Calin (2315026)</dc:creator>
  <cp:keywords/>
  <dc:description/>
  <cp:lastModifiedBy>Microsoft Office User</cp:lastModifiedBy>
  <cp:revision>2</cp:revision>
  <dcterms:created xsi:type="dcterms:W3CDTF">2026-03-17T11:23:00Z</dcterms:created>
  <dcterms:modified xsi:type="dcterms:W3CDTF">2026-03-17T11:23:00Z</dcterms:modified>
</cp:coreProperties>
</file>