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C1636B" wp14:paraId="4914D0DE" wp14:textId="085781E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 xml:space="preserve"> 1 </w:t>
      </w: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 Research</w:t>
      </w: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FC1636B" wp14:paraId="38B7A3C5" wp14:textId="6E1DBC0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Saima Sadiq</w:t>
      </w:r>
    </w:p>
    <w:p xmlns:wp14="http://schemas.microsoft.com/office/word/2010/wordml" w:rsidP="2FC1636B" wp14:paraId="25799F79" wp14:textId="7110B61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2410753</w:t>
      </w:r>
    </w:p>
    <w:p xmlns:wp14="http://schemas.microsoft.com/office/word/2010/wordml" w:rsidP="2FC1636B" wp14:paraId="7C4FD0F4" wp14:textId="6D0A18CD">
      <w:pPr>
        <w:shd w:val="clear" w:color="auto" w:fill="FFFFFF" w:themeFill="background1"/>
        <w:spacing w:before="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 xml:space="preserve">Module – </w:t>
      </w:r>
      <w:r w:rsidRPr="2FC1636B" w:rsidR="2CB0872A">
        <w:rPr>
          <w:rFonts w:ascii="Arial" w:hAnsi="Arial" w:eastAsia="Arial" w:cs="Arial"/>
          <w:b w:val="0"/>
          <w:bCs w:val="0"/>
          <w:i w:val="0"/>
          <w:iCs w:val="0"/>
          <w:caps w:val="0"/>
          <w:smallCaps w:val="0"/>
          <w:noProof w:val="0"/>
          <w:color w:val="000000" w:themeColor="text1" w:themeTint="FF" w:themeShade="FF"/>
          <w:sz w:val="22"/>
          <w:szCs w:val="22"/>
          <w:lang w:val="en-US"/>
        </w:rPr>
        <w:t xml:space="preserve">Introduction </w:t>
      </w:r>
      <w:r w:rsidRPr="2FC1636B" w:rsidR="2CB0872A">
        <w:rPr>
          <w:rFonts w:ascii="Arial" w:hAnsi="Arial" w:eastAsia="Arial" w:cs="Arial"/>
          <w:b w:val="0"/>
          <w:bCs w:val="0"/>
          <w:i w:val="0"/>
          <w:iCs w:val="0"/>
          <w:caps w:val="0"/>
          <w:smallCaps w:val="0"/>
          <w:noProof w:val="0"/>
          <w:color w:val="000000" w:themeColor="text1" w:themeTint="FF" w:themeShade="FF"/>
          <w:sz w:val="22"/>
          <w:szCs w:val="22"/>
          <w:lang w:val="en-US"/>
        </w:rPr>
        <w:t>to</w:t>
      </w:r>
      <w:r w:rsidRPr="2FC1636B" w:rsidR="2CB0872A">
        <w:rPr>
          <w:rFonts w:ascii="Arial" w:hAnsi="Arial" w:eastAsia="Arial" w:cs="Arial"/>
          <w:b w:val="0"/>
          <w:bCs w:val="0"/>
          <w:i w:val="0"/>
          <w:iCs w:val="0"/>
          <w:caps w:val="0"/>
          <w:smallCaps w:val="0"/>
          <w:noProof w:val="0"/>
          <w:color w:val="000000" w:themeColor="text1" w:themeTint="FF" w:themeShade="FF"/>
          <w:sz w:val="22"/>
          <w:szCs w:val="22"/>
          <w:lang w:val="en-US"/>
        </w:rPr>
        <w:t xml:space="preserve"> Independent Research Skills</w:t>
      </w:r>
    </w:p>
    <w:p xmlns:wp14="http://schemas.microsoft.com/office/word/2010/wordml" w:rsidP="2FC1636B" wp14:paraId="6B0D744D" wp14:textId="278FD87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Module Code – BMHP501</w:t>
      </w:r>
      <w:r w:rsidRPr="2FC1636B" w:rsidR="028357B7">
        <w:rPr>
          <w:rFonts w:ascii="Arial" w:hAnsi="Arial" w:eastAsia="Arial" w:cs="Arial"/>
          <w:b w:val="0"/>
          <w:bCs w:val="0"/>
          <w:i w:val="0"/>
          <w:iCs w:val="0"/>
          <w:caps w:val="0"/>
          <w:smallCaps w:val="0"/>
          <w:noProof w:val="0"/>
          <w:color w:val="000000" w:themeColor="text1" w:themeTint="FF" w:themeShade="FF"/>
          <w:sz w:val="22"/>
          <w:szCs w:val="22"/>
          <w:lang w:val="en-US"/>
        </w:rPr>
        <w:t>9</w:t>
      </w:r>
    </w:p>
    <w:p xmlns:wp14="http://schemas.microsoft.com/office/word/2010/wordml" w:rsidP="2FC1636B" wp14:paraId="7BD00F28" wp14:textId="27D6890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FC1636B" w:rsidR="1B38C7C5">
        <w:rPr>
          <w:rFonts w:ascii="Arial" w:hAnsi="Arial" w:eastAsia="Arial" w:cs="Arial"/>
          <w:b w:val="0"/>
          <w:bCs w:val="0"/>
          <w:i w:val="0"/>
          <w:iCs w:val="0"/>
          <w:caps w:val="0"/>
          <w:smallCaps w:val="0"/>
          <w:noProof w:val="0"/>
          <w:color w:val="000000" w:themeColor="text1" w:themeTint="FF" w:themeShade="FF"/>
          <w:sz w:val="22"/>
          <w:szCs w:val="22"/>
          <w:lang w:val="en-US"/>
        </w:rPr>
        <w:t xml:space="preserve">Lecture – </w:t>
      </w:r>
      <w:r w:rsidRPr="2FC1636B" w:rsidR="60E286E2">
        <w:rPr>
          <w:rFonts w:ascii="Arial" w:hAnsi="Arial" w:eastAsia="Arial" w:cs="Arial"/>
          <w:b w:val="0"/>
          <w:bCs w:val="0"/>
          <w:i w:val="0"/>
          <w:iCs w:val="0"/>
          <w:caps w:val="0"/>
          <w:smallCaps w:val="0"/>
          <w:noProof w:val="0"/>
          <w:color w:val="000000" w:themeColor="text1" w:themeTint="FF" w:themeShade="FF"/>
          <w:sz w:val="22"/>
          <w:szCs w:val="22"/>
          <w:lang w:val="en-US"/>
        </w:rPr>
        <w:t>Philip Jones</w:t>
      </w:r>
    </w:p>
    <w:p xmlns:wp14="http://schemas.microsoft.com/office/word/2010/wordml" wp14:paraId="2C078E63" wp14:textId="11B4C2E9"/>
    <w:p w:rsidR="2FC1636B" w:rsidRDefault="2FC1636B" w14:paraId="5C23A20C" w14:textId="25E503A8"/>
    <w:p w:rsidR="2FC1636B" w:rsidRDefault="2FC1636B" w14:paraId="690404E9" w14:textId="46FE6141"/>
    <w:p w:rsidR="2FC1636B" w:rsidRDefault="2FC1636B" w14:paraId="78B5247E" w14:textId="5CE7B208"/>
    <w:p w:rsidR="2FC1636B" w:rsidRDefault="2FC1636B" w14:paraId="3FDE64C2" w14:textId="10B3E166"/>
    <w:p w:rsidR="2FC1636B" w:rsidRDefault="2FC1636B" w14:paraId="04621273" w14:textId="2E42CA9D"/>
    <w:p w:rsidR="2FC1636B" w:rsidRDefault="2FC1636B" w14:paraId="7991696B" w14:textId="4537495E"/>
    <w:p w:rsidR="2FC1636B" w:rsidRDefault="2FC1636B" w14:paraId="12AD335B" w14:textId="24588D20"/>
    <w:p w:rsidR="2FC1636B" w:rsidRDefault="2FC1636B" w14:paraId="3F053524" w14:textId="7C52969F"/>
    <w:p w:rsidR="2FC1636B" w:rsidRDefault="2FC1636B" w14:paraId="30C05065" w14:textId="7759D71A"/>
    <w:p w:rsidR="2FC1636B" w:rsidRDefault="2FC1636B" w14:paraId="7E0E5F88" w14:textId="4E6AF542"/>
    <w:p w:rsidR="2FC1636B" w:rsidRDefault="2FC1636B" w14:paraId="54C551F3" w14:textId="66F2EF8D"/>
    <w:p w:rsidR="2FC1636B" w:rsidRDefault="2FC1636B" w14:paraId="43881BB0" w14:textId="1E394694"/>
    <w:p w:rsidR="2FC1636B" w:rsidRDefault="2FC1636B" w14:paraId="55D3F1DE" w14:textId="52EECFF3"/>
    <w:p w:rsidR="2FC1636B" w:rsidRDefault="2FC1636B" w14:paraId="553BCE92" w14:textId="2F09E620"/>
    <w:p w:rsidR="2FC1636B" w:rsidRDefault="2FC1636B" w14:paraId="20B9C796" w14:textId="3516F8B6"/>
    <w:p w:rsidR="2FC1636B" w:rsidRDefault="2FC1636B" w14:paraId="4B8FA79B" w14:textId="0ECE7E98"/>
    <w:p w:rsidR="2FC1636B" w:rsidRDefault="2FC1636B" w14:paraId="5F7FEF64" w14:textId="4B8456C7"/>
    <w:p w:rsidR="2FC1636B" w:rsidRDefault="2FC1636B" w14:paraId="0E4F0A4C" w14:textId="32C0F08D"/>
    <w:p w:rsidR="2FC1636B" w:rsidRDefault="2FC1636B" w14:paraId="38732494" w14:noSpellErr="1" w14:textId="53385B51"/>
    <w:p w:rsidR="5DF0D845" w:rsidP="12CDDC50" w:rsidRDefault="5DF0D845" w14:paraId="2C0FD859" w14:textId="2BF37696">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pPr>
      <w:r w:rsidRPr="12CDDC50" w:rsidR="28120EC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R</w:t>
      </w:r>
      <w:r w:rsidRPr="12CDDC50" w:rsidR="28120EC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esearch proposal</w:t>
      </w:r>
    </w:p>
    <w:p w:rsidR="5DF0D845" w:rsidP="12CDDC50" w:rsidRDefault="5DF0D845" w14:paraId="28F9FE28" w14:textId="1037F8FF">
      <w:pPr>
        <w:shd w:val="clear" w:color="auto" w:fill="FFFFFF" w:themeFill="background1"/>
        <w:spacing w:before="225" w:beforeAutospacing="off" w:after="22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pPr>
      <w:r w:rsidRPr="12CDDC50" w:rsidR="28120EC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Title: The relationship between nurse burnout and patient safety in UK healthcare settings: a scoping review</w:t>
      </w:r>
    </w:p>
    <w:p w:rsidR="5DF0D845" w:rsidP="12CDDC50" w:rsidRDefault="5DF0D845" w14:paraId="0AAF7985" w14:textId="711889E3">
      <w:pPr>
        <w:shd w:val="clear" w:color="auto" w:fill="FFFFFF" w:themeFill="background1"/>
        <w:spacing w:before="225" w:beforeAutospacing="off" w:after="22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Nurse burnout is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characterised</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by emotional exhaustion,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depersonalisation</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reduced professional accomplishment. This proposal concerns how burnout among registered nurses may affect patient safety within UK healthcare settings. The review question </w:t>
      </w:r>
      <w:r w:rsidRPr="12CDDC50" w:rsidR="581FC8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is What</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is known about the relationship between nurse burnout and patient</w:t>
      </w:r>
      <w:r w:rsidRPr="12CDDC50" w:rsidR="4E8597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safety outcomes in UK healthcare settings? The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objectives</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are to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identify</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prevalence and causes of nurse burnout map reported patient</w:t>
      </w:r>
      <w:r w:rsidRPr="12CDDC50" w:rsidR="77DF93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safety outcomes associated with </w:t>
      </w:r>
      <w:r w:rsidRPr="12CDDC50" w:rsidR="396A66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burnout,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examine differences across healthcare settings</w:t>
      </w:r>
      <w:r w:rsidRPr="12CDDC50" w:rsidR="343D62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and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identify</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gaps in the evidence and implications for UK practice.</w:t>
      </w:r>
    </w:p>
    <w:p w:rsidR="5DF0D845" w:rsidP="12CDDC50" w:rsidRDefault="5DF0D845" w14:paraId="322A8D1E" w14:textId="600BDDE2">
      <w:pPr>
        <w:pStyle w:val="Heading3"/>
        <w:shd w:val="clear" w:color="auto" w:fill="FFFFFF" w:themeFill="background1"/>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pPr>
      <w:r w:rsidRPr="12CDDC50" w:rsidR="28120EC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Rationale</w:t>
      </w:r>
    </w:p>
    <w:p w:rsidR="5DF0D845" w:rsidP="12CDDC50" w:rsidRDefault="5DF0D845" w14:paraId="779C881A" w14:textId="2240B658">
      <w:pPr>
        <w:shd w:val="clear" w:color="auto" w:fill="FFFFFF" w:themeFill="background1"/>
        <w:spacing w:before="225" w:beforeAutospacing="off" w:after="22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Burnout is important because </w:t>
      </w:r>
      <w:r w:rsidRPr="12CDDC50" w:rsidR="0A9773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nurses'</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psychological wellbeing can influence their concentration, communication, decision-</w:t>
      </w:r>
      <w:r w:rsidRPr="12CDDC50" w:rsidR="4B9F09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making,</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ability to deliver safe care. A recent systematic review and </w:t>
      </w:r>
      <w:r w:rsidRPr="12CDDC50" w:rsidR="78FA48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meta-analysis</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found that nurse burnout was associated with poorer safety, lower quality of </w:t>
      </w:r>
      <w:r w:rsidRPr="12CDDC50" w:rsidR="183318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care,</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reduced patient satisfaction (Li </w:t>
      </w:r>
      <w:r w:rsidRPr="12CDDC50" w:rsidR="1A739B68">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et al</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2024). Similarly, Jun </w:t>
      </w:r>
      <w:r w:rsidRPr="12CDDC50" w:rsidR="1A739B68">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et al</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(2021)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identified</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relationships between burnout and medication errors, adverse events, missed </w:t>
      </w:r>
      <w:r w:rsidRPr="12CDDC50" w:rsidR="3A6843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care,</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outcomes. These findings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indicate</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that burnout is not solely an occupational-wellbeing issue but also a potential patient-safety concern. This topic is particularly relevant to UK healthcare because workforce shortages, high </w:t>
      </w:r>
      <w:r w:rsidRPr="12CDDC50" w:rsidR="4F0666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workloads,</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inadequate staffing may intensify emotional exhaustion. Research in English NHS hospitals has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demonstrated</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 association between registered-nurse staffing levels and inpatient mortality, highlighting the safety implications of workforce pressures (Zaranko </w:t>
      </w:r>
      <w:r w:rsidRPr="12CDDC50" w:rsidR="1A739B68">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et al</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2023). However, the UK-specific evidence concerning burnout and the range of patient</w:t>
      </w:r>
      <w:r w:rsidRPr="12CDDC50" w:rsidR="3214FB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safety outcomes has not been clearly mapped.</w:t>
      </w:r>
    </w:p>
    <w:p w:rsidR="5DF0D845" w:rsidP="12CDDC50" w:rsidRDefault="5DF0D845" w14:paraId="13F73DDE" w14:textId="0F7952D2">
      <w:pPr>
        <w:pStyle w:val="Heading3"/>
        <w:shd w:val="clear" w:color="auto" w:fill="FFFFFF" w:themeFill="background1"/>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pPr>
      <w:r w:rsidRPr="12CDDC50" w:rsidR="764C8FF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Methods</w:t>
      </w:r>
      <w:r w:rsidRPr="12CDDC50" w:rsidR="7D5B149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 xml:space="preserve"> </w:t>
      </w:r>
    </w:p>
    <w:p w:rsidR="5DF0D845" w:rsidP="12CDDC50" w:rsidRDefault="5DF0D845" w14:paraId="45A9B921" w14:textId="729253D8">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A scoping review will be conducted using the methodological framework developed by Arksey and O’Malley (2005). The framework consists of five key stages: (1) identifying the research question; (2) identifying relevant studies; (3) selecting studies; (4) charting the data; and (5) collating, summarising and reporting the results (Arksey and O’Malley, 2005).</w:t>
      </w:r>
    </w:p>
    <w:p w:rsidR="5DF0D845" w:rsidP="12CDDC50" w:rsidRDefault="5DF0D845" w14:paraId="2806B5FB" w14:textId="4C3D69F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MEDLINE, CINAHL, PsycINFO and Sco</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pus will</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 be searched for peer-reviewed studies published in English from January 2021 to the search date. Search terms will combine terms relating to “</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nurse burnou</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t”, “emotional exhaustion”, “patient safety”, “adverse events”, “medication errors</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 “missed care” and the “United Kingdom</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 Studies involving registered nurses working in UK healt</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h or</w:t>
      </w:r>
      <w:r w:rsidRPr="12CDDC50" w:rsidR="0F261859">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socia</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l-care settings and reporting patient-safety outcomes w</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ill be considered </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for inclusion.</w:t>
      </w:r>
    </w:p>
    <w:p w:rsidR="452B9206" w:rsidP="12CDDC50" w:rsidRDefault="452B9206" w14:paraId="4338D11C" w14:textId="71B27305">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Study selection will involve two stages: screening titles and abst</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racts, </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followed by full-text screening against predefined eligibility criteria. Relevant data will be charted using a </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stan</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dardised</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 data-charting table, includi</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ng study </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setting, participant characteristics, m</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easures of burnout, patient-safety </w:t>
      </w:r>
      <w:r w:rsidRPr="12CDDC50" w:rsidR="5232AC02">
        <w:rPr>
          <w:rFonts w:ascii="Arial" w:hAnsi="Arial" w:eastAsia="Arial" w:cs="Arial" w:asciiTheme="minorAscii" w:hAnsiTheme="minorAscii" w:eastAsiaTheme="minorAscii" w:cstheme="minorAscii"/>
          <w:b w:val="0"/>
          <w:bCs w:val="0"/>
          <w:noProof w:val="0"/>
          <w:color w:val="auto"/>
          <w:sz w:val="22"/>
          <w:szCs w:val="22"/>
          <w:lang w:val="en-US"/>
        </w:rPr>
        <w:t>outcomes,</w:t>
      </w:r>
      <w:r w:rsidRPr="12CDDC50" w:rsidR="452B9206">
        <w:rPr>
          <w:rFonts w:ascii="Arial" w:hAnsi="Arial" w:eastAsia="Arial" w:cs="Arial" w:asciiTheme="minorAscii" w:hAnsiTheme="minorAscii" w:eastAsiaTheme="minorAscii" w:cstheme="minorAscii"/>
          <w:b w:val="0"/>
          <w:bCs w:val="0"/>
          <w:noProof w:val="0"/>
          <w:color w:val="auto"/>
          <w:sz w:val="22"/>
          <w:szCs w:val="22"/>
          <w:lang w:val="en-US"/>
        </w:rPr>
        <w:t xml:space="preserve"> and key findings.</w:t>
      </w:r>
      <w:r w:rsidRPr="12CDDC50" w:rsidR="4384D2EF">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12CDDC50" w:rsidR="4384D2EF">
        <w:rPr>
          <w:rFonts w:ascii="Arial" w:hAnsi="Arial" w:eastAsia="Arial" w:cs="Arial"/>
          <w:noProof w:val="0"/>
          <w:sz w:val="22"/>
          <w:szCs w:val="22"/>
          <w:lang w:val="en-US"/>
        </w:rPr>
        <w:t>Finally, the findings will be collated, summarised and reported using descriptive and thematic synthesis to identify key patterns, themes and gaps in the existing literature, in accordance with Arksey and O’Malley’s (2005) scoping review framework and the thematic analysis approach described by Braun and Clarke (2006).</w:t>
      </w:r>
      <w:r w:rsidRPr="12CDDC50" w:rsidR="4384D2EF">
        <w:rPr>
          <w:rFonts w:ascii="Arial" w:hAnsi="Arial" w:eastAsia="Arial" w:cs="Arial" w:asciiTheme="minorAscii" w:hAnsiTheme="minorAscii" w:eastAsiaTheme="minorAscii" w:cstheme="minorAscii"/>
          <w:b w:val="0"/>
          <w:bCs w:val="0"/>
          <w:noProof w:val="0"/>
          <w:color w:val="auto"/>
          <w:sz w:val="22"/>
          <w:szCs w:val="22"/>
          <w:lang w:val="en-US"/>
        </w:rPr>
        <w:t xml:space="preserve"> </w:t>
      </w:r>
    </w:p>
    <w:p w:rsidR="236880A6" w:rsidP="12CDDC50" w:rsidRDefault="236880A6" w14:paraId="66C6E567" w14:textId="00DDFE57">
      <w:pPr>
        <w:spacing w:before="240" w:beforeAutospacing="off" w:after="240" w:afterAutospacing="off" w:line="360" w:lineRule="auto"/>
      </w:pPr>
      <w:r w:rsidRPr="12CDDC50" w:rsidR="236880A6">
        <w:rPr>
          <w:rFonts w:ascii="Arial" w:hAnsi="Arial" w:eastAsia="Arial" w:cs="Arial" w:asciiTheme="minorAscii" w:hAnsiTheme="minorAscii" w:eastAsiaTheme="minorAscii" w:cstheme="minorAscii"/>
          <w:b w:val="0"/>
          <w:bCs w:val="0"/>
          <w:noProof w:val="0"/>
          <w:color w:val="auto"/>
          <w:sz w:val="22"/>
          <w:szCs w:val="22"/>
          <w:lang w:val="en-US"/>
        </w:rPr>
        <w:t xml:space="preserve"> </w:t>
      </w:r>
    </w:p>
    <w:tbl>
      <w:tblPr>
        <w:tblStyle w:val="TableGrid"/>
        <w:tblW w:w="0" w:type="auto"/>
        <w:tblLook w:val="06A0" w:firstRow="1" w:lastRow="0" w:firstColumn="1" w:lastColumn="0" w:noHBand="1" w:noVBand="1"/>
      </w:tblPr>
      <w:tblGrid>
        <w:gridCol w:w="3120"/>
        <w:gridCol w:w="3120"/>
        <w:gridCol w:w="3120"/>
      </w:tblGrid>
      <w:tr w:rsidR="12CDDC50" w:rsidTr="12CDDC50" w14:paraId="46B11D87">
        <w:trPr>
          <w:trHeight w:val="300"/>
        </w:trPr>
        <w:tc>
          <w:tcPr>
            <w:tcW w:w="3120" w:type="dxa"/>
            <w:tcMar/>
          </w:tcPr>
          <w:p w:rsidR="12CDDC50" w:rsidP="12CDDC50" w:rsidRDefault="12CDDC50" w14:paraId="2B76811C" w14:textId="47E736F5">
            <w:pPr>
              <w:spacing w:before="240" w:beforeAutospacing="off" w:after="240" w:afterAutospacing="off" w:line="360" w:lineRule="auto"/>
              <w:jc w:val="center"/>
              <w:rPr>
                <w:b w:val="1"/>
                <w:bCs w:val="1"/>
                <w:sz w:val="22"/>
                <w:szCs w:val="22"/>
              </w:rPr>
            </w:pPr>
            <w:r w:rsidRPr="12CDDC50" w:rsidR="12CDDC50">
              <w:rPr>
                <w:b w:val="1"/>
                <w:bCs w:val="1"/>
                <w:sz w:val="22"/>
                <w:szCs w:val="22"/>
              </w:rPr>
              <w:t>Stage</w:t>
            </w:r>
          </w:p>
        </w:tc>
        <w:tc>
          <w:tcPr>
            <w:tcW w:w="3120" w:type="dxa"/>
            <w:tcMar/>
          </w:tcPr>
          <w:p w:rsidR="12CDDC50" w:rsidP="12CDDC50" w:rsidRDefault="12CDDC50" w14:paraId="53E6E2A7" w14:textId="42BCBA6C">
            <w:pPr>
              <w:spacing w:before="240" w:beforeAutospacing="off" w:after="240" w:afterAutospacing="off" w:line="360" w:lineRule="auto"/>
              <w:jc w:val="center"/>
              <w:rPr>
                <w:b w:val="1"/>
                <w:bCs w:val="1"/>
                <w:sz w:val="22"/>
                <w:szCs w:val="22"/>
              </w:rPr>
            </w:pPr>
            <w:r w:rsidRPr="12CDDC50" w:rsidR="12CDDC50">
              <w:rPr>
                <w:b w:val="1"/>
                <w:bCs w:val="1"/>
                <w:sz w:val="22"/>
                <w:szCs w:val="22"/>
              </w:rPr>
              <w:t>Process</w:t>
            </w:r>
          </w:p>
        </w:tc>
        <w:tc>
          <w:tcPr>
            <w:tcW w:w="3120" w:type="dxa"/>
            <w:tcMar/>
          </w:tcPr>
          <w:p w:rsidR="12CDDC50" w:rsidP="12CDDC50" w:rsidRDefault="12CDDC50" w14:paraId="450B88CB" w14:textId="1F06F2E4">
            <w:pPr>
              <w:spacing w:before="240" w:beforeAutospacing="off" w:after="240" w:afterAutospacing="off" w:line="360" w:lineRule="auto"/>
              <w:jc w:val="center"/>
              <w:rPr>
                <w:b w:val="1"/>
                <w:bCs w:val="1"/>
                <w:sz w:val="22"/>
                <w:szCs w:val="22"/>
              </w:rPr>
            </w:pPr>
            <w:r w:rsidRPr="12CDDC50" w:rsidR="12CDDC50">
              <w:rPr>
                <w:b w:val="1"/>
                <w:bCs w:val="1"/>
                <w:sz w:val="22"/>
                <w:szCs w:val="22"/>
              </w:rPr>
              <w:t>Description</w:t>
            </w:r>
          </w:p>
        </w:tc>
      </w:tr>
      <w:tr w:rsidR="12CDDC50" w:rsidTr="12CDDC50" w14:paraId="78C7AB2B">
        <w:trPr>
          <w:trHeight w:val="300"/>
        </w:trPr>
        <w:tc>
          <w:tcPr>
            <w:tcW w:w="3120" w:type="dxa"/>
            <w:tcMar/>
          </w:tcPr>
          <w:p w:rsidR="12CDDC50" w:rsidP="12CDDC50" w:rsidRDefault="12CDDC50" w14:paraId="15B648FB" w14:textId="64244399">
            <w:pPr>
              <w:spacing w:before="240" w:beforeAutospacing="off" w:after="240" w:afterAutospacing="off" w:line="360" w:lineRule="auto"/>
              <w:rPr>
                <w:sz w:val="22"/>
                <w:szCs w:val="22"/>
              </w:rPr>
            </w:pPr>
            <w:r w:rsidRPr="12CDDC50" w:rsidR="12CDDC50">
              <w:rPr>
                <w:sz w:val="22"/>
                <w:szCs w:val="22"/>
              </w:rPr>
              <w:t>1. Study Selection</w:t>
            </w:r>
          </w:p>
        </w:tc>
        <w:tc>
          <w:tcPr>
            <w:tcW w:w="3120" w:type="dxa"/>
            <w:tcMar/>
          </w:tcPr>
          <w:p w:rsidR="12CDDC50" w:rsidP="12CDDC50" w:rsidRDefault="12CDDC50" w14:paraId="676C44B3" w14:textId="45247C93">
            <w:pPr>
              <w:spacing w:before="240" w:beforeAutospacing="off" w:after="240" w:afterAutospacing="off" w:line="360" w:lineRule="auto"/>
              <w:rPr>
                <w:sz w:val="22"/>
                <w:szCs w:val="22"/>
              </w:rPr>
            </w:pPr>
            <w:r w:rsidRPr="12CDDC50" w:rsidR="12CDDC50">
              <w:rPr>
                <w:sz w:val="22"/>
                <w:szCs w:val="22"/>
              </w:rPr>
              <w:t>Title and abstract screening</w:t>
            </w:r>
          </w:p>
        </w:tc>
        <w:tc>
          <w:tcPr>
            <w:tcW w:w="3120" w:type="dxa"/>
            <w:tcMar/>
          </w:tcPr>
          <w:p w:rsidR="12CDDC50" w:rsidP="12CDDC50" w:rsidRDefault="12CDDC50" w14:paraId="393A1291" w14:textId="566E3A85">
            <w:pPr>
              <w:spacing w:before="240" w:beforeAutospacing="off" w:after="240" w:afterAutospacing="off" w:line="360" w:lineRule="auto"/>
              <w:rPr>
                <w:sz w:val="22"/>
                <w:szCs w:val="22"/>
              </w:rPr>
            </w:pPr>
            <w:r w:rsidRPr="12CDDC50" w:rsidR="12CDDC50">
              <w:rPr>
                <w:sz w:val="22"/>
                <w:szCs w:val="22"/>
              </w:rPr>
              <w:t>Screen titles and abstracts to identify potentially relevant studies (Arksey &amp; O’Malley, 2005).</w:t>
            </w:r>
          </w:p>
        </w:tc>
      </w:tr>
      <w:tr w:rsidR="12CDDC50" w:rsidTr="12CDDC50" w14:paraId="3F46160F">
        <w:trPr>
          <w:trHeight w:val="300"/>
        </w:trPr>
        <w:tc>
          <w:tcPr>
            <w:tcW w:w="3120" w:type="dxa"/>
            <w:tcMar/>
          </w:tcPr>
          <w:p w:rsidR="12CDDC50" w:rsidP="12CDDC50" w:rsidRDefault="12CDDC50" w14:paraId="4FE01DDB" w14:textId="3276DF4E">
            <w:pPr>
              <w:spacing w:before="240" w:beforeAutospacing="off" w:after="240" w:afterAutospacing="off" w:line="360" w:lineRule="auto"/>
              <w:rPr>
                <w:sz w:val="22"/>
                <w:szCs w:val="22"/>
              </w:rPr>
            </w:pPr>
            <w:r w:rsidRPr="12CDDC50" w:rsidR="12CDDC50">
              <w:rPr>
                <w:sz w:val="22"/>
                <w:szCs w:val="22"/>
              </w:rPr>
              <w:t>2. Full-Text Screening</w:t>
            </w:r>
          </w:p>
        </w:tc>
        <w:tc>
          <w:tcPr>
            <w:tcW w:w="3120" w:type="dxa"/>
            <w:tcMar/>
          </w:tcPr>
          <w:p w:rsidR="12CDDC50" w:rsidP="12CDDC50" w:rsidRDefault="12CDDC50" w14:paraId="3A75CCA7" w14:textId="0FB21586">
            <w:pPr>
              <w:spacing w:before="240" w:beforeAutospacing="off" w:after="240" w:afterAutospacing="off" w:line="360" w:lineRule="auto"/>
              <w:rPr>
                <w:sz w:val="22"/>
                <w:szCs w:val="22"/>
              </w:rPr>
            </w:pPr>
            <w:r w:rsidRPr="12CDDC50" w:rsidR="12CDDC50">
              <w:rPr>
                <w:sz w:val="22"/>
                <w:szCs w:val="22"/>
              </w:rPr>
              <w:t>Eligibility assessment</w:t>
            </w:r>
          </w:p>
        </w:tc>
        <w:tc>
          <w:tcPr>
            <w:tcW w:w="3120" w:type="dxa"/>
            <w:tcMar/>
          </w:tcPr>
          <w:p w:rsidR="12CDDC50" w:rsidP="12CDDC50" w:rsidRDefault="12CDDC50" w14:paraId="24182233" w14:textId="167209BC">
            <w:pPr>
              <w:spacing w:before="240" w:beforeAutospacing="off" w:after="240" w:afterAutospacing="off" w:line="360" w:lineRule="auto"/>
              <w:rPr>
                <w:sz w:val="22"/>
                <w:szCs w:val="22"/>
              </w:rPr>
            </w:pPr>
            <w:r w:rsidRPr="12CDDC50" w:rsidR="12CDDC50">
              <w:rPr>
                <w:sz w:val="22"/>
                <w:szCs w:val="22"/>
              </w:rPr>
              <w:t>Assess full-text articles against predefined inclusion and exclusion criteria (Arksey &amp; O’Malley, 2005).</w:t>
            </w:r>
          </w:p>
        </w:tc>
      </w:tr>
      <w:tr w:rsidR="12CDDC50" w:rsidTr="12CDDC50" w14:paraId="03F00DA5">
        <w:trPr>
          <w:trHeight w:val="300"/>
        </w:trPr>
        <w:tc>
          <w:tcPr>
            <w:tcW w:w="3120" w:type="dxa"/>
            <w:tcMar/>
          </w:tcPr>
          <w:p w:rsidR="12CDDC50" w:rsidP="12CDDC50" w:rsidRDefault="12CDDC50" w14:paraId="14214A68" w14:textId="79C8C469">
            <w:pPr>
              <w:spacing w:before="240" w:beforeAutospacing="off" w:after="240" w:afterAutospacing="off" w:line="360" w:lineRule="auto"/>
              <w:rPr>
                <w:sz w:val="22"/>
                <w:szCs w:val="22"/>
              </w:rPr>
            </w:pPr>
            <w:r w:rsidRPr="12CDDC50" w:rsidR="12CDDC50">
              <w:rPr>
                <w:sz w:val="22"/>
                <w:szCs w:val="22"/>
              </w:rPr>
              <w:t>3. Data Charting</w:t>
            </w:r>
          </w:p>
        </w:tc>
        <w:tc>
          <w:tcPr>
            <w:tcW w:w="3120" w:type="dxa"/>
            <w:tcMar/>
          </w:tcPr>
          <w:p w:rsidR="12CDDC50" w:rsidP="12CDDC50" w:rsidRDefault="12CDDC50" w14:paraId="525F9335" w14:textId="35401552">
            <w:pPr>
              <w:spacing w:before="240" w:beforeAutospacing="off" w:after="240" w:afterAutospacing="off" w:line="360" w:lineRule="auto"/>
              <w:rPr>
                <w:sz w:val="22"/>
                <w:szCs w:val="22"/>
              </w:rPr>
            </w:pPr>
            <w:r w:rsidRPr="12CDDC50" w:rsidR="12CDDC50">
              <w:rPr>
                <w:sz w:val="22"/>
                <w:szCs w:val="22"/>
              </w:rPr>
              <w:t>Data extraction</w:t>
            </w:r>
          </w:p>
        </w:tc>
        <w:tc>
          <w:tcPr>
            <w:tcW w:w="3120" w:type="dxa"/>
            <w:tcMar/>
          </w:tcPr>
          <w:p w:rsidR="12CDDC50" w:rsidP="12CDDC50" w:rsidRDefault="12CDDC50" w14:paraId="3D6AAF2C" w14:textId="7888CCDA">
            <w:pPr>
              <w:spacing w:before="240" w:beforeAutospacing="off" w:after="240" w:afterAutospacing="off" w:line="360" w:lineRule="auto"/>
              <w:rPr>
                <w:sz w:val="22"/>
                <w:szCs w:val="22"/>
              </w:rPr>
            </w:pPr>
            <w:r w:rsidRPr="12CDDC50" w:rsidR="12CDDC50">
              <w:rPr>
                <w:sz w:val="22"/>
                <w:szCs w:val="22"/>
              </w:rPr>
              <w:t xml:space="preserve">Use a </w:t>
            </w:r>
            <w:r w:rsidRPr="12CDDC50" w:rsidR="12CDDC50">
              <w:rPr>
                <w:sz w:val="22"/>
                <w:szCs w:val="22"/>
              </w:rPr>
              <w:t>standardised</w:t>
            </w:r>
            <w:r w:rsidRPr="12CDDC50" w:rsidR="12CDDC50">
              <w:rPr>
                <w:sz w:val="22"/>
                <w:szCs w:val="22"/>
              </w:rPr>
              <w:t xml:space="preserve"> table to extract study </w:t>
            </w:r>
            <w:r w:rsidRPr="12CDDC50" w:rsidR="3D4C66CB">
              <w:rPr>
                <w:sz w:val="22"/>
                <w:szCs w:val="22"/>
              </w:rPr>
              <w:t>settings</w:t>
            </w:r>
            <w:r w:rsidRPr="12CDDC50" w:rsidR="12CDDC50">
              <w:rPr>
                <w:sz w:val="22"/>
                <w:szCs w:val="22"/>
              </w:rPr>
              <w:t xml:space="preserve">, participant characteristics, burnout measures, patient-safety </w:t>
            </w:r>
            <w:r w:rsidRPr="12CDDC50" w:rsidR="68530EA0">
              <w:rPr>
                <w:sz w:val="22"/>
                <w:szCs w:val="22"/>
              </w:rPr>
              <w:t>outcomes,</w:t>
            </w:r>
            <w:r w:rsidRPr="12CDDC50" w:rsidR="12CDDC50">
              <w:rPr>
                <w:sz w:val="22"/>
                <w:szCs w:val="22"/>
              </w:rPr>
              <w:t xml:space="preserve"> and key findings (Arksey &amp; O’Malley, 2005).</w:t>
            </w:r>
          </w:p>
        </w:tc>
      </w:tr>
      <w:tr w:rsidR="12CDDC50" w:rsidTr="12CDDC50" w14:paraId="4953406D">
        <w:trPr>
          <w:trHeight w:val="300"/>
        </w:trPr>
        <w:tc>
          <w:tcPr>
            <w:tcW w:w="3120" w:type="dxa"/>
            <w:tcMar/>
          </w:tcPr>
          <w:p w:rsidR="12CDDC50" w:rsidP="12CDDC50" w:rsidRDefault="12CDDC50" w14:paraId="582C3333" w14:textId="75FC9636">
            <w:pPr>
              <w:spacing w:before="240" w:beforeAutospacing="off" w:after="240" w:afterAutospacing="off" w:line="360" w:lineRule="auto"/>
              <w:rPr>
                <w:sz w:val="22"/>
                <w:szCs w:val="22"/>
              </w:rPr>
            </w:pPr>
            <w:r w:rsidRPr="12CDDC50" w:rsidR="12CDDC50">
              <w:rPr>
                <w:sz w:val="22"/>
                <w:szCs w:val="22"/>
              </w:rPr>
              <w:t>4. Data Synthesis</w:t>
            </w:r>
          </w:p>
        </w:tc>
        <w:tc>
          <w:tcPr>
            <w:tcW w:w="3120" w:type="dxa"/>
            <w:tcMar/>
          </w:tcPr>
          <w:p w:rsidR="12CDDC50" w:rsidP="12CDDC50" w:rsidRDefault="12CDDC50" w14:paraId="6A812509" w14:textId="625ACEFE">
            <w:pPr>
              <w:spacing w:before="240" w:beforeAutospacing="off" w:after="240" w:afterAutospacing="off" w:line="360" w:lineRule="auto"/>
              <w:rPr>
                <w:sz w:val="22"/>
                <w:szCs w:val="22"/>
              </w:rPr>
            </w:pPr>
            <w:r w:rsidRPr="12CDDC50" w:rsidR="12CDDC50">
              <w:rPr>
                <w:sz w:val="22"/>
                <w:szCs w:val="22"/>
              </w:rPr>
              <w:t>Descriptive and thematic synthesis</w:t>
            </w:r>
          </w:p>
        </w:tc>
        <w:tc>
          <w:tcPr>
            <w:tcW w:w="3120" w:type="dxa"/>
            <w:tcMar/>
          </w:tcPr>
          <w:p w:rsidR="12CDDC50" w:rsidP="12CDDC50" w:rsidRDefault="12CDDC50" w14:paraId="7069B5FA" w14:textId="0805F76E">
            <w:pPr>
              <w:spacing w:before="240" w:beforeAutospacing="off" w:after="240" w:afterAutospacing="off" w:line="360" w:lineRule="auto"/>
              <w:rPr>
                <w:sz w:val="22"/>
                <w:szCs w:val="22"/>
              </w:rPr>
            </w:pPr>
            <w:r w:rsidRPr="12CDDC50" w:rsidR="12CDDC50">
              <w:rPr>
                <w:sz w:val="22"/>
                <w:szCs w:val="22"/>
              </w:rPr>
              <w:t>Summarise findings and identify key themes, patterns and research gaps (Arksey &amp; O’Malley, 2005).</w:t>
            </w:r>
          </w:p>
        </w:tc>
      </w:tr>
      <w:tr w:rsidR="12CDDC50" w:rsidTr="12CDDC50" w14:paraId="23D5558A">
        <w:trPr>
          <w:trHeight w:val="300"/>
        </w:trPr>
        <w:tc>
          <w:tcPr>
            <w:tcW w:w="3120" w:type="dxa"/>
            <w:tcMar/>
          </w:tcPr>
          <w:p w:rsidR="12CDDC50" w:rsidP="12CDDC50" w:rsidRDefault="12CDDC50" w14:paraId="6EAE3338" w14:textId="28E5A48D">
            <w:pPr>
              <w:spacing w:before="240" w:beforeAutospacing="off" w:after="240" w:afterAutospacing="off" w:line="360" w:lineRule="auto"/>
              <w:rPr>
                <w:sz w:val="22"/>
                <w:szCs w:val="22"/>
              </w:rPr>
            </w:pPr>
            <w:r w:rsidRPr="12CDDC50" w:rsidR="12CDDC50">
              <w:rPr>
                <w:sz w:val="22"/>
                <w:szCs w:val="22"/>
              </w:rPr>
              <w:t>5. Reporting</w:t>
            </w:r>
          </w:p>
        </w:tc>
        <w:tc>
          <w:tcPr>
            <w:tcW w:w="3120" w:type="dxa"/>
            <w:tcMar/>
          </w:tcPr>
          <w:p w:rsidR="12CDDC50" w:rsidP="12CDDC50" w:rsidRDefault="12CDDC50" w14:paraId="2BC1DCE1" w14:textId="7BC9EA2C">
            <w:pPr>
              <w:spacing w:before="240" w:beforeAutospacing="off" w:after="240" w:afterAutospacing="off" w:line="360" w:lineRule="auto"/>
              <w:rPr>
                <w:sz w:val="22"/>
                <w:szCs w:val="22"/>
              </w:rPr>
            </w:pPr>
            <w:r w:rsidRPr="12CDDC50" w:rsidR="12CDDC50">
              <w:rPr>
                <w:sz w:val="22"/>
                <w:szCs w:val="22"/>
              </w:rPr>
              <w:t>Presentation of findings</w:t>
            </w:r>
          </w:p>
        </w:tc>
        <w:tc>
          <w:tcPr>
            <w:tcW w:w="3120" w:type="dxa"/>
            <w:tcMar/>
          </w:tcPr>
          <w:p w:rsidR="12CDDC50" w:rsidP="12CDDC50" w:rsidRDefault="12CDDC50" w14:paraId="4C486AF4" w14:textId="09E5625B">
            <w:pPr>
              <w:spacing w:before="240" w:beforeAutospacing="off" w:after="240" w:afterAutospacing="off" w:line="360" w:lineRule="auto"/>
              <w:rPr>
                <w:sz w:val="22"/>
                <w:szCs w:val="22"/>
              </w:rPr>
            </w:pPr>
            <w:r w:rsidRPr="12CDDC50" w:rsidR="12CDDC50">
              <w:rPr>
                <w:sz w:val="22"/>
                <w:szCs w:val="22"/>
              </w:rPr>
              <w:t>Present the findings systematically in accordance with the scoping review framework (Arksey &amp; O’Malley, 2005).</w:t>
            </w:r>
          </w:p>
        </w:tc>
      </w:tr>
    </w:tbl>
    <w:p w:rsidR="5DF0D845" w:rsidP="12CDDC50" w:rsidRDefault="5DF0D845" w14:paraId="11C5DBF3" w14:textId="34972B16">
      <w:pPr>
        <w:pStyle w:val="Heading3"/>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pPr>
      <w:r w:rsidRPr="12CDDC50" w:rsidR="764C8FF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single"/>
          <w:lang w:val="en-US"/>
        </w:rPr>
        <w:t>Ethical considerations</w:t>
      </w:r>
    </w:p>
    <w:p w:rsidR="5DF0D845" w:rsidP="12CDDC50" w:rsidRDefault="5DF0D845" w14:paraId="04A672F2" w14:textId="76893933">
      <w:pPr>
        <w:shd w:val="clear" w:color="auto" w:fill="FFFFFF" w:themeFill="background1"/>
        <w:spacing w:before="225" w:beforeAutospacing="off" w:after="22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Ethical approval is not normally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required</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because the review will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analyse</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published literature without recruiting participants or accessing confidential patient information. Nevertheless,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accurate</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representation, transparent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selection</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appropriate </w:t>
      </w:r>
      <w:r w:rsidRPr="12CDDC50" w:rsidR="4D86340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attribution,</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avoidance of plagiarism will be </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maintained</w:t>
      </w:r>
      <w:r w:rsidRPr="12CDDC50" w:rsidR="1A739B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Limitations and conflicts of interest within included studies will also be reported.</w:t>
      </w:r>
    </w:p>
    <w:p w:rsidR="2FC1636B" w:rsidP="29EFFC6F" w:rsidRDefault="2FC1636B" w14:paraId="09CB1970" w14:textId="1B506EB2">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p>
    <w:p w:rsidR="2FC1636B" w:rsidP="29EFFC6F" w:rsidRDefault="2FC1636B" w14:paraId="33F09D55" w14:textId="4E222A95">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p>
    <w:p w:rsidR="2FC1636B" w:rsidP="29EFFC6F" w:rsidRDefault="2FC1636B" w14:paraId="338DF241" w14:textId="5BCF08F5">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p>
    <w:p w:rsidR="2FC1636B" w:rsidP="29EFFC6F" w:rsidRDefault="2FC1636B" w14:paraId="04A251B3" w14:textId="1910ACBB">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p>
    <w:p w:rsidR="2FC1636B" w:rsidP="29EFFC6F" w:rsidRDefault="2FC1636B" w14:paraId="1C7D0E40" w14:textId="72DC0F48">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p>
    <w:p w:rsidR="2FC1636B" w:rsidP="29EFFC6F" w:rsidRDefault="2FC1636B" w14:paraId="1C5C2173" w14:textId="277ADC16">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p>
    <w:p w:rsidR="2FC1636B" w:rsidP="29EFFC6F" w:rsidRDefault="2FC1636B" w14:paraId="7CB0183D" w14:textId="43D02917">
      <w:pPr>
        <w:shd w:val="clear" w:color="auto" w:fill="FFFFFF" w:themeFill="background1"/>
        <w:spacing w:before="225" w:beforeAutospacing="off" w:after="22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p>
    <w:p w:rsidR="2FC1636B" w:rsidP="2FC1636B" w:rsidRDefault="2FC1636B" w14:paraId="53DE0963" w14:noSpellErr="1" w14:textId="13E4B743">
      <w:pPr>
        <w:pStyle w:val="Normal"/>
      </w:pPr>
    </w:p>
    <w:p w:rsidR="2FC1636B" w:rsidP="29EFFC6F" w:rsidRDefault="2FC1636B" w14:paraId="19901FDF" w14:textId="368E8173">
      <w:pPr>
        <w:pStyle w:val="Heading2"/>
        <w:shd w:val="clear" w:color="auto" w:fill="FFFFFF" w:themeFill="background1"/>
        <w:spacing w:before="299" w:beforeAutospacing="off" w:after="299"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pPr>
      <w:r w:rsidRPr="12CDDC50" w:rsidR="66BCC72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US"/>
        </w:rPr>
        <w:t>Reference list</w:t>
      </w:r>
    </w:p>
    <w:p w:rsidR="2FC1636B" w:rsidP="12CDDC50" w:rsidRDefault="2FC1636B" w14:paraId="3D0BB1A1" w14:textId="65C0FD20">
      <w:pPr>
        <w:spacing w:before="240" w:beforeAutospacing="off" w:after="240" w:afterAutospacing="off" w:line="360" w:lineRule="auto"/>
        <w:rPr>
          <w:sz w:val="22"/>
          <w:szCs w:val="22"/>
        </w:rPr>
      </w:pPr>
      <w:r w:rsidRPr="12CDDC50" w:rsidR="6999C4D4">
        <w:rPr>
          <w:rFonts w:ascii="Arial" w:hAnsi="Arial" w:eastAsia="Arial" w:cs="Arial"/>
          <w:noProof w:val="0"/>
          <w:sz w:val="22"/>
          <w:szCs w:val="22"/>
          <w:lang w:val="en-US"/>
        </w:rPr>
        <w:t xml:space="preserve">Arksey, H. and O’Malley, L. (2005) ‘Scoping studies: towards a methodological framework’, International Journal of Social Research Methodology, 8(1), pp. 19–32. Available at: </w:t>
      </w:r>
      <w:hyperlink r:id="R6ce3081681a5491d">
        <w:r w:rsidRPr="12CDDC50" w:rsidR="6999C4D4">
          <w:rPr>
            <w:rStyle w:val="Hyperlink"/>
            <w:noProof w:val="0"/>
            <w:sz w:val="22"/>
            <w:szCs w:val="22"/>
            <w:lang w:val="en-US"/>
          </w:rPr>
          <w:t>https://doi.org/10.1080/1364557032000119616</w:t>
        </w:r>
      </w:hyperlink>
    </w:p>
    <w:p w:rsidR="2FC1636B" w:rsidP="12CDDC50" w:rsidRDefault="2FC1636B" w14:paraId="6FD12394" w14:textId="5392CCCB">
      <w:pPr>
        <w:spacing w:before="240" w:beforeAutospacing="off" w:after="240" w:afterAutospacing="off" w:line="360" w:lineRule="auto"/>
        <w:rPr>
          <w:sz w:val="22"/>
          <w:szCs w:val="22"/>
        </w:rPr>
      </w:pPr>
      <w:r w:rsidRPr="12CDDC50" w:rsidR="6999C4D4">
        <w:rPr>
          <w:rFonts w:ascii="Arial" w:hAnsi="Arial" w:eastAsia="Arial" w:cs="Arial"/>
          <w:noProof w:val="0"/>
          <w:sz w:val="22"/>
          <w:szCs w:val="22"/>
          <w:lang w:val="en-US"/>
        </w:rPr>
        <w:t xml:space="preserve">Braun, V. and Clarke, V. (2006) ‘Using thematic analysis in psychology’, Qualitative Research in Psychology, 3(2), pp. 77–101. Available at: </w:t>
      </w:r>
      <w:hyperlink r:id="R79119fa6310b4e6f">
        <w:r w:rsidRPr="12CDDC50" w:rsidR="6999C4D4">
          <w:rPr>
            <w:rStyle w:val="Hyperlink"/>
            <w:noProof w:val="0"/>
            <w:sz w:val="22"/>
            <w:szCs w:val="22"/>
            <w:lang w:val="en-US"/>
          </w:rPr>
          <w:t>https://doi.org/10.1191/1478088706qp063oa</w:t>
        </w:r>
      </w:hyperlink>
    </w:p>
    <w:p w:rsidR="2FC1636B" w:rsidP="12CDDC50" w:rsidRDefault="2FC1636B" w14:paraId="643C6293" w14:textId="09BCBE40">
      <w:pPr>
        <w:spacing w:before="240" w:beforeAutospacing="off" w:after="240" w:afterAutospacing="off" w:line="360" w:lineRule="auto"/>
        <w:rPr>
          <w:rFonts w:ascii="Arial" w:hAnsi="Arial" w:eastAsia="Arial" w:cs="Arial"/>
          <w:noProof w:val="0"/>
          <w:sz w:val="22"/>
          <w:szCs w:val="22"/>
          <w:lang w:val="en-US"/>
        </w:rPr>
      </w:pPr>
      <w:r w:rsidRPr="12CDDC50" w:rsidR="6999C4D4">
        <w:rPr>
          <w:rFonts w:ascii="Arial" w:hAnsi="Arial" w:eastAsia="Arial" w:cs="Arial"/>
          <w:noProof w:val="0"/>
          <w:sz w:val="22"/>
          <w:szCs w:val="22"/>
          <w:lang w:val="en-US"/>
        </w:rPr>
        <w:t xml:space="preserve">Jun, J., Ojemeni, M.M., Kalamani, R., Tong, J. and Crecelius, M.L. (2021) ‘Relationship between nurse burnout, patient and organizational outcomes: Systematic review’, International Journal of Nursing Studies, 119, article 103933. Available at: </w:t>
      </w:r>
      <w:hyperlink r:id="Rced49e5300184f83">
        <w:r w:rsidRPr="12CDDC50" w:rsidR="6999C4D4">
          <w:rPr>
            <w:rStyle w:val="Hyperlink"/>
            <w:noProof w:val="0"/>
            <w:sz w:val="22"/>
            <w:szCs w:val="22"/>
            <w:lang w:val="en-US"/>
          </w:rPr>
          <w:t>https://doi.org/10.1016/j.ijnurstu.2021.103933</w:t>
        </w:r>
      </w:hyperlink>
      <w:r w:rsidRPr="12CDDC50" w:rsidR="6999C4D4">
        <w:rPr>
          <w:rFonts w:ascii="Arial" w:hAnsi="Arial" w:eastAsia="Arial" w:cs="Arial"/>
          <w:noProof w:val="0"/>
          <w:sz w:val="22"/>
          <w:szCs w:val="22"/>
          <w:lang w:val="en-US"/>
        </w:rPr>
        <w:t xml:space="preserve"> </w:t>
      </w:r>
      <w:r w:rsidRPr="12CDDC50" w:rsidR="6999C4D4">
        <w:rPr>
          <w:rFonts w:ascii="Arial" w:hAnsi="Arial" w:eastAsia="Arial" w:cs="Arial"/>
          <w:noProof w:val="0"/>
          <w:sz w:val="22"/>
          <w:szCs w:val="22"/>
          <w:lang w:val="en-US"/>
        </w:rPr>
        <w:t>(Accessed: 13 September 2026).</w:t>
      </w:r>
    </w:p>
    <w:p w:rsidR="2FC1636B" w:rsidP="12CDDC50" w:rsidRDefault="2FC1636B" w14:paraId="5814593F" w14:textId="1EBA0DEA">
      <w:pPr>
        <w:spacing w:before="240" w:beforeAutospacing="off" w:after="240" w:afterAutospacing="off" w:line="360" w:lineRule="auto"/>
        <w:rPr>
          <w:rFonts w:ascii="Arial" w:hAnsi="Arial" w:eastAsia="Arial" w:cs="Arial"/>
          <w:noProof w:val="0"/>
          <w:sz w:val="22"/>
          <w:szCs w:val="22"/>
          <w:lang w:val="en-US"/>
        </w:rPr>
      </w:pPr>
      <w:r w:rsidRPr="12CDDC50" w:rsidR="6999C4D4">
        <w:rPr>
          <w:rFonts w:ascii="Arial" w:hAnsi="Arial" w:eastAsia="Arial" w:cs="Arial"/>
          <w:noProof w:val="0"/>
          <w:sz w:val="22"/>
          <w:szCs w:val="22"/>
          <w:lang w:val="en-US"/>
        </w:rPr>
        <w:t xml:space="preserve">Li, L.Z., Yang, P., Singer, S.J., Pfeffer, J., Mathur, M.B. and Shanafelt, T. (2024) ‘Nurse burnout and patient safety, satisfaction, and quality of care: A systematic review and meta-analysis’, JAMA Network Open, 7(11), article e2443059. Available at: </w:t>
      </w:r>
      <w:hyperlink r:id="R13a43edeb8104a00">
        <w:r w:rsidRPr="12CDDC50" w:rsidR="6999C4D4">
          <w:rPr>
            <w:rStyle w:val="Hyperlink"/>
            <w:noProof w:val="0"/>
            <w:sz w:val="22"/>
            <w:szCs w:val="22"/>
            <w:lang w:val="en-US"/>
          </w:rPr>
          <w:t>https://doi.org/10.1001/jamanetworkopen.2024.43059</w:t>
        </w:r>
      </w:hyperlink>
      <w:r w:rsidRPr="12CDDC50" w:rsidR="6999C4D4">
        <w:rPr>
          <w:rFonts w:ascii="Arial" w:hAnsi="Arial" w:eastAsia="Arial" w:cs="Arial"/>
          <w:noProof w:val="0"/>
          <w:sz w:val="22"/>
          <w:szCs w:val="22"/>
          <w:lang w:val="en-US"/>
        </w:rPr>
        <w:t xml:space="preserve"> </w:t>
      </w:r>
      <w:r w:rsidRPr="12CDDC50" w:rsidR="6999C4D4">
        <w:rPr>
          <w:rFonts w:ascii="Arial" w:hAnsi="Arial" w:eastAsia="Arial" w:cs="Arial"/>
          <w:noProof w:val="0"/>
          <w:sz w:val="22"/>
          <w:szCs w:val="22"/>
          <w:lang w:val="en-US"/>
        </w:rPr>
        <w:t>(Accessed: 13 September 2026).</w:t>
      </w:r>
    </w:p>
    <w:p w:rsidR="2FC1636B" w:rsidP="12CDDC50" w:rsidRDefault="2FC1636B" w14:paraId="197A5606" w14:textId="741C2553">
      <w:pPr>
        <w:spacing w:before="240" w:beforeAutospacing="off" w:after="240" w:afterAutospacing="off" w:line="360" w:lineRule="auto"/>
        <w:rPr>
          <w:rFonts w:ascii="Arial" w:hAnsi="Arial" w:eastAsia="Arial" w:cs="Arial"/>
          <w:noProof w:val="0"/>
          <w:sz w:val="22"/>
          <w:szCs w:val="22"/>
          <w:lang w:val="en-US"/>
        </w:rPr>
      </w:pPr>
      <w:r w:rsidRPr="12CDDC50" w:rsidR="6999C4D4">
        <w:rPr>
          <w:rFonts w:ascii="Arial" w:hAnsi="Arial" w:eastAsia="Arial" w:cs="Arial"/>
          <w:noProof w:val="0"/>
          <w:sz w:val="22"/>
          <w:szCs w:val="22"/>
          <w:lang w:val="en-US"/>
        </w:rPr>
        <w:t xml:space="preserve">Peters, M.D.J., Godfrey, C., McInerney, P., Khalil, H., Larsen, P., Marnie, C., Pollock, D., Tricco, A.C. and Munn, Z. (2022) ‘Best practice guidance and reporting items for the development of scoping review protocols’, JBI Evidence Synthesis, 20(4), pp. 953–968. Available at: </w:t>
      </w:r>
      <w:hyperlink r:id="R272186215e4c418c">
        <w:r w:rsidRPr="12CDDC50" w:rsidR="6999C4D4">
          <w:rPr>
            <w:rStyle w:val="Hyperlink"/>
            <w:noProof w:val="0"/>
            <w:sz w:val="22"/>
            <w:szCs w:val="22"/>
            <w:lang w:val="en-US"/>
          </w:rPr>
          <w:t>https://doi.org/10.11124/JBIES-21-00242</w:t>
        </w:r>
      </w:hyperlink>
      <w:r w:rsidRPr="12CDDC50" w:rsidR="6999C4D4">
        <w:rPr>
          <w:rFonts w:ascii="Arial" w:hAnsi="Arial" w:eastAsia="Arial" w:cs="Arial"/>
          <w:noProof w:val="0"/>
          <w:sz w:val="22"/>
          <w:szCs w:val="22"/>
          <w:lang w:val="en-US"/>
        </w:rPr>
        <w:t xml:space="preserve"> </w:t>
      </w:r>
      <w:r w:rsidRPr="12CDDC50" w:rsidR="6999C4D4">
        <w:rPr>
          <w:rFonts w:ascii="Arial" w:hAnsi="Arial" w:eastAsia="Arial" w:cs="Arial"/>
          <w:noProof w:val="0"/>
          <w:sz w:val="22"/>
          <w:szCs w:val="22"/>
          <w:lang w:val="en-US"/>
        </w:rPr>
        <w:t>(Accessed: 13 September 2026).</w:t>
      </w:r>
    </w:p>
    <w:p w:rsidR="2FC1636B" w:rsidP="12CDDC50" w:rsidRDefault="2FC1636B" w14:paraId="4E5ED7D4" w14:textId="2402433C">
      <w:pPr>
        <w:spacing w:before="240" w:beforeAutospacing="off" w:after="240" w:afterAutospacing="off" w:line="360" w:lineRule="auto"/>
        <w:rPr>
          <w:rFonts w:ascii="Arial" w:hAnsi="Arial" w:eastAsia="Arial" w:cs="Arial"/>
          <w:noProof w:val="0"/>
          <w:sz w:val="22"/>
          <w:szCs w:val="22"/>
          <w:lang w:val="en-US"/>
        </w:rPr>
      </w:pPr>
      <w:r w:rsidRPr="12CDDC50" w:rsidR="6999C4D4">
        <w:rPr>
          <w:rFonts w:ascii="Arial" w:hAnsi="Arial" w:eastAsia="Arial" w:cs="Arial"/>
          <w:noProof w:val="0"/>
          <w:sz w:val="22"/>
          <w:szCs w:val="22"/>
          <w:lang w:val="en-US"/>
        </w:rPr>
        <w:t xml:space="preserve">Zaranko, B., Sanford, N.J., Kelly, E., Rafferty, A.M., Bird, J., Mercuri, L., Recio Saucedo, A., Fogg, C. and Griffiths, P. (2023) ‘Nurse staffing and inpatient mortality in the English National Health Service: A retrospective longitudinal study’, BMJ Quality &amp; Safety, 32(5), pp. 254–263. Available at: </w:t>
      </w:r>
      <w:hyperlink r:id="Ra404a88fc17f49ab">
        <w:r w:rsidRPr="12CDDC50" w:rsidR="6999C4D4">
          <w:rPr>
            <w:rStyle w:val="Hyperlink"/>
            <w:noProof w:val="0"/>
            <w:sz w:val="22"/>
            <w:szCs w:val="22"/>
            <w:lang w:val="en-US"/>
          </w:rPr>
          <w:t>https://doi.org/10.1136/bmjqs-2022-015291</w:t>
        </w:r>
      </w:hyperlink>
      <w:r w:rsidRPr="12CDDC50" w:rsidR="6999C4D4">
        <w:rPr>
          <w:rFonts w:ascii="Arial" w:hAnsi="Arial" w:eastAsia="Arial" w:cs="Arial"/>
          <w:noProof w:val="0"/>
          <w:sz w:val="22"/>
          <w:szCs w:val="22"/>
          <w:lang w:val="en-US"/>
        </w:rPr>
        <w:t xml:space="preserve"> </w:t>
      </w:r>
      <w:r w:rsidRPr="12CDDC50" w:rsidR="6999C4D4">
        <w:rPr>
          <w:rFonts w:ascii="Arial" w:hAnsi="Arial" w:eastAsia="Arial" w:cs="Arial"/>
          <w:noProof w:val="0"/>
          <w:sz w:val="22"/>
          <w:szCs w:val="22"/>
          <w:lang w:val="en-US"/>
        </w:rPr>
        <w:t>(Accessed: 13 September 2026).</w:t>
      </w:r>
    </w:p>
    <w:p w:rsidR="2FC1636B" w:rsidP="2FC1636B" w:rsidRDefault="2FC1636B" w14:paraId="43F1FEBD" w14:textId="4ECF48D0">
      <w:pPr>
        <w:pStyle w:val="Normal"/>
      </w:pPr>
    </w:p>
    <w:p w:rsidR="2FC1636B" w:rsidP="2FC1636B" w:rsidRDefault="2FC1636B" w14:paraId="477F1FF2" w14:textId="2C4FCFB6">
      <w:pPr>
        <w:pStyle w:val="Normal"/>
      </w:pPr>
    </w:p>
    <w:p w:rsidR="2FC1636B" w:rsidP="2FC1636B" w:rsidRDefault="2FC1636B" w14:paraId="489CB23C" w14:textId="6129D320">
      <w:pPr>
        <w:pStyle w:val="Normal"/>
      </w:pPr>
    </w:p>
    <w:p w:rsidR="2FC1636B" w:rsidP="2FC1636B" w:rsidRDefault="2FC1636B" w14:paraId="432E5E79" w14:textId="35098D02">
      <w:pPr>
        <w:pStyle w:val="Normal"/>
      </w:pPr>
    </w:p>
    <w:p w:rsidR="2FC1636B" w:rsidP="2FC1636B" w:rsidRDefault="2FC1636B" w14:paraId="2CA0D1B8" w14:textId="4F99AC30">
      <w:pPr>
        <w:pStyle w:val="Normal"/>
      </w:pPr>
    </w:p>
    <w:p w:rsidR="2FC1636B" w:rsidP="2FC1636B" w:rsidRDefault="2FC1636B" w14:paraId="13F704B8" w14:textId="20090AD3">
      <w:pPr>
        <w:pStyle w:val="Normal"/>
      </w:pPr>
    </w:p>
    <w:p w:rsidR="2FC1636B" w:rsidP="2FC1636B" w:rsidRDefault="2FC1636B" w14:paraId="32FB877A" w14:textId="37E10D57">
      <w:pPr>
        <w:pStyle w:val="Normal"/>
      </w:pPr>
    </w:p>
    <w:p w:rsidR="2FC1636B" w:rsidP="2FC1636B" w:rsidRDefault="2FC1636B" w14:paraId="5BE08EA8" w14:textId="4956EF4C">
      <w:pPr>
        <w:pStyle w:val="Normal"/>
      </w:pPr>
    </w:p>
    <w:p w:rsidR="054D5D11" w:rsidP="054D5D11" w:rsidRDefault="054D5D11" w14:paraId="5C5258C1" w14:textId="651A883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sSVoklr1usIES" int2:id="C99yvCzo">
      <int2:state int2:type="spell" int2:value="Rejected"/>
    </int2:textHash>
    <int2:textHash int2:hashCode="/EewnMmHErfsTr" int2:id="5G3Ycy7N">
      <int2:state int2:type="spell" int2:value="Rejected"/>
    </int2:textHash>
    <int2:textHash int2:hashCode="uMWlah6SoXLKCn" int2:id="dgCX6Xi6">
      <int2:state int2:type="spell" int2:value="Rejected"/>
    </int2:textHash>
    <int2:textHash int2:hashCode="xcgb3EeIup7nN2" int2:id="W9fqXDYg">
      <int2:state int2:type="spell" int2:value="Rejected"/>
    </int2:textHash>
    <int2:textHash int2:hashCode="U81tIsQJix3+JX" int2:id="dI3cKQyT">
      <int2:state int2:type="spell" int2:value="Rejected"/>
    </int2:textHash>
    <int2:textHash int2:hashCode="Pwxxtk1Oaaejcq" int2:id="16QFLR3a">
      <int2:state int2:type="spell" int2:value="Rejected"/>
    </int2:textHash>
    <int2:textHash int2:hashCode="kv4UVae7TQCfC0" int2:id="hA9Tvob1">
      <int2:state int2:type="spell" int2:value="Rejected"/>
    </int2:textHash>
    <int2:textHash int2:hashCode="tsxxgUjaFLAFxO" int2:id="THTbVYtb">
      <int2:state int2:type="spell" int2:value="Rejected"/>
    </int2:textHash>
    <int2:textHash int2:hashCode="yLGa3PbIwIauAZ" int2:id="Ww5XFVJe">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5C16BD"/>
    <w:rsid w:val="022467E2"/>
    <w:rsid w:val="025C16BD"/>
    <w:rsid w:val="028357B7"/>
    <w:rsid w:val="02CDD348"/>
    <w:rsid w:val="0366F932"/>
    <w:rsid w:val="03D1DD35"/>
    <w:rsid w:val="04F99E78"/>
    <w:rsid w:val="054D5D11"/>
    <w:rsid w:val="09249C02"/>
    <w:rsid w:val="0A353E63"/>
    <w:rsid w:val="0A977376"/>
    <w:rsid w:val="0B8F2683"/>
    <w:rsid w:val="0B9BCC5F"/>
    <w:rsid w:val="0F261859"/>
    <w:rsid w:val="118F33E0"/>
    <w:rsid w:val="120E37B0"/>
    <w:rsid w:val="12CDDC50"/>
    <w:rsid w:val="17963E7B"/>
    <w:rsid w:val="17AA5A51"/>
    <w:rsid w:val="18331828"/>
    <w:rsid w:val="19899604"/>
    <w:rsid w:val="1A739B68"/>
    <w:rsid w:val="1AC91286"/>
    <w:rsid w:val="1B38C7C5"/>
    <w:rsid w:val="1B669882"/>
    <w:rsid w:val="1CADC819"/>
    <w:rsid w:val="1D078C33"/>
    <w:rsid w:val="1DF7754D"/>
    <w:rsid w:val="236880A6"/>
    <w:rsid w:val="23A5E4E1"/>
    <w:rsid w:val="25710D88"/>
    <w:rsid w:val="25BE8C4C"/>
    <w:rsid w:val="25DD34CF"/>
    <w:rsid w:val="28120ECD"/>
    <w:rsid w:val="28F49519"/>
    <w:rsid w:val="29EFFC6F"/>
    <w:rsid w:val="2A0574B0"/>
    <w:rsid w:val="2C754B74"/>
    <w:rsid w:val="2CB0872A"/>
    <w:rsid w:val="2DC1F2B8"/>
    <w:rsid w:val="2FC1636B"/>
    <w:rsid w:val="2FF1648E"/>
    <w:rsid w:val="30B73750"/>
    <w:rsid w:val="311AC544"/>
    <w:rsid w:val="3214FB94"/>
    <w:rsid w:val="32C7A0FB"/>
    <w:rsid w:val="3363A6C4"/>
    <w:rsid w:val="33AD10DA"/>
    <w:rsid w:val="3423D6E1"/>
    <w:rsid w:val="343D6257"/>
    <w:rsid w:val="37F01CB1"/>
    <w:rsid w:val="39310D5B"/>
    <w:rsid w:val="396A66EC"/>
    <w:rsid w:val="3A684322"/>
    <w:rsid w:val="3D4C66CB"/>
    <w:rsid w:val="3ED89BEB"/>
    <w:rsid w:val="40ECA512"/>
    <w:rsid w:val="436F2D49"/>
    <w:rsid w:val="4384D2EF"/>
    <w:rsid w:val="43D69035"/>
    <w:rsid w:val="452B9206"/>
    <w:rsid w:val="4909EB36"/>
    <w:rsid w:val="495909FA"/>
    <w:rsid w:val="4A9D1623"/>
    <w:rsid w:val="4B9F0995"/>
    <w:rsid w:val="4CE32F97"/>
    <w:rsid w:val="4D863405"/>
    <w:rsid w:val="4E859751"/>
    <w:rsid w:val="4F0666FC"/>
    <w:rsid w:val="501E07ED"/>
    <w:rsid w:val="5232AC02"/>
    <w:rsid w:val="5312499A"/>
    <w:rsid w:val="54F0514A"/>
    <w:rsid w:val="55DD2246"/>
    <w:rsid w:val="5795431B"/>
    <w:rsid w:val="581FC872"/>
    <w:rsid w:val="589F294A"/>
    <w:rsid w:val="59682DF6"/>
    <w:rsid w:val="5D4CCAF6"/>
    <w:rsid w:val="5DA935D2"/>
    <w:rsid w:val="5DF0D845"/>
    <w:rsid w:val="5E1C8EF4"/>
    <w:rsid w:val="5E3A9CB5"/>
    <w:rsid w:val="60B611E1"/>
    <w:rsid w:val="60E286E2"/>
    <w:rsid w:val="6429DF9E"/>
    <w:rsid w:val="643C872A"/>
    <w:rsid w:val="64A52881"/>
    <w:rsid w:val="66BCC727"/>
    <w:rsid w:val="67155ABA"/>
    <w:rsid w:val="68530EA0"/>
    <w:rsid w:val="685DD24A"/>
    <w:rsid w:val="68877C8D"/>
    <w:rsid w:val="68CD1249"/>
    <w:rsid w:val="691F434D"/>
    <w:rsid w:val="6999C4D4"/>
    <w:rsid w:val="69C8F966"/>
    <w:rsid w:val="69C8F966"/>
    <w:rsid w:val="6A534343"/>
    <w:rsid w:val="6A67A9F5"/>
    <w:rsid w:val="6B6AD6C3"/>
    <w:rsid w:val="6D3F9717"/>
    <w:rsid w:val="6ED178E3"/>
    <w:rsid w:val="73493164"/>
    <w:rsid w:val="73AE5C04"/>
    <w:rsid w:val="74A6CA18"/>
    <w:rsid w:val="757E8E11"/>
    <w:rsid w:val="764C8FF8"/>
    <w:rsid w:val="76C4889F"/>
    <w:rsid w:val="77DF936C"/>
    <w:rsid w:val="78DE8212"/>
    <w:rsid w:val="78EF2F94"/>
    <w:rsid w:val="78FA485A"/>
    <w:rsid w:val="7A14EA37"/>
    <w:rsid w:val="7AB109FC"/>
    <w:rsid w:val="7D20003C"/>
    <w:rsid w:val="7D5B1496"/>
    <w:rsid w:val="7F25C031"/>
    <w:rsid w:val="7F7CE6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699DA"/>
  <w15:chartTrackingRefBased/>
  <w15:docId w15:val="{337AE929-5488-4FCB-9AC9-3C3D172779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FC1636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FC1636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FC1636B"/>
    <w:rPr>
      <w:color w:val="467886"/>
      <w:u w:val="single"/>
    </w:rPr>
  </w:style>
  <w:style w:type="paragraph" w:styleId="Heading1">
    <w:uiPriority w:val="9"/>
    <w:name w:val="heading 1"/>
    <w:basedOn w:val="Normal"/>
    <w:next w:val="Normal"/>
    <w:qFormat/>
    <w:rsid w:val="054D5D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febe580367647a8" /><Relationship Type="http://schemas.openxmlformats.org/officeDocument/2006/relationships/hyperlink" Target="https://doi.org/10.1080/1364557032000119616" TargetMode="External" Id="R6ce3081681a5491d" /><Relationship Type="http://schemas.openxmlformats.org/officeDocument/2006/relationships/hyperlink" Target="https://doi.org/10.1191/1478088706qp063oa" TargetMode="External" Id="R79119fa6310b4e6f" /><Relationship Type="http://schemas.openxmlformats.org/officeDocument/2006/relationships/hyperlink" Target="https://doi.org/10.1016/j.ijnurstu.2021.103933" TargetMode="External" Id="Rced49e5300184f83" /><Relationship Type="http://schemas.openxmlformats.org/officeDocument/2006/relationships/hyperlink" Target="https://doi.org/10.1001/jamanetworkopen.2024.43059" TargetMode="External" Id="R13a43edeb8104a00" /><Relationship Type="http://schemas.openxmlformats.org/officeDocument/2006/relationships/hyperlink" Target="https://doi.org/10.11124/JBIES-21-00242" TargetMode="External" Id="R272186215e4c418c" /><Relationship Type="http://schemas.openxmlformats.org/officeDocument/2006/relationships/hyperlink" Target="https://doi.org/10.1136/bmjqs-2022-015291" TargetMode="External" Id="Ra404a88fc17f49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2026-09-13T09:16:12.3973832Z</dcterms:created>
  <dcterms:modified xsi:type="dcterms:W3CDTF">2026-10-11T09:52:22.2143869Z</dcterms:modified>
  <dc:creator>Saima Sadiq (2410753)</dc:creator>
  <lastModifiedBy>Saima Sadiq (2410753)</lastModifiedBy>
</coreProperties>
</file>