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Black" w:hAnsi="Arial Black"/>
        </w:rPr>
        <w:id w:val="-1865809094"/>
        <w:docPartObj>
          <w:docPartGallery w:val="Cover Pages"/>
          <w:docPartUnique/>
        </w:docPartObj>
      </w:sdtPr>
      <w:sdtEndPr>
        <w:rPr>
          <w:rFonts w:cs="Arial"/>
          <w:color w:val="4C94D8" w:themeColor="text2" w:themeTint="80"/>
          <w:u w:val="thick"/>
        </w:rPr>
      </w:sdtEndPr>
      <w:sdtContent>
        <w:p w14:paraId="718892A9" w14:textId="50072AA6" w:rsidR="00D43564" w:rsidRPr="00D43564" w:rsidRDefault="00D43564" w:rsidP="00D43564">
          <w:pPr>
            <w:rPr>
              <w:rFonts w:ascii="Arial Black" w:hAnsi="Arial Black"/>
            </w:rPr>
          </w:pPr>
          <w:r w:rsidRPr="00D43564">
            <w:rPr>
              <w:rFonts w:ascii="Arial Black" w:hAnsi="Arial Black"/>
            </w:rPr>
            <w:t>Student name:</w:t>
          </w:r>
          <w:r w:rsidRPr="00D43564">
            <w:rPr>
              <w:rFonts w:ascii="Arial Black" w:hAnsi="Arial Black"/>
            </w:rPr>
            <w:t xml:space="preserve"> Catalin Dumitru </w:t>
          </w:r>
          <w:r w:rsidRPr="00D43564">
            <w:rPr>
              <w:rFonts w:ascii="Arial Black" w:hAnsi="Arial Black"/>
            </w:rPr>
            <w:tab/>
            <w:t xml:space="preserve">     </w:t>
          </w:r>
        </w:p>
        <w:p w14:paraId="1F6F4F96" w14:textId="6C900DBE" w:rsidR="00D43564" w:rsidRPr="00D43564" w:rsidRDefault="00D43564" w:rsidP="00D43564">
          <w:pPr>
            <w:rPr>
              <w:rFonts w:ascii="Arial Black" w:hAnsi="Arial Black"/>
            </w:rPr>
          </w:pPr>
          <w:r w:rsidRPr="00D43564">
            <w:rPr>
              <w:rFonts w:ascii="Arial Black" w:hAnsi="Arial Black"/>
            </w:rPr>
            <w:t>Programme:</w:t>
          </w:r>
          <w:r>
            <w:rPr>
              <w:rFonts w:ascii="Arial Black" w:hAnsi="Arial Black"/>
            </w:rPr>
            <w:t xml:space="preserve"> </w:t>
          </w:r>
          <w:r w:rsidRPr="00D43564">
            <w:rPr>
              <w:rFonts w:ascii="Arial Black" w:hAnsi="Arial Black"/>
            </w:rPr>
            <w:t>Sustainable Enterprise/ Social Enterprise Management</w:t>
          </w:r>
        </w:p>
        <w:p w14:paraId="0C4D0071" w14:textId="092430AD" w:rsidR="00D43564" w:rsidRPr="00D43564" w:rsidRDefault="00D43564" w:rsidP="00D43564">
          <w:pPr>
            <w:rPr>
              <w:rFonts w:ascii="Arial Black" w:hAnsi="Arial Black"/>
            </w:rPr>
          </w:pPr>
          <w:r w:rsidRPr="00D43564">
            <w:rPr>
              <w:rFonts w:ascii="Arial Black" w:hAnsi="Arial Black"/>
            </w:rPr>
            <w:t>Module:</w:t>
          </w:r>
          <w:r w:rsidRPr="00D43564">
            <w:rPr>
              <w:rFonts w:ascii="Arial Black" w:hAnsi="Arial Black"/>
            </w:rPr>
            <w:t xml:space="preserve"> </w:t>
          </w:r>
          <w:r w:rsidRPr="00D43564">
            <w:rPr>
              <w:rFonts w:ascii="Arial Black" w:hAnsi="Arial Black"/>
            </w:rPr>
            <w:t xml:space="preserve">Sustainable Enterprise </w:t>
          </w:r>
        </w:p>
        <w:p w14:paraId="0AF785FB" w14:textId="68FE01C4" w:rsidR="00D43564" w:rsidRPr="00D43564" w:rsidRDefault="00D43564" w:rsidP="00D43564">
          <w:pPr>
            <w:rPr>
              <w:rFonts w:ascii="Arial Black" w:hAnsi="Arial Black"/>
            </w:rPr>
          </w:pPr>
          <w:r w:rsidRPr="00D43564">
            <w:rPr>
              <w:rFonts w:ascii="Arial Black" w:hAnsi="Arial Black"/>
            </w:rPr>
            <w:t>Module code:</w:t>
          </w:r>
          <w:r>
            <w:rPr>
              <w:rFonts w:ascii="Arial Black" w:hAnsi="Arial Black"/>
            </w:rPr>
            <w:t xml:space="preserve"> </w:t>
          </w:r>
          <w:r w:rsidRPr="00D43564">
            <w:rPr>
              <w:rFonts w:ascii="Arial Black" w:hAnsi="Arial Black"/>
            </w:rPr>
            <w:t>BMSE4010D</w:t>
          </w:r>
        </w:p>
        <w:p w14:paraId="13785957" w14:textId="2C30E260" w:rsidR="00D43564" w:rsidRDefault="00D43564">
          <w:pPr>
            <w:rPr>
              <w:rFonts w:ascii="Arial Black" w:hAnsi="Arial Black" w:cs="Arial"/>
              <w:color w:val="4C94D8" w:themeColor="text2" w:themeTint="80"/>
              <w:u w:val="thick"/>
            </w:rPr>
          </w:pPr>
          <w:r>
            <w:rPr>
              <w:noProof/>
            </w:rPr>
            <mc:AlternateContent>
              <mc:Choice Requires="wps">
                <w:drawing>
                  <wp:anchor distT="0" distB="0" distL="182880" distR="182880" simplePos="0" relativeHeight="251660288" behindDoc="0" locked="0" layoutInCell="1" allowOverlap="1" wp14:anchorId="0A9EAD82" wp14:editId="1EF0D711">
                    <wp:simplePos x="0" y="0"/>
                    <wp:positionH relativeFrom="margin">
                      <wp:posOffset>-704215</wp:posOffset>
                    </wp:positionH>
                    <wp:positionV relativeFrom="page">
                      <wp:posOffset>6576907</wp:posOffset>
                    </wp:positionV>
                    <wp:extent cx="7064375" cy="6720840"/>
                    <wp:effectExtent l="0" t="0" r="3175"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706437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3E4624" w14:textId="6C8A1CA3" w:rsidR="00D43564" w:rsidRPr="00D43564" w:rsidRDefault="00D43564" w:rsidP="00D43564">
                                <w:pPr>
                                  <w:pStyle w:val="NoSpacing"/>
                                  <w:spacing w:before="40" w:after="560" w:line="216" w:lineRule="auto"/>
                                  <w:rPr>
                                    <w:rFonts w:ascii="Arial Black" w:hAnsi="Arial Black"/>
                                    <w:color w:val="156082" w:themeColor="accent1"/>
                                    <w:sz w:val="72"/>
                                    <w:szCs w:val="72"/>
                                  </w:rPr>
                                </w:pPr>
                                <w:sdt>
                                  <w:sdtPr>
                                    <w:rPr>
                                      <w:rFonts w:ascii="Arial Black" w:hAnsi="Arial Black"/>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Pr="00D43564">
                                      <w:rPr>
                                        <w:rFonts w:ascii="Arial Black" w:hAnsi="Arial Black"/>
                                        <w:color w:val="156082" w:themeColor="accent1"/>
                                        <w:sz w:val="72"/>
                                        <w:szCs w:val="72"/>
                                      </w:rPr>
                                      <w:t xml:space="preserve">     </w:t>
                                    </w:r>
                                  </w:sdtContent>
                                </w:sdt>
                                <w:r w:rsidRPr="00D43564">
                                  <w:rPr>
                                    <w:rFonts w:ascii="Arial Black" w:hAnsi="Arial Black"/>
                                  </w:rPr>
                                  <w:t xml:space="preserve"> </w:t>
                                </w:r>
                                <w:r w:rsidRPr="00615FC8">
                                  <w:rPr>
                                    <w:rFonts w:ascii="Arial Black" w:hAnsi="Arial Black"/>
                                    <w:color w:val="156082" w:themeColor="accent1"/>
                                    <w:sz w:val="72"/>
                                    <w:szCs w:val="72"/>
                                    <w:u w:val="thick"/>
                                  </w:rPr>
                                  <w:t>AuroraRise Renewables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0A9EAD82" id="_x0000_t202" coordsize="21600,21600" o:spt="202" path="m,l,21600r21600,l21600,xe">
                    <v:stroke joinstyle="miter"/>
                    <v:path gradientshapeok="t" o:connecttype="rect"/>
                  </v:shapetype>
                  <v:shape id="Text Box 131" o:spid="_x0000_s1026" type="#_x0000_t202" style="position:absolute;margin-left:-55.45pt;margin-top:517.85pt;width:556.2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UwYAIAAC4FAAAOAAAAZHJzL2Uyb0RvYy54bWysVN9P2zAQfp+0/8Hy+5q0QEEVKepAnSZV&#10;gFYmnl3HptEcn2dfm3R//c5O0iK2F6a9OBff7+++8/VNWxu2Vz5UYAs+HuWcKSuhrOxLwb8/LT9d&#10;cRZQ2FIYsKrgBxX4zfzjh+vGzdQEtmBK5RkFsWHWuIJvEd0sy4LcqlqEEThlSanB1wLp179kpRcN&#10;Ra9NNsnzadaAL50HqUKg27tOyecpvtZK4oPWQSEzBafaMJ0+nZt4ZvNrMXvxwm0r2Zch/qGKWlSW&#10;kh5D3QkUbOerP0LVlfQQQONIQp2B1pVUqQfqZpy/6Wa9FU6lXgic4I4whf8XVt7v1+7RM2w/Q0sD&#10;jIA0LswCXcZ+Wu3r+KVKGekJwsMRNtUik3R5mU/Pzy4vOJOkm15O8qvzBGx2cnc+4BcFNYtCwT3N&#10;JcEl9quAlJJMB5OYzcKyMibNxljWUNSzizw5HDXkYWy0VWnKfZhT6UnCg1HRxthvSrOqTB3Ei8Qv&#10;dWs82wtihpBSWUzNp7hkHa00FfEex97+VNV7nLs+hsxg8ehcVxZ86v5N2eWPoWTd2ROQr/qOIrab&#10;th/pBsoDTdpDtwTByWVF01iJgI/CE+tpuLTJ+ECHNkCoQy9xtgX/62/30Z7ISFrOGtqigoefO+EV&#10;Z+arJZrGlRsEPwibQbC7+hYI/jG9EU4mkRw8mkHUHupnWvBFzEIqYSXlKjgO4i12u0wPhFSLRTKi&#10;xXICV3btZAwdpxG59dQ+C+96AiJx9x6G/RKzNzzsbBNR3GKHxMZE0ghoh2IPNC1l4m7/gMStf/2f&#10;rE7P3Pw3AAAA//8DAFBLAwQUAAYACAAAACEArMiRQOMAAAAPAQAADwAAAGRycy9kb3ducmV2Lnht&#10;bEyPwU7DMBBE70j8g7VI3FrbKW1piFMBEohKvZBy4ebGSxyI1yF22/D3uCc4ruZp5m2xHl3HjjiE&#10;1pMCORXAkGpvWmoUvO2eJrfAQtRkdOcJFfxggHV5eVHo3PgTveKxig1LJRRyrcDG2Oech9qi02Hq&#10;e6SUffjB6ZjOoeFm0KdU7jqeCbHgTreUFqzu8dFi/VUdnIL32dAYa+cPn9lmi1v90j5vviulrq/G&#10;+ztgEcf4B8NZP6lDmZz2/kAmsE7BREqxSmxKxGy+BHZmhJALYHsFmVjdSOBlwf//Uf4CAAD//wMA&#10;UEsBAi0AFAAGAAgAAAAhALaDOJL+AAAA4QEAABMAAAAAAAAAAAAAAAAAAAAAAFtDb250ZW50X1R5&#10;cGVzXS54bWxQSwECLQAUAAYACAAAACEAOP0h/9YAAACUAQAACwAAAAAAAAAAAAAAAAAvAQAAX3Jl&#10;bHMvLnJlbHNQSwECLQAUAAYACAAAACEAfhMFMGACAAAuBQAADgAAAAAAAAAAAAAAAAAuAgAAZHJz&#10;L2Uyb0RvYy54bWxQSwECLQAUAAYACAAAACEArMiRQOMAAAAPAQAADwAAAAAAAAAAAAAAAAC6BAAA&#10;ZHJzL2Rvd25yZXYueG1sUEsFBgAAAAAEAAQA8wAAAMoFAAAAAA==&#10;" filled="f" stroked="f" strokeweight=".5pt">
                    <v:textbox style="mso-fit-shape-to-text:t" inset="0,0,0,0">
                      <w:txbxContent>
                        <w:p w14:paraId="473E4624" w14:textId="6C8A1CA3" w:rsidR="00D43564" w:rsidRPr="00D43564" w:rsidRDefault="00D43564" w:rsidP="00D43564">
                          <w:pPr>
                            <w:pStyle w:val="NoSpacing"/>
                            <w:spacing w:before="40" w:after="560" w:line="216" w:lineRule="auto"/>
                            <w:rPr>
                              <w:rFonts w:ascii="Arial Black" w:hAnsi="Arial Black"/>
                              <w:color w:val="156082" w:themeColor="accent1"/>
                              <w:sz w:val="72"/>
                              <w:szCs w:val="72"/>
                            </w:rPr>
                          </w:pPr>
                          <w:sdt>
                            <w:sdtPr>
                              <w:rPr>
                                <w:rFonts w:ascii="Arial Black" w:hAnsi="Arial Black"/>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Pr="00D43564">
                                <w:rPr>
                                  <w:rFonts w:ascii="Arial Black" w:hAnsi="Arial Black"/>
                                  <w:color w:val="156082" w:themeColor="accent1"/>
                                  <w:sz w:val="72"/>
                                  <w:szCs w:val="72"/>
                                </w:rPr>
                                <w:t xml:space="preserve">     </w:t>
                              </w:r>
                            </w:sdtContent>
                          </w:sdt>
                          <w:r w:rsidRPr="00D43564">
                            <w:rPr>
                              <w:rFonts w:ascii="Arial Black" w:hAnsi="Arial Black"/>
                            </w:rPr>
                            <w:t xml:space="preserve"> </w:t>
                          </w:r>
                          <w:r w:rsidRPr="00615FC8">
                            <w:rPr>
                              <w:rFonts w:ascii="Arial Black" w:hAnsi="Arial Black"/>
                              <w:color w:val="156082" w:themeColor="accent1"/>
                              <w:sz w:val="72"/>
                              <w:szCs w:val="72"/>
                              <w:u w:val="thick"/>
                            </w:rPr>
                            <w:t>AuroraRise Renewables</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B743C24" wp14:editId="45340C5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3-15T00:00:00Z">
                                    <w:dateFormat w:val="yyyy"/>
                                    <w:lid w:val="en-US"/>
                                    <w:storeMappedDataAs w:val="dateTime"/>
                                    <w:calendar w:val="gregorian"/>
                                  </w:date>
                                </w:sdtPr>
                                <w:sdtContent>
                                  <w:p w14:paraId="47EB3850" w14:textId="2A40E834" w:rsidR="00D43564" w:rsidRPr="00D43564" w:rsidRDefault="00D43564">
                                    <w:pPr>
                                      <w:pStyle w:val="NoSpacing"/>
                                      <w:jc w:val="right"/>
                                      <w:rPr>
                                        <w:rFonts w:ascii="Arial Black" w:hAnsi="Arial Black"/>
                                        <w:color w:val="FFFFFF" w:themeColor="background1"/>
                                        <w:sz w:val="24"/>
                                        <w:szCs w:val="24"/>
                                      </w:rPr>
                                    </w:pPr>
                                    <w:r w:rsidRPr="00D43564">
                                      <w:rPr>
                                        <w:rFonts w:ascii="Arial Black" w:hAnsi="Arial Black"/>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B743C24"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3-15T00:00:00Z">
                              <w:dateFormat w:val="yyyy"/>
                              <w:lid w:val="en-US"/>
                              <w:storeMappedDataAs w:val="dateTime"/>
                              <w:calendar w:val="gregorian"/>
                            </w:date>
                          </w:sdtPr>
                          <w:sdtContent>
                            <w:p w14:paraId="47EB3850" w14:textId="2A40E834" w:rsidR="00D43564" w:rsidRPr="00D43564" w:rsidRDefault="00D43564">
                              <w:pPr>
                                <w:pStyle w:val="NoSpacing"/>
                                <w:jc w:val="right"/>
                                <w:rPr>
                                  <w:rFonts w:ascii="Arial Black" w:hAnsi="Arial Black"/>
                                  <w:color w:val="FFFFFF" w:themeColor="background1"/>
                                  <w:sz w:val="24"/>
                                  <w:szCs w:val="24"/>
                                </w:rPr>
                              </w:pPr>
                              <w:r w:rsidRPr="00D43564">
                                <w:rPr>
                                  <w:rFonts w:ascii="Arial Black" w:hAnsi="Arial Black"/>
                                  <w:color w:val="FFFFFF" w:themeColor="background1"/>
                                  <w:sz w:val="24"/>
                                  <w:szCs w:val="24"/>
                                </w:rPr>
                                <w:t>2025</w:t>
                              </w:r>
                            </w:p>
                          </w:sdtContent>
                        </w:sdt>
                      </w:txbxContent>
                    </v:textbox>
                    <w10:wrap anchorx="margin" anchory="page"/>
                  </v:rect>
                </w:pict>
              </mc:Fallback>
            </mc:AlternateContent>
          </w:r>
          <w:r>
            <w:rPr>
              <w:rFonts w:ascii="Arial Black" w:hAnsi="Arial Black" w:cs="Arial"/>
              <w:color w:val="4C94D8" w:themeColor="text2" w:themeTint="80"/>
              <w:u w:val="thick"/>
            </w:rPr>
            <w:br w:type="page"/>
          </w:r>
        </w:p>
      </w:sdtContent>
    </w:sdt>
    <w:p w14:paraId="5282F39B" w14:textId="18EB3C63" w:rsidR="00567EB9" w:rsidRPr="00567EB9" w:rsidRDefault="00567EB9" w:rsidP="00567EB9">
      <w:pPr>
        <w:pStyle w:val="ListParagraph"/>
        <w:numPr>
          <w:ilvl w:val="0"/>
          <w:numId w:val="1"/>
        </w:numPr>
        <w:spacing w:line="480" w:lineRule="auto"/>
        <w:rPr>
          <w:rFonts w:ascii="Arial Black" w:hAnsi="Arial Black" w:cs="Arial"/>
          <w:color w:val="4C94D8" w:themeColor="text2" w:themeTint="80"/>
          <w:u w:val="thick"/>
        </w:rPr>
      </w:pPr>
      <w:r w:rsidRPr="00567EB9">
        <w:rPr>
          <w:rFonts w:ascii="Arial Black" w:hAnsi="Arial Black" w:cs="Arial"/>
          <w:color w:val="4C94D8" w:themeColor="text2" w:themeTint="80"/>
          <w:u w:val="thick"/>
        </w:rPr>
        <w:lastRenderedPageBreak/>
        <w:t>Executive Summary</w:t>
      </w:r>
    </w:p>
    <w:p w14:paraId="433A9CEA" w14:textId="77777777" w:rsidR="00567EB9" w:rsidRDefault="00567EB9" w:rsidP="00567EB9">
      <w:pPr>
        <w:spacing w:line="480" w:lineRule="auto"/>
        <w:rPr>
          <w:rFonts w:ascii="Arial" w:hAnsi="Arial" w:cs="Arial"/>
        </w:rPr>
      </w:pPr>
      <w:r w:rsidRPr="00567EB9">
        <w:rPr>
          <w:rFonts w:ascii="Arial" w:hAnsi="Arial" w:cs="Arial"/>
        </w:rPr>
        <w:t>AuroraRise Renewables is a start-up that aims to create and implement renewable energy solutions in the form of solar and wind power systems that are both affordable and adaptable. The organization's primary objective is to accelerate the global transition to renewable energy by providing cutting-edge technologies and services that meet the needs of residential, commercial, and industrial sectors. AuroraRise's dedication to the reduction of carbon emissions, the protection of natural resources, and the promotion of responsible practices throughout its entire value chain are indicative of its dedication to environmental sustainability (IEA, 2021). AuroraRise's objective is to establish itself as a premier provider of renewable energy services within the next five years, capitalising on the growing demand for environmentally benign and dependable energy alternatives (IPCC, 2022).</w:t>
      </w:r>
    </w:p>
    <w:p w14:paraId="218B5E3B" w14:textId="77777777" w:rsidR="00567EB9" w:rsidRDefault="00567EB9" w:rsidP="00567EB9">
      <w:pPr>
        <w:spacing w:line="480" w:lineRule="auto"/>
        <w:rPr>
          <w:rFonts w:ascii="Arial" w:hAnsi="Arial" w:cs="Arial"/>
        </w:rPr>
      </w:pPr>
      <w:r w:rsidRPr="00567EB9">
        <w:rPr>
          <w:rFonts w:ascii="Arial" w:hAnsi="Arial" w:cs="Arial"/>
        </w:rPr>
        <w:t>The business plan provides a comprehensive overview of AuroraRise's objectives and goals, the company's commitment to sustainability, the resources required to achieve them, and the marketing strategy. Furthermore, it provides a preliminary financial projection, a PESTLE and SWOT analysis, and a contingency plan that is designed to maintain operations in a market that is highly variable.</w:t>
      </w:r>
    </w:p>
    <w:p w14:paraId="7F1897B2" w14:textId="77777777" w:rsidR="00567EB9" w:rsidRPr="00567EB9" w:rsidRDefault="00567EB9" w:rsidP="00567EB9">
      <w:pPr>
        <w:pStyle w:val="ListParagraph"/>
        <w:numPr>
          <w:ilvl w:val="0"/>
          <w:numId w:val="1"/>
        </w:numPr>
        <w:spacing w:line="480" w:lineRule="auto"/>
        <w:rPr>
          <w:rFonts w:ascii="Arial" w:hAnsi="Arial" w:cs="Arial"/>
        </w:rPr>
      </w:pPr>
      <w:r w:rsidRPr="00567EB9">
        <w:rPr>
          <w:rFonts w:ascii="Arial Black" w:hAnsi="Arial Black" w:cs="Arial"/>
          <w:color w:val="4C94D8" w:themeColor="text2" w:themeTint="80"/>
        </w:rPr>
        <w:t>Business Overview</w:t>
      </w:r>
    </w:p>
    <w:p w14:paraId="477E9E48" w14:textId="77777777" w:rsidR="00567EB9" w:rsidRDefault="00567EB9" w:rsidP="00567EB9">
      <w:pPr>
        <w:pStyle w:val="ListParagraph"/>
        <w:numPr>
          <w:ilvl w:val="0"/>
          <w:numId w:val="2"/>
        </w:numPr>
        <w:spacing w:line="480" w:lineRule="auto"/>
        <w:rPr>
          <w:rFonts w:ascii="Arial" w:hAnsi="Arial" w:cs="Arial"/>
        </w:rPr>
      </w:pPr>
      <w:r w:rsidRPr="00567EB9">
        <w:rPr>
          <w:rFonts w:ascii="Arial" w:hAnsi="Arial" w:cs="Arial"/>
        </w:rPr>
        <w:t>Company Description:</w:t>
      </w:r>
    </w:p>
    <w:p w14:paraId="7714B99E" w14:textId="77777777" w:rsidR="00567EB9" w:rsidRDefault="00567EB9" w:rsidP="00567EB9">
      <w:pPr>
        <w:spacing w:line="480" w:lineRule="auto"/>
        <w:rPr>
          <w:rFonts w:ascii="Arial" w:hAnsi="Arial" w:cs="Arial"/>
        </w:rPr>
      </w:pPr>
      <w:r w:rsidRPr="00567EB9">
        <w:rPr>
          <w:rFonts w:ascii="Arial" w:hAnsi="Arial" w:cs="Arial"/>
        </w:rPr>
        <w:t>AuroraRise is a private limited company that was established by professionals with expertise in environmental management, finance, and engineering. The organisation intends to establish operations from a single headquarters located in a mid-sized urban area. Subsequently, it anticipates expanding to regional centres across the nation within the next three years.</w:t>
      </w:r>
    </w:p>
    <w:p w14:paraId="135BE023" w14:textId="77777777" w:rsidR="00567EB9" w:rsidRDefault="00567EB9" w:rsidP="00567EB9">
      <w:pPr>
        <w:spacing w:line="480" w:lineRule="auto"/>
        <w:rPr>
          <w:rFonts w:ascii="Arial" w:hAnsi="Arial" w:cs="Arial"/>
        </w:rPr>
      </w:pPr>
      <w:r w:rsidRPr="00567EB9">
        <w:rPr>
          <w:rFonts w:ascii="Arial" w:hAnsi="Arial" w:cs="Arial"/>
        </w:rPr>
        <w:lastRenderedPageBreak/>
        <w:t>The primary areas of emphasis are solar energy solutions, which comprise photovoltaic (PV) installations, solar water heating, and integrated battery storage. Wind energy solutions are also prominently featured, particularly in the form of small- to medium-scale wind turbines that are suitable for rural and semi-urban areas. Furthermore, AuroraRise provides consulting and advisory services, including feasibility assessments, energy audits, and system optimisation, to assist businesses in their transition to renewable energy (World Bank, 2020)</w:t>
      </w:r>
    </w:p>
    <w:p w14:paraId="6270AA93" w14:textId="77777777" w:rsidR="00567EB9" w:rsidRPr="00567EB9" w:rsidRDefault="00567EB9" w:rsidP="00567EB9">
      <w:pPr>
        <w:pStyle w:val="ListParagraph"/>
        <w:numPr>
          <w:ilvl w:val="0"/>
          <w:numId w:val="1"/>
        </w:numPr>
        <w:spacing w:line="480" w:lineRule="auto"/>
        <w:rPr>
          <w:rFonts w:ascii="Arial" w:hAnsi="Arial" w:cs="Arial"/>
        </w:rPr>
      </w:pPr>
      <w:r w:rsidRPr="00567EB9">
        <w:rPr>
          <w:rFonts w:ascii="Arial Black" w:hAnsi="Arial Black" w:cs="Arial"/>
          <w:color w:val="4C94D8" w:themeColor="text2" w:themeTint="80"/>
          <w:u w:val="thick"/>
        </w:rPr>
        <w:t>Objectives and Goals</w:t>
      </w:r>
    </w:p>
    <w:p w14:paraId="1F10F4B7" w14:textId="77777777" w:rsidR="00567EB9" w:rsidRDefault="00567EB9" w:rsidP="00567EB9">
      <w:pPr>
        <w:spacing w:line="480" w:lineRule="auto"/>
        <w:rPr>
          <w:rFonts w:ascii="Arial" w:hAnsi="Arial" w:cs="Arial"/>
        </w:rPr>
      </w:pPr>
      <w:r w:rsidRPr="00567EB9">
        <w:rPr>
          <w:rFonts w:ascii="Arial" w:hAnsi="Arial" w:cs="Arial"/>
        </w:rPr>
        <w:t>AuroraRise's initial goal is to achieve a 10% market share in the local renewable energy sector within the next two years. The organization's objective is to generate a 30% annual revenue increase during its initial three years of operation. It intends to improve the efficacy and overall sustainability of its systems by reinvesting 15% of its annual profits in research and development (R&amp;D). This will be achieved through innovation. By constructing solar and wind energy facilities for homes and businesses, the organisation intends to offset approximately 1,000 metric tonnes of CO</w:t>
      </w:r>
      <w:r w:rsidRPr="00567EB9">
        <w:rPr>
          <w:rFonts w:ascii="Cambria Math" w:hAnsi="Cambria Math" w:cs="Cambria Math"/>
        </w:rPr>
        <w:t>₂</w:t>
      </w:r>
      <w:r w:rsidRPr="00567EB9">
        <w:rPr>
          <w:rFonts w:ascii="Arial" w:hAnsi="Arial" w:cs="Arial"/>
        </w:rPr>
        <w:t xml:space="preserve"> emissions annually (UNEP, 2021). AuroraRise's educational outreach is another integral component, as the organisation plans to conduct seminars annually for approximately 500 local participants. These training sessions will concentrate on the advantages of renewable energy and the maintenance of the system.</w:t>
      </w:r>
    </w:p>
    <w:p w14:paraId="0706484A" w14:textId="77777777" w:rsidR="00567EB9" w:rsidRDefault="00567EB9" w:rsidP="00567EB9">
      <w:pPr>
        <w:pStyle w:val="ListParagraph"/>
        <w:numPr>
          <w:ilvl w:val="0"/>
          <w:numId w:val="1"/>
        </w:numPr>
        <w:spacing w:line="480" w:lineRule="auto"/>
        <w:rPr>
          <w:rFonts w:ascii="Arial" w:hAnsi="Arial" w:cs="Arial"/>
        </w:rPr>
      </w:pPr>
      <w:r w:rsidRPr="00567EB9">
        <w:rPr>
          <w:rFonts w:ascii="Arial Black" w:hAnsi="Arial Black" w:cs="Arial"/>
          <w:color w:val="4C94D8" w:themeColor="text2" w:themeTint="80"/>
          <w:u w:val="thick"/>
        </w:rPr>
        <w:t>Sustainability Strategy</w:t>
      </w:r>
    </w:p>
    <w:p w14:paraId="416078B9" w14:textId="77777777" w:rsidR="00567EB9" w:rsidRDefault="00567EB9" w:rsidP="00567EB9">
      <w:pPr>
        <w:spacing w:line="480" w:lineRule="auto"/>
        <w:rPr>
          <w:rFonts w:ascii="Arial" w:hAnsi="Arial" w:cs="Arial"/>
        </w:rPr>
      </w:pPr>
      <w:r w:rsidRPr="00567EB9">
        <w:rPr>
          <w:rFonts w:ascii="Arial" w:hAnsi="Arial" w:cs="Arial"/>
        </w:rPr>
        <w:t xml:space="preserve">AuroraRise's sustainability strategy is founded on the principles of energy efficiency, responsible procurement, and the empowerment of local communities. The company acquires materials that are recognised for their minimal environmental impact, such as high-efficiency solar panels that are produced in accordance with rigorous </w:t>
      </w:r>
      <w:r w:rsidRPr="00567EB9">
        <w:rPr>
          <w:rFonts w:ascii="Arial" w:hAnsi="Arial" w:cs="Arial"/>
        </w:rPr>
        <w:lastRenderedPageBreak/>
        <w:t>ecological standards (IEA, 2021). AuroraRise intends to implement energy-efficient strategies within its operations, including the implementation of smart thermostats, LED illumination, and comprehensive recycling programs.</w:t>
      </w:r>
    </w:p>
    <w:p w14:paraId="7A4043AC" w14:textId="77777777" w:rsidR="00567EB9" w:rsidRDefault="00567EB9" w:rsidP="00567EB9">
      <w:pPr>
        <w:spacing w:line="480" w:lineRule="auto"/>
        <w:rPr>
          <w:rFonts w:ascii="Arial" w:hAnsi="Arial" w:cs="Arial"/>
        </w:rPr>
      </w:pPr>
      <w:r w:rsidRPr="00567EB9">
        <w:rPr>
          <w:rFonts w:ascii="Arial" w:hAnsi="Arial" w:cs="Arial"/>
        </w:rPr>
        <w:t>AuroraRise will implement consistent life-cycle assessments to quantify the environmental impact of its solutions, which will enable the company to implement continuous enhancements. The company also plans to partner with local nonprofit organisations and technical colleges to provide training and job placement opportunities for individuals who are interested in pursuing a career in the renewable energy sector. AuroraRise ensures the sustainable use of resources for present and future generations by adhering to these principles, which are characterised by a balanced commitment to profitability and ecological responsibility (WCED, 1987).</w:t>
      </w:r>
    </w:p>
    <w:p w14:paraId="19D34834" w14:textId="7AA5DFF9" w:rsidR="00567EB9" w:rsidRPr="00567EB9" w:rsidRDefault="00567EB9" w:rsidP="00567EB9">
      <w:pPr>
        <w:pStyle w:val="ListParagraph"/>
        <w:numPr>
          <w:ilvl w:val="0"/>
          <w:numId w:val="1"/>
        </w:numPr>
        <w:spacing w:line="480" w:lineRule="auto"/>
        <w:rPr>
          <w:rFonts w:ascii="Arial Black" w:hAnsi="Arial Black" w:cs="Arial"/>
          <w:color w:val="4C94D8" w:themeColor="text2" w:themeTint="80"/>
          <w:u w:val="thick"/>
        </w:rPr>
      </w:pPr>
      <w:r w:rsidRPr="00567EB9">
        <w:rPr>
          <w:rFonts w:ascii="Arial Black" w:hAnsi="Arial Black" w:cs="Arial"/>
          <w:color w:val="4C94D8" w:themeColor="text2" w:themeTint="80"/>
          <w:u w:val="thick"/>
        </w:rPr>
        <w:t>Market Analysis</w:t>
      </w:r>
    </w:p>
    <w:p w14:paraId="72F96FC5" w14:textId="1653F556" w:rsidR="00567EB9" w:rsidRPr="00567EB9" w:rsidRDefault="00567EB9" w:rsidP="00567EB9">
      <w:pPr>
        <w:pStyle w:val="ListParagraph"/>
        <w:numPr>
          <w:ilvl w:val="0"/>
          <w:numId w:val="3"/>
        </w:numPr>
        <w:spacing w:line="480" w:lineRule="auto"/>
        <w:rPr>
          <w:rFonts w:ascii="Arial" w:hAnsi="Arial" w:cs="Arial"/>
        </w:rPr>
      </w:pPr>
      <w:r w:rsidRPr="00567EB9">
        <w:rPr>
          <w:rFonts w:ascii="Arial" w:hAnsi="Arial" w:cs="Arial"/>
        </w:rPr>
        <w:t>Industry Overview</w:t>
      </w:r>
    </w:p>
    <w:p w14:paraId="34549B30" w14:textId="77777777" w:rsidR="00567EB9" w:rsidRDefault="00567EB9" w:rsidP="00567EB9">
      <w:pPr>
        <w:spacing w:line="480" w:lineRule="auto"/>
        <w:rPr>
          <w:rFonts w:ascii="Arial" w:hAnsi="Arial" w:cs="Arial"/>
        </w:rPr>
      </w:pPr>
      <w:r w:rsidRPr="00567EB9">
        <w:rPr>
          <w:rFonts w:ascii="Arial" w:hAnsi="Arial" w:cs="Arial"/>
        </w:rPr>
        <w:t>The renewable energy sector is expanding at a rapid rate, driven by technological advancements, increased consumer environmental awareness, and governmental incentives (World Bank, 2020). Over the past decade, the expenses associated with the installation of solar power systems have decreased by over 70%, and wind energy technologies have followed a comparable trajectory. In comparison to conventional energy sources, these advancements have made renewables more competitive (IEA, 2021).</w:t>
      </w:r>
    </w:p>
    <w:p w14:paraId="605CFC86" w14:textId="53FE152C" w:rsidR="00567EB9" w:rsidRPr="00567EB9" w:rsidRDefault="00567EB9" w:rsidP="00567EB9">
      <w:pPr>
        <w:pStyle w:val="ListParagraph"/>
        <w:numPr>
          <w:ilvl w:val="0"/>
          <w:numId w:val="3"/>
        </w:numPr>
        <w:spacing w:line="480" w:lineRule="auto"/>
        <w:rPr>
          <w:rFonts w:ascii="Arial" w:hAnsi="Arial" w:cs="Arial"/>
        </w:rPr>
      </w:pPr>
      <w:r w:rsidRPr="00567EB9">
        <w:rPr>
          <w:rFonts w:ascii="Arial" w:hAnsi="Arial" w:cs="Arial"/>
        </w:rPr>
        <w:t>Target Market</w:t>
      </w:r>
    </w:p>
    <w:p w14:paraId="0357F415" w14:textId="77777777" w:rsidR="00567EB9" w:rsidRDefault="00567EB9" w:rsidP="00567EB9">
      <w:pPr>
        <w:spacing w:line="480" w:lineRule="auto"/>
        <w:rPr>
          <w:rFonts w:ascii="Arial" w:hAnsi="Arial" w:cs="Arial"/>
        </w:rPr>
      </w:pPr>
      <w:r w:rsidRPr="00567EB9">
        <w:rPr>
          <w:rFonts w:ascii="Arial" w:hAnsi="Arial" w:cs="Arial"/>
        </w:rPr>
        <w:t xml:space="preserve">Residential customers who are interested in reducing their energy bills and carbon footprints, commercial clients who require reliable and cost-effective energy solutions, and government or institutional entities that are seeking to fulfil </w:t>
      </w:r>
      <w:r w:rsidRPr="00567EB9">
        <w:rPr>
          <w:rFonts w:ascii="Arial" w:hAnsi="Arial" w:cs="Arial"/>
        </w:rPr>
        <w:lastRenderedPageBreak/>
        <w:t>sustainability commitments are all served by AuroraRise. The company's competitive advantage is derived from its comprehensive approach, which encompasses consultations, designs, installations, and maintenance, as opposed to the mere provision of discrete products.</w:t>
      </w:r>
    </w:p>
    <w:p w14:paraId="2BEBD62E" w14:textId="746BC728" w:rsidR="00567EB9" w:rsidRPr="00567EB9" w:rsidRDefault="00567EB9" w:rsidP="00567EB9">
      <w:pPr>
        <w:pStyle w:val="ListParagraph"/>
        <w:numPr>
          <w:ilvl w:val="0"/>
          <w:numId w:val="1"/>
        </w:numPr>
        <w:spacing w:line="480" w:lineRule="auto"/>
        <w:rPr>
          <w:rFonts w:ascii="Arial Black" w:hAnsi="Arial Black" w:cs="Arial"/>
          <w:color w:val="4C94D8" w:themeColor="text2" w:themeTint="80"/>
          <w:u w:val="thick"/>
        </w:rPr>
      </w:pPr>
      <w:r w:rsidRPr="00567EB9">
        <w:rPr>
          <w:rFonts w:ascii="Arial Black" w:hAnsi="Arial Black" w:cs="Arial"/>
          <w:color w:val="4C94D8" w:themeColor="text2" w:themeTint="80"/>
          <w:u w:val="thick"/>
        </w:rPr>
        <w:t>PESTLE Analysis</w:t>
      </w:r>
    </w:p>
    <w:p w14:paraId="50B1092C" w14:textId="77777777" w:rsidR="00567EB9" w:rsidRDefault="00567EB9" w:rsidP="00567EB9">
      <w:pPr>
        <w:spacing w:line="480" w:lineRule="auto"/>
        <w:rPr>
          <w:rFonts w:ascii="Arial" w:hAnsi="Arial" w:cs="Arial"/>
        </w:rPr>
      </w:pPr>
      <w:r w:rsidRPr="00567EB9">
        <w:rPr>
          <w:rFonts w:ascii="Arial" w:hAnsi="Arial" w:cs="Arial"/>
        </w:rPr>
        <w:t xml:space="preserve">A PESTLE analysis can be employed to </w:t>
      </w:r>
      <w:r w:rsidRPr="00567EB9">
        <w:rPr>
          <w:rFonts w:ascii="Arial" w:hAnsi="Arial" w:cs="Arial"/>
        </w:rPr>
        <w:t>investigate</w:t>
      </w:r>
      <w:r w:rsidRPr="00567EB9">
        <w:rPr>
          <w:rFonts w:ascii="Arial" w:hAnsi="Arial" w:cs="Arial"/>
        </w:rPr>
        <w:t xml:space="preserve"> the external factors that affect AuroraRise's operations (Johnson et al., 2017). </w:t>
      </w:r>
      <w:r w:rsidRPr="00567EB9">
        <w:rPr>
          <w:rFonts w:ascii="Arial" w:hAnsi="Arial" w:cs="Arial"/>
        </w:rPr>
        <w:t>Even though</w:t>
      </w:r>
      <w:r w:rsidRPr="00567EB9">
        <w:rPr>
          <w:rFonts w:ascii="Arial" w:hAnsi="Arial" w:cs="Arial"/>
        </w:rPr>
        <w:t xml:space="preserve"> policy changes and political uncertainties may disrupt funding for green agendas, various regions offer tax credits, rebates, and feed-in tariffs to bolster renewable energy initiatives (World Bank, 2020). The sector's development is driven by the consistently decreasing costs of solar and wind power (IEA, 2021). However, economic downturns may temporarily diminish the willingness of both individuals and organisations to invest in renewable projects.</w:t>
      </w:r>
    </w:p>
    <w:p w14:paraId="5FF5C768" w14:textId="77777777" w:rsidR="00567EB9" w:rsidRDefault="00567EB9" w:rsidP="00567EB9">
      <w:pPr>
        <w:spacing w:line="480" w:lineRule="auto"/>
        <w:rPr>
          <w:rFonts w:ascii="Arial" w:hAnsi="Arial" w:cs="Arial"/>
        </w:rPr>
      </w:pPr>
      <w:r w:rsidRPr="00567EB9">
        <w:rPr>
          <w:rFonts w:ascii="Arial" w:hAnsi="Arial" w:cs="Arial"/>
        </w:rPr>
        <w:t xml:space="preserve">The demand for sustainable solutions has been increased by the widespread concern regarding climate change, which has led to </w:t>
      </w:r>
      <w:r w:rsidRPr="00567EB9">
        <w:rPr>
          <w:rFonts w:ascii="Arial" w:hAnsi="Arial" w:cs="Arial"/>
        </w:rPr>
        <w:t>a few</w:t>
      </w:r>
      <w:r w:rsidRPr="00567EB9">
        <w:rPr>
          <w:rFonts w:ascii="Arial" w:hAnsi="Arial" w:cs="Arial"/>
        </w:rPr>
        <w:t xml:space="preserve"> consumers accepting a higher cost for eco-friendly alternatives. This is a social issue. Renewables are becoming more accessible due to advancements in battery storage and grid integration (IPCC, 2022). Competition is fuelled by the ongoing research and development that is advancing efficiency and reducing costs.</w:t>
      </w:r>
    </w:p>
    <w:p w14:paraId="19F0D817" w14:textId="77777777" w:rsidR="00567EB9" w:rsidRDefault="00567EB9" w:rsidP="00567EB9">
      <w:pPr>
        <w:spacing w:line="480" w:lineRule="auto"/>
        <w:rPr>
          <w:rFonts w:ascii="Arial" w:hAnsi="Arial" w:cs="Arial"/>
        </w:rPr>
      </w:pPr>
      <w:r w:rsidRPr="00567EB9">
        <w:rPr>
          <w:rFonts w:ascii="Arial" w:hAnsi="Arial" w:cs="Arial"/>
        </w:rPr>
        <w:t>Renewable energy enterprises are presented with additional opportunities as environmental regulations mandate emissions reductions (UNEP, 2021). Companies must maintain a high level of awareness regarding the safety and quality standards of their equipment. The drive towards renewables is being exacerbated by climate-</w:t>
      </w:r>
      <w:r w:rsidRPr="00567EB9">
        <w:rPr>
          <w:rFonts w:ascii="Arial" w:hAnsi="Arial" w:cs="Arial"/>
        </w:rPr>
        <w:lastRenderedPageBreak/>
        <w:t xml:space="preserve">related considerations and carbon emission targets, </w:t>
      </w:r>
      <w:r w:rsidRPr="00567EB9">
        <w:rPr>
          <w:rFonts w:ascii="Arial" w:hAnsi="Arial" w:cs="Arial"/>
        </w:rPr>
        <w:t>even though</w:t>
      </w:r>
      <w:r w:rsidRPr="00567EB9">
        <w:rPr>
          <w:rFonts w:ascii="Arial" w:hAnsi="Arial" w:cs="Arial"/>
        </w:rPr>
        <w:t xml:space="preserve"> the availability of resources such as sunlight and wind varies depending on location.</w:t>
      </w:r>
    </w:p>
    <w:p w14:paraId="0E3B4101" w14:textId="0CB0BC20" w:rsidR="00567EB9" w:rsidRPr="00567EB9" w:rsidRDefault="00567EB9" w:rsidP="00567EB9">
      <w:pPr>
        <w:pStyle w:val="ListParagraph"/>
        <w:numPr>
          <w:ilvl w:val="0"/>
          <w:numId w:val="1"/>
        </w:numPr>
        <w:spacing w:line="480" w:lineRule="auto"/>
        <w:rPr>
          <w:rFonts w:ascii="Arial Black" w:hAnsi="Arial Black" w:cs="Arial"/>
          <w:color w:val="4C94D8" w:themeColor="text2" w:themeTint="80"/>
          <w:u w:val="thick"/>
        </w:rPr>
      </w:pPr>
      <w:r w:rsidRPr="00567EB9">
        <w:rPr>
          <w:rFonts w:ascii="Arial Black" w:hAnsi="Arial Black" w:cs="Arial"/>
          <w:color w:val="4C94D8" w:themeColor="text2" w:themeTint="80"/>
          <w:u w:val="thick"/>
        </w:rPr>
        <w:t>SWOT Analysis</w:t>
      </w:r>
    </w:p>
    <w:p w14:paraId="119160AA" w14:textId="77777777" w:rsidR="00567EB9" w:rsidRDefault="00567EB9" w:rsidP="00567EB9">
      <w:pPr>
        <w:spacing w:line="480" w:lineRule="auto"/>
        <w:rPr>
          <w:rFonts w:ascii="Arial" w:hAnsi="Arial" w:cs="Arial"/>
        </w:rPr>
      </w:pPr>
      <w:r w:rsidRPr="00567EB9">
        <w:rPr>
          <w:rFonts w:ascii="Arial" w:hAnsi="Arial" w:cs="Arial"/>
        </w:rPr>
        <w:t>AuroraRise's internal capabilities and external opportunities are more thoroughly examined through a SWOT analysis (Kotler &amp; Keller, 2016). In terms of strengths, AuroraRise is managed by a founding team that is proficient in sustainability, finance, and engineering. The company provides a comprehensive service chain that commences with feasibility assessments and concludes with post-installation support. AuroraRise's brand is distinguished by its emphasis on sustainability and community engagement.</w:t>
      </w:r>
    </w:p>
    <w:p w14:paraId="605C69EB" w14:textId="77777777" w:rsidR="00567EB9" w:rsidRDefault="00567EB9" w:rsidP="00567EB9">
      <w:pPr>
        <w:spacing w:line="480" w:lineRule="auto"/>
        <w:rPr>
          <w:rFonts w:ascii="Arial" w:hAnsi="Arial" w:cs="Arial"/>
        </w:rPr>
      </w:pPr>
      <w:r w:rsidRPr="00567EB9">
        <w:rPr>
          <w:rFonts w:ascii="Arial" w:hAnsi="Arial" w:cs="Arial"/>
        </w:rPr>
        <w:t>The operational complexity of managing multiple energy technologies, each requiring expert labour and intricate supply chains, and the limited capital availability that is typical of start-ups, which constrains extensive marketing efforts and slows ambitious expansions, are among the weaknesses. The availability of governmental subsidies and incentives, the surging consumer awareness of environmental issues, and technological advancements that enhance the performance of renewables while potentially reducing costs are all contributing factors to the existence of opportunities.</w:t>
      </w:r>
    </w:p>
    <w:p w14:paraId="112F1168" w14:textId="77777777" w:rsidR="00567EB9" w:rsidRDefault="00567EB9" w:rsidP="00567EB9">
      <w:pPr>
        <w:spacing w:line="480" w:lineRule="auto"/>
        <w:rPr>
          <w:rFonts w:ascii="Arial" w:hAnsi="Arial" w:cs="Arial"/>
        </w:rPr>
      </w:pPr>
      <w:r w:rsidRPr="00567EB9">
        <w:rPr>
          <w:rFonts w:ascii="Arial" w:hAnsi="Arial" w:cs="Arial"/>
        </w:rPr>
        <w:t>Potential clients may delay or cancel substantial renewable energy investments due to economic turbulence, shifting government policies that may reduce renewables incentives, and fierce competition from established industry actors that capitalise on economies of scale.</w:t>
      </w:r>
    </w:p>
    <w:p w14:paraId="16581542" w14:textId="77777777" w:rsidR="00567EB9" w:rsidRDefault="00567EB9" w:rsidP="00567EB9">
      <w:pPr>
        <w:spacing w:line="480" w:lineRule="auto"/>
        <w:rPr>
          <w:rFonts w:ascii="Arial" w:hAnsi="Arial" w:cs="Arial"/>
        </w:rPr>
      </w:pPr>
    </w:p>
    <w:p w14:paraId="7CF0C66B" w14:textId="33512831" w:rsidR="00567EB9" w:rsidRPr="00567EB9" w:rsidRDefault="00567EB9" w:rsidP="00567EB9">
      <w:pPr>
        <w:pStyle w:val="ListParagraph"/>
        <w:numPr>
          <w:ilvl w:val="0"/>
          <w:numId w:val="1"/>
        </w:numPr>
        <w:spacing w:line="480" w:lineRule="auto"/>
        <w:rPr>
          <w:rFonts w:ascii="Arial Black" w:hAnsi="Arial Black" w:cs="Arial"/>
          <w:color w:val="4C94D8" w:themeColor="text2" w:themeTint="80"/>
          <w:u w:val="thick"/>
        </w:rPr>
      </w:pPr>
      <w:r w:rsidRPr="00567EB9">
        <w:rPr>
          <w:rFonts w:ascii="Arial Black" w:hAnsi="Arial Black" w:cs="Arial"/>
          <w:color w:val="4C94D8" w:themeColor="text2" w:themeTint="80"/>
          <w:u w:val="thick"/>
        </w:rPr>
        <w:lastRenderedPageBreak/>
        <w:t>Marketing Strategy</w:t>
      </w:r>
    </w:p>
    <w:p w14:paraId="07817104" w14:textId="1051B81D" w:rsidR="00567EB9" w:rsidRPr="00567EB9" w:rsidRDefault="00567EB9" w:rsidP="00567EB9">
      <w:pPr>
        <w:pStyle w:val="ListParagraph"/>
        <w:numPr>
          <w:ilvl w:val="0"/>
          <w:numId w:val="4"/>
        </w:numPr>
        <w:spacing w:line="480" w:lineRule="auto"/>
        <w:rPr>
          <w:rFonts w:ascii="Arial" w:hAnsi="Arial" w:cs="Arial"/>
        </w:rPr>
      </w:pPr>
      <w:r w:rsidRPr="00567EB9">
        <w:rPr>
          <w:rFonts w:ascii="Arial" w:hAnsi="Arial" w:cs="Arial"/>
        </w:rPr>
        <w:t>Marketing Objectives</w:t>
      </w:r>
    </w:p>
    <w:p w14:paraId="3E84CD77" w14:textId="77777777" w:rsidR="00567EB9" w:rsidRDefault="00567EB9" w:rsidP="00567EB9">
      <w:pPr>
        <w:spacing w:line="480" w:lineRule="auto"/>
        <w:rPr>
          <w:rFonts w:ascii="Arial" w:hAnsi="Arial" w:cs="Arial"/>
        </w:rPr>
      </w:pPr>
      <w:r w:rsidRPr="00567EB9">
        <w:rPr>
          <w:rFonts w:ascii="Arial" w:hAnsi="Arial" w:cs="Arial"/>
        </w:rPr>
        <w:t>AuroraRise aspires to expand its brand recognition during its inaugural year of operation by positioning itself as a dependable provider of renewable energy solutions. A minimum of 50 residential and 10 commercial installation contracts are anticipated to be signed by the organisation within the first six months.</w:t>
      </w:r>
    </w:p>
    <w:p w14:paraId="0ECE04DB" w14:textId="3F493980" w:rsidR="00567EB9" w:rsidRPr="00567EB9" w:rsidRDefault="00567EB9" w:rsidP="00567EB9">
      <w:pPr>
        <w:pStyle w:val="ListParagraph"/>
        <w:numPr>
          <w:ilvl w:val="0"/>
          <w:numId w:val="4"/>
        </w:numPr>
        <w:spacing w:line="480" w:lineRule="auto"/>
        <w:rPr>
          <w:rFonts w:ascii="Arial" w:hAnsi="Arial" w:cs="Arial"/>
        </w:rPr>
      </w:pPr>
      <w:r w:rsidRPr="00567EB9">
        <w:rPr>
          <w:rFonts w:ascii="Arial" w:hAnsi="Arial" w:cs="Arial"/>
        </w:rPr>
        <w:t>Profile of the Target Audience</w:t>
      </w:r>
    </w:p>
    <w:p w14:paraId="5E92F127" w14:textId="77777777" w:rsidR="00567EB9" w:rsidRDefault="00567EB9" w:rsidP="00567EB9">
      <w:pPr>
        <w:spacing w:line="480" w:lineRule="auto"/>
        <w:rPr>
          <w:rFonts w:ascii="Arial" w:hAnsi="Arial" w:cs="Arial"/>
        </w:rPr>
      </w:pPr>
      <w:r w:rsidRPr="00567EB9">
        <w:rPr>
          <w:rFonts w:ascii="Arial" w:hAnsi="Arial" w:cs="Arial"/>
        </w:rPr>
        <w:t>AuroraRise's objective is to attract environmentally conscious homeowners who are interested in reducing their electricity bills and carbon emissions, businesses that are interested in aligning with corporate social responsibility objectives while saving money on energy in the long term, and government institutions or educational entities that are interested in fulfilling renewable energy mandates or public service objectives.</w:t>
      </w:r>
    </w:p>
    <w:p w14:paraId="47A50E95" w14:textId="15EF882F" w:rsidR="00567EB9" w:rsidRPr="00567EB9" w:rsidRDefault="00567EB9" w:rsidP="00567EB9">
      <w:pPr>
        <w:pStyle w:val="ListParagraph"/>
        <w:numPr>
          <w:ilvl w:val="0"/>
          <w:numId w:val="4"/>
        </w:numPr>
        <w:spacing w:line="480" w:lineRule="auto"/>
        <w:rPr>
          <w:rFonts w:ascii="Arial" w:hAnsi="Arial" w:cs="Arial"/>
        </w:rPr>
      </w:pPr>
      <w:r w:rsidRPr="00567EB9">
        <w:rPr>
          <w:rFonts w:ascii="Arial" w:hAnsi="Arial" w:cs="Arial"/>
        </w:rPr>
        <w:t>Marketing Channels</w:t>
      </w:r>
    </w:p>
    <w:p w14:paraId="42ED9AF5" w14:textId="77777777" w:rsidR="00567EB9" w:rsidRDefault="00567EB9" w:rsidP="00567EB9">
      <w:pPr>
        <w:spacing w:line="480" w:lineRule="auto"/>
        <w:rPr>
          <w:rFonts w:ascii="Arial" w:hAnsi="Arial" w:cs="Arial"/>
        </w:rPr>
      </w:pPr>
      <w:r w:rsidRPr="00567EB9">
        <w:rPr>
          <w:rFonts w:ascii="Arial" w:hAnsi="Arial" w:cs="Arial"/>
        </w:rPr>
        <w:t>The marketing strategy includes the development of a website that is highly optimised and displays the company's services, including case studies and client endorsements. Additionally, the plan involves the utilisation of social media platforms such as LinkedIn, Twitter, and Facebook. In addition to participating in online platforms that emphasise green technology, the organisation intends to generate whitepapers, blogs, and webinars that address sustainability practices and renewable energy trends.</w:t>
      </w:r>
    </w:p>
    <w:p w14:paraId="6585831D" w14:textId="77777777" w:rsidR="00567EB9" w:rsidRDefault="00567EB9" w:rsidP="00567EB9">
      <w:pPr>
        <w:spacing w:line="480" w:lineRule="auto"/>
        <w:rPr>
          <w:rFonts w:ascii="Arial" w:hAnsi="Arial" w:cs="Arial"/>
        </w:rPr>
      </w:pPr>
      <w:r w:rsidRPr="00567EB9">
        <w:rPr>
          <w:rFonts w:ascii="Arial" w:hAnsi="Arial" w:cs="Arial"/>
        </w:rPr>
        <w:t xml:space="preserve">In addition to sponsorship of community environmental fairs, seminars, and other educational initiatives, local partnerships with sustainable home builders and </w:t>
      </w:r>
      <w:r w:rsidRPr="00567EB9">
        <w:rPr>
          <w:rFonts w:ascii="Arial" w:hAnsi="Arial" w:cs="Arial"/>
        </w:rPr>
        <w:lastRenderedPageBreak/>
        <w:t>architectural firms will be pursued</w:t>
      </w:r>
      <w:r>
        <w:rPr>
          <w:rFonts w:ascii="Arial" w:hAnsi="Arial" w:cs="Arial"/>
        </w:rPr>
        <w:t xml:space="preserve">. </w:t>
      </w:r>
      <w:r w:rsidRPr="00567EB9">
        <w:rPr>
          <w:rFonts w:ascii="Arial" w:hAnsi="Arial" w:cs="Arial"/>
        </w:rPr>
        <w:t>AuroraRise's visibility will be enhanced through public relations initiatives, including attendance at industry expos and press releases regarding significant milestones.</w:t>
      </w:r>
    </w:p>
    <w:p w14:paraId="064701B9" w14:textId="4F494142" w:rsidR="00567EB9" w:rsidRPr="00567EB9" w:rsidRDefault="00567EB9" w:rsidP="00567EB9">
      <w:pPr>
        <w:pStyle w:val="ListParagraph"/>
        <w:numPr>
          <w:ilvl w:val="0"/>
          <w:numId w:val="4"/>
        </w:numPr>
        <w:spacing w:line="480" w:lineRule="auto"/>
        <w:rPr>
          <w:rFonts w:ascii="Arial" w:hAnsi="Arial" w:cs="Arial"/>
        </w:rPr>
      </w:pPr>
      <w:r w:rsidRPr="00567EB9">
        <w:rPr>
          <w:rFonts w:ascii="Arial" w:hAnsi="Arial" w:cs="Arial"/>
        </w:rPr>
        <w:t>Promotional Strategy</w:t>
      </w:r>
    </w:p>
    <w:p w14:paraId="714CC5FC" w14:textId="77777777" w:rsidR="00DF35CE" w:rsidRDefault="00567EB9" w:rsidP="00567EB9">
      <w:pPr>
        <w:spacing w:line="480" w:lineRule="auto"/>
        <w:rPr>
          <w:rFonts w:ascii="Arial" w:hAnsi="Arial" w:cs="Arial"/>
        </w:rPr>
      </w:pPr>
      <w:r w:rsidRPr="00567EB9">
        <w:rPr>
          <w:rFonts w:ascii="Arial" w:hAnsi="Arial" w:cs="Arial"/>
        </w:rPr>
        <w:t>Limited-time discounts or a variety of financing plans that promote early adoption may be present in promotional offers. Referral incentives could be implemented to incentivise current consumers who assist in the generation of new business.</w:t>
      </w:r>
    </w:p>
    <w:p w14:paraId="0522229A" w14:textId="2A713752" w:rsidR="00DF35CE" w:rsidRPr="00DF35CE" w:rsidRDefault="00567EB9" w:rsidP="00DF35CE">
      <w:pPr>
        <w:pStyle w:val="ListParagraph"/>
        <w:numPr>
          <w:ilvl w:val="0"/>
          <w:numId w:val="1"/>
        </w:numPr>
        <w:spacing w:line="480" w:lineRule="auto"/>
        <w:rPr>
          <w:rFonts w:ascii="Arial Black" w:hAnsi="Arial Black" w:cs="Arial"/>
          <w:color w:val="4C94D8" w:themeColor="text2" w:themeTint="80"/>
          <w:u w:val="thick"/>
        </w:rPr>
      </w:pPr>
      <w:r w:rsidRPr="00DF35CE">
        <w:rPr>
          <w:rFonts w:ascii="Arial Black" w:hAnsi="Arial Black" w:cs="Arial"/>
          <w:color w:val="4C94D8" w:themeColor="text2" w:themeTint="80"/>
          <w:u w:val="thick"/>
        </w:rPr>
        <w:t>Operational Plan</w:t>
      </w:r>
    </w:p>
    <w:p w14:paraId="644DB3A1" w14:textId="77777777" w:rsidR="00DF35CE" w:rsidRDefault="00567EB9" w:rsidP="00DF35CE">
      <w:pPr>
        <w:pStyle w:val="ListParagraph"/>
        <w:numPr>
          <w:ilvl w:val="0"/>
          <w:numId w:val="5"/>
        </w:numPr>
        <w:spacing w:line="480" w:lineRule="auto"/>
        <w:rPr>
          <w:rFonts w:ascii="Arial" w:hAnsi="Arial" w:cs="Arial"/>
        </w:rPr>
      </w:pPr>
      <w:r w:rsidRPr="00DF35CE">
        <w:rPr>
          <w:rFonts w:ascii="Arial" w:hAnsi="Arial" w:cs="Arial"/>
        </w:rPr>
        <w:t>Physical Resources.</w:t>
      </w:r>
    </w:p>
    <w:p w14:paraId="50A64CF4" w14:textId="77777777" w:rsidR="00DF35CE" w:rsidRDefault="00567EB9" w:rsidP="00DF35CE">
      <w:pPr>
        <w:spacing w:line="480" w:lineRule="auto"/>
        <w:rPr>
          <w:rFonts w:ascii="Arial" w:hAnsi="Arial" w:cs="Arial"/>
        </w:rPr>
      </w:pPr>
      <w:r w:rsidRPr="00DF35CE">
        <w:rPr>
          <w:rFonts w:ascii="Arial" w:hAnsi="Arial" w:cs="Arial"/>
        </w:rPr>
        <w:t>AuroraRise will continue to operate its primary office space and a facility that is dedicated to the construction of customised solar panel mounts and the execution of operational assessments prior to installation. Solar panels, wind turbine components, inverters, and miscellaneous parts will be stored in a designated inventory area, which is likely to be a small warehouse. Installation apparatus, testing instruments, and a limited number of vehicles for service visits are essential tools.</w:t>
      </w:r>
    </w:p>
    <w:p w14:paraId="3E2FD1DB" w14:textId="709120BE" w:rsidR="00DF35CE" w:rsidRPr="00DF35CE" w:rsidRDefault="00567EB9" w:rsidP="00DF35CE">
      <w:pPr>
        <w:pStyle w:val="ListParagraph"/>
        <w:numPr>
          <w:ilvl w:val="0"/>
          <w:numId w:val="5"/>
        </w:numPr>
        <w:spacing w:line="480" w:lineRule="auto"/>
        <w:rPr>
          <w:rFonts w:ascii="Arial" w:hAnsi="Arial" w:cs="Arial"/>
        </w:rPr>
      </w:pPr>
      <w:r w:rsidRPr="00DF35CE">
        <w:rPr>
          <w:rFonts w:ascii="Arial" w:hAnsi="Arial" w:cs="Arial"/>
        </w:rPr>
        <w:t>Human Resources</w:t>
      </w:r>
    </w:p>
    <w:p w14:paraId="1851E622" w14:textId="77777777" w:rsidR="00DF35CE" w:rsidRDefault="00567EB9" w:rsidP="00DF35CE">
      <w:pPr>
        <w:spacing w:line="480" w:lineRule="auto"/>
        <w:rPr>
          <w:rFonts w:ascii="Arial" w:hAnsi="Arial" w:cs="Arial"/>
        </w:rPr>
      </w:pPr>
      <w:r w:rsidRPr="00DF35CE">
        <w:rPr>
          <w:rFonts w:ascii="Arial" w:hAnsi="Arial" w:cs="Arial"/>
        </w:rPr>
        <w:t xml:space="preserve">AuroraRise's leadership team will include a Chief Executive Officer (CEO) who specialises in business strategy and renewable energy policy, a Chief Technology Officer (CTO) who is responsible for research and development of wind and solar innovations, and a Chief Financial Officer (CFO) who will oversee budgeting and investor relations. The technical aspects of the business will be executed by engineers who are proficient in solar, wind, and electrical systems. Technicians who are trained in the installation and maintenance of solar arrays, wind generators, and </w:t>
      </w:r>
      <w:r w:rsidRPr="00DF35CE">
        <w:rPr>
          <w:rFonts w:ascii="Arial" w:hAnsi="Arial" w:cs="Arial"/>
        </w:rPr>
        <w:lastRenderedPageBreak/>
        <w:t>complementary systems will provide support. A marketing and sales division will be responsible for the identification and cultivation of leads, while customer service associates will be responsible for the management of enquiries, scheduling, and post-installation monitoring.</w:t>
      </w:r>
    </w:p>
    <w:p w14:paraId="009862CD" w14:textId="433E3B52" w:rsidR="00DF35CE" w:rsidRPr="00DF35CE" w:rsidRDefault="00567EB9" w:rsidP="00DF35CE">
      <w:pPr>
        <w:pStyle w:val="ListParagraph"/>
        <w:numPr>
          <w:ilvl w:val="0"/>
          <w:numId w:val="5"/>
        </w:numPr>
        <w:spacing w:line="480" w:lineRule="auto"/>
        <w:rPr>
          <w:rFonts w:ascii="Arial" w:hAnsi="Arial" w:cs="Arial"/>
        </w:rPr>
      </w:pPr>
      <w:r w:rsidRPr="00DF35CE">
        <w:rPr>
          <w:rFonts w:ascii="Arial" w:hAnsi="Arial" w:cs="Arial"/>
        </w:rPr>
        <w:t>Financial Resources</w:t>
      </w:r>
    </w:p>
    <w:p w14:paraId="3F3A1E28" w14:textId="44683A78" w:rsidR="00DF35CE" w:rsidRDefault="00567EB9" w:rsidP="00DF35CE">
      <w:pPr>
        <w:spacing w:line="480" w:lineRule="auto"/>
        <w:rPr>
          <w:rFonts w:ascii="Arial" w:hAnsi="Arial" w:cs="Arial"/>
        </w:rPr>
      </w:pPr>
      <w:r w:rsidRPr="00DF35CE">
        <w:rPr>
          <w:rFonts w:ascii="Arial" w:hAnsi="Arial" w:cs="Arial"/>
        </w:rPr>
        <w:t>AuroraRise plans to finance its initial operations through a combination of equity contributions, bank financing, and grants from government entities. The initial outlay to cover the cost of facilities, equipment, personnel, and other start-up expenses is estimated to be approximately</w:t>
      </w:r>
      <w:r w:rsidR="00D43564">
        <w:rPr>
          <w:rFonts w:ascii="Arial" w:hAnsi="Arial" w:cs="Arial"/>
        </w:rPr>
        <w:t xml:space="preserve"> £</w:t>
      </w:r>
      <w:r w:rsidRPr="00DF35CE">
        <w:rPr>
          <w:rFonts w:ascii="Arial" w:hAnsi="Arial" w:cs="Arial"/>
        </w:rPr>
        <w:t>1.5 million (Kotler &amp; Keller, 2016). AuroraRise will pursue subsequent funding arrangements once it intends to expand its market presence more broadly.</w:t>
      </w:r>
    </w:p>
    <w:p w14:paraId="444C6D1B" w14:textId="629E356E" w:rsidR="00DF35CE" w:rsidRPr="00DF35CE" w:rsidRDefault="00567EB9" w:rsidP="00DF35CE">
      <w:pPr>
        <w:pStyle w:val="ListParagraph"/>
        <w:numPr>
          <w:ilvl w:val="0"/>
          <w:numId w:val="1"/>
        </w:numPr>
        <w:spacing w:line="480" w:lineRule="auto"/>
        <w:rPr>
          <w:rFonts w:ascii="Arial Black" w:hAnsi="Arial Black" w:cs="Arial"/>
          <w:color w:val="4C94D8" w:themeColor="text2" w:themeTint="80"/>
          <w:u w:val="thick"/>
        </w:rPr>
      </w:pPr>
      <w:r w:rsidRPr="00DF35CE">
        <w:rPr>
          <w:rFonts w:ascii="Arial Black" w:hAnsi="Arial Black" w:cs="Arial"/>
          <w:color w:val="4C94D8" w:themeColor="text2" w:themeTint="80"/>
          <w:u w:val="thick"/>
        </w:rPr>
        <w:t>Financial Plan</w:t>
      </w:r>
    </w:p>
    <w:p w14:paraId="0525A5EF" w14:textId="26F2BB02" w:rsidR="00DF35CE" w:rsidRDefault="00567EB9" w:rsidP="00DF35CE">
      <w:pPr>
        <w:spacing w:line="480" w:lineRule="auto"/>
        <w:rPr>
          <w:rFonts w:ascii="Arial" w:hAnsi="Arial" w:cs="Arial"/>
        </w:rPr>
      </w:pPr>
      <w:r w:rsidRPr="00DF35CE">
        <w:rPr>
          <w:rFonts w:ascii="Arial" w:hAnsi="Arial" w:cs="Arial"/>
        </w:rPr>
        <w:t xml:space="preserve">The cash flow projection for the initial 12 months of operations is summarised in the table below. These figures are subject to change </w:t>
      </w:r>
      <w:r w:rsidR="00DF35CE" w:rsidRPr="00DF35CE">
        <w:rPr>
          <w:rFonts w:ascii="Arial" w:hAnsi="Arial" w:cs="Arial"/>
        </w:rPr>
        <w:t>if</w:t>
      </w:r>
      <w:r w:rsidRPr="00DF35CE">
        <w:rPr>
          <w:rFonts w:ascii="Arial" w:hAnsi="Arial" w:cs="Arial"/>
        </w:rPr>
        <w:t xml:space="preserve"> market conditions change.</w:t>
      </w:r>
    </w:p>
    <w:tbl>
      <w:tblPr>
        <w:tblW w:w="9064" w:type="dxa"/>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835"/>
        <w:gridCol w:w="1559"/>
        <w:gridCol w:w="2127"/>
        <w:gridCol w:w="1842"/>
        <w:gridCol w:w="1701"/>
      </w:tblGrid>
      <w:tr w:rsidR="00DF35CE" w:rsidRPr="00A10B21" w14:paraId="78119534" w14:textId="77777777" w:rsidTr="00015645">
        <w:trPr>
          <w:tblHeader/>
          <w:tblCellSpacing w:w="15" w:type="dxa"/>
        </w:trPr>
        <w:tc>
          <w:tcPr>
            <w:tcW w:w="1790" w:type="dxa"/>
            <w:shd w:val="clear" w:color="auto" w:fill="83CAEB" w:themeFill="accent1" w:themeFillTint="66"/>
            <w:vAlign w:val="center"/>
            <w:hideMark/>
          </w:tcPr>
          <w:p w14:paraId="3DE288AB" w14:textId="77777777" w:rsidR="00DF35CE" w:rsidRPr="00DF35CE" w:rsidRDefault="00DF35CE" w:rsidP="00D43564">
            <w:pPr>
              <w:shd w:val="clear" w:color="auto" w:fill="83CAEB" w:themeFill="accent1" w:themeFillTint="66"/>
              <w:spacing w:after="0" w:line="240" w:lineRule="auto"/>
              <w:jc w:val="center"/>
              <w:rPr>
                <w:rFonts w:ascii="Arial Black" w:eastAsia="Times New Roman" w:hAnsi="Arial Black" w:cs="Arial"/>
                <w:b/>
                <w:bCs/>
                <w:kern w:val="0"/>
                <w:lang w:eastAsia="en-GB"/>
                <w14:ligatures w14:val="none"/>
              </w:rPr>
            </w:pPr>
            <w:r w:rsidRPr="00DF35CE">
              <w:rPr>
                <w:rFonts w:ascii="Arial Black" w:eastAsia="Times New Roman" w:hAnsi="Arial Black" w:cs="Arial"/>
                <w:b/>
                <w:bCs/>
                <w:kern w:val="0"/>
                <w:lang w:eastAsia="en-GB"/>
                <w14:ligatures w14:val="none"/>
              </w:rPr>
              <w:t>Category</w:t>
            </w:r>
          </w:p>
        </w:tc>
        <w:tc>
          <w:tcPr>
            <w:tcW w:w="1529" w:type="dxa"/>
            <w:shd w:val="clear" w:color="auto" w:fill="83CAEB" w:themeFill="accent1" w:themeFillTint="66"/>
            <w:vAlign w:val="center"/>
            <w:hideMark/>
          </w:tcPr>
          <w:p w14:paraId="36A1CEA1" w14:textId="77777777" w:rsidR="00DF35CE" w:rsidRPr="00DF35CE" w:rsidRDefault="00DF35CE" w:rsidP="00D43564">
            <w:pPr>
              <w:shd w:val="clear" w:color="auto" w:fill="83CAEB" w:themeFill="accent1" w:themeFillTint="66"/>
              <w:spacing w:after="0" w:line="240" w:lineRule="auto"/>
              <w:jc w:val="center"/>
              <w:rPr>
                <w:rFonts w:ascii="Arial Black" w:eastAsia="Times New Roman" w:hAnsi="Arial Black" w:cs="Arial"/>
                <w:b/>
                <w:bCs/>
                <w:kern w:val="0"/>
                <w:lang w:eastAsia="en-GB"/>
                <w14:ligatures w14:val="none"/>
              </w:rPr>
            </w:pPr>
            <w:r w:rsidRPr="00DF35CE">
              <w:rPr>
                <w:rFonts w:ascii="Arial Black" w:eastAsia="Times New Roman" w:hAnsi="Arial Black" w:cs="Arial"/>
                <w:b/>
                <w:bCs/>
                <w:kern w:val="0"/>
                <w:lang w:eastAsia="en-GB"/>
                <w14:ligatures w14:val="none"/>
              </w:rPr>
              <w:t>Month 1-3</w:t>
            </w:r>
          </w:p>
        </w:tc>
        <w:tc>
          <w:tcPr>
            <w:tcW w:w="2097" w:type="dxa"/>
            <w:shd w:val="clear" w:color="auto" w:fill="83CAEB" w:themeFill="accent1" w:themeFillTint="66"/>
            <w:vAlign w:val="center"/>
            <w:hideMark/>
          </w:tcPr>
          <w:p w14:paraId="7880CD67" w14:textId="77777777" w:rsidR="00DF35CE" w:rsidRPr="00DF35CE" w:rsidRDefault="00DF35CE" w:rsidP="00D43564">
            <w:pPr>
              <w:shd w:val="clear" w:color="auto" w:fill="83CAEB" w:themeFill="accent1" w:themeFillTint="66"/>
              <w:spacing w:after="0" w:line="240" w:lineRule="auto"/>
              <w:jc w:val="center"/>
              <w:rPr>
                <w:rFonts w:ascii="Arial Black" w:eastAsia="Times New Roman" w:hAnsi="Arial Black" w:cs="Arial"/>
                <w:b/>
                <w:bCs/>
                <w:kern w:val="0"/>
                <w:lang w:eastAsia="en-GB"/>
                <w14:ligatures w14:val="none"/>
              </w:rPr>
            </w:pPr>
            <w:r w:rsidRPr="00DF35CE">
              <w:rPr>
                <w:rFonts w:ascii="Arial Black" w:eastAsia="Times New Roman" w:hAnsi="Arial Black" w:cs="Arial"/>
                <w:b/>
                <w:bCs/>
                <w:kern w:val="0"/>
                <w:lang w:eastAsia="en-GB"/>
                <w14:ligatures w14:val="none"/>
              </w:rPr>
              <w:t>Month 4-6</w:t>
            </w:r>
          </w:p>
        </w:tc>
        <w:tc>
          <w:tcPr>
            <w:tcW w:w="1812" w:type="dxa"/>
            <w:shd w:val="clear" w:color="auto" w:fill="83CAEB" w:themeFill="accent1" w:themeFillTint="66"/>
            <w:vAlign w:val="center"/>
            <w:hideMark/>
          </w:tcPr>
          <w:p w14:paraId="0054DD3C" w14:textId="77777777" w:rsidR="00DF35CE" w:rsidRPr="00DF35CE" w:rsidRDefault="00DF35CE" w:rsidP="00D43564">
            <w:pPr>
              <w:shd w:val="clear" w:color="auto" w:fill="83CAEB" w:themeFill="accent1" w:themeFillTint="66"/>
              <w:spacing w:after="0" w:line="240" w:lineRule="auto"/>
              <w:jc w:val="center"/>
              <w:rPr>
                <w:rFonts w:ascii="Arial Black" w:eastAsia="Times New Roman" w:hAnsi="Arial Black" w:cs="Arial"/>
                <w:b/>
                <w:bCs/>
                <w:kern w:val="0"/>
                <w:lang w:eastAsia="en-GB"/>
                <w14:ligatures w14:val="none"/>
              </w:rPr>
            </w:pPr>
            <w:r w:rsidRPr="00DF35CE">
              <w:rPr>
                <w:rFonts w:ascii="Arial Black" w:eastAsia="Times New Roman" w:hAnsi="Arial Black" w:cs="Arial"/>
                <w:b/>
                <w:bCs/>
                <w:kern w:val="0"/>
                <w:lang w:eastAsia="en-GB"/>
                <w14:ligatures w14:val="none"/>
              </w:rPr>
              <w:t>Month 7-9</w:t>
            </w:r>
          </w:p>
        </w:tc>
        <w:tc>
          <w:tcPr>
            <w:tcW w:w="1656" w:type="dxa"/>
            <w:vAlign w:val="center"/>
            <w:hideMark/>
          </w:tcPr>
          <w:p w14:paraId="52B8012A" w14:textId="77777777" w:rsidR="00DF35CE" w:rsidRPr="00DF35CE" w:rsidRDefault="00DF35CE" w:rsidP="00D43564">
            <w:pPr>
              <w:shd w:val="clear" w:color="auto" w:fill="83CAEB" w:themeFill="accent1" w:themeFillTint="66"/>
              <w:spacing w:after="0" w:line="240" w:lineRule="auto"/>
              <w:jc w:val="center"/>
              <w:rPr>
                <w:rFonts w:ascii="Arial Black" w:eastAsia="Times New Roman" w:hAnsi="Arial Black" w:cs="Arial"/>
                <w:b/>
                <w:bCs/>
                <w:kern w:val="0"/>
                <w:lang w:eastAsia="en-GB"/>
                <w14:ligatures w14:val="none"/>
              </w:rPr>
            </w:pPr>
            <w:r w:rsidRPr="00DF35CE">
              <w:rPr>
                <w:rFonts w:ascii="Arial Black" w:eastAsia="Times New Roman" w:hAnsi="Arial Black" w:cs="Arial"/>
                <w:b/>
                <w:bCs/>
                <w:kern w:val="0"/>
                <w:lang w:eastAsia="en-GB"/>
                <w14:ligatures w14:val="none"/>
              </w:rPr>
              <w:t>Month 10-12</w:t>
            </w:r>
          </w:p>
        </w:tc>
      </w:tr>
    </w:tbl>
    <w:p w14:paraId="5595D829" w14:textId="77777777" w:rsidR="00DF35CE" w:rsidRPr="00DF35CE" w:rsidRDefault="00DF35CE" w:rsidP="00D43564">
      <w:pPr>
        <w:shd w:val="clear" w:color="auto" w:fill="83CAEB" w:themeFill="accent1" w:themeFillTint="66"/>
        <w:spacing w:after="0" w:line="240" w:lineRule="auto"/>
        <w:rPr>
          <w:rFonts w:ascii="Arial" w:eastAsia="Times New Roman" w:hAnsi="Arial" w:cs="Arial"/>
          <w:vanish/>
          <w:kern w:val="0"/>
          <w:lang w:eastAsia="en-GB"/>
          <w14:ligatures w14:val="none"/>
        </w:rPr>
      </w:pPr>
    </w:p>
    <w:tbl>
      <w:tblPr>
        <w:tblW w:w="9064" w:type="dxa"/>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835"/>
        <w:gridCol w:w="1559"/>
        <w:gridCol w:w="2127"/>
        <w:gridCol w:w="1842"/>
        <w:gridCol w:w="1701"/>
      </w:tblGrid>
      <w:tr w:rsidR="00A10B21" w:rsidRPr="00A10B21" w14:paraId="0499306A" w14:textId="77777777" w:rsidTr="00015645">
        <w:trPr>
          <w:tblCellSpacing w:w="15" w:type="dxa"/>
        </w:trPr>
        <w:tc>
          <w:tcPr>
            <w:tcW w:w="1790" w:type="dxa"/>
            <w:vAlign w:val="center"/>
            <w:hideMark/>
          </w:tcPr>
          <w:p w14:paraId="709288DD"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r w:rsidRPr="00DF35CE">
              <w:rPr>
                <w:rFonts w:ascii="Arial" w:eastAsia="Times New Roman" w:hAnsi="Arial" w:cs="Arial"/>
                <w:b/>
                <w:bCs/>
                <w:kern w:val="0"/>
                <w:lang w:eastAsia="en-GB"/>
                <w14:ligatures w14:val="none"/>
              </w:rPr>
              <w:t>Income</w:t>
            </w:r>
          </w:p>
        </w:tc>
        <w:tc>
          <w:tcPr>
            <w:tcW w:w="1529" w:type="dxa"/>
            <w:shd w:val="clear" w:color="auto" w:fill="83CAEB" w:themeFill="accent1" w:themeFillTint="66"/>
            <w:vAlign w:val="center"/>
            <w:hideMark/>
          </w:tcPr>
          <w:p w14:paraId="40997CAC"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p>
        </w:tc>
        <w:tc>
          <w:tcPr>
            <w:tcW w:w="2097" w:type="dxa"/>
            <w:shd w:val="clear" w:color="auto" w:fill="83CAEB" w:themeFill="accent1" w:themeFillTint="66"/>
            <w:vAlign w:val="center"/>
            <w:hideMark/>
          </w:tcPr>
          <w:p w14:paraId="5B50AC06"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p>
        </w:tc>
        <w:tc>
          <w:tcPr>
            <w:tcW w:w="1812" w:type="dxa"/>
            <w:shd w:val="clear" w:color="auto" w:fill="83CAEB" w:themeFill="accent1" w:themeFillTint="66"/>
            <w:vAlign w:val="center"/>
            <w:hideMark/>
          </w:tcPr>
          <w:p w14:paraId="40E43E57"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p>
        </w:tc>
        <w:tc>
          <w:tcPr>
            <w:tcW w:w="1656" w:type="dxa"/>
            <w:shd w:val="clear" w:color="auto" w:fill="83CAEB" w:themeFill="accent1" w:themeFillTint="66"/>
            <w:vAlign w:val="center"/>
            <w:hideMark/>
          </w:tcPr>
          <w:p w14:paraId="0F38797C"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p>
        </w:tc>
      </w:tr>
    </w:tbl>
    <w:p w14:paraId="03E305FD" w14:textId="77777777" w:rsidR="00DF35CE" w:rsidRPr="00DF35CE" w:rsidRDefault="00DF35CE" w:rsidP="00D43564">
      <w:pPr>
        <w:shd w:val="clear" w:color="auto" w:fill="83CAEB" w:themeFill="accent1" w:themeFillTint="66"/>
        <w:spacing w:after="0" w:line="240" w:lineRule="auto"/>
        <w:rPr>
          <w:rFonts w:ascii="Arial" w:eastAsia="Times New Roman" w:hAnsi="Arial" w:cs="Arial"/>
          <w:vanish/>
          <w:kern w:val="0"/>
          <w:lang w:eastAsia="en-GB"/>
          <w14:ligatures w14:val="none"/>
        </w:rPr>
      </w:pPr>
    </w:p>
    <w:tbl>
      <w:tblPr>
        <w:tblW w:w="9064" w:type="dxa"/>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835"/>
        <w:gridCol w:w="1559"/>
        <w:gridCol w:w="2127"/>
        <w:gridCol w:w="1842"/>
        <w:gridCol w:w="1701"/>
      </w:tblGrid>
      <w:tr w:rsidR="00A10B21" w:rsidRPr="00A10B21" w14:paraId="6DC75DDB" w14:textId="77777777" w:rsidTr="00015645">
        <w:trPr>
          <w:tblCellSpacing w:w="15" w:type="dxa"/>
        </w:trPr>
        <w:tc>
          <w:tcPr>
            <w:tcW w:w="1790" w:type="dxa"/>
            <w:vAlign w:val="center"/>
            <w:hideMark/>
          </w:tcPr>
          <w:p w14:paraId="37696638"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r w:rsidRPr="00DF35CE">
              <w:rPr>
                <w:rFonts w:ascii="Arial" w:eastAsia="Times New Roman" w:hAnsi="Arial" w:cs="Arial"/>
                <w:kern w:val="0"/>
                <w:lang w:eastAsia="en-GB"/>
                <w14:ligatures w14:val="none"/>
              </w:rPr>
              <w:t>Residential Contracts</w:t>
            </w:r>
          </w:p>
        </w:tc>
        <w:tc>
          <w:tcPr>
            <w:tcW w:w="1529" w:type="dxa"/>
            <w:shd w:val="clear" w:color="auto" w:fill="83CAEB" w:themeFill="accent1" w:themeFillTint="66"/>
            <w:vAlign w:val="center"/>
            <w:hideMark/>
          </w:tcPr>
          <w:p w14:paraId="61834BBB" w14:textId="4478A37F"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100,000</w:t>
            </w:r>
          </w:p>
        </w:tc>
        <w:tc>
          <w:tcPr>
            <w:tcW w:w="2097" w:type="dxa"/>
            <w:shd w:val="clear" w:color="auto" w:fill="83CAEB" w:themeFill="accent1" w:themeFillTint="66"/>
            <w:vAlign w:val="center"/>
            <w:hideMark/>
          </w:tcPr>
          <w:p w14:paraId="04FD3987" w14:textId="1E64C137"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150,000</w:t>
            </w:r>
          </w:p>
        </w:tc>
        <w:tc>
          <w:tcPr>
            <w:tcW w:w="1812" w:type="dxa"/>
            <w:shd w:val="clear" w:color="auto" w:fill="83CAEB" w:themeFill="accent1" w:themeFillTint="66"/>
            <w:vAlign w:val="center"/>
            <w:hideMark/>
          </w:tcPr>
          <w:p w14:paraId="01949570" w14:textId="75B7F87C"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200,000</w:t>
            </w:r>
          </w:p>
        </w:tc>
        <w:tc>
          <w:tcPr>
            <w:tcW w:w="1656" w:type="dxa"/>
            <w:shd w:val="clear" w:color="auto" w:fill="83CAEB" w:themeFill="accent1" w:themeFillTint="66"/>
            <w:vAlign w:val="center"/>
            <w:hideMark/>
          </w:tcPr>
          <w:p w14:paraId="3C358F4D" w14:textId="1959C2D2"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300,000</w:t>
            </w:r>
          </w:p>
        </w:tc>
      </w:tr>
    </w:tbl>
    <w:p w14:paraId="14687A8B" w14:textId="77777777" w:rsidR="00DF35CE" w:rsidRPr="00DF35CE" w:rsidRDefault="00DF35CE" w:rsidP="00D43564">
      <w:pPr>
        <w:shd w:val="clear" w:color="auto" w:fill="83CAEB" w:themeFill="accent1" w:themeFillTint="66"/>
        <w:spacing w:after="0" w:line="240" w:lineRule="auto"/>
        <w:rPr>
          <w:rFonts w:ascii="Arial" w:eastAsia="Times New Roman" w:hAnsi="Arial" w:cs="Arial"/>
          <w:vanish/>
          <w:kern w:val="0"/>
          <w:lang w:eastAsia="en-GB"/>
          <w14:ligatures w14:val="none"/>
        </w:rPr>
      </w:pPr>
    </w:p>
    <w:tbl>
      <w:tblPr>
        <w:tblW w:w="9064" w:type="dxa"/>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835"/>
        <w:gridCol w:w="1559"/>
        <w:gridCol w:w="2127"/>
        <w:gridCol w:w="1842"/>
        <w:gridCol w:w="1701"/>
      </w:tblGrid>
      <w:tr w:rsidR="00A10B21" w:rsidRPr="00A10B21" w14:paraId="7EA315C6" w14:textId="77777777" w:rsidTr="00015645">
        <w:trPr>
          <w:tblCellSpacing w:w="15" w:type="dxa"/>
        </w:trPr>
        <w:tc>
          <w:tcPr>
            <w:tcW w:w="1790" w:type="dxa"/>
            <w:vAlign w:val="center"/>
            <w:hideMark/>
          </w:tcPr>
          <w:p w14:paraId="0731F433"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r w:rsidRPr="00DF35CE">
              <w:rPr>
                <w:rFonts w:ascii="Arial" w:eastAsia="Times New Roman" w:hAnsi="Arial" w:cs="Arial"/>
                <w:kern w:val="0"/>
                <w:lang w:eastAsia="en-GB"/>
                <w14:ligatures w14:val="none"/>
              </w:rPr>
              <w:t>Commercial Contracts</w:t>
            </w:r>
          </w:p>
        </w:tc>
        <w:tc>
          <w:tcPr>
            <w:tcW w:w="1529" w:type="dxa"/>
            <w:shd w:val="clear" w:color="auto" w:fill="83CAEB" w:themeFill="accent1" w:themeFillTint="66"/>
            <w:vAlign w:val="center"/>
            <w:hideMark/>
          </w:tcPr>
          <w:p w14:paraId="227209DE" w14:textId="74272F4C"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50,000</w:t>
            </w:r>
          </w:p>
        </w:tc>
        <w:tc>
          <w:tcPr>
            <w:tcW w:w="2097" w:type="dxa"/>
            <w:shd w:val="clear" w:color="auto" w:fill="83CAEB" w:themeFill="accent1" w:themeFillTint="66"/>
            <w:vAlign w:val="center"/>
            <w:hideMark/>
          </w:tcPr>
          <w:p w14:paraId="0BF14C1D" w14:textId="4D0CC52F"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100,000</w:t>
            </w:r>
          </w:p>
        </w:tc>
        <w:tc>
          <w:tcPr>
            <w:tcW w:w="1812" w:type="dxa"/>
            <w:shd w:val="clear" w:color="auto" w:fill="83CAEB" w:themeFill="accent1" w:themeFillTint="66"/>
            <w:vAlign w:val="center"/>
            <w:hideMark/>
          </w:tcPr>
          <w:p w14:paraId="4301AC6F" w14:textId="6993EBE5"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200,000</w:t>
            </w:r>
          </w:p>
        </w:tc>
        <w:tc>
          <w:tcPr>
            <w:tcW w:w="1656" w:type="dxa"/>
            <w:shd w:val="clear" w:color="auto" w:fill="83CAEB" w:themeFill="accent1" w:themeFillTint="66"/>
            <w:vAlign w:val="center"/>
            <w:hideMark/>
          </w:tcPr>
          <w:p w14:paraId="3240E522" w14:textId="74FA22F7"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300,000</w:t>
            </w:r>
          </w:p>
        </w:tc>
      </w:tr>
    </w:tbl>
    <w:p w14:paraId="5187579F" w14:textId="77777777" w:rsidR="00DF35CE" w:rsidRPr="00DF35CE" w:rsidRDefault="00DF35CE" w:rsidP="00D43564">
      <w:pPr>
        <w:shd w:val="clear" w:color="auto" w:fill="83CAEB" w:themeFill="accent1" w:themeFillTint="66"/>
        <w:spacing w:after="0" w:line="240" w:lineRule="auto"/>
        <w:rPr>
          <w:rFonts w:ascii="Arial" w:eastAsia="Times New Roman" w:hAnsi="Arial" w:cs="Arial"/>
          <w:vanish/>
          <w:kern w:val="0"/>
          <w:lang w:eastAsia="en-GB"/>
          <w14:ligatures w14:val="none"/>
        </w:rPr>
      </w:pPr>
    </w:p>
    <w:tbl>
      <w:tblPr>
        <w:tblW w:w="9064" w:type="dxa"/>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835"/>
        <w:gridCol w:w="1559"/>
        <w:gridCol w:w="2127"/>
        <w:gridCol w:w="1842"/>
        <w:gridCol w:w="1701"/>
      </w:tblGrid>
      <w:tr w:rsidR="00A10B21" w:rsidRPr="00A10B21" w14:paraId="531E8918" w14:textId="77777777" w:rsidTr="00A10B21">
        <w:trPr>
          <w:tblCellSpacing w:w="15" w:type="dxa"/>
        </w:trPr>
        <w:tc>
          <w:tcPr>
            <w:tcW w:w="1790" w:type="dxa"/>
            <w:vAlign w:val="center"/>
            <w:hideMark/>
          </w:tcPr>
          <w:p w14:paraId="503950FE"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r w:rsidRPr="00DF35CE">
              <w:rPr>
                <w:rFonts w:ascii="Arial" w:eastAsia="Times New Roman" w:hAnsi="Arial" w:cs="Arial"/>
                <w:kern w:val="0"/>
                <w:lang w:eastAsia="en-GB"/>
                <w14:ligatures w14:val="none"/>
              </w:rPr>
              <w:t>Total Income</w:t>
            </w:r>
          </w:p>
        </w:tc>
        <w:tc>
          <w:tcPr>
            <w:tcW w:w="1529" w:type="dxa"/>
            <w:vAlign w:val="center"/>
            <w:hideMark/>
          </w:tcPr>
          <w:p w14:paraId="41E4FF22" w14:textId="5D78E6C2"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150,000</w:t>
            </w:r>
          </w:p>
        </w:tc>
        <w:tc>
          <w:tcPr>
            <w:tcW w:w="2097" w:type="dxa"/>
            <w:vAlign w:val="center"/>
            <w:hideMark/>
          </w:tcPr>
          <w:p w14:paraId="091C938C" w14:textId="4BE78D1F"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250,000</w:t>
            </w:r>
          </w:p>
        </w:tc>
        <w:tc>
          <w:tcPr>
            <w:tcW w:w="1812" w:type="dxa"/>
            <w:vAlign w:val="center"/>
            <w:hideMark/>
          </w:tcPr>
          <w:p w14:paraId="28550D52" w14:textId="6FCF860B"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400,000</w:t>
            </w:r>
          </w:p>
        </w:tc>
        <w:tc>
          <w:tcPr>
            <w:tcW w:w="1656" w:type="dxa"/>
            <w:vAlign w:val="center"/>
            <w:hideMark/>
          </w:tcPr>
          <w:p w14:paraId="61ECC3C0" w14:textId="465B78E4"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600,000</w:t>
            </w:r>
          </w:p>
        </w:tc>
      </w:tr>
    </w:tbl>
    <w:p w14:paraId="557E5095" w14:textId="77777777" w:rsidR="00DF35CE" w:rsidRPr="00DF35CE" w:rsidRDefault="00DF35CE" w:rsidP="00D43564">
      <w:pPr>
        <w:shd w:val="clear" w:color="auto" w:fill="83CAEB" w:themeFill="accent1" w:themeFillTint="66"/>
        <w:spacing w:after="0" w:line="240" w:lineRule="auto"/>
        <w:rPr>
          <w:rFonts w:ascii="Arial" w:eastAsia="Times New Roman" w:hAnsi="Arial" w:cs="Arial"/>
          <w:vanish/>
          <w:kern w:val="0"/>
          <w:lang w:eastAsia="en-GB"/>
          <w14:ligatures w14:val="none"/>
        </w:rPr>
      </w:pPr>
    </w:p>
    <w:tbl>
      <w:tblPr>
        <w:tblW w:w="9064" w:type="dxa"/>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835"/>
        <w:gridCol w:w="1559"/>
        <w:gridCol w:w="2127"/>
        <w:gridCol w:w="1842"/>
        <w:gridCol w:w="1701"/>
      </w:tblGrid>
      <w:tr w:rsidR="00A10B21" w:rsidRPr="00A10B21" w14:paraId="78A858CC" w14:textId="77777777" w:rsidTr="00015645">
        <w:trPr>
          <w:tblCellSpacing w:w="15" w:type="dxa"/>
        </w:trPr>
        <w:tc>
          <w:tcPr>
            <w:tcW w:w="1790" w:type="dxa"/>
            <w:vAlign w:val="center"/>
            <w:hideMark/>
          </w:tcPr>
          <w:p w14:paraId="69E64F6D"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r w:rsidRPr="00DF35CE">
              <w:rPr>
                <w:rFonts w:ascii="Arial" w:eastAsia="Times New Roman" w:hAnsi="Arial" w:cs="Arial"/>
                <w:b/>
                <w:bCs/>
                <w:kern w:val="0"/>
                <w:lang w:eastAsia="en-GB"/>
                <w14:ligatures w14:val="none"/>
              </w:rPr>
              <w:t>Costs</w:t>
            </w:r>
          </w:p>
        </w:tc>
        <w:tc>
          <w:tcPr>
            <w:tcW w:w="1529" w:type="dxa"/>
            <w:shd w:val="clear" w:color="auto" w:fill="83CAEB" w:themeFill="accent1" w:themeFillTint="66"/>
            <w:vAlign w:val="center"/>
            <w:hideMark/>
          </w:tcPr>
          <w:p w14:paraId="4381E6A2" w14:textId="3A532764"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p>
        </w:tc>
        <w:tc>
          <w:tcPr>
            <w:tcW w:w="2097" w:type="dxa"/>
            <w:shd w:val="clear" w:color="auto" w:fill="83CAEB" w:themeFill="accent1" w:themeFillTint="66"/>
            <w:vAlign w:val="center"/>
            <w:hideMark/>
          </w:tcPr>
          <w:p w14:paraId="6979AD1D"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p>
        </w:tc>
        <w:tc>
          <w:tcPr>
            <w:tcW w:w="1812" w:type="dxa"/>
            <w:shd w:val="clear" w:color="auto" w:fill="83CAEB" w:themeFill="accent1" w:themeFillTint="66"/>
            <w:vAlign w:val="center"/>
            <w:hideMark/>
          </w:tcPr>
          <w:p w14:paraId="7BF330AF"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p>
        </w:tc>
        <w:tc>
          <w:tcPr>
            <w:tcW w:w="1656" w:type="dxa"/>
            <w:shd w:val="clear" w:color="auto" w:fill="83CAEB" w:themeFill="accent1" w:themeFillTint="66"/>
            <w:vAlign w:val="center"/>
            <w:hideMark/>
          </w:tcPr>
          <w:p w14:paraId="3B9FB325"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p>
        </w:tc>
      </w:tr>
    </w:tbl>
    <w:p w14:paraId="6D637973" w14:textId="77777777" w:rsidR="00DF35CE" w:rsidRPr="00DF35CE" w:rsidRDefault="00DF35CE" w:rsidP="00D43564">
      <w:pPr>
        <w:shd w:val="clear" w:color="auto" w:fill="83CAEB" w:themeFill="accent1" w:themeFillTint="66"/>
        <w:spacing w:after="0" w:line="240" w:lineRule="auto"/>
        <w:rPr>
          <w:rFonts w:ascii="Arial" w:eastAsia="Times New Roman" w:hAnsi="Arial" w:cs="Arial"/>
          <w:vanish/>
          <w:kern w:val="0"/>
          <w:lang w:eastAsia="en-GB"/>
          <w14:ligatures w14:val="none"/>
        </w:rPr>
      </w:pPr>
    </w:p>
    <w:tbl>
      <w:tblPr>
        <w:tblW w:w="9064" w:type="dxa"/>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835"/>
        <w:gridCol w:w="1559"/>
        <w:gridCol w:w="2127"/>
        <w:gridCol w:w="1842"/>
        <w:gridCol w:w="1701"/>
      </w:tblGrid>
      <w:tr w:rsidR="00A10B21" w:rsidRPr="00A10B21" w14:paraId="40AFE45C" w14:textId="77777777" w:rsidTr="00A10B21">
        <w:trPr>
          <w:tblCellSpacing w:w="15" w:type="dxa"/>
        </w:trPr>
        <w:tc>
          <w:tcPr>
            <w:tcW w:w="1790" w:type="dxa"/>
            <w:vAlign w:val="center"/>
            <w:hideMark/>
          </w:tcPr>
          <w:p w14:paraId="1C372DFC"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r w:rsidRPr="00DF35CE">
              <w:rPr>
                <w:rFonts w:ascii="Arial" w:eastAsia="Times New Roman" w:hAnsi="Arial" w:cs="Arial"/>
                <w:kern w:val="0"/>
                <w:lang w:eastAsia="en-GB"/>
                <w14:ligatures w14:val="none"/>
              </w:rPr>
              <w:t>Staff Salaries</w:t>
            </w:r>
          </w:p>
        </w:tc>
        <w:tc>
          <w:tcPr>
            <w:tcW w:w="1529" w:type="dxa"/>
            <w:vAlign w:val="center"/>
            <w:hideMark/>
          </w:tcPr>
          <w:p w14:paraId="0BEBE41B" w14:textId="0485BDE4"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60,000</w:t>
            </w:r>
          </w:p>
        </w:tc>
        <w:tc>
          <w:tcPr>
            <w:tcW w:w="2097" w:type="dxa"/>
            <w:vAlign w:val="center"/>
            <w:hideMark/>
          </w:tcPr>
          <w:p w14:paraId="739AA530" w14:textId="47355A3D"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75,000</w:t>
            </w:r>
          </w:p>
        </w:tc>
        <w:tc>
          <w:tcPr>
            <w:tcW w:w="1812" w:type="dxa"/>
            <w:vAlign w:val="center"/>
            <w:hideMark/>
          </w:tcPr>
          <w:p w14:paraId="0EC02A49" w14:textId="195E45D0"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90,000</w:t>
            </w:r>
          </w:p>
        </w:tc>
        <w:tc>
          <w:tcPr>
            <w:tcW w:w="1656" w:type="dxa"/>
            <w:vAlign w:val="center"/>
            <w:hideMark/>
          </w:tcPr>
          <w:p w14:paraId="7D22F221" w14:textId="4178D219"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100,000</w:t>
            </w:r>
          </w:p>
        </w:tc>
      </w:tr>
    </w:tbl>
    <w:p w14:paraId="36D86761" w14:textId="77777777" w:rsidR="00DF35CE" w:rsidRPr="00DF35CE" w:rsidRDefault="00DF35CE" w:rsidP="00D43564">
      <w:pPr>
        <w:shd w:val="clear" w:color="auto" w:fill="83CAEB" w:themeFill="accent1" w:themeFillTint="66"/>
        <w:spacing w:after="0" w:line="240" w:lineRule="auto"/>
        <w:rPr>
          <w:rFonts w:ascii="Arial" w:eastAsia="Times New Roman" w:hAnsi="Arial" w:cs="Arial"/>
          <w:vanish/>
          <w:kern w:val="0"/>
          <w:lang w:eastAsia="en-GB"/>
          <w14:ligatures w14:val="none"/>
        </w:rPr>
      </w:pPr>
    </w:p>
    <w:tbl>
      <w:tblPr>
        <w:tblW w:w="9064" w:type="dxa"/>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835"/>
        <w:gridCol w:w="1559"/>
        <w:gridCol w:w="2127"/>
        <w:gridCol w:w="1842"/>
        <w:gridCol w:w="1701"/>
      </w:tblGrid>
      <w:tr w:rsidR="00A10B21" w:rsidRPr="00A10B21" w14:paraId="547CFD0B" w14:textId="77777777" w:rsidTr="00015645">
        <w:trPr>
          <w:tblCellSpacing w:w="15" w:type="dxa"/>
        </w:trPr>
        <w:tc>
          <w:tcPr>
            <w:tcW w:w="1790" w:type="dxa"/>
            <w:vAlign w:val="center"/>
            <w:hideMark/>
          </w:tcPr>
          <w:p w14:paraId="2702B26E"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r w:rsidRPr="00DF35CE">
              <w:rPr>
                <w:rFonts w:ascii="Arial" w:eastAsia="Times New Roman" w:hAnsi="Arial" w:cs="Arial"/>
                <w:kern w:val="0"/>
                <w:lang w:eastAsia="en-GB"/>
                <w14:ligatures w14:val="none"/>
              </w:rPr>
              <w:t>Inventory &amp; Equipment</w:t>
            </w:r>
          </w:p>
        </w:tc>
        <w:tc>
          <w:tcPr>
            <w:tcW w:w="1529" w:type="dxa"/>
            <w:shd w:val="clear" w:color="auto" w:fill="83CAEB" w:themeFill="accent1" w:themeFillTint="66"/>
            <w:vAlign w:val="center"/>
            <w:hideMark/>
          </w:tcPr>
          <w:p w14:paraId="2D83F6A9" w14:textId="76CB4D52"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50,000</w:t>
            </w:r>
          </w:p>
        </w:tc>
        <w:tc>
          <w:tcPr>
            <w:tcW w:w="2097" w:type="dxa"/>
            <w:shd w:val="clear" w:color="auto" w:fill="83CAEB" w:themeFill="accent1" w:themeFillTint="66"/>
            <w:vAlign w:val="center"/>
            <w:hideMark/>
          </w:tcPr>
          <w:p w14:paraId="3A9A7CEC" w14:textId="296132AC"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70,000</w:t>
            </w:r>
          </w:p>
        </w:tc>
        <w:tc>
          <w:tcPr>
            <w:tcW w:w="1812" w:type="dxa"/>
            <w:shd w:val="clear" w:color="auto" w:fill="83CAEB" w:themeFill="accent1" w:themeFillTint="66"/>
            <w:vAlign w:val="center"/>
            <w:hideMark/>
          </w:tcPr>
          <w:p w14:paraId="53B7472B" w14:textId="7E55070C"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80,000</w:t>
            </w:r>
          </w:p>
        </w:tc>
        <w:tc>
          <w:tcPr>
            <w:tcW w:w="1656" w:type="dxa"/>
            <w:shd w:val="clear" w:color="auto" w:fill="83CAEB" w:themeFill="accent1" w:themeFillTint="66"/>
            <w:vAlign w:val="center"/>
            <w:hideMark/>
          </w:tcPr>
          <w:p w14:paraId="393229DE" w14:textId="2ED6B31B"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100,000</w:t>
            </w:r>
          </w:p>
        </w:tc>
      </w:tr>
    </w:tbl>
    <w:p w14:paraId="5A046F34" w14:textId="77777777" w:rsidR="00DF35CE" w:rsidRPr="00DF35CE" w:rsidRDefault="00DF35CE" w:rsidP="00D43564">
      <w:pPr>
        <w:shd w:val="clear" w:color="auto" w:fill="83CAEB" w:themeFill="accent1" w:themeFillTint="66"/>
        <w:spacing w:after="0" w:line="240" w:lineRule="auto"/>
        <w:rPr>
          <w:rFonts w:ascii="Arial" w:eastAsia="Times New Roman" w:hAnsi="Arial" w:cs="Arial"/>
          <w:vanish/>
          <w:kern w:val="0"/>
          <w:lang w:eastAsia="en-GB"/>
          <w14:ligatures w14:val="none"/>
        </w:rPr>
      </w:pPr>
    </w:p>
    <w:tbl>
      <w:tblPr>
        <w:tblW w:w="9064" w:type="dxa"/>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835"/>
        <w:gridCol w:w="1559"/>
        <w:gridCol w:w="2127"/>
        <w:gridCol w:w="1842"/>
        <w:gridCol w:w="1701"/>
      </w:tblGrid>
      <w:tr w:rsidR="00A10B21" w:rsidRPr="00A10B21" w14:paraId="6F1992AD" w14:textId="77777777" w:rsidTr="00A10B21">
        <w:trPr>
          <w:tblCellSpacing w:w="15" w:type="dxa"/>
        </w:trPr>
        <w:tc>
          <w:tcPr>
            <w:tcW w:w="1790" w:type="dxa"/>
            <w:vAlign w:val="center"/>
            <w:hideMark/>
          </w:tcPr>
          <w:p w14:paraId="772B006B"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r w:rsidRPr="00DF35CE">
              <w:rPr>
                <w:rFonts w:ascii="Arial" w:eastAsia="Times New Roman" w:hAnsi="Arial" w:cs="Arial"/>
                <w:kern w:val="0"/>
                <w:lang w:eastAsia="en-GB"/>
                <w14:ligatures w14:val="none"/>
              </w:rPr>
              <w:t>Rent &amp; Utilities</w:t>
            </w:r>
          </w:p>
        </w:tc>
        <w:tc>
          <w:tcPr>
            <w:tcW w:w="1529" w:type="dxa"/>
            <w:vAlign w:val="center"/>
            <w:hideMark/>
          </w:tcPr>
          <w:p w14:paraId="47BC039A" w14:textId="552A5704"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15,000</w:t>
            </w:r>
          </w:p>
        </w:tc>
        <w:tc>
          <w:tcPr>
            <w:tcW w:w="2097" w:type="dxa"/>
            <w:vAlign w:val="center"/>
            <w:hideMark/>
          </w:tcPr>
          <w:p w14:paraId="12E3192B" w14:textId="3E64031F"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15,000</w:t>
            </w:r>
          </w:p>
        </w:tc>
        <w:tc>
          <w:tcPr>
            <w:tcW w:w="1812" w:type="dxa"/>
            <w:vAlign w:val="center"/>
            <w:hideMark/>
          </w:tcPr>
          <w:p w14:paraId="2D494184" w14:textId="52C354F5"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15,000</w:t>
            </w:r>
          </w:p>
        </w:tc>
        <w:tc>
          <w:tcPr>
            <w:tcW w:w="1656" w:type="dxa"/>
            <w:vAlign w:val="center"/>
            <w:hideMark/>
          </w:tcPr>
          <w:p w14:paraId="6E6335F3" w14:textId="48428B00"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15,000</w:t>
            </w:r>
          </w:p>
        </w:tc>
      </w:tr>
    </w:tbl>
    <w:p w14:paraId="431CEA2A" w14:textId="77777777" w:rsidR="00DF35CE" w:rsidRPr="00DF35CE" w:rsidRDefault="00DF35CE" w:rsidP="00D43564">
      <w:pPr>
        <w:shd w:val="clear" w:color="auto" w:fill="83CAEB" w:themeFill="accent1" w:themeFillTint="66"/>
        <w:spacing w:after="0" w:line="240" w:lineRule="auto"/>
        <w:rPr>
          <w:rFonts w:ascii="Arial" w:eastAsia="Times New Roman" w:hAnsi="Arial" w:cs="Arial"/>
          <w:vanish/>
          <w:kern w:val="0"/>
          <w:lang w:eastAsia="en-GB"/>
          <w14:ligatures w14:val="none"/>
        </w:rPr>
      </w:pPr>
    </w:p>
    <w:tbl>
      <w:tblPr>
        <w:tblW w:w="9064" w:type="dxa"/>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835"/>
        <w:gridCol w:w="1559"/>
        <w:gridCol w:w="2127"/>
        <w:gridCol w:w="1842"/>
        <w:gridCol w:w="1701"/>
      </w:tblGrid>
      <w:tr w:rsidR="00A10B21" w:rsidRPr="00A10B21" w14:paraId="0E97E0DC" w14:textId="77777777" w:rsidTr="00A10B21">
        <w:trPr>
          <w:tblCellSpacing w:w="15" w:type="dxa"/>
        </w:trPr>
        <w:tc>
          <w:tcPr>
            <w:tcW w:w="1790" w:type="dxa"/>
            <w:vAlign w:val="center"/>
            <w:hideMark/>
          </w:tcPr>
          <w:p w14:paraId="475015B7"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r w:rsidRPr="00DF35CE">
              <w:rPr>
                <w:rFonts w:ascii="Arial" w:eastAsia="Times New Roman" w:hAnsi="Arial" w:cs="Arial"/>
                <w:kern w:val="0"/>
                <w:lang w:eastAsia="en-GB"/>
                <w14:ligatures w14:val="none"/>
              </w:rPr>
              <w:lastRenderedPageBreak/>
              <w:t>Marketing</w:t>
            </w:r>
          </w:p>
        </w:tc>
        <w:tc>
          <w:tcPr>
            <w:tcW w:w="1529" w:type="dxa"/>
            <w:vAlign w:val="center"/>
            <w:hideMark/>
          </w:tcPr>
          <w:p w14:paraId="665DD9C1" w14:textId="5C8D7695"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5,000</w:t>
            </w:r>
          </w:p>
        </w:tc>
        <w:tc>
          <w:tcPr>
            <w:tcW w:w="2097" w:type="dxa"/>
            <w:vAlign w:val="center"/>
            <w:hideMark/>
          </w:tcPr>
          <w:p w14:paraId="3977BDDF" w14:textId="18EC3628"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10,000</w:t>
            </w:r>
          </w:p>
        </w:tc>
        <w:tc>
          <w:tcPr>
            <w:tcW w:w="1812" w:type="dxa"/>
            <w:vAlign w:val="center"/>
            <w:hideMark/>
          </w:tcPr>
          <w:p w14:paraId="41BBD80C" w14:textId="33EC9445"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15,000</w:t>
            </w:r>
          </w:p>
        </w:tc>
        <w:tc>
          <w:tcPr>
            <w:tcW w:w="1656" w:type="dxa"/>
            <w:vAlign w:val="center"/>
            <w:hideMark/>
          </w:tcPr>
          <w:p w14:paraId="5E5C1B80" w14:textId="6BE89F60"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20,000</w:t>
            </w:r>
          </w:p>
        </w:tc>
      </w:tr>
    </w:tbl>
    <w:p w14:paraId="739A05DA" w14:textId="77777777" w:rsidR="00DF35CE" w:rsidRPr="00DF35CE" w:rsidRDefault="00DF35CE" w:rsidP="00D43564">
      <w:pPr>
        <w:shd w:val="clear" w:color="auto" w:fill="83CAEB" w:themeFill="accent1" w:themeFillTint="66"/>
        <w:spacing w:after="0" w:line="240" w:lineRule="auto"/>
        <w:rPr>
          <w:rFonts w:ascii="Arial" w:eastAsia="Times New Roman" w:hAnsi="Arial" w:cs="Arial"/>
          <w:vanish/>
          <w:kern w:val="0"/>
          <w:lang w:eastAsia="en-GB"/>
          <w14:ligatures w14:val="none"/>
        </w:rPr>
      </w:pPr>
    </w:p>
    <w:tbl>
      <w:tblPr>
        <w:tblW w:w="9064" w:type="dxa"/>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835"/>
        <w:gridCol w:w="1559"/>
        <w:gridCol w:w="2127"/>
        <w:gridCol w:w="1842"/>
        <w:gridCol w:w="1701"/>
      </w:tblGrid>
      <w:tr w:rsidR="00A10B21" w:rsidRPr="00A10B21" w14:paraId="30B233DF" w14:textId="77777777" w:rsidTr="00015645">
        <w:trPr>
          <w:tblCellSpacing w:w="15" w:type="dxa"/>
        </w:trPr>
        <w:tc>
          <w:tcPr>
            <w:tcW w:w="1790" w:type="dxa"/>
            <w:vAlign w:val="center"/>
            <w:hideMark/>
          </w:tcPr>
          <w:p w14:paraId="76DF634B"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r w:rsidRPr="00DF35CE">
              <w:rPr>
                <w:rFonts w:ascii="Arial" w:eastAsia="Times New Roman" w:hAnsi="Arial" w:cs="Arial"/>
                <w:kern w:val="0"/>
                <w:lang w:eastAsia="en-GB"/>
                <w14:ligatures w14:val="none"/>
              </w:rPr>
              <w:t>Misc. Operational Costs</w:t>
            </w:r>
          </w:p>
        </w:tc>
        <w:tc>
          <w:tcPr>
            <w:tcW w:w="1529" w:type="dxa"/>
            <w:shd w:val="clear" w:color="auto" w:fill="83CAEB" w:themeFill="accent1" w:themeFillTint="66"/>
            <w:vAlign w:val="center"/>
            <w:hideMark/>
          </w:tcPr>
          <w:p w14:paraId="72F1320C" w14:textId="228E3799"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10,000</w:t>
            </w:r>
          </w:p>
        </w:tc>
        <w:tc>
          <w:tcPr>
            <w:tcW w:w="2097" w:type="dxa"/>
            <w:shd w:val="clear" w:color="auto" w:fill="83CAEB" w:themeFill="accent1" w:themeFillTint="66"/>
            <w:vAlign w:val="center"/>
            <w:hideMark/>
          </w:tcPr>
          <w:p w14:paraId="2A19F5AA" w14:textId="48B3C6B4"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15,000</w:t>
            </w:r>
          </w:p>
        </w:tc>
        <w:tc>
          <w:tcPr>
            <w:tcW w:w="1812" w:type="dxa"/>
            <w:shd w:val="clear" w:color="auto" w:fill="83CAEB" w:themeFill="accent1" w:themeFillTint="66"/>
            <w:vAlign w:val="center"/>
            <w:hideMark/>
          </w:tcPr>
          <w:p w14:paraId="40F2459D" w14:textId="25EE65BA"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20,000</w:t>
            </w:r>
          </w:p>
        </w:tc>
        <w:tc>
          <w:tcPr>
            <w:tcW w:w="1656" w:type="dxa"/>
            <w:shd w:val="clear" w:color="auto" w:fill="83CAEB" w:themeFill="accent1" w:themeFillTint="66"/>
            <w:vAlign w:val="center"/>
            <w:hideMark/>
          </w:tcPr>
          <w:p w14:paraId="29655D1F" w14:textId="789F0E98"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25,000</w:t>
            </w:r>
          </w:p>
        </w:tc>
      </w:tr>
    </w:tbl>
    <w:p w14:paraId="3F7CC209" w14:textId="77777777" w:rsidR="00DF35CE" w:rsidRPr="00DF35CE" w:rsidRDefault="00DF35CE" w:rsidP="00D43564">
      <w:pPr>
        <w:shd w:val="clear" w:color="auto" w:fill="83CAEB" w:themeFill="accent1" w:themeFillTint="66"/>
        <w:spacing w:after="0" w:line="240" w:lineRule="auto"/>
        <w:rPr>
          <w:rFonts w:ascii="Arial" w:eastAsia="Times New Roman" w:hAnsi="Arial" w:cs="Arial"/>
          <w:vanish/>
          <w:kern w:val="0"/>
          <w:lang w:eastAsia="en-GB"/>
          <w14:ligatures w14:val="none"/>
        </w:rPr>
      </w:pPr>
    </w:p>
    <w:tbl>
      <w:tblPr>
        <w:tblW w:w="9064" w:type="dxa"/>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835"/>
        <w:gridCol w:w="1559"/>
        <w:gridCol w:w="2127"/>
        <w:gridCol w:w="1842"/>
        <w:gridCol w:w="1701"/>
      </w:tblGrid>
      <w:tr w:rsidR="00A10B21" w:rsidRPr="00A10B21" w14:paraId="6947BC4C" w14:textId="77777777" w:rsidTr="00A10B21">
        <w:trPr>
          <w:tblCellSpacing w:w="15" w:type="dxa"/>
        </w:trPr>
        <w:tc>
          <w:tcPr>
            <w:tcW w:w="1790" w:type="dxa"/>
            <w:vAlign w:val="center"/>
            <w:hideMark/>
          </w:tcPr>
          <w:p w14:paraId="302CACCF" w14:textId="77777777" w:rsidR="00A10B21" w:rsidRPr="00DF35CE" w:rsidRDefault="00A10B21" w:rsidP="00D43564">
            <w:pPr>
              <w:shd w:val="clear" w:color="auto" w:fill="83CAEB" w:themeFill="accent1" w:themeFillTint="66"/>
              <w:spacing w:after="0" w:line="240" w:lineRule="auto"/>
              <w:rPr>
                <w:rFonts w:ascii="Arial" w:eastAsia="Times New Roman" w:hAnsi="Arial" w:cs="Arial"/>
                <w:kern w:val="0"/>
                <w:lang w:eastAsia="en-GB"/>
                <w14:ligatures w14:val="none"/>
              </w:rPr>
            </w:pPr>
            <w:r w:rsidRPr="00DF35CE">
              <w:rPr>
                <w:rFonts w:ascii="Arial" w:eastAsia="Times New Roman" w:hAnsi="Arial" w:cs="Arial"/>
                <w:kern w:val="0"/>
                <w:lang w:eastAsia="en-GB"/>
                <w14:ligatures w14:val="none"/>
              </w:rPr>
              <w:t>Total Costs</w:t>
            </w:r>
          </w:p>
        </w:tc>
        <w:tc>
          <w:tcPr>
            <w:tcW w:w="1529" w:type="dxa"/>
            <w:vAlign w:val="center"/>
            <w:hideMark/>
          </w:tcPr>
          <w:p w14:paraId="3CEE5D5D" w14:textId="7B365B17" w:rsidR="00A10B21"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A10B21" w:rsidRPr="00DF35CE">
              <w:rPr>
                <w:rFonts w:ascii="Arial" w:eastAsia="Times New Roman" w:hAnsi="Arial" w:cs="Arial"/>
                <w:kern w:val="0"/>
                <w:lang w:eastAsia="en-GB"/>
                <w14:ligatures w14:val="none"/>
              </w:rPr>
              <w:t>140,000</w:t>
            </w:r>
          </w:p>
        </w:tc>
        <w:tc>
          <w:tcPr>
            <w:tcW w:w="2097" w:type="dxa"/>
            <w:vAlign w:val="center"/>
            <w:hideMark/>
          </w:tcPr>
          <w:p w14:paraId="1F807C4C" w14:textId="061FDC16" w:rsidR="00A10B21"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A10B21" w:rsidRPr="00DF35CE">
              <w:rPr>
                <w:rFonts w:ascii="Arial" w:eastAsia="Times New Roman" w:hAnsi="Arial" w:cs="Arial"/>
                <w:kern w:val="0"/>
                <w:lang w:eastAsia="en-GB"/>
                <w14:ligatures w14:val="none"/>
              </w:rPr>
              <w:t>185,000</w:t>
            </w:r>
          </w:p>
        </w:tc>
        <w:tc>
          <w:tcPr>
            <w:tcW w:w="1812" w:type="dxa"/>
            <w:vAlign w:val="center"/>
            <w:hideMark/>
          </w:tcPr>
          <w:p w14:paraId="1F2D3C57" w14:textId="3761503A" w:rsidR="00A10B21"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A10B21" w:rsidRPr="00DF35CE">
              <w:rPr>
                <w:rFonts w:ascii="Arial" w:eastAsia="Times New Roman" w:hAnsi="Arial" w:cs="Arial"/>
                <w:kern w:val="0"/>
                <w:lang w:eastAsia="en-GB"/>
                <w14:ligatures w14:val="none"/>
              </w:rPr>
              <w:t>220,000</w:t>
            </w:r>
          </w:p>
        </w:tc>
        <w:tc>
          <w:tcPr>
            <w:tcW w:w="1656" w:type="dxa"/>
            <w:vAlign w:val="center"/>
            <w:hideMark/>
          </w:tcPr>
          <w:p w14:paraId="25708915" w14:textId="2EE22CA6" w:rsidR="00A10B21"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A10B21" w:rsidRPr="00DF35CE">
              <w:rPr>
                <w:rFonts w:ascii="Arial" w:eastAsia="Times New Roman" w:hAnsi="Arial" w:cs="Arial"/>
                <w:kern w:val="0"/>
                <w:lang w:eastAsia="en-GB"/>
                <w14:ligatures w14:val="none"/>
              </w:rPr>
              <w:t>260,000</w:t>
            </w:r>
          </w:p>
        </w:tc>
      </w:tr>
    </w:tbl>
    <w:p w14:paraId="000FAF5E" w14:textId="77777777" w:rsidR="00DF35CE" w:rsidRPr="00DF35CE" w:rsidRDefault="00DF35CE" w:rsidP="00D43564">
      <w:pPr>
        <w:shd w:val="clear" w:color="auto" w:fill="83CAEB" w:themeFill="accent1" w:themeFillTint="66"/>
        <w:spacing w:after="0" w:line="240" w:lineRule="auto"/>
        <w:rPr>
          <w:rFonts w:ascii="Arial" w:eastAsia="Times New Roman" w:hAnsi="Arial" w:cs="Arial"/>
          <w:vanish/>
          <w:kern w:val="0"/>
          <w:lang w:eastAsia="en-GB"/>
          <w14:ligatures w14:val="none"/>
        </w:rPr>
      </w:pPr>
    </w:p>
    <w:tbl>
      <w:tblPr>
        <w:tblW w:w="9064" w:type="dxa"/>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835"/>
        <w:gridCol w:w="1559"/>
        <w:gridCol w:w="2127"/>
        <w:gridCol w:w="1842"/>
        <w:gridCol w:w="1701"/>
      </w:tblGrid>
      <w:tr w:rsidR="00A10B21" w:rsidRPr="00A10B21" w14:paraId="7C5507BC" w14:textId="77777777" w:rsidTr="00A10B21">
        <w:trPr>
          <w:tblCellSpacing w:w="15" w:type="dxa"/>
        </w:trPr>
        <w:tc>
          <w:tcPr>
            <w:tcW w:w="1790" w:type="dxa"/>
            <w:vAlign w:val="center"/>
            <w:hideMark/>
          </w:tcPr>
          <w:p w14:paraId="74C75102" w14:textId="77777777" w:rsidR="00DF35CE" w:rsidRPr="00DF35CE" w:rsidRDefault="00DF35CE" w:rsidP="00D43564">
            <w:pPr>
              <w:shd w:val="clear" w:color="auto" w:fill="83CAEB" w:themeFill="accent1" w:themeFillTint="66"/>
              <w:spacing w:after="0" w:line="240" w:lineRule="auto"/>
              <w:rPr>
                <w:rFonts w:ascii="Arial" w:eastAsia="Times New Roman" w:hAnsi="Arial" w:cs="Arial"/>
                <w:kern w:val="0"/>
                <w:lang w:eastAsia="en-GB"/>
                <w14:ligatures w14:val="none"/>
              </w:rPr>
            </w:pPr>
            <w:r w:rsidRPr="00DF35CE">
              <w:rPr>
                <w:rFonts w:ascii="Arial" w:eastAsia="Times New Roman" w:hAnsi="Arial" w:cs="Arial"/>
                <w:kern w:val="0"/>
                <w:lang w:eastAsia="en-GB"/>
                <w14:ligatures w14:val="none"/>
              </w:rPr>
              <w:t>Net Cash Flow</w:t>
            </w:r>
          </w:p>
        </w:tc>
        <w:tc>
          <w:tcPr>
            <w:tcW w:w="1529" w:type="dxa"/>
            <w:vAlign w:val="center"/>
            <w:hideMark/>
          </w:tcPr>
          <w:p w14:paraId="1D7BABD9" w14:textId="35D3AE2F"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10,000</w:t>
            </w:r>
          </w:p>
        </w:tc>
        <w:tc>
          <w:tcPr>
            <w:tcW w:w="2097" w:type="dxa"/>
            <w:vAlign w:val="center"/>
            <w:hideMark/>
          </w:tcPr>
          <w:p w14:paraId="2C7C5729" w14:textId="6D219AFA"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65,000</w:t>
            </w:r>
          </w:p>
        </w:tc>
        <w:tc>
          <w:tcPr>
            <w:tcW w:w="1812" w:type="dxa"/>
            <w:vAlign w:val="center"/>
            <w:hideMark/>
          </w:tcPr>
          <w:p w14:paraId="392883A1" w14:textId="6C530DA9"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180,000</w:t>
            </w:r>
          </w:p>
        </w:tc>
        <w:tc>
          <w:tcPr>
            <w:tcW w:w="1656" w:type="dxa"/>
            <w:vAlign w:val="center"/>
            <w:hideMark/>
          </w:tcPr>
          <w:p w14:paraId="624E991E" w14:textId="24D79574" w:rsidR="00DF35CE" w:rsidRPr="00DF35CE" w:rsidRDefault="00D43564" w:rsidP="00D43564">
            <w:pPr>
              <w:shd w:val="clear" w:color="auto" w:fill="83CAEB" w:themeFill="accent1" w:themeFillTint="66"/>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F35CE" w:rsidRPr="00DF35CE">
              <w:rPr>
                <w:rFonts w:ascii="Arial" w:eastAsia="Times New Roman" w:hAnsi="Arial" w:cs="Arial"/>
                <w:kern w:val="0"/>
                <w:lang w:eastAsia="en-GB"/>
                <w14:ligatures w14:val="none"/>
              </w:rPr>
              <w:t>340,000</w:t>
            </w:r>
          </w:p>
        </w:tc>
      </w:tr>
    </w:tbl>
    <w:p w14:paraId="5A880CB8" w14:textId="77777777" w:rsidR="00A10B21" w:rsidRDefault="00A10B21" w:rsidP="00DF35CE">
      <w:pPr>
        <w:spacing w:line="480" w:lineRule="auto"/>
        <w:rPr>
          <w:rFonts w:ascii="Arial" w:hAnsi="Arial" w:cs="Arial"/>
        </w:rPr>
      </w:pPr>
    </w:p>
    <w:p w14:paraId="1AC0A60C" w14:textId="77777777" w:rsidR="00A10B21" w:rsidRDefault="00567EB9" w:rsidP="00DF35CE">
      <w:pPr>
        <w:spacing w:line="480" w:lineRule="auto"/>
        <w:rPr>
          <w:rFonts w:ascii="Arial" w:hAnsi="Arial" w:cs="Arial"/>
        </w:rPr>
      </w:pPr>
      <w:r w:rsidRPr="00DF35CE">
        <w:rPr>
          <w:rFonts w:ascii="Arial" w:hAnsi="Arial" w:cs="Arial"/>
        </w:rPr>
        <w:t>Payments from ongoing servicing agreements and completed installations are included in the income projection. Raw materials, salaries, rent, marketing, and daily operational outlays comprise expenses. Koller et al. (2010) propose that a prudent financial buffer can be established by underestimating revenues and overestimating expenditures.</w:t>
      </w:r>
    </w:p>
    <w:p w14:paraId="47017BAC" w14:textId="2E9FC3BC" w:rsidR="00A10B21" w:rsidRPr="00A10B21" w:rsidRDefault="00567EB9" w:rsidP="00A10B21">
      <w:pPr>
        <w:pStyle w:val="ListParagraph"/>
        <w:numPr>
          <w:ilvl w:val="0"/>
          <w:numId w:val="1"/>
        </w:numPr>
        <w:spacing w:line="480" w:lineRule="auto"/>
        <w:rPr>
          <w:rFonts w:ascii="Arial Black" w:hAnsi="Arial Black" w:cs="Arial"/>
          <w:color w:val="4C94D8" w:themeColor="text2" w:themeTint="80"/>
          <w:u w:val="thick"/>
        </w:rPr>
      </w:pPr>
      <w:r w:rsidRPr="00A10B21">
        <w:rPr>
          <w:rFonts w:ascii="Arial Black" w:hAnsi="Arial Black" w:cs="Arial"/>
          <w:color w:val="4C94D8" w:themeColor="text2" w:themeTint="80"/>
          <w:u w:val="thick"/>
        </w:rPr>
        <w:t>Contingency Plan and Risk Analysis</w:t>
      </w:r>
    </w:p>
    <w:p w14:paraId="1F4EE6E9" w14:textId="77777777" w:rsidR="00A10B21" w:rsidRDefault="00567EB9" w:rsidP="00A10B21">
      <w:pPr>
        <w:pStyle w:val="ListParagraph"/>
        <w:numPr>
          <w:ilvl w:val="0"/>
          <w:numId w:val="6"/>
        </w:numPr>
        <w:spacing w:line="480" w:lineRule="auto"/>
        <w:rPr>
          <w:rFonts w:ascii="Arial" w:hAnsi="Arial" w:cs="Arial"/>
        </w:rPr>
      </w:pPr>
      <w:r w:rsidRPr="00A10B21">
        <w:rPr>
          <w:rFonts w:ascii="Arial" w:hAnsi="Arial" w:cs="Arial"/>
        </w:rPr>
        <w:t>Key Risks</w:t>
      </w:r>
    </w:p>
    <w:p w14:paraId="6FAD1013" w14:textId="77777777" w:rsidR="00A10B21" w:rsidRDefault="00567EB9" w:rsidP="00A10B21">
      <w:pPr>
        <w:spacing w:line="480" w:lineRule="auto"/>
        <w:rPr>
          <w:rFonts w:ascii="Arial" w:hAnsi="Arial" w:cs="Arial"/>
        </w:rPr>
      </w:pPr>
      <w:r w:rsidRPr="00A10B21">
        <w:rPr>
          <w:rFonts w:ascii="Arial" w:hAnsi="Arial" w:cs="Arial"/>
        </w:rPr>
        <w:t xml:space="preserve">Potential risks to AuroraRise's operations include the potential for abrupt adjustments to government incentives or the evolution of sustainability legislation, which can have a detrimental impact on the adoption of renewable energy (World Bank, 2020). Existing solutions may become obsolete if AuroraRise is unable to keep up with technological advancements (IEA, </w:t>
      </w:r>
      <w:r w:rsidR="00A10B21" w:rsidRPr="00A10B21">
        <w:rPr>
          <w:rFonts w:ascii="Arial" w:hAnsi="Arial" w:cs="Arial"/>
        </w:rPr>
        <w:t>2021)</w:t>
      </w:r>
      <w:r w:rsidR="00A10B21">
        <w:rPr>
          <w:rFonts w:ascii="Arial" w:hAnsi="Arial" w:cs="Arial"/>
        </w:rPr>
        <w:t xml:space="preserve">. </w:t>
      </w:r>
      <w:r w:rsidRPr="00A10B21">
        <w:rPr>
          <w:rFonts w:ascii="Arial" w:hAnsi="Arial" w:cs="Arial"/>
        </w:rPr>
        <w:t>Delays in component delivery may result from supply chain constraints, whether they are the result of global crises or trade issues. Prospective customers may also delay or cancel investments in renewable infrastructure during economic recessions.</w:t>
      </w:r>
    </w:p>
    <w:p w14:paraId="3C9B2649" w14:textId="77777777" w:rsidR="00A10B21" w:rsidRDefault="00567EB9" w:rsidP="00A10B21">
      <w:pPr>
        <w:spacing w:line="480" w:lineRule="auto"/>
        <w:rPr>
          <w:rFonts w:ascii="Arial" w:hAnsi="Arial" w:cs="Arial"/>
        </w:rPr>
      </w:pPr>
      <w:r w:rsidRPr="00A10B21">
        <w:rPr>
          <w:rFonts w:ascii="Arial" w:hAnsi="Arial" w:cs="Arial"/>
        </w:rPr>
        <w:t xml:space="preserve">AuroraRise will mitigate these risks by collaborating with a variety of market segments, including private residences, public-sector initiatives, and commercial enterprises, </w:t>
      </w:r>
      <w:r w:rsidR="00A10B21" w:rsidRPr="00A10B21">
        <w:rPr>
          <w:rFonts w:ascii="Arial" w:hAnsi="Arial" w:cs="Arial"/>
        </w:rPr>
        <w:t>to</w:t>
      </w:r>
      <w:r w:rsidRPr="00A10B21">
        <w:rPr>
          <w:rFonts w:ascii="Arial" w:hAnsi="Arial" w:cs="Arial"/>
        </w:rPr>
        <w:t xml:space="preserve"> prevent dependence on a single policy framework. </w:t>
      </w:r>
      <w:r w:rsidR="00A10B21" w:rsidRPr="00A10B21">
        <w:rPr>
          <w:rFonts w:ascii="Arial" w:hAnsi="Arial" w:cs="Arial"/>
        </w:rPr>
        <w:t>To</w:t>
      </w:r>
      <w:r w:rsidRPr="00A10B21">
        <w:rPr>
          <w:rFonts w:ascii="Arial" w:hAnsi="Arial" w:cs="Arial"/>
        </w:rPr>
        <w:t xml:space="preserve"> facilitate the rapid integration of new technologies, the organisation intends to allocate a portion of </w:t>
      </w:r>
      <w:r w:rsidRPr="00A10B21">
        <w:rPr>
          <w:rFonts w:ascii="Arial" w:hAnsi="Arial" w:cs="Arial"/>
        </w:rPr>
        <w:lastRenderedPageBreak/>
        <w:t xml:space="preserve">its annual proceeds to research and development. Additionally, it will strive to diversify its supplier network </w:t>
      </w:r>
      <w:r w:rsidR="00A10B21" w:rsidRPr="00A10B21">
        <w:rPr>
          <w:rFonts w:ascii="Arial" w:hAnsi="Arial" w:cs="Arial"/>
        </w:rPr>
        <w:t>to</w:t>
      </w:r>
      <w:r w:rsidRPr="00A10B21">
        <w:rPr>
          <w:rFonts w:ascii="Arial" w:hAnsi="Arial" w:cs="Arial"/>
        </w:rPr>
        <w:t xml:space="preserve"> mitigate potential shortages. Furthermore, AuroraRise intends to provide clients with robust funding sources, particularly corporate entities and governmental bodies, with flexible payment arrangements.</w:t>
      </w:r>
    </w:p>
    <w:p w14:paraId="4559EF49" w14:textId="41BDCECE" w:rsidR="00A10B21" w:rsidRPr="00A10B21" w:rsidRDefault="00567EB9" w:rsidP="00A10B21">
      <w:pPr>
        <w:pStyle w:val="ListParagraph"/>
        <w:numPr>
          <w:ilvl w:val="0"/>
          <w:numId w:val="6"/>
        </w:numPr>
        <w:spacing w:line="480" w:lineRule="auto"/>
        <w:rPr>
          <w:rFonts w:ascii="Arial" w:hAnsi="Arial" w:cs="Arial"/>
        </w:rPr>
      </w:pPr>
      <w:r w:rsidRPr="00A10B21">
        <w:rPr>
          <w:rFonts w:ascii="Arial" w:hAnsi="Arial" w:cs="Arial"/>
        </w:rPr>
        <w:t>Contingency Plan</w:t>
      </w:r>
    </w:p>
    <w:p w14:paraId="383B87A3" w14:textId="77777777" w:rsidR="00D43564" w:rsidRDefault="00567EB9" w:rsidP="00A10B21">
      <w:pPr>
        <w:spacing w:line="480" w:lineRule="auto"/>
        <w:rPr>
          <w:rFonts w:ascii="Arial" w:hAnsi="Arial" w:cs="Arial"/>
        </w:rPr>
      </w:pPr>
      <w:r w:rsidRPr="00A10B21">
        <w:rPr>
          <w:rFonts w:ascii="Arial" w:hAnsi="Arial" w:cs="Arial"/>
        </w:rPr>
        <w:t xml:space="preserve">AuroraRise will prioritise essential operational functions, such as installations and maintenance, and institute immediate cost containment measures </w:t>
      </w:r>
      <w:r w:rsidR="00A10B21" w:rsidRPr="00A10B21">
        <w:rPr>
          <w:rFonts w:ascii="Arial" w:hAnsi="Arial" w:cs="Arial"/>
        </w:rPr>
        <w:t>if</w:t>
      </w:r>
      <w:r w:rsidRPr="00A10B21">
        <w:rPr>
          <w:rFonts w:ascii="Arial" w:hAnsi="Arial" w:cs="Arial"/>
        </w:rPr>
        <w:t xml:space="preserve"> critical risks arise, while deferring non-critical activities. The company will reassess its product lines and, if necessary, transition to more cost-effective or smaller-scale solar and wind solutions. In the event of a short-term cash shortage, bridge financing may be pursued from existing financial partners. Lastly, cross-training will be provided to the workforce to enable them to transition between roles in the event of fluctuations in market demand for specific product lines.</w:t>
      </w:r>
    </w:p>
    <w:p w14:paraId="18FD8911" w14:textId="19C4E0F9" w:rsidR="00D43564" w:rsidRPr="00D43564" w:rsidRDefault="00D43564" w:rsidP="00D43564">
      <w:pPr>
        <w:pStyle w:val="ListParagraph"/>
        <w:numPr>
          <w:ilvl w:val="0"/>
          <w:numId w:val="1"/>
        </w:numPr>
        <w:spacing w:line="480" w:lineRule="auto"/>
        <w:rPr>
          <w:rFonts w:ascii="Arial Black" w:hAnsi="Arial Black" w:cs="Arial"/>
          <w:color w:val="4C94D8" w:themeColor="text2" w:themeTint="80"/>
          <w:u w:val="thick"/>
        </w:rPr>
      </w:pPr>
      <w:r w:rsidRPr="00D43564">
        <w:rPr>
          <w:rFonts w:ascii="Arial Black" w:hAnsi="Arial Black" w:cs="Arial"/>
          <w:color w:val="4C94D8" w:themeColor="text2" w:themeTint="80"/>
          <w:u w:val="thick"/>
        </w:rPr>
        <w:t>Conclusion</w:t>
      </w:r>
    </w:p>
    <w:p w14:paraId="64765B6A" w14:textId="77777777" w:rsidR="00D43564" w:rsidRDefault="00567EB9" w:rsidP="00A10B21">
      <w:pPr>
        <w:spacing w:line="480" w:lineRule="auto"/>
        <w:rPr>
          <w:rFonts w:ascii="Arial" w:hAnsi="Arial" w:cs="Arial"/>
        </w:rPr>
      </w:pPr>
      <w:r w:rsidRPr="00A10B21">
        <w:rPr>
          <w:rFonts w:ascii="Arial" w:hAnsi="Arial" w:cs="Arial"/>
        </w:rPr>
        <w:t xml:space="preserve">The escalating demand for energy solutions that are economically viable, sustainable, and </w:t>
      </w:r>
      <w:r w:rsidRPr="00A10B21">
        <w:rPr>
          <w:rFonts w:ascii="Arial" w:hAnsi="Arial" w:cs="Arial"/>
        </w:rPr>
        <w:t>high efficiency</w:t>
      </w:r>
      <w:r w:rsidRPr="00A10B21">
        <w:rPr>
          <w:rFonts w:ascii="Arial" w:hAnsi="Arial" w:cs="Arial"/>
        </w:rPr>
        <w:t xml:space="preserve"> presents an opportunity for AuroraRise Renewables. AuroraRise anticipates becoming a prominent player in the renewable energy sector through the implementation of a prudent financial strategy, strong executive leadership, and a comprehensive strategic vision. The company aims to generate profit in a manner that is consistent with the preservation of ecological integrity by implementing initiatives that are designed to promote sustainability, continuous technological innovation, and community development.</w:t>
      </w:r>
    </w:p>
    <w:p w14:paraId="42E0A6BE" w14:textId="255FBA2F" w:rsidR="00567EB9" w:rsidRDefault="00567EB9" w:rsidP="00A10B21">
      <w:pPr>
        <w:spacing w:line="480" w:lineRule="auto"/>
        <w:rPr>
          <w:rFonts w:ascii="Arial" w:hAnsi="Arial" w:cs="Arial"/>
        </w:rPr>
      </w:pPr>
      <w:r w:rsidRPr="00A10B21">
        <w:rPr>
          <w:rFonts w:ascii="Arial" w:hAnsi="Arial" w:cs="Arial"/>
        </w:rPr>
        <w:t xml:space="preserve">AuroraRise's financial preparedness, operational framework, and market research demonstrate its ability to successfully navigate the intricacies of the rapidly </w:t>
      </w:r>
      <w:r w:rsidRPr="00A10B21">
        <w:rPr>
          <w:rFonts w:ascii="Arial" w:hAnsi="Arial" w:cs="Arial"/>
        </w:rPr>
        <w:lastRenderedPageBreak/>
        <w:t>expanding renewables market. This business plan functions as a strategic roadmap for the realisation of the vision of providing renewable energy that is easily accessible to a broad customer base and making a substantial contribution to the global effort to mitigate climate change.</w:t>
      </w:r>
    </w:p>
    <w:p w14:paraId="6046DEBA" w14:textId="77777777" w:rsidR="00D43564" w:rsidRDefault="00D43564" w:rsidP="00A10B21">
      <w:pPr>
        <w:spacing w:line="480" w:lineRule="auto"/>
        <w:rPr>
          <w:rFonts w:ascii="Arial" w:hAnsi="Arial" w:cs="Arial"/>
        </w:rPr>
      </w:pPr>
    </w:p>
    <w:p w14:paraId="108EC952" w14:textId="77777777" w:rsidR="00D43564" w:rsidRDefault="00D43564" w:rsidP="00A10B21">
      <w:pPr>
        <w:spacing w:line="480" w:lineRule="auto"/>
        <w:rPr>
          <w:rFonts w:ascii="Arial" w:hAnsi="Arial" w:cs="Arial"/>
        </w:rPr>
      </w:pPr>
    </w:p>
    <w:p w14:paraId="08D54C6A" w14:textId="77777777" w:rsidR="00D43564" w:rsidRDefault="00D43564" w:rsidP="00A10B21">
      <w:pPr>
        <w:spacing w:line="480" w:lineRule="auto"/>
        <w:rPr>
          <w:rFonts w:ascii="Arial" w:hAnsi="Arial" w:cs="Arial"/>
        </w:rPr>
      </w:pPr>
    </w:p>
    <w:p w14:paraId="510D8DC9" w14:textId="77777777" w:rsidR="00D43564" w:rsidRDefault="00D43564" w:rsidP="00A10B21">
      <w:pPr>
        <w:spacing w:line="480" w:lineRule="auto"/>
        <w:rPr>
          <w:rFonts w:ascii="Arial" w:hAnsi="Arial" w:cs="Arial"/>
        </w:rPr>
      </w:pPr>
    </w:p>
    <w:p w14:paraId="326D958F" w14:textId="77777777" w:rsidR="00D43564" w:rsidRDefault="00D43564" w:rsidP="00A10B21">
      <w:pPr>
        <w:spacing w:line="480" w:lineRule="auto"/>
        <w:rPr>
          <w:rFonts w:ascii="Arial" w:hAnsi="Arial" w:cs="Arial"/>
        </w:rPr>
      </w:pPr>
    </w:p>
    <w:p w14:paraId="37F19685" w14:textId="77777777" w:rsidR="00D43564" w:rsidRDefault="00D43564" w:rsidP="00A10B21">
      <w:pPr>
        <w:spacing w:line="480" w:lineRule="auto"/>
        <w:rPr>
          <w:rFonts w:ascii="Arial" w:hAnsi="Arial" w:cs="Arial"/>
        </w:rPr>
      </w:pPr>
    </w:p>
    <w:p w14:paraId="0582C4EF" w14:textId="77777777" w:rsidR="00D43564" w:rsidRDefault="00D43564" w:rsidP="00A10B21">
      <w:pPr>
        <w:spacing w:line="480" w:lineRule="auto"/>
        <w:rPr>
          <w:rFonts w:ascii="Arial" w:hAnsi="Arial" w:cs="Arial"/>
        </w:rPr>
      </w:pPr>
    </w:p>
    <w:p w14:paraId="473D8FD6" w14:textId="77777777" w:rsidR="00D43564" w:rsidRDefault="00D43564" w:rsidP="00A10B21">
      <w:pPr>
        <w:spacing w:line="480" w:lineRule="auto"/>
        <w:rPr>
          <w:rFonts w:ascii="Arial" w:hAnsi="Arial" w:cs="Arial"/>
        </w:rPr>
      </w:pPr>
    </w:p>
    <w:p w14:paraId="3A94B0E7" w14:textId="77777777" w:rsidR="00D43564" w:rsidRDefault="00D43564" w:rsidP="00A10B21">
      <w:pPr>
        <w:spacing w:line="480" w:lineRule="auto"/>
        <w:rPr>
          <w:rFonts w:ascii="Arial" w:hAnsi="Arial" w:cs="Arial"/>
        </w:rPr>
      </w:pPr>
    </w:p>
    <w:p w14:paraId="19B526B0" w14:textId="77777777" w:rsidR="00D43564" w:rsidRDefault="00D43564" w:rsidP="00A10B21">
      <w:pPr>
        <w:spacing w:line="480" w:lineRule="auto"/>
        <w:rPr>
          <w:rFonts w:ascii="Arial" w:hAnsi="Arial" w:cs="Arial"/>
        </w:rPr>
      </w:pPr>
    </w:p>
    <w:p w14:paraId="0E82CD7D" w14:textId="77777777" w:rsidR="00D43564" w:rsidRDefault="00D43564" w:rsidP="00A10B21">
      <w:pPr>
        <w:spacing w:line="480" w:lineRule="auto"/>
        <w:rPr>
          <w:rFonts w:ascii="Arial" w:hAnsi="Arial" w:cs="Arial"/>
        </w:rPr>
      </w:pPr>
    </w:p>
    <w:p w14:paraId="0AEDEAA3" w14:textId="77777777" w:rsidR="00D43564" w:rsidRDefault="00D43564" w:rsidP="00A10B21">
      <w:pPr>
        <w:spacing w:line="480" w:lineRule="auto"/>
        <w:rPr>
          <w:rFonts w:ascii="Arial" w:hAnsi="Arial" w:cs="Arial"/>
        </w:rPr>
      </w:pPr>
    </w:p>
    <w:p w14:paraId="4CA79E51" w14:textId="77777777" w:rsidR="00D43564" w:rsidRDefault="00D43564" w:rsidP="00A10B21">
      <w:pPr>
        <w:spacing w:line="480" w:lineRule="auto"/>
        <w:rPr>
          <w:rFonts w:ascii="Arial" w:hAnsi="Arial" w:cs="Arial"/>
        </w:rPr>
      </w:pPr>
    </w:p>
    <w:p w14:paraId="7805CFE0" w14:textId="77777777" w:rsidR="00D43564" w:rsidRDefault="00D43564" w:rsidP="00A10B21">
      <w:pPr>
        <w:spacing w:line="480" w:lineRule="auto"/>
        <w:rPr>
          <w:rFonts w:ascii="Arial" w:hAnsi="Arial" w:cs="Arial"/>
        </w:rPr>
      </w:pPr>
    </w:p>
    <w:p w14:paraId="5A1EC8B8" w14:textId="77777777" w:rsidR="00D43564" w:rsidRDefault="00D43564" w:rsidP="00A10B21">
      <w:pPr>
        <w:spacing w:line="480" w:lineRule="auto"/>
        <w:rPr>
          <w:rFonts w:ascii="Arial" w:hAnsi="Arial" w:cs="Arial"/>
        </w:rPr>
      </w:pPr>
    </w:p>
    <w:p w14:paraId="3137BB21" w14:textId="77777777" w:rsidR="00D43564" w:rsidRDefault="00D43564" w:rsidP="00A10B21">
      <w:pPr>
        <w:spacing w:line="480" w:lineRule="auto"/>
        <w:rPr>
          <w:rFonts w:ascii="Arial" w:hAnsi="Arial" w:cs="Arial"/>
        </w:rPr>
      </w:pPr>
    </w:p>
    <w:p w14:paraId="3438A081" w14:textId="13FF7E8D" w:rsidR="00D43564" w:rsidRPr="00615FC8" w:rsidRDefault="00D43564" w:rsidP="00A10B21">
      <w:pPr>
        <w:spacing w:line="480" w:lineRule="auto"/>
        <w:rPr>
          <w:rFonts w:ascii="Arial Black" w:hAnsi="Arial Black" w:cs="Arial"/>
          <w:color w:val="4C94D8" w:themeColor="text2" w:themeTint="80"/>
          <w:u w:val="thick"/>
        </w:rPr>
      </w:pPr>
      <w:r w:rsidRPr="00615FC8">
        <w:rPr>
          <w:rFonts w:ascii="Arial Black" w:hAnsi="Arial Black" w:cs="Arial"/>
          <w:color w:val="4C94D8" w:themeColor="text2" w:themeTint="80"/>
          <w:u w:val="thick"/>
        </w:rPr>
        <w:lastRenderedPageBreak/>
        <w:t xml:space="preserve">References </w:t>
      </w:r>
    </w:p>
    <w:p w14:paraId="21768ED9" w14:textId="2E616464" w:rsidR="00015645" w:rsidRDefault="00015645" w:rsidP="00015645">
      <w:pPr>
        <w:spacing w:line="480" w:lineRule="auto"/>
        <w:rPr>
          <w:rFonts w:ascii="Arial" w:hAnsi="Arial" w:cs="Arial"/>
        </w:rPr>
      </w:pPr>
      <w:r w:rsidRPr="00015645">
        <w:rPr>
          <w:rFonts w:ascii="Arial" w:hAnsi="Arial" w:cs="Arial"/>
        </w:rPr>
        <w:t xml:space="preserve">Intergovernmental Panel on Climate Change. (2022). </w:t>
      </w:r>
      <w:r w:rsidRPr="00015645">
        <w:rPr>
          <w:rFonts w:ascii="Arial" w:hAnsi="Arial" w:cs="Arial"/>
          <w:i/>
          <w:iCs/>
        </w:rPr>
        <w:t>Climate change 2022: Mitigation of climate change.</w:t>
      </w:r>
      <w:r w:rsidRPr="00015645">
        <w:rPr>
          <w:rFonts w:ascii="Arial" w:hAnsi="Arial" w:cs="Arial"/>
        </w:rPr>
        <w:t xml:space="preserve"> Cambridge University Press.</w:t>
      </w:r>
      <w:r w:rsidR="00615FC8">
        <w:rPr>
          <w:rFonts w:ascii="Arial" w:hAnsi="Arial" w:cs="Arial"/>
        </w:rPr>
        <w:t xml:space="preserve"> Retrieved from: </w:t>
      </w:r>
      <w:hyperlink r:id="rId6" w:history="1">
        <w:r w:rsidR="00615FC8" w:rsidRPr="00F648E9">
          <w:rPr>
            <w:rStyle w:val="Hyperlink"/>
            <w:rFonts w:ascii="Arial" w:hAnsi="Arial" w:cs="Arial"/>
          </w:rPr>
          <w:t>https://www.cambridge.org/core/books/climate-change-2022-mitigation-of-climate-change/2929481A59B59C57C743A79420A2F9FF</w:t>
        </w:r>
      </w:hyperlink>
      <w:r w:rsidR="00615FC8">
        <w:rPr>
          <w:rFonts w:ascii="Arial" w:hAnsi="Arial" w:cs="Arial"/>
        </w:rPr>
        <w:t xml:space="preserve"> </w:t>
      </w:r>
    </w:p>
    <w:p w14:paraId="16037A1A" w14:textId="2381D91A" w:rsidR="00015645" w:rsidRDefault="00015645" w:rsidP="00015645">
      <w:pPr>
        <w:spacing w:line="480" w:lineRule="auto"/>
        <w:rPr>
          <w:rFonts w:ascii="Arial" w:hAnsi="Arial" w:cs="Arial"/>
        </w:rPr>
      </w:pPr>
      <w:r w:rsidRPr="00015645">
        <w:rPr>
          <w:rFonts w:ascii="Arial" w:hAnsi="Arial" w:cs="Arial"/>
        </w:rPr>
        <w:t xml:space="preserve">International Energy Agency. (2021). </w:t>
      </w:r>
      <w:r w:rsidRPr="00015645">
        <w:rPr>
          <w:rFonts w:ascii="Arial" w:hAnsi="Arial" w:cs="Arial"/>
          <w:i/>
          <w:iCs/>
        </w:rPr>
        <w:t>Renewable energy market update 2021.</w:t>
      </w:r>
      <w:r w:rsidRPr="00015645">
        <w:rPr>
          <w:rFonts w:ascii="Arial" w:hAnsi="Arial" w:cs="Arial"/>
        </w:rPr>
        <w:t xml:space="preserve"> Paris, France: Author.</w:t>
      </w:r>
      <w:r w:rsidR="00615FC8">
        <w:rPr>
          <w:rFonts w:ascii="Arial" w:hAnsi="Arial" w:cs="Arial"/>
        </w:rPr>
        <w:t xml:space="preserve"> </w:t>
      </w:r>
      <w:hyperlink r:id="rId7" w:history="1">
        <w:r w:rsidR="00615FC8" w:rsidRPr="00F648E9">
          <w:rPr>
            <w:rStyle w:val="Hyperlink"/>
            <w:rFonts w:ascii="Arial" w:hAnsi="Arial" w:cs="Arial"/>
          </w:rPr>
          <w:t>https://www.iea.org/reports/renewable-energy-market-update-2021</w:t>
        </w:r>
      </w:hyperlink>
      <w:r w:rsidR="00615FC8">
        <w:rPr>
          <w:rFonts w:ascii="Arial" w:hAnsi="Arial" w:cs="Arial"/>
        </w:rPr>
        <w:t xml:space="preserve"> </w:t>
      </w:r>
    </w:p>
    <w:p w14:paraId="01BE0D20" w14:textId="7267DFD9" w:rsidR="00015645" w:rsidRPr="00015645" w:rsidRDefault="00015645" w:rsidP="00015645">
      <w:pPr>
        <w:spacing w:line="480" w:lineRule="auto"/>
        <w:rPr>
          <w:rFonts w:ascii="Arial" w:hAnsi="Arial" w:cs="Arial"/>
        </w:rPr>
      </w:pPr>
      <w:r w:rsidRPr="00015645">
        <w:rPr>
          <w:rFonts w:ascii="Arial" w:hAnsi="Arial" w:cs="Arial"/>
        </w:rPr>
        <w:t>Johnson, G., Scholes, K., &amp; Whittington, R. (2017</w:t>
      </w:r>
      <w:r w:rsidRPr="00015645">
        <w:rPr>
          <w:rFonts w:ascii="Arial" w:hAnsi="Arial" w:cs="Arial"/>
          <w:i/>
          <w:iCs/>
        </w:rPr>
        <w:t>). Exploring corporate strategy</w:t>
      </w:r>
      <w:r w:rsidRPr="00015645">
        <w:rPr>
          <w:rFonts w:ascii="Arial" w:hAnsi="Arial" w:cs="Arial"/>
        </w:rPr>
        <w:t xml:space="preserve"> (10th ed.). Pearson Education.</w:t>
      </w:r>
    </w:p>
    <w:p w14:paraId="6AE8E5AD" w14:textId="77777777" w:rsidR="00015645" w:rsidRPr="00015645" w:rsidRDefault="00015645" w:rsidP="00015645">
      <w:pPr>
        <w:spacing w:line="480" w:lineRule="auto"/>
        <w:rPr>
          <w:rFonts w:ascii="Arial" w:hAnsi="Arial" w:cs="Arial"/>
        </w:rPr>
      </w:pPr>
      <w:r w:rsidRPr="00015645">
        <w:rPr>
          <w:rFonts w:ascii="Arial" w:hAnsi="Arial" w:cs="Arial"/>
        </w:rPr>
        <w:t xml:space="preserve">Koller, T., Goedhart, M., &amp; Wessels, D. (2010). </w:t>
      </w:r>
      <w:r w:rsidRPr="00015645">
        <w:rPr>
          <w:rFonts w:ascii="Arial" w:hAnsi="Arial" w:cs="Arial"/>
          <w:i/>
          <w:iCs/>
        </w:rPr>
        <w:t xml:space="preserve">Valuation: Measuring and managing the value of companies </w:t>
      </w:r>
      <w:r w:rsidRPr="00015645">
        <w:rPr>
          <w:rFonts w:ascii="Arial" w:hAnsi="Arial" w:cs="Arial"/>
        </w:rPr>
        <w:t>(5th ed.). John Wiley &amp; Sons.</w:t>
      </w:r>
    </w:p>
    <w:p w14:paraId="1AC50FF4" w14:textId="77777777" w:rsidR="00015645" w:rsidRDefault="00015645" w:rsidP="00015645">
      <w:pPr>
        <w:spacing w:line="480" w:lineRule="auto"/>
        <w:rPr>
          <w:rFonts w:ascii="Arial" w:hAnsi="Arial" w:cs="Arial"/>
        </w:rPr>
      </w:pPr>
      <w:r w:rsidRPr="00015645">
        <w:rPr>
          <w:rFonts w:ascii="Arial" w:hAnsi="Arial" w:cs="Arial"/>
        </w:rPr>
        <w:t xml:space="preserve">Kotler, P., &amp; Keller, K. L. (2016). </w:t>
      </w:r>
      <w:r w:rsidRPr="00015645">
        <w:rPr>
          <w:rFonts w:ascii="Arial" w:hAnsi="Arial" w:cs="Arial"/>
          <w:i/>
          <w:iCs/>
        </w:rPr>
        <w:t>Marketing management</w:t>
      </w:r>
      <w:r w:rsidRPr="00015645">
        <w:rPr>
          <w:rFonts w:ascii="Arial" w:hAnsi="Arial" w:cs="Arial"/>
        </w:rPr>
        <w:t xml:space="preserve"> (15th ed.). Pearson Education.</w:t>
      </w:r>
    </w:p>
    <w:p w14:paraId="5F303FAD" w14:textId="64B89B51" w:rsidR="00615FC8" w:rsidRPr="00615FC8" w:rsidRDefault="00615FC8" w:rsidP="00615FC8">
      <w:pPr>
        <w:spacing w:line="480" w:lineRule="auto"/>
        <w:rPr>
          <w:rFonts w:ascii="Arial" w:hAnsi="Arial" w:cs="Arial"/>
        </w:rPr>
      </w:pPr>
      <w:r w:rsidRPr="00615FC8">
        <w:rPr>
          <w:rFonts w:ascii="Arial" w:hAnsi="Arial" w:cs="Arial"/>
        </w:rPr>
        <w:t xml:space="preserve">Savitz, A. W. (2006). </w:t>
      </w:r>
      <w:r w:rsidRPr="00615FC8">
        <w:rPr>
          <w:rFonts w:ascii="Arial" w:hAnsi="Arial" w:cs="Arial"/>
          <w:i/>
          <w:iCs/>
        </w:rPr>
        <w:t>The triple bottom line: How today’s best-run companies are achieving economic, social, and environmental success</w:t>
      </w:r>
      <w:r w:rsidRPr="00615FC8">
        <w:rPr>
          <w:rFonts w:ascii="Arial" w:hAnsi="Arial" w:cs="Arial"/>
          <w:i/>
          <w:iCs/>
        </w:rPr>
        <w:t>-</w:t>
      </w:r>
      <w:r w:rsidRPr="00615FC8">
        <w:rPr>
          <w:rFonts w:ascii="Arial" w:hAnsi="Arial" w:cs="Arial"/>
          <w:i/>
          <w:iCs/>
        </w:rPr>
        <w:t>and how you can too</w:t>
      </w:r>
      <w:r w:rsidRPr="00615FC8">
        <w:rPr>
          <w:rFonts w:ascii="Arial" w:hAnsi="Arial" w:cs="Arial"/>
        </w:rPr>
        <w:t>. San Francisco, CA: Wiley.</w:t>
      </w:r>
    </w:p>
    <w:p w14:paraId="3C947CF6" w14:textId="77777777" w:rsidR="00615FC8" w:rsidRDefault="00615FC8" w:rsidP="00615FC8">
      <w:pPr>
        <w:spacing w:line="480" w:lineRule="auto"/>
        <w:rPr>
          <w:rFonts w:ascii="Arial" w:hAnsi="Arial" w:cs="Arial"/>
        </w:rPr>
      </w:pPr>
      <w:proofErr w:type="spellStart"/>
      <w:r w:rsidRPr="00615FC8">
        <w:rPr>
          <w:rFonts w:ascii="Arial" w:hAnsi="Arial" w:cs="Arial"/>
        </w:rPr>
        <w:t>Schaltegger</w:t>
      </w:r>
      <w:proofErr w:type="spellEnd"/>
      <w:r w:rsidRPr="00615FC8">
        <w:rPr>
          <w:rFonts w:ascii="Arial" w:hAnsi="Arial" w:cs="Arial"/>
        </w:rPr>
        <w:t xml:space="preserve">, S., </w:t>
      </w:r>
      <w:proofErr w:type="spellStart"/>
      <w:r w:rsidRPr="00615FC8">
        <w:rPr>
          <w:rFonts w:ascii="Arial" w:hAnsi="Arial" w:cs="Arial"/>
        </w:rPr>
        <w:t>Lüdeke</w:t>
      </w:r>
      <w:proofErr w:type="spellEnd"/>
      <w:r w:rsidRPr="00615FC8">
        <w:rPr>
          <w:rFonts w:ascii="Arial" w:hAnsi="Arial" w:cs="Arial"/>
        </w:rPr>
        <w:t xml:space="preserve">-Freund, F., &amp; Hansen, E. G. (2012). Business cases for sustainability: The role of business model innovation for corporate sustainability. International </w:t>
      </w:r>
      <w:r w:rsidRPr="00615FC8">
        <w:rPr>
          <w:rFonts w:ascii="Arial" w:hAnsi="Arial" w:cs="Arial"/>
          <w:i/>
          <w:iCs/>
        </w:rPr>
        <w:t>Journal of Innovation and Sustainable Development, 6</w:t>
      </w:r>
      <w:r w:rsidRPr="00615FC8">
        <w:rPr>
          <w:rFonts w:ascii="Arial" w:hAnsi="Arial" w:cs="Arial"/>
        </w:rPr>
        <w:t>(2), 95–119.</w:t>
      </w:r>
    </w:p>
    <w:p w14:paraId="0AA378B0" w14:textId="301BFBB8" w:rsidR="00615FC8" w:rsidRPr="00615FC8" w:rsidRDefault="00615FC8" w:rsidP="00615FC8">
      <w:pPr>
        <w:spacing w:line="480" w:lineRule="auto"/>
        <w:rPr>
          <w:rFonts w:ascii="Arial" w:hAnsi="Arial" w:cs="Arial"/>
        </w:rPr>
      </w:pPr>
      <w:r w:rsidRPr="00615FC8">
        <w:rPr>
          <w:rFonts w:ascii="Arial" w:hAnsi="Arial" w:cs="Arial"/>
        </w:rPr>
        <w:t xml:space="preserve">Schneider, S., &amp; Spieth, P. (2013). Business model innovation: Towards an integrated future research agenda. </w:t>
      </w:r>
      <w:r w:rsidRPr="00615FC8">
        <w:rPr>
          <w:rFonts w:ascii="Arial" w:hAnsi="Arial" w:cs="Arial"/>
          <w:i/>
          <w:iCs/>
        </w:rPr>
        <w:t>International Journal of Innovation Management, 17</w:t>
      </w:r>
      <w:r w:rsidRPr="00615FC8">
        <w:rPr>
          <w:rFonts w:ascii="Arial" w:hAnsi="Arial" w:cs="Arial"/>
        </w:rPr>
        <w:t>(1), 1–34.</w:t>
      </w:r>
    </w:p>
    <w:p w14:paraId="3C59A8DE" w14:textId="77777777" w:rsidR="00615FC8" w:rsidRPr="00615FC8" w:rsidRDefault="00615FC8" w:rsidP="00615FC8">
      <w:pPr>
        <w:spacing w:line="480" w:lineRule="auto"/>
        <w:rPr>
          <w:rFonts w:ascii="Arial" w:hAnsi="Arial" w:cs="Arial"/>
        </w:rPr>
      </w:pPr>
    </w:p>
    <w:p w14:paraId="56B01793" w14:textId="77777777" w:rsidR="00615FC8" w:rsidRPr="00615FC8" w:rsidRDefault="00615FC8" w:rsidP="00615FC8">
      <w:pPr>
        <w:spacing w:line="480" w:lineRule="auto"/>
        <w:rPr>
          <w:rFonts w:ascii="Arial" w:hAnsi="Arial" w:cs="Arial"/>
        </w:rPr>
      </w:pPr>
      <w:r w:rsidRPr="00615FC8">
        <w:rPr>
          <w:rFonts w:ascii="Arial" w:hAnsi="Arial" w:cs="Arial"/>
        </w:rPr>
        <w:t xml:space="preserve">Shafer, S. M., Smith, H. J., &amp; Linder, J. C. (2005). The power of business models. </w:t>
      </w:r>
      <w:r w:rsidRPr="00615FC8">
        <w:rPr>
          <w:rFonts w:ascii="Arial" w:hAnsi="Arial" w:cs="Arial"/>
          <w:i/>
          <w:iCs/>
        </w:rPr>
        <w:t>Business Horizons, 48(</w:t>
      </w:r>
      <w:r w:rsidRPr="00615FC8">
        <w:rPr>
          <w:rFonts w:ascii="Arial" w:hAnsi="Arial" w:cs="Arial"/>
        </w:rPr>
        <w:t>3), 199–207.</w:t>
      </w:r>
    </w:p>
    <w:p w14:paraId="5FBCC8C1" w14:textId="6213BDC6" w:rsidR="00615FC8" w:rsidRDefault="00615FC8" w:rsidP="00615FC8">
      <w:pPr>
        <w:spacing w:line="480" w:lineRule="auto"/>
        <w:rPr>
          <w:rFonts w:ascii="Arial" w:hAnsi="Arial" w:cs="Arial"/>
        </w:rPr>
      </w:pPr>
      <w:r w:rsidRPr="00615FC8">
        <w:rPr>
          <w:rFonts w:ascii="Arial" w:hAnsi="Arial" w:cs="Arial"/>
        </w:rPr>
        <w:t xml:space="preserve">Stubbs, W., &amp; Cocklin, C. (2008). Conceptualizing a “sustainability business model.” </w:t>
      </w:r>
      <w:r w:rsidRPr="00615FC8">
        <w:rPr>
          <w:rFonts w:ascii="Arial" w:hAnsi="Arial" w:cs="Arial"/>
          <w:i/>
          <w:iCs/>
        </w:rPr>
        <w:t>Organization &amp; Environment, 21</w:t>
      </w:r>
      <w:r w:rsidRPr="00615FC8">
        <w:rPr>
          <w:rFonts w:ascii="Arial" w:hAnsi="Arial" w:cs="Arial"/>
        </w:rPr>
        <w:t>(2), 103–127.</w:t>
      </w:r>
    </w:p>
    <w:p w14:paraId="22A4A963" w14:textId="620EB849" w:rsidR="00015645" w:rsidRPr="00015645" w:rsidRDefault="00015645" w:rsidP="00015645">
      <w:pPr>
        <w:spacing w:line="480" w:lineRule="auto"/>
        <w:rPr>
          <w:rFonts w:ascii="Arial" w:hAnsi="Arial" w:cs="Arial"/>
        </w:rPr>
      </w:pPr>
      <w:r w:rsidRPr="00015645">
        <w:rPr>
          <w:rFonts w:ascii="Arial" w:hAnsi="Arial" w:cs="Arial"/>
        </w:rPr>
        <w:t xml:space="preserve">United Nations Environment Programme. (2021). </w:t>
      </w:r>
      <w:r w:rsidRPr="00015645">
        <w:rPr>
          <w:rFonts w:ascii="Arial" w:hAnsi="Arial" w:cs="Arial"/>
          <w:i/>
          <w:iCs/>
        </w:rPr>
        <w:t>Emissions gap report 2021.</w:t>
      </w:r>
      <w:r w:rsidRPr="00015645">
        <w:rPr>
          <w:rFonts w:ascii="Arial" w:hAnsi="Arial" w:cs="Arial"/>
        </w:rPr>
        <w:t xml:space="preserve"> Nairobi, Kenya: Author.</w:t>
      </w:r>
      <w:r>
        <w:rPr>
          <w:rFonts w:ascii="Arial" w:hAnsi="Arial" w:cs="Arial"/>
        </w:rPr>
        <w:t xml:space="preserve"> </w:t>
      </w:r>
      <w:r w:rsidR="00615FC8">
        <w:rPr>
          <w:rFonts w:ascii="Arial" w:hAnsi="Arial" w:cs="Arial"/>
        </w:rPr>
        <w:t>Retrieved</w:t>
      </w:r>
      <w:r>
        <w:rPr>
          <w:rFonts w:ascii="Arial" w:hAnsi="Arial" w:cs="Arial"/>
        </w:rPr>
        <w:t xml:space="preserve"> from: </w:t>
      </w:r>
      <w:hyperlink r:id="rId8" w:history="1">
        <w:r w:rsidR="00615FC8" w:rsidRPr="00F648E9">
          <w:rPr>
            <w:rStyle w:val="Hyperlink"/>
            <w:rFonts w:ascii="Arial" w:hAnsi="Arial" w:cs="Arial"/>
          </w:rPr>
          <w:t>https://www.unep.org/resources/emissions-gap-report-2021</w:t>
        </w:r>
      </w:hyperlink>
      <w:r w:rsidR="00615FC8">
        <w:rPr>
          <w:rFonts w:ascii="Arial" w:hAnsi="Arial" w:cs="Arial"/>
        </w:rPr>
        <w:t xml:space="preserve"> </w:t>
      </w:r>
    </w:p>
    <w:p w14:paraId="68D23092" w14:textId="77D2B271" w:rsidR="00015645" w:rsidRPr="00015645" w:rsidRDefault="00015645" w:rsidP="00015645">
      <w:pPr>
        <w:spacing w:line="480" w:lineRule="auto"/>
        <w:rPr>
          <w:rFonts w:ascii="Arial" w:hAnsi="Arial" w:cs="Arial"/>
        </w:rPr>
      </w:pPr>
      <w:r w:rsidRPr="00015645">
        <w:rPr>
          <w:rFonts w:ascii="Arial" w:hAnsi="Arial" w:cs="Arial"/>
        </w:rPr>
        <w:t xml:space="preserve">World Bank. (2020). </w:t>
      </w:r>
      <w:r w:rsidRPr="00015645">
        <w:rPr>
          <w:rFonts w:ascii="Arial" w:hAnsi="Arial" w:cs="Arial"/>
          <w:i/>
          <w:iCs/>
        </w:rPr>
        <w:t>World development report 2020: Trading for development in the age of global value chains.</w:t>
      </w:r>
      <w:r w:rsidRPr="00015645">
        <w:rPr>
          <w:rFonts w:ascii="Arial" w:hAnsi="Arial" w:cs="Arial"/>
        </w:rPr>
        <w:t xml:space="preserve"> Washington, DC: Author.</w:t>
      </w:r>
      <w:r>
        <w:rPr>
          <w:rFonts w:ascii="Arial" w:hAnsi="Arial" w:cs="Arial"/>
        </w:rPr>
        <w:t xml:space="preserve"> Retrieved from: </w:t>
      </w:r>
      <w:hyperlink r:id="rId9" w:history="1">
        <w:r w:rsidRPr="00F648E9">
          <w:rPr>
            <w:rStyle w:val="Hyperlink"/>
            <w:rFonts w:ascii="Arial" w:hAnsi="Arial" w:cs="Arial"/>
          </w:rPr>
          <w:t>https://www.worldbank.org/en/publication/wdr2020</w:t>
        </w:r>
      </w:hyperlink>
      <w:r>
        <w:rPr>
          <w:rFonts w:ascii="Arial" w:hAnsi="Arial" w:cs="Arial"/>
        </w:rPr>
        <w:t xml:space="preserve"> </w:t>
      </w:r>
    </w:p>
    <w:p w14:paraId="47E4DF96" w14:textId="1B810B5A" w:rsidR="00015645" w:rsidRDefault="00015645" w:rsidP="00015645">
      <w:pPr>
        <w:spacing w:line="480" w:lineRule="auto"/>
        <w:rPr>
          <w:rFonts w:ascii="Arial" w:hAnsi="Arial" w:cs="Arial"/>
        </w:rPr>
      </w:pPr>
      <w:r w:rsidRPr="00015645">
        <w:rPr>
          <w:rFonts w:ascii="Arial" w:hAnsi="Arial" w:cs="Arial"/>
        </w:rPr>
        <w:t xml:space="preserve">World Commission on Environment and Development. (1987). </w:t>
      </w:r>
      <w:r w:rsidRPr="00015645">
        <w:rPr>
          <w:rFonts w:ascii="Arial" w:hAnsi="Arial" w:cs="Arial"/>
          <w:i/>
          <w:iCs/>
        </w:rPr>
        <w:t>Our common future.</w:t>
      </w:r>
      <w:r w:rsidRPr="00015645">
        <w:rPr>
          <w:rFonts w:ascii="Arial" w:hAnsi="Arial" w:cs="Arial"/>
        </w:rPr>
        <w:t xml:space="preserve"> Oxford University Press.</w:t>
      </w:r>
      <w:r>
        <w:rPr>
          <w:rFonts w:ascii="Arial" w:hAnsi="Arial" w:cs="Arial"/>
        </w:rPr>
        <w:t xml:space="preserve"> Retrieved from:  </w:t>
      </w:r>
      <w:hyperlink r:id="rId10" w:history="1">
        <w:r w:rsidRPr="00F648E9">
          <w:rPr>
            <w:rStyle w:val="Hyperlink"/>
            <w:rFonts w:ascii="Arial" w:hAnsi="Arial" w:cs="Arial"/>
          </w:rPr>
          <w:t>https://sustainabledevelopment.un.org/content/documents/5987our-common-future.pdf</w:t>
        </w:r>
      </w:hyperlink>
      <w:r>
        <w:rPr>
          <w:rFonts w:ascii="Arial" w:hAnsi="Arial" w:cs="Arial"/>
        </w:rPr>
        <w:t xml:space="preserve"> </w:t>
      </w:r>
    </w:p>
    <w:p w14:paraId="01E781CA" w14:textId="382B2155" w:rsidR="00615FC8" w:rsidRPr="00615FC8" w:rsidRDefault="00615FC8" w:rsidP="00615FC8">
      <w:pPr>
        <w:spacing w:line="480" w:lineRule="auto"/>
        <w:rPr>
          <w:rFonts w:ascii="Arial" w:hAnsi="Arial" w:cs="Arial"/>
        </w:rPr>
      </w:pPr>
      <w:hyperlink r:id="rId11" w:history="1">
        <w:r w:rsidRPr="00F648E9">
          <w:rPr>
            <w:rStyle w:val="Hyperlink"/>
            <w:rFonts w:ascii="Arial" w:hAnsi="Arial" w:cs="Arial"/>
          </w:rPr>
          <w:t>https://www.thebioasis.com/business-regeneration-retreat?utm_medium=cpc&amp;utm_source=search&amp;gad_source=1&amp;gclid=Cj0KCQiAz6q</w:t>
        </w:r>
      </w:hyperlink>
      <w:r>
        <w:rPr>
          <w:rFonts w:ascii="Arial" w:hAnsi="Arial" w:cs="Arial"/>
        </w:rPr>
        <w:t xml:space="preserve"> </w:t>
      </w:r>
    </w:p>
    <w:p w14:paraId="15FCB331" w14:textId="143426C4" w:rsidR="00615FC8" w:rsidRDefault="00615FC8" w:rsidP="00615FC8">
      <w:pPr>
        <w:spacing w:line="480" w:lineRule="auto"/>
        <w:rPr>
          <w:rFonts w:ascii="Arial" w:hAnsi="Arial" w:cs="Arial"/>
        </w:rPr>
      </w:pPr>
      <w:hyperlink r:id="rId12" w:history="1">
        <w:r w:rsidRPr="00F648E9">
          <w:rPr>
            <w:rStyle w:val="Hyperlink"/>
            <w:rFonts w:ascii="Arial" w:hAnsi="Arial" w:cs="Arial"/>
          </w:rPr>
          <w:t>https://www.siemens.com/global/en/company/sustainability.html?gclid=Cj0KCQiAz6q-BhCfARIsAOezPxkgS-ZlgMBcwVfvYkmoZAgYheEnBDYbNkNPpruPWcgTHfl2LC1fJIgaAp4oEALw_wcB&amp;acz=1&amp;gad_source=1</w:t>
        </w:r>
      </w:hyperlink>
    </w:p>
    <w:p w14:paraId="51985881" w14:textId="77777777" w:rsidR="00615FC8" w:rsidRPr="00567EB9" w:rsidRDefault="00615FC8" w:rsidP="00615FC8">
      <w:pPr>
        <w:spacing w:line="480" w:lineRule="auto"/>
        <w:rPr>
          <w:rFonts w:ascii="Arial" w:hAnsi="Arial" w:cs="Arial"/>
        </w:rPr>
      </w:pPr>
    </w:p>
    <w:sectPr w:rsidR="00615FC8" w:rsidRPr="00567EB9" w:rsidSect="00D4356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D23DA"/>
    <w:multiLevelType w:val="hybridMultilevel"/>
    <w:tmpl w:val="8B56C31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31156E"/>
    <w:multiLevelType w:val="hybridMultilevel"/>
    <w:tmpl w:val="459AAF5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940218"/>
    <w:multiLevelType w:val="hybridMultilevel"/>
    <w:tmpl w:val="9BE4EB02"/>
    <w:lvl w:ilvl="0" w:tplc="33222690">
      <w:start w:val="1"/>
      <w:numFmt w:val="decimal"/>
      <w:lvlText w:val="%1."/>
      <w:lvlJc w:val="left"/>
      <w:pPr>
        <w:ind w:left="1211" w:hanging="360"/>
      </w:pPr>
      <w:rPr>
        <w:rFonts w:ascii="Arial Black" w:hAnsi="Arial Black" w:hint="default"/>
        <w:color w:val="4C94D8" w:themeColor="text2" w:themeTint="80"/>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3" w15:restartNumberingAfterBreak="0">
    <w:nsid w:val="213D4D0C"/>
    <w:multiLevelType w:val="hybridMultilevel"/>
    <w:tmpl w:val="DEB8DAA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5F7AEE"/>
    <w:multiLevelType w:val="hybridMultilevel"/>
    <w:tmpl w:val="6E7C113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3F5236"/>
    <w:multiLevelType w:val="hybridMultilevel"/>
    <w:tmpl w:val="E85227A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4876863">
    <w:abstractNumId w:val="2"/>
  </w:num>
  <w:num w:numId="2" w16cid:durableId="16272927">
    <w:abstractNumId w:val="4"/>
  </w:num>
  <w:num w:numId="3" w16cid:durableId="1976594424">
    <w:abstractNumId w:val="0"/>
  </w:num>
  <w:num w:numId="4" w16cid:durableId="31077728">
    <w:abstractNumId w:val="5"/>
  </w:num>
  <w:num w:numId="5" w16cid:durableId="1802768484">
    <w:abstractNumId w:val="3"/>
  </w:num>
  <w:num w:numId="6" w16cid:durableId="1646365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EB9"/>
    <w:rsid w:val="00015645"/>
    <w:rsid w:val="00567EB9"/>
    <w:rsid w:val="00615FC8"/>
    <w:rsid w:val="008357AF"/>
    <w:rsid w:val="00A10B21"/>
    <w:rsid w:val="00D43564"/>
    <w:rsid w:val="00DF3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A7E4F"/>
  <w15:chartTrackingRefBased/>
  <w15:docId w15:val="{EC6D7B1E-E4B8-4536-ABB3-8C9DEAA01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E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7E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7E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7E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7E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7E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7E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7E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7E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E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7E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7E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7E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7E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7E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7E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7E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7EB9"/>
    <w:rPr>
      <w:rFonts w:eastAsiaTheme="majorEastAsia" w:cstheme="majorBidi"/>
      <w:color w:val="272727" w:themeColor="text1" w:themeTint="D8"/>
    </w:rPr>
  </w:style>
  <w:style w:type="paragraph" w:styleId="Title">
    <w:name w:val="Title"/>
    <w:basedOn w:val="Normal"/>
    <w:next w:val="Normal"/>
    <w:link w:val="TitleChar"/>
    <w:uiPriority w:val="10"/>
    <w:qFormat/>
    <w:rsid w:val="00567E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7E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7E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7E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7EB9"/>
    <w:pPr>
      <w:spacing w:before="160"/>
      <w:jc w:val="center"/>
    </w:pPr>
    <w:rPr>
      <w:i/>
      <w:iCs/>
      <w:color w:val="404040" w:themeColor="text1" w:themeTint="BF"/>
    </w:rPr>
  </w:style>
  <w:style w:type="character" w:customStyle="1" w:styleId="QuoteChar">
    <w:name w:val="Quote Char"/>
    <w:basedOn w:val="DefaultParagraphFont"/>
    <w:link w:val="Quote"/>
    <w:uiPriority w:val="29"/>
    <w:rsid w:val="00567EB9"/>
    <w:rPr>
      <w:i/>
      <w:iCs/>
      <w:color w:val="404040" w:themeColor="text1" w:themeTint="BF"/>
    </w:rPr>
  </w:style>
  <w:style w:type="paragraph" w:styleId="ListParagraph">
    <w:name w:val="List Paragraph"/>
    <w:basedOn w:val="Normal"/>
    <w:uiPriority w:val="34"/>
    <w:qFormat/>
    <w:rsid w:val="00567EB9"/>
    <w:pPr>
      <w:ind w:left="720"/>
      <w:contextualSpacing/>
    </w:pPr>
  </w:style>
  <w:style w:type="character" w:styleId="IntenseEmphasis">
    <w:name w:val="Intense Emphasis"/>
    <w:basedOn w:val="DefaultParagraphFont"/>
    <w:uiPriority w:val="21"/>
    <w:qFormat/>
    <w:rsid w:val="00567EB9"/>
    <w:rPr>
      <w:i/>
      <w:iCs/>
      <w:color w:val="0F4761" w:themeColor="accent1" w:themeShade="BF"/>
    </w:rPr>
  </w:style>
  <w:style w:type="paragraph" w:styleId="IntenseQuote">
    <w:name w:val="Intense Quote"/>
    <w:basedOn w:val="Normal"/>
    <w:next w:val="Normal"/>
    <w:link w:val="IntenseQuoteChar"/>
    <w:uiPriority w:val="30"/>
    <w:qFormat/>
    <w:rsid w:val="00567E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7EB9"/>
    <w:rPr>
      <w:i/>
      <w:iCs/>
      <w:color w:val="0F4761" w:themeColor="accent1" w:themeShade="BF"/>
    </w:rPr>
  </w:style>
  <w:style w:type="character" w:styleId="IntenseReference">
    <w:name w:val="Intense Reference"/>
    <w:basedOn w:val="DefaultParagraphFont"/>
    <w:uiPriority w:val="32"/>
    <w:qFormat/>
    <w:rsid w:val="00567EB9"/>
    <w:rPr>
      <w:b/>
      <w:bCs/>
      <w:smallCaps/>
      <w:color w:val="0F4761" w:themeColor="accent1" w:themeShade="BF"/>
      <w:spacing w:val="5"/>
    </w:rPr>
  </w:style>
  <w:style w:type="paragraph" w:styleId="NoSpacing">
    <w:name w:val="No Spacing"/>
    <w:link w:val="NoSpacingChar"/>
    <w:uiPriority w:val="1"/>
    <w:qFormat/>
    <w:rsid w:val="00D4356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43564"/>
    <w:rPr>
      <w:rFonts w:eastAsiaTheme="minorEastAsia"/>
      <w:kern w:val="0"/>
      <w:sz w:val="22"/>
      <w:szCs w:val="22"/>
      <w:lang w:val="en-US"/>
      <w14:ligatures w14:val="none"/>
    </w:rPr>
  </w:style>
  <w:style w:type="character" w:styleId="Hyperlink">
    <w:name w:val="Hyperlink"/>
    <w:basedOn w:val="DefaultParagraphFont"/>
    <w:uiPriority w:val="99"/>
    <w:unhideWhenUsed/>
    <w:rsid w:val="00015645"/>
    <w:rPr>
      <w:color w:val="467886" w:themeColor="hyperlink"/>
      <w:u w:val="single"/>
    </w:rPr>
  </w:style>
  <w:style w:type="character" w:styleId="UnresolvedMention">
    <w:name w:val="Unresolved Mention"/>
    <w:basedOn w:val="DefaultParagraphFont"/>
    <w:uiPriority w:val="99"/>
    <w:semiHidden/>
    <w:unhideWhenUsed/>
    <w:rsid w:val="000156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2306943">
      <w:bodyDiv w:val="1"/>
      <w:marLeft w:val="0"/>
      <w:marRight w:val="0"/>
      <w:marTop w:val="0"/>
      <w:marBottom w:val="0"/>
      <w:divBdr>
        <w:top w:val="none" w:sz="0" w:space="0" w:color="auto"/>
        <w:left w:val="none" w:sz="0" w:space="0" w:color="auto"/>
        <w:bottom w:val="none" w:sz="0" w:space="0" w:color="auto"/>
        <w:right w:val="none" w:sz="0" w:space="0" w:color="auto"/>
      </w:divBdr>
    </w:div>
    <w:div w:id="921256093">
      <w:bodyDiv w:val="1"/>
      <w:marLeft w:val="0"/>
      <w:marRight w:val="0"/>
      <w:marTop w:val="0"/>
      <w:marBottom w:val="0"/>
      <w:divBdr>
        <w:top w:val="none" w:sz="0" w:space="0" w:color="auto"/>
        <w:left w:val="none" w:sz="0" w:space="0" w:color="auto"/>
        <w:bottom w:val="none" w:sz="0" w:space="0" w:color="auto"/>
        <w:right w:val="none" w:sz="0" w:space="0" w:color="auto"/>
      </w:divBdr>
    </w:div>
    <w:div w:id="2112042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ep.org/resources/emissions-gap-report-202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iea.org/reports/renewable-energy-market-update-2021" TargetMode="External"/><Relationship Id="rId12" Type="http://schemas.openxmlformats.org/officeDocument/2006/relationships/hyperlink" Target="https://www.siemens.com/global/en/company/sustainability.html?gclid=Cj0KCQiAz6q-BhCfARIsAOezPxkgS-ZlgMBcwVfvYkmoZAgYheEnBDYbNkNPpruPWcgTHfl2LC1fJIgaAp4oEALw_wcB&amp;acz=1&amp;gad_source=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ambridge.org/core/books/climate-change-2022-mitigation-of-climate-change/2929481A59B59C57C743A79420A2F9FF" TargetMode="External"/><Relationship Id="rId11" Type="http://schemas.openxmlformats.org/officeDocument/2006/relationships/hyperlink" Target="https://www.thebioasis.com/business-regeneration-retreat?utm_medium=cpc&amp;utm_source=search&amp;gad_source=1&amp;gclid=Cj0KCQiAz6q" TargetMode="External"/><Relationship Id="rId5" Type="http://schemas.openxmlformats.org/officeDocument/2006/relationships/webSettings" Target="webSettings.xml"/><Relationship Id="rId10" Type="http://schemas.openxmlformats.org/officeDocument/2006/relationships/hyperlink" Target="https://sustainabledevelopment.un.org/content/documents/5987our-common-future.pdf" TargetMode="External"/><Relationship Id="rId4" Type="http://schemas.openxmlformats.org/officeDocument/2006/relationships/settings" Target="settings.xml"/><Relationship Id="rId9" Type="http://schemas.openxmlformats.org/officeDocument/2006/relationships/hyperlink" Target="https://www.worldbank.org/en/publication/wdr20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14</Pages>
  <Words>2950</Words>
  <Characters>16821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2</cp:revision>
  <dcterms:created xsi:type="dcterms:W3CDTF">2025-03-13T00:34:00Z</dcterms:created>
  <dcterms:modified xsi:type="dcterms:W3CDTF">2025-03-13T01:42:00Z</dcterms:modified>
</cp:coreProperties>
</file>