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8F8FFEB" w14:textId="583A8663" w:rsidR="00F0483E" w:rsidRPr="00F0483E" w:rsidRDefault="00852DF4" w:rsidP="00F0483E">
      <w:pPr>
        <w:widowControl w:val="0"/>
        <w:autoSpaceDE w:val="0"/>
        <w:autoSpaceDN w:val="0"/>
        <w:adjustRightInd w:val="0"/>
        <w:spacing w:line="240" w:lineRule="auto"/>
        <w:rPr>
          <w:rFonts w:ascii="Calibri" w:hAnsi="Calibri" w:cs="Calibri"/>
          <w:noProof/>
        </w:rPr>
      </w:pPr>
      <w:r>
        <w:rPr>
          <w:rFonts w:ascii="Calibri" w:hAnsi="Calibri"/>
          <w:b/>
          <w:i/>
          <w:sz w:val="32"/>
          <w:u w:val="single"/>
        </w:rPr>
        <w:t>Covid-19 and an unequal society</w:t>
      </w:r>
      <w:r w:rsidR="00F0483E">
        <w:rPr>
          <w:rFonts w:ascii="Calibri" w:hAnsi="Calibri"/>
          <w:b/>
          <w:i/>
          <w:u w:val="single"/>
        </w:rPr>
        <w:fldChar w:fldCharType="begin" w:fldLock="1"/>
      </w:r>
      <w:r w:rsidR="00F0483E">
        <w:rPr>
          <w:rFonts w:ascii="Calibri" w:hAnsi="Calibri"/>
          <w:b/>
          <w:i/>
          <w:u w:val="single"/>
        </w:rPr>
        <w:instrText xml:space="preserve">ADDIN Mendeley Bibliography CSL_BIBLIOGRAPHY </w:instrText>
      </w:r>
      <w:r w:rsidR="00F0483E">
        <w:rPr>
          <w:rFonts w:ascii="Calibri" w:hAnsi="Calibri"/>
          <w:b/>
          <w:i/>
          <w:u w:val="single"/>
        </w:rPr>
        <w:fldChar w:fldCharType="separate"/>
      </w:r>
    </w:p>
    <w:p w14:paraId="4308E8A1" w14:textId="77777777" w:rsidR="00C05C5F" w:rsidRDefault="00F0483E">
      <w:pPr>
        <w:rPr>
          <w:rFonts w:ascii="Calibri" w:hAnsi="Calibri"/>
          <w:b/>
          <w:i/>
          <w:u w:val="single"/>
        </w:rPr>
      </w:pPr>
      <w:r>
        <w:rPr>
          <w:rFonts w:ascii="Calibri" w:hAnsi="Calibri"/>
          <w:b/>
          <w:i/>
          <w:u w:val="single"/>
        </w:rPr>
        <w:fldChar w:fldCharType="end"/>
      </w:r>
    </w:p>
    <w:p w14:paraId="445FE5DD" w14:textId="77777777" w:rsidR="00C05C5F" w:rsidRDefault="00C05C5F">
      <w:pPr>
        <w:rPr>
          <w:rFonts w:ascii="Calibri" w:hAnsi="Calibri"/>
          <w:b/>
          <w:i/>
          <w:u w:val="single"/>
        </w:rPr>
      </w:pPr>
    </w:p>
    <w:p w14:paraId="77E1F1C3" w14:textId="47D152BD" w:rsidR="00617D98" w:rsidRDefault="00507DF4">
      <w:pPr>
        <w:rPr>
          <w:rFonts w:ascii="Calibri" w:hAnsi="Calibri"/>
          <w:b/>
          <w:i/>
          <w:u w:val="single"/>
        </w:rPr>
      </w:pPr>
      <w:r>
        <w:rPr>
          <w:rFonts w:ascii="Calibri" w:hAnsi="Calibri"/>
          <w:b/>
          <w:i/>
          <w:u w:val="single"/>
        </w:rPr>
        <w:t>Introduction</w:t>
      </w:r>
    </w:p>
    <w:p w14:paraId="0FFFF5F5" w14:textId="326E6E1D" w:rsidR="00643562" w:rsidRDefault="00507DF4" w:rsidP="00507DF4">
      <w:pPr>
        <w:spacing w:line="360" w:lineRule="auto"/>
        <w:rPr>
          <w:rFonts w:ascii="Calibri" w:hAnsi="Calibri"/>
        </w:rPr>
      </w:pPr>
      <w:r>
        <w:rPr>
          <w:rFonts w:ascii="Calibri" w:hAnsi="Calibri"/>
        </w:rPr>
        <w:t xml:space="preserve">Covid-19 </w:t>
      </w:r>
      <w:r w:rsidR="00480F96">
        <w:rPr>
          <w:rFonts w:ascii="Calibri" w:hAnsi="Calibri"/>
        </w:rPr>
        <w:t xml:space="preserve">initially </w:t>
      </w:r>
      <w:r>
        <w:rPr>
          <w:rFonts w:ascii="Calibri" w:hAnsi="Calibri"/>
        </w:rPr>
        <w:t>present</w:t>
      </w:r>
      <w:r w:rsidR="00480F96">
        <w:rPr>
          <w:rFonts w:ascii="Calibri" w:hAnsi="Calibri"/>
        </w:rPr>
        <w:t>ed itself</w:t>
      </w:r>
      <w:r w:rsidR="00D625C1">
        <w:rPr>
          <w:rFonts w:ascii="Calibri" w:hAnsi="Calibri"/>
        </w:rPr>
        <w:t xml:space="preserve"> during December 2019</w:t>
      </w:r>
      <w:r w:rsidR="00643562">
        <w:rPr>
          <w:rFonts w:ascii="Calibri" w:hAnsi="Calibri"/>
        </w:rPr>
        <w:t>.</w:t>
      </w:r>
      <w:sdt>
        <w:sdtPr>
          <w:rPr>
            <w:rFonts w:ascii="Calibri" w:hAnsi="Calibri"/>
            <w:color w:val="000000"/>
          </w:rPr>
          <w:tag w:val="MENDELEY_CITATION_{&quot;citationID&quot;:&quot;MENDELEY_CITATION_2194da26-f8c7-4c10-bc11-ded47a1ada30&quot;,&quot;citationItems&quot;:[{&quot;id&quot;:&quot;74b81839-7dca-30d3-8279-0d7fe4058e76&quot;,&quot;itemData&quot;:{&quot;type&quot;:&quot;article&quot;,&quot;id&quot;:&quot;74b81839-7dca-30d3-8279-0d7fe4058e76&quot;,&quot;title&quot;:&quot;The epidemiology and pathogenesis of coronavirus disease (COVID-19) outbreak&quot;,&quot;author&quot;:[{&quot;family&quot;:&quot;Rothan&quot;,&quot;given&quot;:&quot;Hussin A.&quot;,&quot;parse-names&quot;:false,&quot;dropping-particle&quot;:&quot;&quot;,&quot;non-dropping-particle&quot;:&quot;&quot;},{&quot;family&quot;:&quot;Byrareddy&quot;,&quot;given&quot;:&quot;Siddappa N.&quot;,&quot;parse-names&quot;:false,&quot;dropping-particle&quot;:&quot;&quot;,&quot;non-dropping-particle&quot;:&quot;&quot;}],&quot;container-title&quot;:&quot;Journal of Autoimmunity&quot;,&quot;accessed&quot;:{&quot;date-parts&quot;:[[2021,3,10]]},&quot;DOI&quot;:&quot;10.1016/j.jaut.2020.102433&quot;,&quot;ISSN&quot;:&quot;10959157&quot;,&quot;PMID&quot;:&quot;32113704&quot;,&quot;URL&quot;:&quot;www.elsevier.com/locate/jautimm&quot;,&quot;issued&quot;:{&quot;date-parts&quot;:[[2020,5,1]]},&quot;page&quot;:&quot;102433&quot;,&quot;abstract&quot;:&quot;Coronavirus disease (COVID-19) is caused by SARS-COV2 and represents the causative agent of a potentially fatal disease that is of great global public health concern. Based on the large number of infected people that were exposed to the wet animal market in Wuhan City, China, it is suggested that this is likely the zoonotic origin of COVID-19. Person-to-person transmission of COVID-19 infection led to the isolation of patients that were subsequently administered a variety of treatments. Extensive measures to reduce person-to-person transmission of COVID-19 have been implemented to control the current outbreak. Special attention and efforts to protect or reduce transmission should be applied in susceptible populations including children, health care providers, and elderly people. In this review, we highlights the symptoms, epidemiology, transmission, pathogenesis, phylogenetic analysis and future directions to control the spread of this fatal disease.&quot;,&quot;publisher&quot;:&quot;Academic Press&quot;,&quot;volume&quot;:&quot;109&quot;},&quot;isTemporary&quot;:false}],&quot;properties&quot;:{&quot;noteIndex&quot;:0},&quot;isEdited&quot;:false,&quot;manualOverride&quot;:{&quot;isManuallyOverriden&quot;:false,&quot;citeprocText&quot;:&quot;(Rothan and Byrareddy, 2020)&quot;,&quot;manualOverrideText&quot;:&quot;&quot;}}"/>
          <w:id w:val="1386987496"/>
          <w:placeholder>
            <w:docPart w:val="DefaultPlaceholder_-1854013440"/>
          </w:placeholder>
        </w:sdtPr>
        <w:sdtEndPr/>
        <w:sdtContent>
          <w:r w:rsidR="00CE328D" w:rsidRPr="00CE328D">
            <w:rPr>
              <w:rFonts w:ascii="Calibri" w:hAnsi="Calibri"/>
              <w:color w:val="000000"/>
            </w:rPr>
            <w:t>(</w:t>
          </w:r>
          <w:proofErr w:type="spellStart"/>
          <w:r w:rsidR="00CE328D" w:rsidRPr="00CE328D">
            <w:rPr>
              <w:rFonts w:ascii="Calibri" w:hAnsi="Calibri"/>
              <w:color w:val="000000"/>
            </w:rPr>
            <w:t>Rothan</w:t>
          </w:r>
          <w:proofErr w:type="spellEnd"/>
          <w:r w:rsidR="00CE328D" w:rsidRPr="00CE328D">
            <w:rPr>
              <w:rFonts w:ascii="Calibri" w:hAnsi="Calibri"/>
              <w:color w:val="000000"/>
            </w:rPr>
            <w:t xml:space="preserve"> and </w:t>
          </w:r>
          <w:proofErr w:type="spellStart"/>
          <w:r w:rsidR="00CE328D" w:rsidRPr="00CE328D">
            <w:rPr>
              <w:rFonts w:ascii="Calibri" w:hAnsi="Calibri"/>
              <w:color w:val="000000"/>
            </w:rPr>
            <w:t>Byrareddy</w:t>
          </w:r>
          <w:proofErr w:type="spellEnd"/>
          <w:r w:rsidR="00CE328D" w:rsidRPr="00CE328D">
            <w:rPr>
              <w:rFonts w:ascii="Calibri" w:hAnsi="Calibri"/>
              <w:color w:val="000000"/>
            </w:rPr>
            <w:t>, 2020)</w:t>
          </w:r>
        </w:sdtContent>
      </w:sdt>
      <w:r w:rsidR="00643562">
        <w:rPr>
          <w:rFonts w:ascii="Calibri" w:hAnsi="Calibri"/>
        </w:rPr>
        <w:t xml:space="preserve"> According to </w:t>
      </w:r>
      <w:sdt>
        <w:sdtPr>
          <w:rPr>
            <w:rFonts w:ascii="Calibri" w:hAnsi="Calibri"/>
            <w:color w:val="000000"/>
          </w:rPr>
          <w:tag w:val="MENDELEY_CITATION_{&quot;citationID&quot;:&quot;MENDELEY_CITATION_06d8bcda-8c89-4719-b125-4b8e0e47a509&quot;,&quot;citationItems&quot;:[{&quot;id&quot;:&quot;74b81839-7dca-30d3-8279-0d7fe4058e76&quot;,&quot;itemData&quot;:{&quot;type&quot;:&quot;article&quot;,&quot;id&quot;:&quot;74b81839-7dca-30d3-8279-0d7fe4058e76&quot;,&quot;title&quot;:&quot;The epidemiology and pathogenesis of coronavirus disease (COVID-19) outbreak&quot;,&quot;author&quot;:[{&quot;family&quot;:&quot;Rothan&quot;,&quot;given&quot;:&quot;Hussin A.&quot;,&quot;parse-names&quot;:false,&quot;dropping-particle&quot;:&quot;&quot;,&quot;non-dropping-particle&quot;:&quot;&quot;},{&quot;family&quot;:&quot;Byrareddy&quot;,&quot;given&quot;:&quot;Siddappa N.&quot;,&quot;parse-names&quot;:false,&quot;dropping-particle&quot;:&quot;&quot;,&quot;non-dropping-particle&quot;:&quot;&quot;}],&quot;container-title&quot;:&quot;Journal of Autoimmunity&quot;,&quot;accessed&quot;:{&quot;date-parts&quot;:[[2021,3,10]]},&quot;DOI&quot;:&quot;10.1016/j.jaut.2020.102433&quot;,&quot;ISSN&quot;:&quot;10959157&quot;,&quot;PMID&quot;:&quot;32113704&quot;,&quot;URL&quot;:&quot;www.elsevier.com/locate/jautimm&quot;,&quot;issued&quot;:{&quot;date-parts&quot;:[[2020,5,1]]},&quot;page&quot;:&quot;102433&quot;,&quot;abstract&quot;:&quot;Coronavirus disease (COVID-19) is caused by SARS-COV2 and represents the causative agent of a potentially fatal disease that is of great global public health concern. Based on the large number of infected people that were exposed to the wet animal market in Wuhan City, China, it is suggested that this is likely the zoonotic origin of COVID-19. Person-to-person transmission of COVID-19 infection led to the isolation of patients that were subsequently administered a variety of treatments. Extensive measures to reduce person-to-person transmission of COVID-19 have been implemented to control the current outbreak. Special attention and efforts to protect or reduce transmission should be applied in susceptible populations including children, health care providers, and elderly people. In this review, we highlights the symptoms, epidemiology, transmission, pathogenesis, phylogenetic analysis and future directions to control the spread of this fatal disease.&quot;,&quot;publisher&quot;:&quot;Academic Press&quot;,&quot;volume&quot;:&quot;109&quot;},&quot;isTemporary&quot;:false}],&quot;properties&quot;:{&quot;noteIndex&quot;:0},&quot;isEdited&quot;:false,&quot;manualOverride&quot;:{&quot;isManuallyOverriden&quot;:false,&quot;citeprocText&quot;:&quot;(Rothan and Byrareddy, 2020)&quot;,&quot;manualOverrideText&quot;:&quot;&quot;}}"/>
          <w:id w:val="-1772541509"/>
          <w:placeholder>
            <w:docPart w:val="DefaultPlaceholder_-1854013440"/>
          </w:placeholder>
        </w:sdtPr>
        <w:sdtEndPr/>
        <w:sdtContent>
          <w:r w:rsidR="00CE328D" w:rsidRPr="00CE328D">
            <w:rPr>
              <w:rFonts w:ascii="Calibri" w:hAnsi="Calibri"/>
              <w:color w:val="000000"/>
            </w:rPr>
            <w:t>(</w:t>
          </w:r>
          <w:proofErr w:type="spellStart"/>
          <w:r w:rsidR="00CE328D" w:rsidRPr="00CE328D">
            <w:rPr>
              <w:rFonts w:ascii="Calibri" w:hAnsi="Calibri"/>
              <w:color w:val="000000"/>
            </w:rPr>
            <w:t>Rothan</w:t>
          </w:r>
          <w:proofErr w:type="spellEnd"/>
          <w:r w:rsidR="00CE328D" w:rsidRPr="00CE328D">
            <w:rPr>
              <w:rFonts w:ascii="Calibri" w:hAnsi="Calibri"/>
              <w:color w:val="000000"/>
            </w:rPr>
            <w:t xml:space="preserve"> and </w:t>
          </w:r>
          <w:proofErr w:type="spellStart"/>
          <w:r w:rsidR="00CE328D" w:rsidRPr="00CE328D">
            <w:rPr>
              <w:rFonts w:ascii="Calibri" w:hAnsi="Calibri"/>
              <w:color w:val="000000"/>
            </w:rPr>
            <w:t>Byrareddy</w:t>
          </w:r>
          <w:proofErr w:type="spellEnd"/>
          <w:r w:rsidR="00CE328D" w:rsidRPr="00CE328D">
            <w:rPr>
              <w:rFonts w:ascii="Calibri" w:hAnsi="Calibri"/>
              <w:color w:val="000000"/>
            </w:rPr>
            <w:t>, 2020)</w:t>
          </w:r>
        </w:sdtContent>
      </w:sdt>
      <w:r w:rsidR="00643562">
        <w:rPr>
          <w:rFonts w:ascii="Calibri" w:hAnsi="Calibri"/>
        </w:rPr>
        <w:t xml:space="preserve"> patients were epidemiologically linked to a seafood and wet animal wholesale market in Wuhan, Hubei province, China.</w:t>
      </w:r>
      <w:r w:rsidR="00F341EB">
        <w:rPr>
          <w:rFonts w:ascii="Calibri" w:hAnsi="Calibri"/>
        </w:rPr>
        <w:t xml:space="preserve"> </w:t>
      </w:r>
      <w:r w:rsidR="004D2CA9">
        <w:rPr>
          <w:rFonts w:ascii="Calibri" w:hAnsi="Calibri"/>
        </w:rPr>
        <w:t xml:space="preserve">Studies </w:t>
      </w:r>
      <w:r w:rsidR="005F1B3E">
        <w:rPr>
          <w:rFonts w:ascii="Calibri" w:hAnsi="Calibri"/>
        </w:rPr>
        <w:t xml:space="preserve">suggest </w:t>
      </w:r>
      <w:r w:rsidR="00617D98">
        <w:rPr>
          <w:rFonts w:ascii="Calibri" w:hAnsi="Calibri"/>
        </w:rPr>
        <w:t xml:space="preserve"> </w:t>
      </w:r>
      <w:r w:rsidR="00F341EB">
        <w:rPr>
          <w:rFonts w:ascii="Calibri" w:hAnsi="Calibri"/>
        </w:rPr>
        <w:t xml:space="preserve"> </w:t>
      </w:r>
      <w:r w:rsidR="00643562">
        <w:rPr>
          <w:rFonts w:ascii="Calibri" w:hAnsi="Calibri"/>
        </w:rPr>
        <w:t>b</w:t>
      </w:r>
      <w:r w:rsidR="00617D98">
        <w:rPr>
          <w:rFonts w:ascii="Calibri" w:hAnsi="Calibri"/>
        </w:rPr>
        <w:t>ats are the key host and transmitting medium of the SARS-CoV-2 virus</w:t>
      </w:r>
      <w:r w:rsidR="005F1B3E">
        <w:rPr>
          <w:rFonts w:ascii="Calibri" w:hAnsi="Calibri"/>
        </w:rPr>
        <w:t xml:space="preserve"> </w:t>
      </w:r>
      <w:r w:rsidR="00373354">
        <w:rPr>
          <w:rFonts w:ascii="Calibri" w:hAnsi="Calibri"/>
        </w:rPr>
        <w:t>(</w:t>
      </w:r>
      <w:r w:rsidR="00373354">
        <w:rPr>
          <w:rFonts w:eastAsia="Times New Roman"/>
        </w:rPr>
        <w:t xml:space="preserve">Shereen </w:t>
      </w:r>
      <w:r w:rsidR="00373354">
        <w:rPr>
          <w:rFonts w:eastAsia="Times New Roman"/>
          <w:i/>
          <w:iCs/>
        </w:rPr>
        <w:t>et al.</w:t>
      </w:r>
      <w:r w:rsidR="00373354">
        <w:rPr>
          <w:rFonts w:eastAsia="Times New Roman"/>
        </w:rPr>
        <w:t>, 2020)</w:t>
      </w:r>
    </w:p>
    <w:p w14:paraId="3860CD4D" w14:textId="59A932AB" w:rsidR="00704E7C" w:rsidRDefault="00F30AB4" w:rsidP="00507DF4">
      <w:pPr>
        <w:spacing w:line="360" w:lineRule="auto"/>
        <w:rPr>
          <w:rFonts w:ascii="Calibri" w:hAnsi="Calibri"/>
        </w:rPr>
      </w:pPr>
      <w:r>
        <w:rPr>
          <w:rFonts w:ascii="Calibri" w:hAnsi="Calibri"/>
        </w:rPr>
        <w:t>SARS</w:t>
      </w:r>
      <w:r w:rsidR="00257017">
        <w:rPr>
          <w:rFonts w:ascii="Calibri" w:hAnsi="Calibri"/>
        </w:rPr>
        <w:t>-CoV-</w:t>
      </w:r>
      <w:r w:rsidR="009B644A">
        <w:rPr>
          <w:rFonts w:ascii="Calibri" w:hAnsi="Calibri"/>
        </w:rPr>
        <w:t>2,</w:t>
      </w:r>
      <w:r w:rsidR="00257017">
        <w:rPr>
          <w:rFonts w:ascii="Calibri" w:hAnsi="Calibri"/>
        </w:rPr>
        <w:t xml:space="preserve"> named Covid-19 by WHO </w:t>
      </w:r>
      <w:r w:rsidR="00405815">
        <w:rPr>
          <w:rFonts w:ascii="Calibri" w:hAnsi="Calibri"/>
        </w:rPr>
        <w:t>in February 2020</w:t>
      </w:r>
      <w:r w:rsidR="00D625C1">
        <w:rPr>
          <w:rFonts w:ascii="Calibri" w:hAnsi="Calibri"/>
        </w:rPr>
        <w:t xml:space="preserve"> is </w:t>
      </w:r>
      <w:r w:rsidR="00C24F07">
        <w:rPr>
          <w:rFonts w:ascii="Calibri" w:hAnsi="Calibri"/>
        </w:rPr>
        <w:t>a highly</w:t>
      </w:r>
      <w:r w:rsidR="00D625C1">
        <w:rPr>
          <w:rFonts w:ascii="Calibri" w:hAnsi="Calibri"/>
        </w:rPr>
        <w:t xml:space="preserve"> pathogen</w:t>
      </w:r>
      <w:r w:rsidR="00C24F07">
        <w:rPr>
          <w:rFonts w:ascii="Calibri" w:hAnsi="Calibri"/>
        </w:rPr>
        <w:t>ic viral infection</w:t>
      </w:r>
      <w:r w:rsidR="00D625C1">
        <w:rPr>
          <w:rFonts w:ascii="Calibri" w:hAnsi="Calibri"/>
        </w:rPr>
        <w:t xml:space="preserve"> that attacks the respiratory </w:t>
      </w:r>
      <w:r w:rsidR="00BE1BB8">
        <w:rPr>
          <w:rFonts w:ascii="Calibri" w:hAnsi="Calibri"/>
        </w:rPr>
        <w:t>system</w:t>
      </w:r>
      <w:r w:rsidR="00A50929">
        <w:rPr>
          <w:rFonts w:ascii="Calibri" w:hAnsi="Calibri"/>
        </w:rPr>
        <w:t>. Symptoms</w:t>
      </w:r>
      <w:r w:rsidR="00AE5718">
        <w:rPr>
          <w:rFonts w:ascii="Calibri" w:hAnsi="Calibri"/>
        </w:rPr>
        <w:t xml:space="preserve"> appear after an incubation phase </w:t>
      </w:r>
      <w:r w:rsidR="008D37B6">
        <w:rPr>
          <w:rFonts w:ascii="Calibri" w:hAnsi="Calibri"/>
        </w:rPr>
        <w:t>of approx</w:t>
      </w:r>
      <w:r w:rsidR="008F62CC">
        <w:rPr>
          <w:rFonts w:ascii="Calibri" w:hAnsi="Calibri"/>
        </w:rPr>
        <w:t xml:space="preserve">imately </w:t>
      </w:r>
      <w:r w:rsidR="008D37B6">
        <w:rPr>
          <w:rFonts w:ascii="Calibri" w:hAnsi="Calibri"/>
        </w:rPr>
        <w:t>5</w:t>
      </w:r>
      <w:r w:rsidR="008F62CC">
        <w:rPr>
          <w:rFonts w:ascii="Calibri" w:hAnsi="Calibri"/>
        </w:rPr>
        <w:t>.2 days</w:t>
      </w:r>
      <w:r w:rsidR="00BC400C">
        <w:rPr>
          <w:rFonts w:ascii="Calibri" w:hAnsi="Calibri"/>
        </w:rPr>
        <w:t xml:space="preserve"> </w:t>
      </w:r>
      <w:sdt>
        <w:sdtPr>
          <w:rPr>
            <w:rFonts w:ascii="Calibri" w:hAnsi="Calibri"/>
            <w:color w:val="000000"/>
          </w:rPr>
          <w:tag w:val="MENDELEY_CITATION_{&quot;citationID&quot;:&quot;MENDELEY_CITATION_6d451ec4-d002-489f-b282-22c1f8f6fa00&quot;,&quot;citationItems&quot;:[{&quot;id&quot;:&quot;74b81839-7dca-30d3-8279-0d7fe4058e76&quot;,&quot;itemData&quot;:{&quot;type&quot;:&quot;article&quot;,&quot;id&quot;:&quot;74b81839-7dca-30d3-8279-0d7fe4058e76&quot;,&quot;title&quot;:&quot;The epidemiology and pathogenesis of coronavirus disease (COVID-19) outbreak&quot;,&quot;author&quot;:[{&quot;family&quot;:&quot;Rothan&quot;,&quot;given&quot;:&quot;Hussin A.&quot;,&quot;parse-names&quot;:false,&quot;dropping-particle&quot;:&quot;&quot;,&quot;non-dropping-particle&quot;:&quot;&quot;},{&quot;family&quot;:&quot;Byrareddy&quot;,&quot;given&quot;:&quot;Siddappa N.&quot;,&quot;parse-names&quot;:false,&quot;dropping-particle&quot;:&quot;&quot;,&quot;non-dropping-particle&quot;:&quot;&quot;}],&quot;container-title&quot;:&quot;Journal of Autoimmunity&quot;,&quot;accessed&quot;:{&quot;date-parts&quot;:[[2021,3,10]]},&quot;DOI&quot;:&quot;10.1016/j.jaut.2020.102433&quot;,&quot;ISSN&quot;:&quot;10959157&quot;,&quot;PMID&quot;:&quot;32113704&quot;,&quot;URL&quot;:&quot;www.elsevier.com/locate/jautimm&quot;,&quot;issued&quot;:{&quot;date-parts&quot;:[[2020,5,1]]},&quot;page&quot;:&quot;102433&quot;,&quot;abstract&quot;:&quot;Coronavirus disease (COVID-19) is caused by SARS-COV2 and represents the causative agent of a potentially fatal disease that is of great global public health concern. Based on the large number of infected people that were exposed to the wet animal market in Wuhan City, China, it is suggested that this is likely the zoonotic origin of COVID-19. Person-to-person transmission of COVID-19 infection led to the isolation of patients that were subsequently administered a variety of treatments. Extensive measures to reduce person-to-person transmission of COVID-19 have been implemented to control the current outbreak. Special attention and efforts to protect or reduce transmission should be applied in susceptible populations including children, health care providers, and elderly people. In this review, we highlights the symptoms, epidemiology, transmission, pathogenesis, phylogenetic analysis and future directions to control the spread of this fatal disease.&quot;,&quot;publisher&quot;:&quot;Academic Press&quot;,&quot;volume&quot;:&quot;109&quot;},&quot;isTemporary&quot;:false}],&quot;properties&quot;:{&quot;noteIndex&quot;:0},&quot;isEdited&quot;:false,&quot;manualOverride&quot;:{&quot;isManuallyOverriden&quot;:false,&quot;citeprocText&quot;:&quot;(Rothan and Byrareddy, 2020)&quot;,&quot;manualOverrideText&quot;:&quot;&quot;}}"/>
          <w:id w:val="-11918510"/>
          <w:placeholder>
            <w:docPart w:val="DefaultPlaceholder_-1854013440"/>
          </w:placeholder>
        </w:sdtPr>
        <w:sdtEndPr/>
        <w:sdtContent>
          <w:r w:rsidR="00CE328D" w:rsidRPr="00CE328D">
            <w:rPr>
              <w:rFonts w:ascii="Calibri" w:hAnsi="Calibri"/>
              <w:color w:val="000000"/>
            </w:rPr>
            <w:t>(</w:t>
          </w:r>
          <w:proofErr w:type="spellStart"/>
          <w:r w:rsidR="00CE328D" w:rsidRPr="00CE328D">
            <w:rPr>
              <w:rFonts w:ascii="Calibri" w:hAnsi="Calibri"/>
              <w:color w:val="000000"/>
            </w:rPr>
            <w:t>Rothan</w:t>
          </w:r>
          <w:proofErr w:type="spellEnd"/>
          <w:r w:rsidR="00CE328D" w:rsidRPr="00CE328D">
            <w:rPr>
              <w:rFonts w:ascii="Calibri" w:hAnsi="Calibri"/>
              <w:color w:val="000000"/>
            </w:rPr>
            <w:t xml:space="preserve"> and </w:t>
          </w:r>
          <w:proofErr w:type="spellStart"/>
          <w:r w:rsidR="00CE328D" w:rsidRPr="00CE328D">
            <w:rPr>
              <w:rFonts w:ascii="Calibri" w:hAnsi="Calibri"/>
              <w:color w:val="000000"/>
            </w:rPr>
            <w:t>Byrareddy</w:t>
          </w:r>
          <w:proofErr w:type="spellEnd"/>
          <w:r w:rsidR="00CE328D" w:rsidRPr="00CE328D">
            <w:rPr>
              <w:rFonts w:ascii="Calibri" w:hAnsi="Calibri"/>
              <w:color w:val="000000"/>
            </w:rPr>
            <w:t>, 2020)</w:t>
          </w:r>
        </w:sdtContent>
      </w:sdt>
      <w:r w:rsidR="00846623">
        <w:rPr>
          <w:rFonts w:ascii="Calibri" w:hAnsi="Calibri"/>
        </w:rPr>
        <w:t xml:space="preserve"> </w:t>
      </w:r>
      <w:r w:rsidR="00DC7EA6">
        <w:rPr>
          <w:rFonts w:ascii="Calibri" w:hAnsi="Calibri"/>
        </w:rPr>
        <w:t xml:space="preserve">By </w:t>
      </w:r>
      <w:r w:rsidR="00DE76E0">
        <w:rPr>
          <w:rFonts w:ascii="Calibri" w:hAnsi="Calibri"/>
        </w:rPr>
        <w:t>January 2020</w:t>
      </w:r>
      <w:r w:rsidR="00C91846">
        <w:rPr>
          <w:rFonts w:ascii="Calibri" w:hAnsi="Calibri"/>
        </w:rPr>
        <w:t xml:space="preserve"> Covid-19</w:t>
      </w:r>
      <w:r w:rsidR="00DE76E0">
        <w:rPr>
          <w:rFonts w:ascii="Calibri" w:hAnsi="Calibri"/>
        </w:rPr>
        <w:t xml:space="preserve"> was spreading across the </w:t>
      </w:r>
      <w:r w:rsidR="00C91846">
        <w:rPr>
          <w:rFonts w:ascii="Calibri" w:hAnsi="Calibri"/>
        </w:rPr>
        <w:t>continents</w:t>
      </w:r>
      <w:r w:rsidR="00597550">
        <w:rPr>
          <w:rFonts w:ascii="Calibri" w:hAnsi="Calibri"/>
        </w:rPr>
        <w:t xml:space="preserve">, rapidly </w:t>
      </w:r>
      <w:r w:rsidR="00372B71">
        <w:rPr>
          <w:rFonts w:ascii="Calibri" w:hAnsi="Calibri"/>
        </w:rPr>
        <w:t xml:space="preserve">infecting the </w:t>
      </w:r>
      <w:r w:rsidR="00451013">
        <w:rPr>
          <w:rFonts w:ascii="Calibri" w:hAnsi="Calibri"/>
        </w:rPr>
        <w:t>world’s</w:t>
      </w:r>
      <w:r w:rsidR="00372B71">
        <w:rPr>
          <w:rFonts w:ascii="Calibri" w:hAnsi="Calibri"/>
        </w:rPr>
        <w:t xml:space="preserve"> population</w:t>
      </w:r>
      <w:r w:rsidR="0020289C">
        <w:rPr>
          <w:rFonts w:ascii="Calibri" w:hAnsi="Calibri"/>
        </w:rPr>
        <w:t xml:space="preserve"> </w:t>
      </w:r>
      <w:r w:rsidR="009A0B00">
        <w:rPr>
          <w:rFonts w:ascii="Calibri" w:hAnsi="Calibri"/>
        </w:rPr>
        <w:t xml:space="preserve">along with growing evidence </w:t>
      </w:r>
      <w:r w:rsidR="00D2518E">
        <w:rPr>
          <w:rFonts w:ascii="Calibri" w:hAnsi="Calibri"/>
        </w:rPr>
        <w:t xml:space="preserve">to suggest </w:t>
      </w:r>
      <w:r w:rsidR="004264D2">
        <w:rPr>
          <w:rFonts w:ascii="Calibri" w:hAnsi="Calibri"/>
        </w:rPr>
        <w:t xml:space="preserve">increased risk </w:t>
      </w:r>
      <w:r w:rsidR="00604C87">
        <w:rPr>
          <w:rFonts w:ascii="Calibri" w:hAnsi="Calibri"/>
        </w:rPr>
        <w:t>of infection and mortali</w:t>
      </w:r>
      <w:r w:rsidR="00640919">
        <w:rPr>
          <w:rFonts w:ascii="Calibri" w:hAnsi="Calibri"/>
        </w:rPr>
        <w:t xml:space="preserve">ty </w:t>
      </w:r>
      <w:r w:rsidR="00D20D98">
        <w:rPr>
          <w:rFonts w:ascii="Calibri" w:hAnsi="Calibri"/>
        </w:rPr>
        <w:t xml:space="preserve">rates </w:t>
      </w:r>
      <w:r w:rsidR="00604C87">
        <w:rPr>
          <w:rFonts w:ascii="Calibri" w:hAnsi="Calibri"/>
        </w:rPr>
        <w:t xml:space="preserve">within </w:t>
      </w:r>
      <w:r w:rsidR="00F01D09">
        <w:rPr>
          <w:rFonts w:ascii="Calibri" w:hAnsi="Calibri"/>
        </w:rPr>
        <w:t>ce</w:t>
      </w:r>
      <w:r w:rsidR="00322AEA">
        <w:rPr>
          <w:rFonts w:ascii="Calibri" w:hAnsi="Calibri"/>
        </w:rPr>
        <w:t xml:space="preserve">rtain </w:t>
      </w:r>
      <w:r w:rsidR="0085026D">
        <w:rPr>
          <w:rFonts w:ascii="Calibri" w:hAnsi="Calibri"/>
        </w:rPr>
        <w:t>demographic</w:t>
      </w:r>
      <w:r w:rsidR="00322AEA">
        <w:rPr>
          <w:rFonts w:ascii="Calibri" w:hAnsi="Calibri"/>
        </w:rPr>
        <w:t xml:space="preserve"> groups</w:t>
      </w:r>
      <w:sdt>
        <w:sdtPr>
          <w:rPr>
            <w:rFonts w:ascii="Calibri" w:hAnsi="Calibri"/>
            <w:color w:val="000000"/>
          </w:rPr>
          <w:tag w:val="MENDELEY_CITATION_{&quot;citationID&quot;:&quot;MENDELEY_CITATION_5627d7f9-b670-42ca-bcf7-0a103f787d98&quot;,&quot;citationItems&quot;:[{&quot;id&quot;:&quot;d4943e7e-5136-30ab-b73c-a517365e6579&quot;,&quot;itemData&quot;:{&quot;type&quot;:&quot;report&quot;,&quot;id&quot;:&quot;d4943e7e-5136-30ab-b73c-a517365e6579&quot;,&quot;title&quot;:&quot;Disparities in the risk and outcomes from COVID-19&quot;,&quot;author&quot;:[{&quot;family&quot;:&quot;Phe&quot;,&quot;given&quot;:&quot;&quot;,&quot;parse-names&quot;:false,&quot;dropping-particle&quot;:&quot;&quot;,&quot;non-dropping-particle&quot;:&quot;&quot;}],&quot;accessed&quot;:{&quot;date-parts&quot;:[[2021,3,10]]},&quot;URL&quot;:&quot;www.facebook.com/PublicHealthEngland&quot;,&quot;issued&quot;:{&quot;date-parts&quot;:[[2020]]}},&quot;isTemporary&quot;:false}],&quot;properties&quot;:{&quot;noteIndex&quot;:0},&quot;isEdited&quot;:false,&quot;manualOverride&quot;:{&quot;isManuallyOverriden&quot;:false,&quot;citeprocText&quot;:&quot;(Phe, 2020)&quot;,&quot;manualOverrideText&quot;:&quot;&quot;}}"/>
          <w:id w:val="-67970765"/>
          <w:placeholder>
            <w:docPart w:val="DefaultPlaceholder_-1854013440"/>
          </w:placeholder>
        </w:sdtPr>
        <w:sdtEndPr/>
        <w:sdtContent>
          <w:r w:rsidR="00CE328D" w:rsidRPr="00CE328D">
            <w:rPr>
              <w:rFonts w:ascii="Calibri" w:hAnsi="Calibri"/>
              <w:color w:val="000000"/>
            </w:rPr>
            <w:t>(</w:t>
          </w:r>
          <w:proofErr w:type="spellStart"/>
          <w:r w:rsidR="00CE328D" w:rsidRPr="00CE328D">
            <w:rPr>
              <w:rFonts w:ascii="Calibri" w:hAnsi="Calibri"/>
              <w:color w:val="000000"/>
            </w:rPr>
            <w:t>Phe</w:t>
          </w:r>
          <w:proofErr w:type="spellEnd"/>
          <w:r w:rsidR="00CE328D" w:rsidRPr="00CE328D">
            <w:rPr>
              <w:rFonts w:ascii="Calibri" w:hAnsi="Calibri"/>
              <w:color w:val="000000"/>
            </w:rPr>
            <w:t>, 2020b)</w:t>
          </w:r>
        </w:sdtContent>
      </w:sdt>
      <w:r w:rsidR="00322AEA">
        <w:rPr>
          <w:rFonts w:ascii="Calibri" w:hAnsi="Calibri"/>
        </w:rPr>
        <w:t>.</w:t>
      </w:r>
      <w:r w:rsidR="00EC7EA8">
        <w:rPr>
          <w:rFonts w:ascii="Calibri" w:hAnsi="Calibri"/>
        </w:rPr>
        <w:t xml:space="preserve"> </w:t>
      </w:r>
      <w:r w:rsidR="00B9251D">
        <w:rPr>
          <w:rFonts w:ascii="Calibri" w:hAnsi="Calibri"/>
        </w:rPr>
        <w:t xml:space="preserve">Covid-19 was declared a </w:t>
      </w:r>
      <w:r w:rsidR="001B42B8">
        <w:rPr>
          <w:rFonts w:ascii="Calibri" w:hAnsi="Calibri"/>
        </w:rPr>
        <w:t xml:space="preserve">world-wide </w:t>
      </w:r>
      <w:r w:rsidR="00B9251D">
        <w:rPr>
          <w:rFonts w:ascii="Calibri" w:hAnsi="Calibri"/>
        </w:rPr>
        <w:t xml:space="preserve">pandemic </w:t>
      </w:r>
      <w:r w:rsidR="00426A33">
        <w:rPr>
          <w:rFonts w:ascii="Calibri" w:hAnsi="Calibri"/>
        </w:rPr>
        <w:t>on 11</w:t>
      </w:r>
      <w:r w:rsidR="00426A33" w:rsidRPr="00426A33">
        <w:rPr>
          <w:rFonts w:ascii="Calibri" w:hAnsi="Calibri"/>
          <w:vertAlign w:val="superscript"/>
        </w:rPr>
        <w:t>th</w:t>
      </w:r>
      <w:r w:rsidR="00426A33">
        <w:rPr>
          <w:rFonts w:ascii="Calibri" w:hAnsi="Calibri"/>
        </w:rPr>
        <w:t xml:space="preserve"> March 2020 by </w:t>
      </w:r>
      <w:r w:rsidR="00AA3238">
        <w:rPr>
          <w:rFonts w:ascii="Calibri" w:hAnsi="Calibri"/>
        </w:rPr>
        <w:t>the W</w:t>
      </w:r>
      <w:r w:rsidR="0068047F">
        <w:rPr>
          <w:rFonts w:ascii="Calibri" w:hAnsi="Calibri"/>
        </w:rPr>
        <w:t>orld</w:t>
      </w:r>
      <w:r w:rsidR="00AA3238">
        <w:rPr>
          <w:rFonts w:ascii="Calibri" w:hAnsi="Calibri"/>
        </w:rPr>
        <w:t xml:space="preserve"> Health Organisation</w:t>
      </w:r>
      <w:r w:rsidR="0068047F">
        <w:rPr>
          <w:rFonts w:ascii="Calibri" w:hAnsi="Calibri"/>
        </w:rPr>
        <w:t xml:space="preserve"> (</w:t>
      </w:r>
      <w:r w:rsidR="00426A33">
        <w:rPr>
          <w:rFonts w:ascii="Calibri" w:hAnsi="Calibri"/>
        </w:rPr>
        <w:t>WHO</w:t>
      </w:r>
      <w:r w:rsidR="0068047F">
        <w:rPr>
          <w:rFonts w:ascii="Calibri" w:hAnsi="Calibri"/>
        </w:rPr>
        <w:t>)</w:t>
      </w:r>
      <w:r w:rsidR="00F935A8">
        <w:rPr>
          <w:rFonts w:ascii="Calibri" w:hAnsi="Calibri"/>
        </w:rPr>
        <w:t xml:space="preserve"> </w:t>
      </w:r>
      <w:r w:rsidR="003D349C">
        <w:rPr>
          <w:rFonts w:ascii="Calibri" w:hAnsi="Calibri"/>
        </w:rPr>
        <w:t>resulting in</w:t>
      </w:r>
      <w:r w:rsidR="00426A33">
        <w:rPr>
          <w:rFonts w:ascii="Calibri" w:hAnsi="Calibri"/>
        </w:rPr>
        <w:t xml:space="preserve"> </w:t>
      </w:r>
      <w:r w:rsidR="0069094A">
        <w:rPr>
          <w:rFonts w:ascii="Calibri" w:hAnsi="Calibri"/>
        </w:rPr>
        <w:t xml:space="preserve">governments </w:t>
      </w:r>
      <w:r w:rsidR="007D04AD">
        <w:rPr>
          <w:rFonts w:ascii="Calibri" w:hAnsi="Calibri"/>
        </w:rPr>
        <w:t xml:space="preserve">locking down countries, </w:t>
      </w:r>
      <w:r w:rsidR="003D349C">
        <w:rPr>
          <w:rFonts w:ascii="Calibri" w:hAnsi="Calibri"/>
        </w:rPr>
        <w:t>businesses,</w:t>
      </w:r>
      <w:r w:rsidR="007D04AD">
        <w:rPr>
          <w:rFonts w:ascii="Calibri" w:hAnsi="Calibri"/>
        </w:rPr>
        <w:t xml:space="preserve"> and </w:t>
      </w:r>
      <w:r w:rsidR="00BB77F6">
        <w:rPr>
          <w:rFonts w:ascii="Calibri" w:hAnsi="Calibri"/>
        </w:rPr>
        <w:t>livelihoods</w:t>
      </w:r>
      <w:r w:rsidR="00A745DF">
        <w:rPr>
          <w:rFonts w:ascii="Calibri" w:hAnsi="Calibri"/>
        </w:rPr>
        <w:t xml:space="preserve"> </w:t>
      </w:r>
      <w:r w:rsidR="00536ECF">
        <w:rPr>
          <w:rFonts w:ascii="Calibri" w:hAnsi="Calibri"/>
        </w:rPr>
        <w:t>to</w:t>
      </w:r>
      <w:r w:rsidR="00382D41">
        <w:rPr>
          <w:rFonts w:ascii="Calibri" w:hAnsi="Calibri"/>
        </w:rPr>
        <w:t xml:space="preserve"> </w:t>
      </w:r>
      <w:r w:rsidR="00A745DF">
        <w:rPr>
          <w:rFonts w:ascii="Calibri" w:hAnsi="Calibri"/>
        </w:rPr>
        <w:t>control the spread</w:t>
      </w:r>
      <w:r w:rsidR="000B28ED">
        <w:rPr>
          <w:rFonts w:ascii="Calibri" w:hAnsi="Calibri"/>
        </w:rPr>
        <w:t xml:space="preserve">. </w:t>
      </w:r>
      <w:r w:rsidR="001A41F3">
        <w:rPr>
          <w:rFonts w:ascii="Calibri" w:hAnsi="Calibri"/>
        </w:rPr>
        <w:t xml:space="preserve">The </w:t>
      </w:r>
      <w:r w:rsidR="00A745DF">
        <w:rPr>
          <w:rFonts w:ascii="Calibri" w:hAnsi="Calibri"/>
        </w:rPr>
        <w:t>repercussion</w:t>
      </w:r>
      <w:r w:rsidR="00275F0C">
        <w:rPr>
          <w:rFonts w:ascii="Calibri" w:hAnsi="Calibri"/>
        </w:rPr>
        <w:t xml:space="preserve">s </w:t>
      </w:r>
      <w:r w:rsidR="007853C6">
        <w:rPr>
          <w:rFonts w:ascii="Calibri" w:hAnsi="Calibri"/>
        </w:rPr>
        <w:t xml:space="preserve">of lockdown </w:t>
      </w:r>
      <w:r w:rsidR="00776848">
        <w:rPr>
          <w:rFonts w:ascii="Calibri" w:hAnsi="Calibri"/>
        </w:rPr>
        <w:t xml:space="preserve">will not </w:t>
      </w:r>
      <w:r w:rsidR="00A745DF">
        <w:rPr>
          <w:rFonts w:ascii="Calibri" w:hAnsi="Calibri"/>
        </w:rPr>
        <w:t xml:space="preserve">only </w:t>
      </w:r>
      <w:r w:rsidR="00776848">
        <w:rPr>
          <w:rFonts w:ascii="Calibri" w:hAnsi="Calibri"/>
        </w:rPr>
        <w:t xml:space="preserve">impact </w:t>
      </w:r>
      <w:r w:rsidR="00A745DF">
        <w:rPr>
          <w:rFonts w:ascii="Calibri" w:hAnsi="Calibri"/>
        </w:rPr>
        <w:t>the</w:t>
      </w:r>
      <w:r w:rsidR="007D04AD">
        <w:rPr>
          <w:rFonts w:ascii="Calibri" w:hAnsi="Calibri"/>
        </w:rPr>
        <w:t xml:space="preserve"> </w:t>
      </w:r>
      <w:r w:rsidR="003D349C">
        <w:rPr>
          <w:rFonts w:ascii="Calibri" w:hAnsi="Calibri"/>
        </w:rPr>
        <w:t>economy, the</w:t>
      </w:r>
      <w:r w:rsidR="002D4314">
        <w:rPr>
          <w:rFonts w:ascii="Calibri" w:hAnsi="Calibri"/>
        </w:rPr>
        <w:t xml:space="preserve"> conseque</w:t>
      </w:r>
      <w:r w:rsidR="009224CC">
        <w:rPr>
          <w:rFonts w:ascii="Calibri" w:hAnsi="Calibri"/>
        </w:rPr>
        <w:t xml:space="preserve">nces of such actions on </w:t>
      </w:r>
      <w:r w:rsidR="003D349C">
        <w:rPr>
          <w:rFonts w:ascii="Calibri" w:hAnsi="Calibri"/>
        </w:rPr>
        <w:t>people’s</w:t>
      </w:r>
      <w:r w:rsidR="000D638A">
        <w:rPr>
          <w:rFonts w:ascii="Calibri" w:hAnsi="Calibri"/>
        </w:rPr>
        <w:t xml:space="preserve"> </w:t>
      </w:r>
      <w:r w:rsidR="009224CC">
        <w:rPr>
          <w:rFonts w:ascii="Calibri" w:hAnsi="Calibri"/>
        </w:rPr>
        <w:t xml:space="preserve">mental health will </w:t>
      </w:r>
      <w:r w:rsidR="00E23983">
        <w:rPr>
          <w:rFonts w:ascii="Calibri" w:hAnsi="Calibri"/>
        </w:rPr>
        <w:t>have a profound effect.</w:t>
      </w:r>
    </w:p>
    <w:p w14:paraId="5B8598F9" w14:textId="251A303C" w:rsidR="00730C7B" w:rsidRDefault="00DC5633" w:rsidP="00507DF4">
      <w:pPr>
        <w:spacing w:line="360" w:lineRule="auto"/>
        <w:rPr>
          <w:rFonts w:ascii="Calibri" w:hAnsi="Calibri"/>
        </w:rPr>
      </w:pPr>
      <w:r>
        <w:rPr>
          <w:rFonts w:ascii="Calibri" w:hAnsi="Calibri"/>
        </w:rPr>
        <w:t xml:space="preserve">People </w:t>
      </w:r>
      <w:r w:rsidR="00A27A73">
        <w:rPr>
          <w:rFonts w:ascii="Calibri" w:hAnsi="Calibri"/>
        </w:rPr>
        <w:t xml:space="preserve">living in </w:t>
      </w:r>
      <w:r w:rsidR="00291C12">
        <w:rPr>
          <w:rFonts w:ascii="Calibri" w:hAnsi="Calibri"/>
        </w:rPr>
        <w:t xml:space="preserve">more </w:t>
      </w:r>
      <w:r w:rsidR="00A27A73">
        <w:rPr>
          <w:rFonts w:ascii="Calibri" w:hAnsi="Calibri"/>
        </w:rPr>
        <w:t>soc</w:t>
      </w:r>
      <w:r w:rsidR="00291C12">
        <w:rPr>
          <w:rFonts w:ascii="Calibri" w:hAnsi="Calibri"/>
        </w:rPr>
        <w:t xml:space="preserve">io- </w:t>
      </w:r>
      <w:proofErr w:type="gramStart"/>
      <w:r w:rsidR="002837E0">
        <w:rPr>
          <w:rFonts w:ascii="Calibri" w:hAnsi="Calibri"/>
        </w:rPr>
        <w:t>economically disadvantaged</w:t>
      </w:r>
      <w:proofErr w:type="gramEnd"/>
      <w:r w:rsidR="002837E0">
        <w:rPr>
          <w:rFonts w:ascii="Calibri" w:hAnsi="Calibri"/>
        </w:rPr>
        <w:t xml:space="preserve"> </w:t>
      </w:r>
      <w:r w:rsidR="00B1365E">
        <w:rPr>
          <w:rFonts w:ascii="Calibri" w:hAnsi="Calibri"/>
        </w:rPr>
        <w:t>are</w:t>
      </w:r>
      <w:r w:rsidR="004B12AE">
        <w:rPr>
          <w:rFonts w:ascii="Calibri" w:hAnsi="Calibri"/>
        </w:rPr>
        <w:t>as,</w:t>
      </w:r>
      <w:r w:rsidR="00062B51">
        <w:rPr>
          <w:rFonts w:ascii="Calibri" w:hAnsi="Calibri"/>
        </w:rPr>
        <w:t xml:space="preserve"> are</w:t>
      </w:r>
      <w:r w:rsidR="00E64D4E">
        <w:rPr>
          <w:rFonts w:ascii="Calibri" w:hAnsi="Calibri"/>
        </w:rPr>
        <w:t xml:space="preserve"> more likely</w:t>
      </w:r>
      <w:r w:rsidR="00EF62DB">
        <w:rPr>
          <w:rFonts w:ascii="Calibri" w:hAnsi="Calibri"/>
        </w:rPr>
        <w:t xml:space="preserve"> to develop</w:t>
      </w:r>
      <w:r w:rsidR="008B4288">
        <w:rPr>
          <w:rFonts w:ascii="Calibri" w:hAnsi="Calibri"/>
        </w:rPr>
        <w:t xml:space="preserve"> </w:t>
      </w:r>
      <w:r w:rsidR="00A31684">
        <w:rPr>
          <w:rFonts w:ascii="Calibri" w:hAnsi="Calibri"/>
        </w:rPr>
        <w:t xml:space="preserve">hypertension, </w:t>
      </w:r>
      <w:r w:rsidR="00264785">
        <w:rPr>
          <w:rFonts w:ascii="Calibri" w:hAnsi="Calibri"/>
        </w:rPr>
        <w:t xml:space="preserve">cardiovascular </w:t>
      </w:r>
      <w:r w:rsidR="00647612">
        <w:rPr>
          <w:rFonts w:ascii="Calibri" w:hAnsi="Calibri"/>
        </w:rPr>
        <w:t>disease</w:t>
      </w:r>
      <w:r w:rsidR="00A31684">
        <w:rPr>
          <w:rFonts w:ascii="Calibri" w:hAnsi="Calibri"/>
        </w:rPr>
        <w:t>,</w:t>
      </w:r>
      <w:r w:rsidR="00647612">
        <w:rPr>
          <w:rFonts w:ascii="Calibri" w:hAnsi="Calibri"/>
        </w:rPr>
        <w:t xml:space="preserve"> diabetes</w:t>
      </w:r>
      <w:r w:rsidR="00DC6AAE">
        <w:rPr>
          <w:rFonts w:ascii="Calibri" w:hAnsi="Calibri"/>
        </w:rPr>
        <w:t xml:space="preserve">, </w:t>
      </w:r>
      <w:r w:rsidR="00FB587C">
        <w:rPr>
          <w:rFonts w:ascii="Calibri" w:hAnsi="Calibri"/>
        </w:rPr>
        <w:t>COPD according</w:t>
      </w:r>
      <w:r w:rsidR="007178D6">
        <w:rPr>
          <w:rFonts w:ascii="Calibri" w:hAnsi="Calibri"/>
        </w:rPr>
        <w:t xml:space="preserve"> to </w:t>
      </w:r>
      <w:r w:rsidR="00A3438F">
        <w:rPr>
          <w:rFonts w:ascii="Calibri" w:hAnsi="Calibri"/>
        </w:rPr>
        <w:t xml:space="preserve"> </w:t>
      </w:r>
      <w:sdt>
        <w:sdtPr>
          <w:rPr>
            <w:rFonts w:ascii="Calibri" w:hAnsi="Calibri"/>
            <w:color w:val="000000"/>
          </w:rPr>
          <w:tag w:val="MENDELEY_CITATION_{&quot;citationID&quot;:&quot;MENDELEY_CITATION_cc793f39-d530-416a-9d0b-83d1e50dcf76&quot;,&quot;citationItems&quot;:[{&quot;id&quot;:&quot;26e9c899-ff10-3e6b-be15-612c4771d05a&quot;,&quot;itemData&quot;:{&quot;type&quot;:&quot;article-journal&quot;,&quot;id&quot;:&quot;26e9c899-ff10-3e6b-be15-612c4771d05a&quot;,&quot;title&quot;:&quot;The COVID-19 pandemic and health inequalities&quot;,&quot;author&quot;:[{&quot;family&quot;:&quot;Bambra&quot;,&quot;given&quot;:&quot;C&quot;,&quot;parse-names&quot;:false,&quot;dropping-particle&quot;:&quot;&quot;,&quot;non-dropping-particle&quot;:&quot;&quot;},{&quot;family&quot;:&quot;Riordan&quot;,&quot;given&quot;:&quot;R&quot;,&quot;parse-names&quot;:false,&quot;dropping-particle&quot;:&quot;&quot;,&quot;non-dropping-particle&quot;:&quot;&quot;},{&quot;family&quot;:&quot;Ford&quot;,&quot;given&quot;:&quot;J&quot;,&quot;parse-names&quot;:false,&quot;dropping-particle&quot;:&quot;&quot;,&quot;non-dropping-particle&quot;:&quot;&quot;}],&quot;container-title&quot;:&quot;J Epidemiol Community Health&quot;,&quot;accessed&quot;:{&quot;date-parts&quot;:[[2021,3,12]]},&quot;DOI&quot;:&quot;10.1136/jech-2020-214401&quot;,&quot;URL&quot;:&quot;http://jech.bmj.com/&quot;,&quot;issued&quot;:{&quot;date-parts&quot;:[[2020]]},&quot;page&quot;:&quot;964-968&quot;,&quot;abstract&quot;:&quot;This essay examines the implications of the COVID-19 pandemic for health inequalities. It outlines historical and contemporary evidence of inequalities in pandemics-drawing on international research into the Spanish influenza pandemic of 1918, the H1N1 outbreak of 2009 and the emerging international estimates of socioeconomic , ethnic and geographical inequalities in COVID-19 infection and mortality rates. It then examines how these inequalities in COVID-19 are related to existing inequalities in chronic diseases and the social determinants of health, arguing that we are experiencing a syndemic pandemic. It then explores the potential consequences for health inequalities of the lockdown measures implemented internationally as a response to the COVID-19 pandemic, focusing on the likely unequal impacts of the economic crisis. The essay concludes by reflecting on the longer-term public health policy responses needed to ensure that the COVID-19 pandemic does not increase health inequalities for future generations.&quot;,&quot;volume&quot;:&quot;74&quot;},&quot;isTemporary&quot;:false}],&quot;properties&quot;:{&quot;noteIndex&quot;:0},&quot;isEdited&quot;:false,&quot;manualOverride&quot;:{&quot;isManuallyOverriden&quot;:false,&quot;citeprocText&quot;:&quot;(Bambra, Riordan and Ford, 2020)&quot;,&quot;manualOverrideText&quot;:&quot;&quot;}}"/>
          <w:id w:val="160207406"/>
          <w:placeholder>
            <w:docPart w:val="DefaultPlaceholder_-1854013440"/>
          </w:placeholder>
        </w:sdtPr>
        <w:sdtEndPr/>
        <w:sdtContent>
          <w:r w:rsidR="00CE328D" w:rsidRPr="00CE328D">
            <w:rPr>
              <w:rFonts w:ascii="Calibri" w:hAnsi="Calibri"/>
              <w:color w:val="000000"/>
            </w:rPr>
            <w:t>(Bambra, Riordan and Ford, 2020)</w:t>
          </w:r>
        </w:sdtContent>
      </w:sdt>
      <w:r w:rsidR="009A45CA">
        <w:rPr>
          <w:rFonts w:ascii="Calibri" w:hAnsi="Calibri"/>
        </w:rPr>
        <w:t xml:space="preserve"> </w:t>
      </w:r>
      <w:r w:rsidR="009557D1">
        <w:rPr>
          <w:rFonts w:ascii="Calibri" w:hAnsi="Calibri"/>
        </w:rPr>
        <w:t xml:space="preserve">have </w:t>
      </w:r>
      <w:r w:rsidR="007A0B8C">
        <w:rPr>
          <w:rFonts w:ascii="Calibri" w:hAnsi="Calibri"/>
        </w:rPr>
        <w:t xml:space="preserve">increased risk of contracting </w:t>
      </w:r>
      <w:r w:rsidR="00E3132D">
        <w:rPr>
          <w:rFonts w:ascii="Calibri" w:hAnsi="Calibri"/>
        </w:rPr>
        <w:t xml:space="preserve">Covid-19 </w:t>
      </w:r>
      <w:r w:rsidR="00225752">
        <w:rPr>
          <w:rFonts w:ascii="Calibri" w:hAnsi="Calibri"/>
        </w:rPr>
        <w:t>along with increased mortality</w:t>
      </w:r>
      <w:r w:rsidR="00E3132D">
        <w:rPr>
          <w:rFonts w:ascii="Calibri" w:hAnsi="Calibri"/>
        </w:rPr>
        <w:t xml:space="preserve"> </w:t>
      </w:r>
      <w:r w:rsidR="009A45CA">
        <w:rPr>
          <w:rFonts w:ascii="Calibri" w:hAnsi="Calibri"/>
        </w:rPr>
        <w:t xml:space="preserve"> </w:t>
      </w:r>
      <w:sdt>
        <w:sdtPr>
          <w:rPr>
            <w:rFonts w:ascii="Calibri" w:hAnsi="Calibri"/>
            <w:color w:val="000000"/>
          </w:rPr>
          <w:tag w:val="MENDELEY_CITATION_{&quot;citationID&quot;:&quot;MENDELEY_CITATION_53cf1fbf-4c6b-44dd-bff5-b8d441155f6c&quot;,&quot;citationItems&quot;:[{&quot;id&quot;:&quot;5b459e19-d1ad-3a2b-b33a-d5799d71aee9&quot;,&quot;itemData&quot;:{&quot;type&quot;:&quot;article&quot;,&quot;id&quot;:&quot;5b459e19-d1ad-3a2b-b33a-d5799d71aee9&quot;,&quot;title&quot;:&quot;Why inequality could spread COVID-19&quot;,&quot;author&quot;:[{&quot;family&quot;:&quot;Ahmed&quot;,&quot;given&quot;:&quot;Faheem&quot;,&quot;parse-names&quot;:false,&quot;dropping-particle&quot;:&quot;&quot;,&quot;non-dropping-particle&quot;:&quot;&quot;},{&quot;family&quot;:&quot;Ahmed&quot;,&quot;given&quot;:&quot;Na'eem&quot;,&quot;parse-names&quot;:false,&quot;dropping-particle&quot;:&quot;&quot;,&quot;non-dropping-particle&quot;:&quot;&quot;},{&quot;family&quot;:&quot;Pissarides&quot;,&quot;given&quot;:&quot;Christopher&quot;,&quot;parse-names&quot;:false,&quot;dropping-particle&quot;:&quot;&quot;,&quot;non-dropping-particle&quot;:&quot;&quot;},{&quot;family&quot;:&quot;Stiglitz&quot;,&quot;given&quot;:&quot;Joseph&quot;,&quot;parse-names&quot;:false,&quot;dropping-particle&quot;:&quot;&quot;,&quot;non-dropping-particle&quot;:&quot;&quot;}],&quot;container-title&quot;:&quot;The Lancet Public Health&quot;,&quot;accessed&quot;:{&quot;date-parts&quot;:[[2021,3,11]]},&quot;DOI&quot;:&quot;10.1016/S2468-2667(20)30085-2&quot;,&quot;ISSN&quot;:&quot;24682667&quot;,&quot;PMID&quot;:&quot;32247329&quot;,&quot;URL&quot;:&quot;https://doi.org/10.1016/S0140-6736&quot;,&quot;issued&quot;:{&quot;date-parts&quot;:[[2020,5,1]]},&quot;page&quot;:&quot;e240&quot;,&quot;publisher&quot;:&quot;Elsevier Ltd&quot;,&quot;issue&quot;:&quot;5&quot;,&quot;volume&quot;:&quot;5&quot;},&quot;isTemporary&quot;:false}],&quot;properties&quot;:{&quot;noteIndex&quot;:0},&quot;isEdited&quot;:false,&quot;manualOverride&quot;:{&quot;isManuallyOverriden&quot;:false,&quot;citeprocText&quot;:&quot;(Bambra, Riordan and Ford, 2020)&quot;,&quot;manualOverrideText&quot;:&quot;&quot;}}"/>
          <w:id w:val="1718468558"/>
          <w:placeholder>
            <w:docPart w:val="DefaultPlaceholder_-1854013440"/>
          </w:placeholder>
        </w:sdtPr>
        <w:sdtEndPr/>
        <w:sdtContent>
          <w:r w:rsidR="00CE328D">
            <w:rPr>
              <w:rFonts w:eastAsia="Times New Roman"/>
            </w:rPr>
            <w:t xml:space="preserve">(Ahmed </w:t>
          </w:r>
          <w:r w:rsidR="00CE328D">
            <w:rPr>
              <w:rFonts w:eastAsia="Times New Roman"/>
              <w:i/>
              <w:iCs/>
            </w:rPr>
            <w:t>et al.</w:t>
          </w:r>
          <w:r w:rsidR="00CE328D">
            <w:rPr>
              <w:rFonts w:eastAsia="Times New Roman"/>
            </w:rPr>
            <w:t>, 2020)</w:t>
          </w:r>
        </w:sdtContent>
      </w:sdt>
      <w:r w:rsidR="001F7EB0">
        <w:rPr>
          <w:rFonts w:ascii="Calibri" w:hAnsi="Calibri"/>
        </w:rPr>
        <w:t>.</w:t>
      </w:r>
      <w:r w:rsidR="0066382D">
        <w:rPr>
          <w:rFonts w:ascii="Calibri" w:hAnsi="Calibri"/>
        </w:rPr>
        <w:t>Evidence began to emerge that Covid-19 mortalit</w:t>
      </w:r>
      <w:r w:rsidR="004E5836">
        <w:rPr>
          <w:rFonts w:ascii="Calibri" w:hAnsi="Calibri"/>
        </w:rPr>
        <w:t>y</w:t>
      </w:r>
      <w:r w:rsidR="0066382D">
        <w:rPr>
          <w:rFonts w:ascii="Calibri" w:hAnsi="Calibri"/>
        </w:rPr>
        <w:t xml:space="preserve"> rates </w:t>
      </w:r>
      <w:r w:rsidR="004E5836">
        <w:rPr>
          <w:rFonts w:ascii="Calibri" w:hAnsi="Calibri"/>
        </w:rPr>
        <w:t xml:space="preserve">are </w:t>
      </w:r>
      <w:r w:rsidR="0066382D">
        <w:rPr>
          <w:rFonts w:ascii="Calibri" w:hAnsi="Calibri"/>
        </w:rPr>
        <w:t>higher due to inequalities in the social determinants of health</w:t>
      </w:r>
      <w:r w:rsidR="00E91047">
        <w:rPr>
          <w:rFonts w:ascii="Calibri" w:hAnsi="Calibri"/>
        </w:rPr>
        <w:t>.</w:t>
      </w:r>
      <w:r w:rsidR="00654466">
        <w:rPr>
          <w:rFonts w:ascii="Calibri" w:hAnsi="Calibri"/>
        </w:rPr>
        <w:t xml:space="preserve"> U</w:t>
      </w:r>
      <w:r w:rsidR="0066382D">
        <w:rPr>
          <w:rFonts w:ascii="Calibri" w:hAnsi="Calibri"/>
        </w:rPr>
        <w:t>nemployment and low income, stress, addiction, lack of social support, environment, lack of control as well as poor diet are all key factors amounting to social determinants of healt</w:t>
      </w:r>
      <w:r w:rsidR="00A05A92">
        <w:rPr>
          <w:rFonts w:ascii="Calibri" w:hAnsi="Calibri"/>
        </w:rPr>
        <w:t>h</w:t>
      </w:r>
      <w:r w:rsidR="00886888">
        <w:rPr>
          <w:rFonts w:ascii="Calibri" w:hAnsi="Calibri"/>
        </w:rPr>
        <w:t xml:space="preserve"> </w:t>
      </w:r>
      <w:sdt>
        <w:sdtPr>
          <w:rPr>
            <w:rFonts w:ascii="Calibri" w:hAnsi="Calibri"/>
            <w:color w:val="000000"/>
          </w:rPr>
          <w:tag w:val="MENDELEY_CITATION_{&quot;citationID&quot;:&quot;MENDELEY_CITATION_5c8728bd-378a-46e0-be94-518b607147c3&quot;,&quot;citationItems&quot;:[{&quot;id&quot;:&quot;d4943e7e-5136-30ab-b73c-a517365e6579&quot;,&quot;itemData&quot;:{&quot;type&quot;:&quot;report&quot;,&quot;id&quot;:&quot;d4943e7e-5136-30ab-b73c-a517365e6579&quot;,&quot;title&quot;:&quot;Disparities in the risk and outcomes from COVID-19&quot;,&quot;author&quot;:[{&quot;family&quot;:&quot;Phe&quot;,&quot;given&quot;:&quot;&quot;,&quot;parse-names&quot;:false,&quot;dropping-particle&quot;:&quot;&quot;,&quot;non-dropping-particle&quot;:&quot;&quot;}],&quot;accessed&quot;:{&quot;date-parts&quot;:[[2021,3,10]]},&quot;URL&quot;:&quot;www.facebook.com/PublicHealthEngland&quot;,&quot;issued&quot;:{&quot;date-parts&quot;:[[2020]]}},&quot;isTemporary&quot;:false}],&quot;properties&quot;:{&quot;noteIndex&quot;:0},&quot;isEdited&quot;:false,&quot;manualOverride&quot;:{&quot;isManuallyOverriden&quot;:false,&quot;citeprocText&quot;:&quot;(Phe, 2020)&quot;,&quot;manualOverrideText&quot;:&quot;&quot;}}"/>
          <w:id w:val="654195097"/>
          <w:placeholder>
            <w:docPart w:val="DefaultPlaceholder_-1854013440"/>
          </w:placeholder>
        </w:sdtPr>
        <w:sdtEndPr/>
        <w:sdtContent>
          <w:r w:rsidR="00CE328D" w:rsidRPr="00CE328D">
            <w:rPr>
              <w:rFonts w:ascii="Calibri" w:hAnsi="Calibri"/>
              <w:color w:val="000000"/>
            </w:rPr>
            <w:t>(</w:t>
          </w:r>
          <w:proofErr w:type="spellStart"/>
          <w:r w:rsidR="00CE328D" w:rsidRPr="00CE328D">
            <w:rPr>
              <w:rFonts w:ascii="Calibri" w:hAnsi="Calibri"/>
              <w:color w:val="000000"/>
            </w:rPr>
            <w:t>Phe</w:t>
          </w:r>
          <w:proofErr w:type="spellEnd"/>
          <w:r w:rsidR="00CE328D" w:rsidRPr="00CE328D">
            <w:rPr>
              <w:rFonts w:ascii="Calibri" w:hAnsi="Calibri"/>
              <w:color w:val="000000"/>
            </w:rPr>
            <w:t>, 2020b)</w:t>
          </w:r>
        </w:sdtContent>
      </w:sdt>
      <w:r w:rsidR="00DF6B00">
        <w:rPr>
          <w:rFonts w:ascii="Calibri" w:hAnsi="Calibri"/>
        </w:rPr>
        <w:t xml:space="preserve">. </w:t>
      </w:r>
    </w:p>
    <w:p w14:paraId="517A813D" w14:textId="463655D7" w:rsidR="007F6AFC" w:rsidRDefault="007F6AFC" w:rsidP="00507DF4">
      <w:pPr>
        <w:spacing w:line="360" w:lineRule="auto"/>
        <w:rPr>
          <w:rFonts w:ascii="Calibri" w:hAnsi="Calibri"/>
        </w:rPr>
      </w:pPr>
    </w:p>
    <w:p w14:paraId="1AC10788" w14:textId="61444FD3" w:rsidR="007837A0" w:rsidRDefault="00D37B11" w:rsidP="00507DF4">
      <w:pPr>
        <w:spacing w:line="360" w:lineRule="auto"/>
        <w:rPr>
          <w:rFonts w:ascii="Calibri" w:hAnsi="Calibri"/>
          <w:b/>
          <w:i/>
          <w:sz w:val="28"/>
          <w:u w:val="single"/>
        </w:rPr>
      </w:pPr>
      <w:r>
        <w:rPr>
          <w:rFonts w:ascii="Calibri" w:hAnsi="Calibri"/>
          <w:b/>
          <w:i/>
          <w:sz w:val="28"/>
          <w:u w:val="single"/>
        </w:rPr>
        <w:t xml:space="preserve">What evidence suggests </w:t>
      </w:r>
      <w:r w:rsidR="00E7064B">
        <w:rPr>
          <w:rFonts w:ascii="Calibri" w:hAnsi="Calibri"/>
          <w:b/>
          <w:i/>
          <w:sz w:val="28"/>
          <w:u w:val="single"/>
        </w:rPr>
        <w:t>that the UK is a socially unequal society?</w:t>
      </w:r>
    </w:p>
    <w:p w14:paraId="246F0CE7" w14:textId="26668FA7" w:rsidR="00114C9E" w:rsidRPr="00E204A4" w:rsidRDefault="00B233EF" w:rsidP="00507DF4">
      <w:pPr>
        <w:spacing w:line="360" w:lineRule="auto"/>
        <w:rPr>
          <w:rFonts w:ascii="Calibri" w:hAnsi="Calibri"/>
        </w:rPr>
      </w:pPr>
      <w:r>
        <w:rPr>
          <w:rFonts w:ascii="Calibri" w:hAnsi="Calibri"/>
        </w:rPr>
        <w:lastRenderedPageBreak/>
        <w:t>Deprivation</w:t>
      </w:r>
      <w:r w:rsidR="00C22680">
        <w:rPr>
          <w:rFonts w:ascii="Calibri" w:hAnsi="Calibri"/>
        </w:rPr>
        <w:t xml:space="preserve">, </w:t>
      </w:r>
      <w:r w:rsidR="005211F9">
        <w:rPr>
          <w:rFonts w:ascii="Calibri" w:hAnsi="Calibri"/>
        </w:rPr>
        <w:t xml:space="preserve">lack, </w:t>
      </w:r>
      <w:r w:rsidR="003253BD">
        <w:rPr>
          <w:rFonts w:ascii="Calibri" w:hAnsi="Calibri"/>
        </w:rPr>
        <w:t xml:space="preserve">deficiency, scarcity, </w:t>
      </w:r>
      <w:r w:rsidR="005211F9">
        <w:rPr>
          <w:rFonts w:ascii="Calibri" w:hAnsi="Calibri"/>
        </w:rPr>
        <w:t>dispossession, poverty</w:t>
      </w:r>
      <w:r w:rsidR="00DA4816">
        <w:rPr>
          <w:rFonts w:ascii="Calibri" w:hAnsi="Calibri"/>
        </w:rPr>
        <w:t xml:space="preserve">, each </w:t>
      </w:r>
      <w:r w:rsidR="00C7588F">
        <w:rPr>
          <w:rFonts w:ascii="Calibri" w:hAnsi="Calibri"/>
        </w:rPr>
        <w:t>word</w:t>
      </w:r>
      <w:r w:rsidR="00457FE7">
        <w:rPr>
          <w:rFonts w:ascii="Calibri" w:hAnsi="Calibri"/>
        </w:rPr>
        <w:t xml:space="preserve"> </w:t>
      </w:r>
      <w:r w:rsidR="007E4ABD">
        <w:rPr>
          <w:rFonts w:ascii="Calibri" w:hAnsi="Calibri"/>
        </w:rPr>
        <w:t>denote</w:t>
      </w:r>
      <w:r w:rsidR="00C71F13">
        <w:rPr>
          <w:rFonts w:ascii="Calibri" w:hAnsi="Calibri"/>
        </w:rPr>
        <w:t>s</w:t>
      </w:r>
      <w:r w:rsidR="007E4ABD">
        <w:rPr>
          <w:rFonts w:ascii="Calibri" w:hAnsi="Calibri"/>
        </w:rPr>
        <w:t xml:space="preserve"> </w:t>
      </w:r>
      <w:r w:rsidR="003A6B9C">
        <w:rPr>
          <w:rFonts w:ascii="Calibri" w:hAnsi="Calibri"/>
        </w:rPr>
        <w:t>an</w:t>
      </w:r>
      <w:r w:rsidR="006807E6">
        <w:rPr>
          <w:rFonts w:ascii="Calibri" w:hAnsi="Calibri"/>
        </w:rPr>
        <w:t xml:space="preserve"> im</w:t>
      </w:r>
      <w:r w:rsidR="00BA0DF8">
        <w:rPr>
          <w:rFonts w:ascii="Calibri" w:hAnsi="Calibri"/>
        </w:rPr>
        <w:t xml:space="preserve">age </w:t>
      </w:r>
      <w:r w:rsidR="003A6B9C">
        <w:rPr>
          <w:rFonts w:ascii="Calibri" w:hAnsi="Calibri"/>
        </w:rPr>
        <w:t xml:space="preserve">of the underprivileged. </w:t>
      </w:r>
      <w:r w:rsidR="004C5247">
        <w:rPr>
          <w:rFonts w:ascii="Calibri" w:hAnsi="Calibri"/>
        </w:rPr>
        <w:t xml:space="preserve">If </w:t>
      </w:r>
      <w:r w:rsidR="00C3048E">
        <w:rPr>
          <w:rFonts w:ascii="Calibri" w:hAnsi="Calibri"/>
        </w:rPr>
        <w:t xml:space="preserve">we </w:t>
      </w:r>
      <w:r w:rsidR="0001262C">
        <w:rPr>
          <w:rFonts w:ascii="Calibri" w:hAnsi="Calibri"/>
        </w:rPr>
        <w:t xml:space="preserve">say an </w:t>
      </w:r>
      <w:r w:rsidR="00AA6010">
        <w:rPr>
          <w:rFonts w:ascii="Calibri" w:hAnsi="Calibri"/>
        </w:rPr>
        <w:t>individual lives in deprivation</w:t>
      </w:r>
      <w:r w:rsidR="005A1A2D">
        <w:rPr>
          <w:rFonts w:ascii="Calibri" w:hAnsi="Calibri"/>
        </w:rPr>
        <w:t xml:space="preserve"> </w:t>
      </w:r>
      <w:r w:rsidR="00AC7898">
        <w:rPr>
          <w:rFonts w:ascii="Calibri" w:hAnsi="Calibri"/>
        </w:rPr>
        <w:t xml:space="preserve">most </w:t>
      </w:r>
      <w:r w:rsidR="00C3048E">
        <w:rPr>
          <w:rFonts w:ascii="Calibri" w:hAnsi="Calibri"/>
        </w:rPr>
        <w:t>people</w:t>
      </w:r>
      <w:r w:rsidR="00F94A9C">
        <w:rPr>
          <w:rFonts w:ascii="Calibri" w:hAnsi="Calibri"/>
        </w:rPr>
        <w:t xml:space="preserve"> </w:t>
      </w:r>
      <w:r w:rsidR="00AC7898">
        <w:rPr>
          <w:rFonts w:ascii="Calibri" w:hAnsi="Calibri"/>
        </w:rPr>
        <w:t>w</w:t>
      </w:r>
      <w:r w:rsidR="00F94A9C">
        <w:rPr>
          <w:rFonts w:ascii="Calibri" w:hAnsi="Calibri"/>
        </w:rPr>
        <w:t xml:space="preserve">ould </w:t>
      </w:r>
      <w:r w:rsidR="00AA6010">
        <w:rPr>
          <w:rFonts w:ascii="Calibri" w:hAnsi="Calibri"/>
        </w:rPr>
        <w:t>instantly</w:t>
      </w:r>
      <w:r w:rsidR="00F94A9C">
        <w:rPr>
          <w:rFonts w:ascii="Calibri" w:hAnsi="Calibri"/>
        </w:rPr>
        <w:t xml:space="preserve"> </w:t>
      </w:r>
      <w:r w:rsidR="009034BA">
        <w:rPr>
          <w:rFonts w:ascii="Calibri" w:hAnsi="Calibri"/>
        </w:rPr>
        <w:t>associat</w:t>
      </w:r>
      <w:r w:rsidR="00AC7898">
        <w:rPr>
          <w:rFonts w:ascii="Calibri" w:hAnsi="Calibri"/>
        </w:rPr>
        <w:t>e</w:t>
      </w:r>
      <w:r w:rsidR="009034BA">
        <w:rPr>
          <w:rFonts w:ascii="Calibri" w:hAnsi="Calibri"/>
        </w:rPr>
        <w:t xml:space="preserve"> </w:t>
      </w:r>
      <w:r w:rsidR="000E4C4E">
        <w:rPr>
          <w:rFonts w:ascii="Calibri" w:hAnsi="Calibri"/>
        </w:rPr>
        <w:t>an image of</w:t>
      </w:r>
      <w:r w:rsidR="008D51BD">
        <w:rPr>
          <w:rFonts w:ascii="Calibri" w:hAnsi="Calibri"/>
        </w:rPr>
        <w:t xml:space="preserve"> </w:t>
      </w:r>
      <w:r w:rsidR="00AA6010">
        <w:rPr>
          <w:rFonts w:ascii="Calibri" w:hAnsi="Calibri"/>
        </w:rPr>
        <w:t>a run</w:t>
      </w:r>
      <w:r w:rsidR="008B3A14">
        <w:rPr>
          <w:rFonts w:ascii="Calibri" w:hAnsi="Calibri"/>
        </w:rPr>
        <w:t>-</w:t>
      </w:r>
      <w:r w:rsidR="00AA6010">
        <w:rPr>
          <w:rFonts w:ascii="Calibri" w:hAnsi="Calibri"/>
        </w:rPr>
        <w:t xml:space="preserve">down home, </w:t>
      </w:r>
      <w:r w:rsidR="00925A80">
        <w:rPr>
          <w:rFonts w:ascii="Calibri" w:hAnsi="Calibri"/>
        </w:rPr>
        <w:t>possibly unclean or unkept</w:t>
      </w:r>
      <w:r w:rsidR="007954E5">
        <w:rPr>
          <w:rFonts w:ascii="Calibri" w:hAnsi="Calibri"/>
        </w:rPr>
        <w:t xml:space="preserve"> </w:t>
      </w:r>
      <w:r w:rsidR="004447BF">
        <w:rPr>
          <w:rFonts w:ascii="Calibri" w:hAnsi="Calibri"/>
        </w:rPr>
        <w:t xml:space="preserve">in an area lacking in </w:t>
      </w:r>
      <w:r w:rsidR="00E54FA7">
        <w:rPr>
          <w:rFonts w:ascii="Calibri" w:hAnsi="Calibri"/>
        </w:rPr>
        <w:t xml:space="preserve">street lighting, with </w:t>
      </w:r>
      <w:r w:rsidR="00F57439">
        <w:rPr>
          <w:rFonts w:ascii="Calibri" w:hAnsi="Calibri"/>
        </w:rPr>
        <w:t>graffiti</w:t>
      </w:r>
      <w:r w:rsidR="00E54FA7">
        <w:rPr>
          <w:rFonts w:ascii="Calibri" w:hAnsi="Calibri"/>
        </w:rPr>
        <w:t xml:space="preserve"> ridden walls, broken glass</w:t>
      </w:r>
      <w:r w:rsidR="00C06FBD">
        <w:rPr>
          <w:rFonts w:ascii="Calibri" w:hAnsi="Calibri"/>
        </w:rPr>
        <w:t>, youths loitering in g</w:t>
      </w:r>
      <w:r w:rsidR="009566FA">
        <w:rPr>
          <w:rFonts w:ascii="Calibri" w:hAnsi="Calibri"/>
        </w:rPr>
        <w:t>angs,</w:t>
      </w:r>
      <w:r w:rsidR="0028471C">
        <w:rPr>
          <w:rFonts w:ascii="Calibri" w:hAnsi="Calibri"/>
        </w:rPr>
        <w:t xml:space="preserve"> </w:t>
      </w:r>
      <w:r w:rsidR="005F4BA6">
        <w:rPr>
          <w:rFonts w:ascii="Calibri" w:hAnsi="Calibri"/>
        </w:rPr>
        <w:t xml:space="preserve">smoking </w:t>
      </w:r>
      <w:r w:rsidR="00097B91">
        <w:rPr>
          <w:rFonts w:ascii="Calibri" w:hAnsi="Calibri"/>
        </w:rPr>
        <w:t>along with drug a</w:t>
      </w:r>
      <w:r w:rsidR="00D83E56">
        <w:rPr>
          <w:rFonts w:ascii="Calibri" w:hAnsi="Calibri"/>
        </w:rPr>
        <w:t xml:space="preserve">nd alcohol </w:t>
      </w:r>
      <w:r w:rsidR="00F57439">
        <w:rPr>
          <w:rFonts w:ascii="Calibri" w:hAnsi="Calibri"/>
        </w:rPr>
        <w:t>misuse</w:t>
      </w:r>
      <w:r w:rsidR="00D83E56">
        <w:rPr>
          <w:rFonts w:ascii="Calibri" w:hAnsi="Calibri"/>
        </w:rPr>
        <w:t xml:space="preserve">, underage sex, teenage pregnancies, </w:t>
      </w:r>
      <w:r w:rsidR="006743EF">
        <w:rPr>
          <w:rFonts w:ascii="Calibri" w:hAnsi="Calibri"/>
        </w:rPr>
        <w:t>domestic abuse,</w:t>
      </w:r>
      <w:r w:rsidR="00777E84">
        <w:rPr>
          <w:rFonts w:ascii="Calibri" w:hAnsi="Calibri"/>
        </w:rPr>
        <w:t xml:space="preserve"> higher risk of</w:t>
      </w:r>
      <w:r w:rsidR="006743EF">
        <w:rPr>
          <w:rFonts w:ascii="Calibri" w:hAnsi="Calibri"/>
        </w:rPr>
        <w:t xml:space="preserve"> mental illness.</w:t>
      </w:r>
      <w:r w:rsidR="00777E84">
        <w:rPr>
          <w:rFonts w:ascii="Calibri" w:hAnsi="Calibri"/>
        </w:rPr>
        <w:t xml:space="preserve"> </w:t>
      </w:r>
      <w:r w:rsidR="00FC34CE">
        <w:rPr>
          <w:rFonts w:ascii="Calibri" w:hAnsi="Calibri"/>
        </w:rPr>
        <w:t xml:space="preserve">Within this demographic there is evidence </w:t>
      </w:r>
      <w:r w:rsidR="00E10B0A">
        <w:rPr>
          <w:rFonts w:ascii="Calibri" w:hAnsi="Calibri"/>
        </w:rPr>
        <w:t xml:space="preserve">showing higher obesity rates along with </w:t>
      </w:r>
      <w:r w:rsidR="0047556A">
        <w:rPr>
          <w:rFonts w:ascii="Calibri" w:hAnsi="Calibri"/>
        </w:rPr>
        <w:t>the associat</w:t>
      </w:r>
      <w:r w:rsidR="00832E54">
        <w:rPr>
          <w:rFonts w:ascii="Calibri" w:hAnsi="Calibri"/>
        </w:rPr>
        <w:t>ed</w:t>
      </w:r>
      <w:r w:rsidR="0047556A">
        <w:rPr>
          <w:rFonts w:ascii="Calibri" w:hAnsi="Calibri"/>
        </w:rPr>
        <w:t xml:space="preserve"> diseases </w:t>
      </w:r>
      <w:r w:rsidR="00832E54">
        <w:rPr>
          <w:rFonts w:ascii="Calibri" w:hAnsi="Calibri"/>
        </w:rPr>
        <w:t>like</w:t>
      </w:r>
      <w:r w:rsidR="00E92D80">
        <w:rPr>
          <w:rFonts w:ascii="Calibri" w:hAnsi="Calibri"/>
        </w:rPr>
        <w:t xml:space="preserve"> hypertension, </w:t>
      </w:r>
      <w:r w:rsidR="00832E54">
        <w:rPr>
          <w:rFonts w:ascii="Calibri" w:hAnsi="Calibri"/>
        </w:rPr>
        <w:t xml:space="preserve">COPD, cardiovascular disease, </w:t>
      </w:r>
      <w:r w:rsidR="00FC0A31">
        <w:rPr>
          <w:rFonts w:ascii="Calibri" w:hAnsi="Calibri"/>
        </w:rPr>
        <w:t>diabetes</w:t>
      </w:r>
      <w:r w:rsidR="004102C9">
        <w:rPr>
          <w:rFonts w:ascii="Calibri" w:hAnsi="Calibri"/>
        </w:rPr>
        <w:t xml:space="preserve"> </w:t>
      </w:r>
      <w:sdt>
        <w:sdtPr>
          <w:rPr>
            <w:rFonts w:ascii="Calibri" w:hAnsi="Calibri"/>
            <w:color w:val="000000"/>
          </w:rPr>
          <w:tag w:val="MENDELEY_CITATION_{&quot;citationID&quot;:&quot;MENDELEY_CITATION_e6599519-04e2-4d2d-b686-923abf759ca3&quot;,&quot;citationItems&quot;:[{&quot;id&quot;:&quot;cf42b6a6-0b35-3721-a78b-1238da9618cc&quot;,&quot;itemData&quot;:{&quot;type&quot;:&quot;book&quot;,&quot;id&quot;:&quot;cf42b6a6-0b35-3721-a78b-1238da9618cc&quot;,&quot;title&quot;:&quot;The Health Gap&quot;,&quot;author&quot;:[{&quot;family&quot;:&quot;Michael&quot;,&quot;given&quot;:&quot;Marmot&quot;,&quot;parse-names&quot;:false,&quot;dropping-particle&quot;:&quot;&quot;,&quot;non-dropping-particle&quot;:&quot;&quot;}],&quot;issued&quot;:{&quot;date-parts&quot;:[[2015]]},&quot;publisher-place&quot;:&quot;London&quot;,&quot;number-of-pages&quot;:&quot;387&quot;,&quot;publisher&quot;:&quot;Bloomsbury paperbacks plc&quot;},&quot;isTemporary&quot;:false}],&quot;properties&quot;:{&quot;noteIndex&quot;:0},&quot;isEdited&quot;:false,&quot;manualOverride&quot;:{&quot;isManuallyOverriden&quot;:true,&quot;citeprocText&quot;:&quot;(Michael, 2015)&quot;,&quot;manualOverrideText&quot;:&quot;(Marmot,2015)&quot;}}"/>
          <w:id w:val="1077328241"/>
          <w:placeholder>
            <w:docPart w:val="DefaultPlaceholder_-1854013440"/>
          </w:placeholder>
        </w:sdtPr>
        <w:sdtEndPr/>
        <w:sdtContent>
          <w:r w:rsidR="00CE328D" w:rsidRPr="00CE328D">
            <w:rPr>
              <w:rFonts w:ascii="Calibri" w:hAnsi="Calibri"/>
              <w:color w:val="000000"/>
            </w:rPr>
            <w:t>(Marmot,2015)</w:t>
          </w:r>
        </w:sdtContent>
      </w:sdt>
      <w:r w:rsidR="00521374">
        <w:rPr>
          <w:rFonts w:ascii="Calibri" w:hAnsi="Calibri"/>
        </w:rPr>
        <w:t xml:space="preserve"> </w:t>
      </w:r>
      <w:r w:rsidR="00D63A4A">
        <w:rPr>
          <w:rFonts w:ascii="Calibri" w:hAnsi="Calibri"/>
        </w:rPr>
        <w:t xml:space="preserve">There are thousands </w:t>
      </w:r>
      <w:r w:rsidR="00F52CBC">
        <w:rPr>
          <w:rFonts w:ascii="Calibri" w:hAnsi="Calibri"/>
        </w:rPr>
        <w:t xml:space="preserve">of </w:t>
      </w:r>
      <w:r w:rsidR="009C442B">
        <w:rPr>
          <w:rFonts w:ascii="Calibri" w:hAnsi="Calibri"/>
        </w:rPr>
        <w:t>individuals</w:t>
      </w:r>
      <w:r w:rsidR="00F52CBC">
        <w:rPr>
          <w:rFonts w:ascii="Calibri" w:hAnsi="Calibri"/>
        </w:rPr>
        <w:t xml:space="preserve"> and families living </w:t>
      </w:r>
      <w:r w:rsidR="009C442B">
        <w:rPr>
          <w:rFonts w:ascii="Calibri" w:hAnsi="Calibri"/>
        </w:rPr>
        <w:t>in these circumstances throughout the UK</w:t>
      </w:r>
      <w:r w:rsidR="005F4D84">
        <w:rPr>
          <w:rFonts w:ascii="Calibri" w:hAnsi="Calibri"/>
        </w:rPr>
        <w:t>,</w:t>
      </w:r>
      <w:r w:rsidR="00816A49">
        <w:rPr>
          <w:rFonts w:ascii="Calibri" w:hAnsi="Calibri"/>
        </w:rPr>
        <w:t xml:space="preserve"> which can only ask the question, what about their </w:t>
      </w:r>
      <w:r w:rsidR="00D62A47">
        <w:rPr>
          <w:rFonts w:ascii="Calibri" w:hAnsi="Calibri"/>
        </w:rPr>
        <w:t>children’s</w:t>
      </w:r>
      <w:r w:rsidR="00816A49">
        <w:rPr>
          <w:rFonts w:ascii="Calibri" w:hAnsi="Calibri"/>
        </w:rPr>
        <w:t xml:space="preserve"> prospects?</w:t>
      </w:r>
      <w:r w:rsidR="00F23E64">
        <w:rPr>
          <w:rFonts w:ascii="Calibri" w:hAnsi="Calibri"/>
        </w:rPr>
        <w:t xml:space="preserve"> A research article by </w:t>
      </w:r>
      <w:sdt>
        <w:sdtPr>
          <w:rPr>
            <w:rFonts w:ascii="Calibri" w:hAnsi="Calibri"/>
          </w:rPr>
          <w:tag w:val="MENDELEY_CITATION_{&quot;citationID&quot;:&quot;MENDELEY_CITATION_b2474822-3fba-4fe1-a616-438473e747b7&quot;,&quot;citationItems&quot;:[{&quot;id&quot;:&quot;ca7be7f7-ac8b-37a9-a5e6-fe2283074d86&quot;,&quot;itemData&quot;:{&quot;type&quot;:&quot;article-journal&quot;,&quot;id&quot;:&quot;ca7be7f7-ac8b-37a9-a5e6-fe2283074d86&quot;,&quot;title&quot;:&quot;Social Inequalities of Post-secondary Educational Aspirations: Influence of social background, school composition and institutional context&quot;,&quot;author&quot;:[{&quot;family&quot;:&quot;Dupriez&quot;,&quot;given&quot;:&quot;Vincent&quot;,&quot;parse-names&quot;:false,&quot;dropping-particle&quot;:&quot;&quot;,&quot;non-dropping-particle&quot;:&quot;&quot;},{&quot;family&quot;:&quot;Monseur&quot;,&quot;given&quot;:&quot;Christian&quot;,&quot;parse-names&quot;:false,&quot;dropping-particle&quot;:&quot;&quot;,&quot;non-dropping-particle&quot;:&quot;&quot;},{&quot;family&quot;:&quot;Campenhoudt&quot;,&quot;given&quot;:&quot;Maud&quot;,&quot;parse-names&quot;:false,&quot;dropping-particle&quot;:&quot;&quot;,&quot;non-dropping-particle&quot;:&quot;van&quot;},{&quot;family&quot;:&quot;Lafontaine&quot;,&quot;given&quot;:&quot;Dominique&quot;,&quot;parse-names&quot;:false,&quot;dropping-particle&quot;:&quot;&quot;,&quot;non-dropping-particle&quot;:&quot;&quot;}],&quot;container-title&quot;:&quot;European Educational Research Journal&quot;,&quot;accessed&quot;:{&quot;date-parts&quot;:[[2021,3,12]]},&quot;DOI&quot;:&quot;10.2304/eerj.2012.11.4.504&quot;,&quot;ISSN&quot;:&quot;14749041&quot;,&quot;issued&quot;:{&quot;date-parts&quot;:[[2012]]},&quot;page&quot;:&quot;504-519&quot;,&quot;abstract&quot;:&quot;The first goal of this article is to assess, for each country belonging to the Organisation for Economic Co-operation and Development (OECD), the influence of pupils' sociocultural background on educational aspirations. The second goal is to explore whether, after controlling for educational achievement, the residual influence of sociocultural background is still significant. In addition, the author estimates whether the sociocultural and academic characteristics of school composition have an additional impact on educational aspirations in this group of countries. Finally, he shows that the structural characteristics of school systems moderate the influence of individual characteristics and school composition on educational aspirations.&quot;,&quot;issue&quot;:&quot;4&quot;,&quot;volume&quot;:&quot;11&quot;},&quot;isTemporary&quot;:false}],&quot;properties&quot;:{&quot;noteIndex&quot;:0},&quot;isEdited&quot;:false,&quot;manualOverride&quot;:{&quot;isManuallyOverriden&quot;:false,&quot;citeprocText&quot;:&quot;(Dupriez &lt;i&gt;et al.&lt;/i&gt;, 2012)&quot;,&quot;manualOverrideText&quot;:&quot;&quot;}}"/>
          <w:id w:val="-1042203562"/>
          <w:placeholder>
            <w:docPart w:val="DefaultPlaceholder_-1854013440"/>
          </w:placeholder>
        </w:sdtPr>
        <w:sdtEndPr/>
        <w:sdtContent>
          <w:r w:rsidR="009909F3">
            <w:rPr>
              <w:rFonts w:eastAsia="Times New Roman"/>
            </w:rPr>
            <w:t>(</w:t>
          </w:r>
          <w:proofErr w:type="spellStart"/>
          <w:r w:rsidR="009909F3">
            <w:rPr>
              <w:rFonts w:eastAsia="Times New Roman"/>
            </w:rPr>
            <w:t>Dupriez</w:t>
          </w:r>
          <w:proofErr w:type="spellEnd"/>
          <w:r w:rsidR="009909F3">
            <w:rPr>
              <w:rFonts w:eastAsia="Times New Roman"/>
            </w:rPr>
            <w:t xml:space="preserve"> </w:t>
          </w:r>
          <w:r w:rsidR="009909F3">
            <w:rPr>
              <w:rFonts w:eastAsia="Times New Roman"/>
              <w:i/>
              <w:iCs/>
            </w:rPr>
            <w:t>et al.</w:t>
          </w:r>
          <w:r w:rsidR="009909F3">
            <w:rPr>
              <w:rFonts w:eastAsia="Times New Roman"/>
            </w:rPr>
            <w:t>, 2012)</w:t>
          </w:r>
        </w:sdtContent>
      </w:sdt>
      <w:r w:rsidR="00BD3865">
        <w:rPr>
          <w:rFonts w:ascii="Calibri" w:hAnsi="Calibri"/>
        </w:rPr>
        <w:t xml:space="preserve"> </w:t>
      </w:r>
      <w:r w:rsidR="00650345">
        <w:rPr>
          <w:rFonts w:ascii="Calibri" w:hAnsi="Calibri"/>
        </w:rPr>
        <w:t xml:space="preserve">suggests </w:t>
      </w:r>
      <w:r w:rsidR="00774D64">
        <w:rPr>
          <w:rFonts w:ascii="Calibri" w:hAnsi="Calibri"/>
        </w:rPr>
        <w:t xml:space="preserve">the </w:t>
      </w:r>
      <w:r w:rsidR="00D41C03">
        <w:rPr>
          <w:rFonts w:ascii="Calibri" w:hAnsi="Calibri"/>
        </w:rPr>
        <w:t xml:space="preserve">socio-cultural </w:t>
      </w:r>
      <w:r w:rsidR="00D62A47">
        <w:rPr>
          <w:rFonts w:ascii="Calibri" w:hAnsi="Calibri"/>
        </w:rPr>
        <w:t>background</w:t>
      </w:r>
      <w:r w:rsidR="00C92B94">
        <w:rPr>
          <w:rFonts w:ascii="Calibri" w:hAnsi="Calibri"/>
        </w:rPr>
        <w:t xml:space="preserve"> of teenage children </w:t>
      </w:r>
      <w:r w:rsidR="009432C1">
        <w:rPr>
          <w:rFonts w:ascii="Calibri" w:hAnsi="Calibri"/>
        </w:rPr>
        <w:t>influences</w:t>
      </w:r>
      <w:r w:rsidR="00D41C03">
        <w:rPr>
          <w:rFonts w:ascii="Calibri" w:hAnsi="Calibri"/>
        </w:rPr>
        <w:t xml:space="preserve"> educational aspiration</w:t>
      </w:r>
      <w:r w:rsidR="00EF4217">
        <w:rPr>
          <w:rFonts w:ascii="Calibri" w:hAnsi="Calibri"/>
        </w:rPr>
        <w:t xml:space="preserve"> </w:t>
      </w:r>
      <w:r w:rsidR="009432C1">
        <w:rPr>
          <w:rFonts w:ascii="Calibri" w:hAnsi="Calibri"/>
        </w:rPr>
        <w:t>with less</w:t>
      </w:r>
      <w:r w:rsidR="009970E9">
        <w:rPr>
          <w:rFonts w:ascii="Calibri" w:hAnsi="Calibri"/>
        </w:rPr>
        <w:t xml:space="preserve"> progressing to university or further education</w:t>
      </w:r>
      <w:r w:rsidR="0019308E">
        <w:rPr>
          <w:rFonts w:ascii="Calibri" w:hAnsi="Calibri"/>
        </w:rPr>
        <w:t xml:space="preserve"> from more deprived </w:t>
      </w:r>
      <w:r w:rsidR="007D3BFD">
        <w:rPr>
          <w:rFonts w:ascii="Calibri" w:hAnsi="Calibri"/>
        </w:rPr>
        <w:t xml:space="preserve">areas and less </w:t>
      </w:r>
      <w:r w:rsidR="009432C1">
        <w:rPr>
          <w:rFonts w:ascii="Calibri" w:hAnsi="Calibri"/>
        </w:rPr>
        <w:t>well-educated</w:t>
      </w:r>
      <w:r w:rsidR="0019308E">
        <w:rPr>
          <w:rFonts w:ascii="Calibri" w:hAnsi="Calibri"/>
        </w:rPr>
        <w:t xml:space="preserve"> </w:t>
      </w:r>
      <w:r w:rsidR="00D62A47">
        <w:rPr>
          <w:rFonts w:ascii="Calibri" w:hAnsi="Calibri"/>
        </w:rPr>
        <w:t>parents. Those fortunate</w:t>
      </w:r>
      <w:r w:rsidR="005F4D84">
        <w:rPr>
          <w:rFonts w:ascii="Calibri" w:hAnsi="Calibri"/>
        </w:rPr>
        <w:t xml:space="preserve"> </w:t>
      </w:r>
      <w:r w:rsidR="007A50FF">
        <w:rPr>
          <w:rFonts w:ascii="Calibri" w:hAnsi="Calibri"/>
        </w:rPr>
        <w:t xml:space="preserve">enough to be living in more </w:t>
      </w:r>
      <w:r w:rsidR="003C5DB9">
        <w:rPr>
          <w:rFonts w:ascii="Calibri" w:hAnsi="Calibri"/>
        </w:rPr>
        <w:t xml:space="preserve">prosperous neighbourhoods </w:t>
      </w:r>
      <w:r w:rsidR="00B947D9">
        <w:rPr>
          <w:rFonts w:ascii="Calibri" w:hAnsi="Calibri"/>
        </w:rPr>
        <w:t xml:space="preserve">who are far from </w:t>
      </w:r>
      <w:r w:rsidR="009432C1">
        <w:rPr>
          <w:rFonts w:ascii="Calibri" w:hAnsi="Calibri"/>
        </w:rPr>
        <w:t>wealthy but</w:t>
      </w:r>
      <w:r w:rsidR="008319F5">
        <w:rPr>
          <w:rFonts w:ascii="Calibri" w:hAnsi="Calibri"/>
        </w:rPr>
        <w:t xml:space="preserve"> have in some way</w:t>
      </w:r>
      <w:r w:rsidR="00414941">
        <w:rPr>
          <w:rFonts w:ascii="Calibri" w:hAnsi="Calibri"/>
        </w:rPr>
        <w:t xml:space="preserve"> </w:t>
      </w:r>
      <w:r w:rsidR="00AF0E4B">
        <w:rPr>
          <w:rFonts w:ascii="Calibri" w:hAnsi="Calibri"/>
        </w:rPr>
        <w:t>surpassed deprivation</w:t>
      </w:r>
      <w:r w:rsidR="002E1012">
        <w:rPr>
          <w:rFonts w:ascii="Calibri" w:hAnsi="Calibri"/>
        </w:rPr>
        <w:t xml:space="preserve"> </w:t>
      </w:r>
      <w:r w:rsidR="00FB587C">
        <w:rPr>
          <w:rFonts w:ascii="Calibri" w:hAnsi="Calibri"/>
        </w:rPr>
        <w:t>whether</w:t>
      </w:r>
      <w:r w:rsidR="004D1D60">
        <w:rPr>
          <w:rFonts w:ascii="Calibri" w:hAnsi="Calibri"/>
        </w:rPr>
        <w:t xml:space="preserve"> it be </w:t>
      </w:r>
      <w:r w:rsidR="002E1012">
        <w:rPr>
          <w:rFonts w:ascii="Calibri" w:hAnsi="Calibri"/>
        </w:rPr>
        <w:t>through</w:t>
      </w:r>
      <w:r w:rsidR="00330F95">
        <w:rPr>
          <w:rFonts w:ascii="Calibri" w:hAnsi="Calibri"/>
        </w:rPr>
        <w:t xml:space="preserve"> family</w:t>
      </w:r>
      <w:r w:rsidR="0071081E">
        <w:rPr>
          <w:rFonts w:ascii="Calibri" w:hAnsi="Calibri"/>
        </w:rPr>
        <w:t xml:space="preserve"> </w:t>
      </w:r>
      <w:r w:rsidR="00563D47">
        <w:rPr>
          <w:rFonts w:ascii="Calibri" w:hAnsi="Calibri"/>
        </w:rPr>
        <w:t xml:space="preserve">and </w:t>
      </w:r>
      <w:r w:rsidR="00FB587C">
        <w:rPr>
          <w:rFonts w:ascii="Calibri" w:hAnsi="Calibri"/>
        </w:rPr>
        <w:t>upbringing</w:t>
      </w:r>
      <w:r w:rsidR="0071081E">
        <w:rPr>
          <w:rFonts w:ascii="Calibri" w:hAnsi="Calibri"/>
        </w:rPr>
        <w:t xml:space="preserve">, </w:t>
      </w:r>
      <w:r w:rsidR="0093127E">
        <w:rPr>
          <w:rFonts w:ascii="Calibri" w:hAnsi="Calibri"/>
        </w:rPr>
        <w:t xml:space="preserve">a desire to better themselves </w:t>
      </w:r>
      <w:r w:rsidR="003E356A">
        <w:rPr>
          <w:rFonts w:ascii="Calibri" w:hAnsi="Calibri"/>
        </w:rPr>
        <w:t>having quality education</w:t>
      </w:r>
      <w:r w:rsidR="00955F85">
        <w:rPr>
          <w:rFonts w:ascii="Calibri" w:hAnsi="Calibri"/>
        </w:rPr>
        <w:t xml:space="preserve">, </w:t>
      </w:r>
      <w:r w:rsidR="0093127E">
        <w:rPr>
          <w:rFonts w:ascii="Calibri" w:hAnsi="Calibri"/>
        </w:rPr>
        <w:t>or purely having opp</w:t>
      </w:r>
      <w:r w:rsidR="00656600">
        <w:rPr>
          <w:rFonts w:ascii="Calibri" w:hAnsi="Calibri"/>
        </w:rPr>
        <w:t>ortunity</w:t>
      </w:r>
      <w:r w:rsidR="00960FF9">
        <w:rPr>
          <w:rFonts w:ascii="Calibri" w:hAnsi="Calibri"/>
        </w:rPr>
        <w:t xml:space="preserve"> </w:t>
      </w:r>
      <w:r w:rsidR="00A402E6">
        <w:rPr>
          <w:rFonts w:ascii="Calibri" w:hAnsi="Calibri"/>
        </w:rPr>
        <w:t>are</w:t>
      </w:r>
      <w:r w:rsidR="007E746D">
        <w:rPr>
          <w:rFonts w:ascii="Calibri" w:hAnsi="Calibri"/>
        </w:rPr>
        <w:t xml:space="preserve">, according to the </w:t>
      </w:r>
      <w:r w:rsidR="009432C1">
        <w:rPr>
          <w:rFonts w:ascii="Calibri" w:hAnsi="Calibri"/>
        </w:rPr>
        <w:t>statistics,</w:t>
      </w:r>
      <w:r w:rsidR="00A402E6">
        <w:rPr>
          <w:rFonts w:ascii="Calibri" w:hAnsi="Calibri"/>
        </w:rPr>
        <w:t xml:space="preserve"> less likely to </w:t>
      </w:r>
      <w:r w:rsidR="00B717F8">
        <w:rPr>
          <w:rFonts w:ascii="Calibri" w:hAnsi="Calibri"/>
        </w:rPr>
        <w:t xml:space="preserve">experience </w:t>
      </w:r>
      <w:r w:rsidR="000C02CC">
        <w:rPr>
          <w:rFonts w:ascii="Calibri" w:hAnsi="Calibri"/>
        </w:rPr>
        <w:t xml:space="preserve">diseases </w:t>
      </w:r>
      <w:r w:rsidR="00A356D8">
        <w:rPr>
          <w:rFonts w:ascii="Calibri" w:hAnsi="Calibri"/>
        </w:rPr>
        <w:t>related</w:t>
      </w:r>
      <w:r w:rsidR="005E6AD5">
        <w:rPr>
          <w:rFonts w:ascii="Calibri" w:hAnsi="Calibri"/>
        </w:rPr>
        <w:t xml:space="preserve"> with </w:t>
      </w:r>
      <w:r w:rsidR="00115B67">
        <w:rPr>
          <w:rFonts w:ascii="Calibri" w:hAnsi="Calibri"/>
        </w:rPr>
        <w:t>social detriments of health.</w:t>
      </w:r>
      <w:sdt>
        <w:sdtPr>
          <w:rPr>
            <w:rFonts w:ascii="Calibri" w:hAnsi="Calibri"/>
          </w:rPr>
          <w:tag w:val="MENDELEY_CITATION_{&quot;citationID&quot;:&quot;MENDELEY_CITATION_53649535-3a08-4ec2-8e3b-8964a4c793e6&quot;,&quot;citationItems&quot;:[{&quot;id&quot;:&quot;ff8e6f89-4081-3f94-9249-d98d35c0edb3&quot;,&quot;itemData&quot;:{&quot;type&quot;:&quot;webpage&quot;,&quot;id&quot;:&quot;ff8e6f89-4081-3f94-9249-d98d35c0edb3&quot;,&quot;title&quot;:&quot;Wider Determinants of Health - PHE&quot;,&quot;accessed&quot;:{&quot;date-parts&quot;:[[2021,3,17]]},&quot;URL&quot;:&quot;https://fingertips.phe.org.uk/profile/wider-determinants&quot;},&quot;isTemporary&quot;:false}],&quot;properties&quot;:{&quot;noteIndex&quot;:0},&quot;isEdited&quot;:false,&quot;manualOverride&quot;:{&quot;isManuallyOverriden&quot;:false,&quot;citeprocText&quot;:&quot;(&lt;i&gt;Wider Determinants of Health - PHE&lt;/i&gt;, no date)&quot;,&quot;manualOverrideText&quot;:&quot;&quot;}}"/>
          <w:id w:val="1658573183"/>
          <w:placeholder>
            <w:docPart w:val="DefaultPlaceholder_-1854013440"/>
          </w:placeholder>
        </w:sdtPr>
        <w:sdtEndPr/>
        <w:sdtContent>
          <w:r w:rsidR="00CE328D">
            <w:rPr>
              <w:rFonts w:eastAsia="Times New Roman"/>
            </w:rPr>
            <w:t>(</w:t>
          </w:r>
          <w:r w:rsidR="00CE328D">
            <w:rPr>
              <w:rFonts w:eastAsia="Times New Roman"/>
              <w:i/>
              <w:iCs/>
            </w:rPr>
            <w:t>Wider Determinants of Health - PHE</w:t>
          </w:r>
          <w:r w:rsidR="00CE328D">
            <w:rPr>
              <w:rFonts w:eastAsia="Times New Roman"/>
            </w:rPr>
            <w:t xml:space="preserve">, </w:t>
          </w:r>
          <w:r w:rsidR="003342F1">
            <w:rPr>
              <w:rFonts w:eastAsia="Times New Roman"/>
            </w:rPr>
            <w:t>2019</w:t>
          </w:r>
          <w:r w:rsidR="00CE328D">
            <w:rPr>
              <w:rFonts w:eastAsia="Times New Roman"/>
            </w:rPr>
            <w:t>)</w:t>
          </w:r>
        </w:sdtContent>
      </w:sdt>
    </w:p>
    <w:p w14:paraId="08AF94A4" w14:textId="19A21A17" w:rsidR="007837A0" w:rsidRDefault="006B29C0" w:rsidP="00507DF4">
      <w:pPr>
        <w:spacing w:line="360" w:lineRule="auto"/>
        <w:rPr>
          <w:rFonts w:ascii="Calibri" w:hAnsi="Calibri"/>
        </w:rPr>
      </w:pPr>
      <w:r>
        <w:rPr>
          <w:rFonts w:ascii="Calibri" w:hAnsi="Calibri"/>
        </w:rPr>
        <w:t xml:space="preserve">Public health </w:t>
      </w:r>
      <w:r w:rsidR="00894548">
        <w:rPr>
          <w:rFonts w:ascii="Calibri" w:hAnsi="Calibri"/>
        </w:rPr>
        <w:t xml:space="preserve">interest in socio-economic </w:t>
      </w:r>
      <w:r w:rsidR="00F85061">
        <w:rPr>
          <w:rFonts w:ascii="Calibri" w:hAnsi="Calibri"/>
        </w:rPr>
        <w:t>conditions in health can date back to 1851</w:t>
      </w:r>
      <w:r w:rsidR="00181166">
        <w:rPr>
          <w:rFonts w:ascii="Calibri" w:hAnsi="Calibri"/>
        </w:rPr>
        <w:t xml:space="preserve"> with </w:t>
      </w:r>
      <w:r w:rsidR="004B1932">
        <w:rPr>
          <w:rFonts w:ascii="Calibri" w:hAnsi="Calibri"/>
        </w:rPr>
        <w:t xml:space="preserve">the commencement of logging the </w:t>
      </w:r>
      <w:r w:rsidR="00B854DF">
        <w:rPr>
          <w:rFonts w:ascii="Calibri" w:hAnsi="Calibri"/>
        </w:rPr>
        <w:t>data</w:t>
      </w:r>
      <w:r w:rsidR="004B1932">
        <w:rPr>
          <w:rFonts w:ascii="Calibri" w:hAnsi="Calibri"/>
        </w:rPr>
        <w:t xml:space="preserve"> of</w:t>
      </w:r>
      <w:r w:rsidR="00150351">
        <w:rPr>
          <w:rFonts w:ascii="Calibri" w:hAnsi="Calibri"/>
        </w:rPr>
        <w:t xml:space="preserve"> death</w:t>
      </w:r>
      <w:r w:rsidR="001314D4">
        <w:rPr>
          <w:rFonts w:ascii="Calibri" w:hAnsi="Calibri"/>
        </w:rPr>
        <w:t xml:space="preserve"> and </w:t>
      </w:r>
      <w:r w:rsidR="00150351">
        <w:rPr>
          <w:rFonts w:ascii="Calibri" w:hAnsi="Calibri"/>
        </w:rPr>
        <w:t>cause among men</w:t>
      </w:r>
      <w:r w:rsidR="00AB5AFF">
        <w:rPr>
          <w:rFonts w:ascii="Calibri" w:hAnsi="Calibri"/>
        </w:rPr>
        <w:t xml:space="preserve">, </w:t>
      </w:r>
      <w:r w:rsidR="00EA5295">
        <w:rPr>
          <w:rFonts w:ascii="Calibri" w:hAnsi="Calibri"/>
        </w:rPr>
        <w:t xml:space="preserve">linking </w:t>
      </w:r>
      <w:r w:rsidR="001314D4">
        <w:rPr>
          <w:rFonts w:ascii="Calibri" w:hAnsi="Calibri"/>
        </w:rPr>
        <w:t>to</w:t>
      </w:r>
      <w:r w:rsidR="00514648">
        <w:rPr>
          <w:rFonts w:ascii="Calibri" w:hAnsi="Calibri"/>
        </w:rPr>
        <w:t xml:space="preserve"> occupation</w:t>
      </w:r>
      <w:r w:rsidR="001A7F09">
        <w:rPr>
          <w:rFonts w:ascii="Calibri" w:hAnsi="Calibri"/>
        </w:rPr>
        <w:t xml:space="preserve"> and location</w:t>
      </w:r>
      <w:r w:rsidR="00514648">
        <w:rPr>
          <w:rFonts w:ascii="Calibri" w:hAnsi="Calibri"/>
        </w:rPr>
        <w:t xml:space="preserve"> </w:t>
      </w:r>
      <w:r w:rsidR="006E15E8">
        <w:rPr>
          <w:rFonts w:ascii="Calibri" w:hAnsi="Calibri"/>
        </w:rPr>
        <w:t>were published</w:t>
      </w:r>
      <w:r w:rsidR="00071EEC">
        <w:rPr>
          <w:rFonts w:ascii="Calibri" w:hAnsi="Calibri"/>
        </w:rPr>
        <w:t xml:space="preserve"> </w:t>
      </w:r>
      <w:r w:rsidR="004D63F7">
        <w:rPr>
          <w:rFonts w:ascii="Calibri" w:hAnsi="Calibri"/>
        </w:rPr>
        <w:t>bringing to light</w:t>
      </w:r>
      <w:r w:rsidR="00011564">
        <w:rPr>
          <w:rFonts w:ascii="Calibri" w:hAnsi="Calibri"/>
        </w:rPr>
        <w:t xml:space="preserve"> the gap in </w:t>
      </w:r>
      <w:r w:rsidR="00071EEC">
        <w:rPr>
          <w:rFonts w:ascii="Calibri" w:hAnsi="Calibri"/>
        </w:rPr>
        <w:t xml:space="preserve">mortality rates </w:t>
      </w:r>
      <w:r w:rsidR="00F825D7">
        <w:rPr>
          <w:rFonts w:ascii="Calibri" w:hAnsi="Calibri"/>
        </w:rPr>
        <w:t>of higher to low class</w:t>
      </w:r>
      <w:r w:rsidR="00EB6238">
        <w:rPr>
          <w:rFonts w:ascii="Calibri" w:hAnsi="Calibri"/>
        </w:rPr>
        <w:t xml:space="preserve"> citizens </w:t>
      </w:r>
      <w:r w:rsidR="00AB649E">
        <w:rPr>
          <w:rFonts w:ascii="Calibri" w:hAnsi="Calibri"/>
        </w:rPr>
        <w:t xml:space="preserve">and their </w:t>
      </w:r>
      <w:r w:rsidR="007F24EA">
        <w:rPr>
          <w:rFonts w:ascii="Calibri" w:hAnsi="Calibri"/>
        </w:rPr>
        <w:t>geographical locality</w:t>
      </w:r>
      <w:r w:rsidR="003403EA">
        <w:rPr>
          <w:rFonts w:ascii="Calibri" w:hAnsi="Calibri"/>
        </w:rPr>
        <w:t xml:space="preserve"> </w:t>
      </w:r>
      <w:sdt>
        <w:sdtPr>
          <w:rPr>
            <w:rFonts w:ascii="Calibri" w:hAnsi="Calibri"/>
            <w:color w:val="000000"/>
          </w:rPr>
          <w:tag w:val="MENDELEY_CITATION_{&quot;citationID&quot;:&quot;MENDELEY_CITATION_90094355-f536-4ac1-be1f-bdff5c969370&quot;,&quot;citationItems&quot;:[{&quot;id&quot;:&quot;64c89b4e-3904-3e50-99fa-24656d8a9daf&quot;,&quot;itemData&quot;:{&quot;type&quot;:&quot;report&quot;,&quot;id&quot;:&quot;64c89b4e-3904-3e50-99fa-24656d8a9daf&quot;,&quot;title&quot;:&quot;THE BLACK REPORT AND BEYOND WHAT ARE THE ISSUES?&quot;,&quot;author&quot;:[{&quot;family&quot;:&quot;Macintyre&quot;,&quot;given&quot;:&quot;Sally&quot;,&quot;parse-names&quot;:false,&quot;dropping-particle&quot;:&quot;&quot;,&quot;non-dropping-particle&quot;:&quot;&quot;}],&quot;container-title&quot;:&quot;Soc. Sci. Med&quot;,&quot;accessed&quot;:{&quot;date-parts&quot;:[[2021,3,17]]},&quot;issued&quot;:{&quot;date-parts&quot;:[[1997]]},&quot;number-of-pages&quot;:&quot;723-745&quot;,&quot;abstract&quot;:&quot;A~traet-This paper provides an overview of the Black Report, published in Britain in 1980. It outlines its place in the history of British concern about socioeconomic differentials in death rates since the mid-19th century, and suggests continuities in suggested explanations for these, a particularly persistent thread being debates between environmentalists, hereditarians, and those emphasising personal ignorance or irresponsibility. It introduces a distinction between \&quot;hard\&quot; and \&quot;soft\&quot; versions of the Black Report's four explanatory models for inequalities in health (artefact, selection, behavioural and materialist), points out that the working group rejected the \&quot;hard\&quot; rather than the \&quot;soft\&quot; versions of the first three and espoused the \&quot;soft\&quot; version of the last, and suggests that the rather polarised debate about these explanations that followed can be understood in the light of the contemporary political context and a tendency to confuse the \&quot;hard\&quot; and \&quot;soft\&quot; versions. Methodological and empirical developments since the report are summarised, attention being drawn to seven themes which raise important issues for future research: the ubiquity of socioeconomic differentials across industrialised countries, continuing or increasing differentials, stepwise gradients, interest in psychosocial mechanisms, the hypothesis of biological programming in utero or infancy, controls for behaviour, and evaluations of interventions. The overall conclusion is that we need more detailed studies of the mechanisms which generate and maintain social inequalities in health, and of interventions to reduce such inequalities.&quot;,&quot;issue&quot;:&quot;6&quot;,&quot;volume&quot;:&quot;44&quot;},&quot;isTemporary&quot;:false}],&quot;properties&quot;:{&quot;noteIndex&quot;:0},&quot;isEdited&quot;:false,&quot;manualOverride&quot;:{&quot;isManuallyOverriden&quot;:false,&quot;citeprocText&quot;:&quot;(Macintyre, 1997)&quot;,&quot;manualOverrideText&quot;:&quot;&quot;}}"/>
          <w:id w:val="-964118533"/>
          <w:placeholder>
            <w:docPart w:val="DefaultPlaceholder_-1854013440"/>
          </w:placeholder>
        </w:sdtPr>
        <w:sdtEndPr/>
        <w:sdtContent>
          <w:r w:rsidR="00CE328D" w:rsidRPr="00CE328D">
            <w:rPr>
              <w:rFonts w:ascii="Calibri" w:hAnsi="Calibri"/>
              <w:color w:val="000000"/>
            </w:rPr>
            <w:t>(Macintyre, 1997)</w:t>
          </w:r>
        </w:sdtContent>
      </w:sdt>
      <w:r w:rsidR="0040448C">
        <w:rPr>
          <w:rFonts w:ascii="Calibri" w:hAnsi="Calibri"/>
        </w:rPr>
        <w:t xml:space="preserve">. </w:t>
      </w:r>
      <w:r w:rsidR="000231F7">
        <w:rPr>
          <w:rFonts w:ascii="Calibri" w:hAnsi="Calibri"/>
        </w:rPr>
        <w:t xml:space="preserve">Fast forward </w:t>
      </w:r>
      <w:r w:rsidR="00145E48">
        <w:rPr>
          <w:rFonts w:ascii="Calibri" w:hAnsi="Calibri"/>
        </w:rPr>
        <w:t xml:space="preserve">170 </w:t>
      </w:r>
      <w:r w:rsidR="00465893">
        <w:rPr>
          <w:rFonts w:ascii="Calibri" w:hAnsi="Calibri"/>
        </w:rPr>
        <w:t xml:space="preserve">and the records are still </w:t>
      </w:r>
      <w:r w:rsidR="007207CF">
        <w:rPr>
          <w:rFonts w:ascii="Calibri" w:hAnsi="Calibri"/>
        </w:rPr>
        <w:t>documenting</w:t>
      </w:r>
      <w:r w:rsidR="00465893">
        <w:rPr>
          <w:rFonts w:ascii="Calibri" w:hAnsi="Calibri"/>
        </w:rPr>
        <w:t xml:space="preserve"> the gap between the have</w:t>
      </w:r>
      <w:r w:rsidR="00EA2650">
        <w:rPr>
          <w:rFonts w:ascii="Calibri" w:hAnsi="Calibri"/>
        </w:rPr>
        <w:t xml:space="preserve"> and have nots!</w:t>
      </w:r>
      <w:r w:rsidR="00C72583">
        <w:rPr>
          <w:rFonts w:ascii="Calibri" w:hAnsi="Calibri"/>
        </w:rPr>
        <w:t xml:space="preserve"> </w:t>
      </w:r>
      <w:r w:rsidR="00C164B6">
        <w:rPr>
          <w:rFonts w:ascii="Calibri" w:hAnsi="Calibri"/>
        </w:rPr>
        <w:t>The Black report</w:t>
      </w:r>
      <w:r w:rsidR="00713942">
        <w:rPr>
          <w:rFonts w:ascii="Calibri" w:hAnsi="Calibri"/>
        </w:rPr>
        <w:t xml:space="preserve"> 1980</w:t>
      </w:r>
      <w:r w:rsidR="00662257">
        <w:rPr>
          <w:rFonts w:ascii="Calibri" w:hAnsi="Calibri"/>
        </w:rPr>
        <w:t xml:space="preserve">, </w:t>
      </w:r>
      <w:r w:rsidR="00A638A7">
        <w:rPr>
          <w:rFonts w:ascii="Calibri" w:hAnsi="Calibri"/>
        </w:rPr>
        <w:t xml:space="preserve">The </w:t>
      </w:r>
      <w:r w:rsidR="00662257">
        <w:rPr>
          <w:rFonts w:ascii="Calibri" w:hAnsi="Calibri"/>
        </w:rPr>
        <w:t xml:space="preserve">Acheson Report </w:t>
      </w:r>
      <w:r w:rsidR="00A638A7">
        <w:rPr>
          <w:rFonts w:ascii="Calibri" w:hAnsi="Calibri"/>
        </w:rPr>
        <w:t xml:space="preserve">1998 and </w:t>
      </w:r>
      <w:r w:rsidR="00777CF6">
        <w:rPr>
          <w:rFonts w:ascii="Calibri" w:hAnsi="Calibri"/>
        </w:rPr>
        <w:t xml:space="preserve">The Marmot </w:t>
      </w:r>
      <w:r w:rsidR="00C15D90">
        <w:rPr>
          <w:rFonts w:ascii="Calibri" w:hAnsi="Calibri"/>
        </w:rPr>
        <w:t>Re</w:t>
      </w:r>
      <w:r w:rsidR="00624285">
        <w:rPr>
          <w:rFonts w:ascii="Calibri" w:hAnsi="Calibri"/>
        </w:rPr>
        <w:t>port</w:t>
      </w:r>
      <w:r w:rsidR="00C15D90">
        <w:rPr>
          <w:rFonts w:ascii="Calibri" w:hAnsi="Calibri"/>
        </w:rPr>
        <w:t xml:space="preserve"> 2010,</w:t>
      </w:r>
      <w:r w:rsidR="00315392">
        <w:rPr>
          <w:rFonts w:ascii="Calibri" w:hAnsi="Calibri"/>
        </w:rPr>
        <w:t xml:space="preserve"> are all lan</w:t>
      </w:r>
      <w:r w:rsidR="00D61E1F">
        <w:rPr>
          <w:rFonts w:ascii="Calibri" w:hAnsi="Calibri"/>
        </w:rPr>
        <w:t>dmark studies</w:t>
      </w:r>
      <w:r w:rsidR="00C15D90">
        <w:rPr>
          <w:rFonts w:ascii="Calibri" w:hAnsi="Calibri"/>
        </w:rPr>
        <w:t xml:space="preserve"> </w:t>
      </w:r>
      <w:r w:rsidR="00DF7555">
        <w:rPr>
          <w:rFonts w:ascii="Calibri" w:hAnsi="Calibri"/>
        </w:rPr>
        <w:t xml:space="preserve">the relevance of such are still in </w:t>
      </w:r>
      <w:r w:rsidR="00FB587C">
        <w:rPr>
          <w:rFonts w:ascii="Calibri" w:hAnsi="Calibri"/>
        </w:rPr>
        <w:t>contention</w:t>
      </w:r>
      <w:r w:rsidR="00DF7555">
        <w:rPr>
          <w:rFonts w:ascii="Calibri" w:hAnsi="Calibri"/>
        </w:rPr>
        <w:t xml:space="preserve"> </w:t>
      </w:r>
      <w:r w:rsidR="00312E87">
        <w:rPr>
          <w:rFonts w:ascii="Calibri" w:hAnsi="Calibri"/>
        </w:rPr>
        <w:t xml:space="preserve">bringing forth the fact that the UK </w:t>
      </w:r>
      <w:r w:rsidR="004927C7">
        <w:rPr>
          <w:rFonts w:ascii="Calibri" w:hAnsi="Calibri"/>
        </w:rPr>
        <w:t xml:space="preserve">still </w:t>
      </w:r>
      <w:r w:rsidR="008E2863">
        <w:rPr>
          <w:rFonts w:ascii="Calibri" w:hAnsi="Calibri"/>
        </w:rPr>
        <w:t>must</w:t>
      </w:r>
      <w:r w:rsidR="00D010F2">
        <w:rPr>
          <w:rFonts w:ascii="Calibri" w:hAnsi="Calibri"/>
        </w:rPr>
        <w:t xml:space="preserve"> address </w:t>
      </w:r>
      <w:r w:rsidR="00FB587C">
        <w:rPr>
          <w:rFonts w:ascii="Calibri" w:hAnsi="Calibri"/>
        </w:rPr>
        <w:t>Britain’s health</w:t>
      </w:r>
      <w:r w:rsidR="004927C7">
        <w:rPr>
          <w:rFonts w:ascii="Calibri" w:hAnsi="Calibri"/>
        </w:rPr>
        <w:t xml:space="preserve"> gap. </w:t>
      </w:r>
      <w:r w:rsidR="004B2E71">
        <w:rPr>
          <w:rFonts w:ascii="Calibri" w:hAnsi="Calibri"/>
        </w:rPr>
        <w:t>The</w:t>
      </w:r>
      <w:r w:rsidR="009945ED">
        <w:rPr>
          <w:rFonts w:ascii="Calibri" w:hAnsi="Calibri"/>
        </w:rPr>
        <w:t xml:space="preserve"> growth </w:t>
      </w:r>
      <w:r w:rsidR="006855FC">
        <w:rPr>
          <w:rFonts w:ascii="Calibri" w:hAnsi="Calibri"/>
        </w:rPr>
        <w:t xml:space="preserve">is accelerating </w:t>
      </w:r>
      <w:r w:rsidR="009945ED">
        <w:rPr>
          <w:rFonts w:ascii="Calibri" w:hAnsi="Calibri"/>
        </w:rPr>
        <w:t xml:space="preserve">between inequalities </w:t>
      </w:r>
      <w:r w:rsidR="00DA2A01">
        <w:rPr>
          <w:rFonts w:ascii="Calibri" w:hAnsi="Calibri"/>
        </w:rPr>
        <w:t xml:space="preserve">in health </w:t>
      </w:r>
      <w:r w:rsidR="00344B9F">
        <w:rPr>
          <w:rFonts w:ascii="Calibri" w:hAnsi="Calibri"/>
        </w:rPr>
        <w:t xml:space="preserve">and </w:t>
      </w:r>
      <w:r w:rsidR="00DA2A01">
        <w:rPr>
          <w:rFonts w:ascii="Calibri" w:hAnsi="Calibri"/>
        </w:rPr>
        <w:t xml:space="preserve">geographically defined communities in the UK </w:t>
      </w:r>
      <w:r w:rsidR="004B2E71">
        <w:rPr>
          <w:rFonts w:ascii="Calibri" w:hAnsi="Calibri"/>
        </w:rPr>
        <w:t xml:space="preserve">according to </w:t>
      </w:r>
      <w:sdt>
        <w:sdtPr>
          <w:rPr>
            <w:rFonts w:ascii="Calibri" w:hAnsi="Calibri"/>
            <w:color w:val="000000"/>
          </w:rPr>
          <w:tag w:val="MENDELEY_CITATION_{&quot;citationID&quot;:&quot;MENDELEY_CITATION_9f2b18f0-f8de-4310-9c41-148d38c05ec5&quot;,&quot;citationItems&quot;:[{&quot;id&quot;:&quot;df355760-6985-3e1a-87fa-3cfa36ed76dd&quot;,&quot;itemData&quot;:{&quot;type&quot;:&quot;article-journal&quot;,&quot;id&quot;:&quot;df355760-6985-3e1a-87fa-3cfa36ed76dd&quot;,&quot;title&quot;:&quot;Against the organization of misery? The Marmot Review of health inequalities&quot;,&quot;author&quot;:[{&quot;family&quot;:&quot;Pickett&quot;,&quot;given&quot;:&quot;Kate E&quot;,&quot;parse-names&quot;:false,&quot;dropping-particle&quot;:&quot;&quot;,&quot;non-dropping-particle&quot;:&quot;&quot;},{&quot;family&quot;:&quot;Dorling&quot;,&quot;given&quot;:&quot;Danny&quot;,&quot;parse-names&quot;:false,&quot;dropping-particle&quot;:&quot;&quot;,&quot;non-dropping-particle&quot;:&quot;&quot;}],&quot;accessed&quot;:{&quot;date-parts&quot;:[[2021,3,17]]},&quot;DOI&quot;:&quot;10.1016/j.socscimed.2010.07.013&quot;,&quot;URL&quot;:&quot;www.dh.gov.uk/assetRoot/04/12/15/83/04121583.pdf.&quot;,&quot;issued&quot;:{&quot;date-parts&quot;:[[2010]]}},&quot;isTemporary&quot;:false}],&quot;properties&quot;:{&quot;noteIndex&quot;:0},&quot;isEdited&quot;:false,&quot;manualOverride&quot;:{&quot;isManuallyOverriden&quot;:false,&quot;citeprocText&quot;:&quot;(Pickett and Dorling, 2010)&quot;,&quot;manualOverrideText&quot;:&quot;&quot;}}"/>
          <w:id w:val="1519500140"/>
          <w:placeholder>
            <w:docPart w:val="DefaultPlaceholder_-1854013440"/>
          </w:placeholder>
        </w:sdtPr>
        <w:sdtEndPr/>
        <w:sdtContent>
          <w:r w:rsidR="00CE328D" w:rsidRPr="00CE328D">
            <w:rPr>
              <w:rFonts w:ascii="Calibri" w:hAnsi="Calibri"/>
              <w:color w:val="000000"/>
            </w:rPr>
            <w:t>(Pickett and Dorling, 2010)</w:t>
          </w:r>
        </w:sdtContent>
      </w:sdt>
      <w:r w:rsidR="00344B9F">
        <w:rPr>
          <w:rFonts w:ascii="Calibri" w:hAnsi="Calibri"/>
        </w:rPr>
        <w:t>.</w:t>
      </w:r>
    </w:p>
    <w:p w14:paraId="3FF9EFDE" w14:textId="3EBBC62F" w:rsidR="00B40B80" w:rsidRDefault="00B40B80" w:rsidP="00507DF4">
      <w:pPr>
        <w:spacing w:line="360" w:lineRule="auto"/>
        <w:rPr>
          <w:rFonts w:ascii="Calibri" w:hAnsi="Calibri"/>
        </w:rPr>
      </w:pPr>
    </w:p>
    <w:p w14:paraId="4816937F" w14:textId="56B03B15" w:rsidR="00C6059D" w:rsidRDefault="00E73773" w:rsidP="00507DF4">
      <w:pPr>
        <w:spacing w:line="360" w:lineRule="auto"/>
        <w:rPr>
          <w:rFonts w:ascii="Calibri" w:hAnsi="Calibri"/>
          <w:b/>
          <w:i/>
          <w:sz w:val="28"/>
          <w:u w:val="single"/>
        </w:rPr>
      </w:pPr>
      <w:r>
        <w:rPr>
          <w:rFonts w:ascii="Calibri" w:hAnsi="Calibri"/>
          <w:b/>
          <w:i/>
          <w:sz w:val="28"/>
          <w:u w:val="single"/>
        </w:rPr>
        <w:t>What evidence suggests that C</w:t>
      </w:r>
      <w:r w:rsidR="00C6059D">
        <w:rPr>
          <w:rFonts w:ascii="Calibri" w:hAnsi="Calibri"/>
          <w:b/>
          <w:i/>
          <w:sz w:val="28"/>
          <w:u w:val="single"/>
        </w:rPr>
        <w:t>ovid-19 mortality is higher in certain groups.</w:t>
      </w:r>
    </w:p>
    <w:p w14:paraId="2A007359" w14:textId="3D2D16BC" w:rsidR="00612F9A" w:rsidRDefault="00FA224F" w:rsidP="005D240C">
      <w:pPr>
        <w:spacing w:line="360" w:lineRule="auto"/>
        <w:rPr>
          <w:rFonts w:ascii="Calibri" w:hAnsi="Calibri"/>
        </w:rPr>
      </w:pPr>
      <w:r>
        <w:rPr>
          <w:rFonts w:ascii="Calibri" w:hAnsi="Calibri"/>
        </w:rPr>
        <w:t>A highly infect</w:t>
      </w:r>
      <w:r w:rsidR="009502C1">
        <w:rPr>
          <w:rFonts w:ascii="Calibri" w:hAnsi="Calibri"/>
        </w:rPr>
        <w:t xml:space="preserve">ious virus </w:t>
      </w:r>
      <w:r w:rsidR="007D7DEC">
        <w:rPr>
          <w:rFonts w:ascii="Calibri" w:hAnsi="Calibri"/>
        </w:rPr>
        <w:t xml:space="preserve">does not strategically choose its victims, </w:t>
      </w:r>
      <w:r w:rsidR="00D66C21">
        <w:rPr>
          <w:rFonts w:ascii="Calibri" w:hAnsi="Calibri"/>
        </w:rPr>
        <w:t xml:space="preserve">it knows nothing of wealth, </w:t>
      </w:r>
      <w:r w:rsidR="00507346">
        <w:rPr>
          <w:rFonts w:ascii="Calibri" w:hAnsi="Calibri"/>
        </w:rPr>
        <w:t>creed,</w:t>
      </w:r>
      <w:r w:rsidR="00D66C21">
        <w:rPr>
          <w:rFonts w:ascii="Calibri" w:hAnsi="Calibri"/>
        </w:rPr>
        <w:t xml:space="preserve"> or social standing however</w:t>
      </w:r>
      <w:r w:rsidR="004405A5">
        <w:rPr>
          <w:rFonts w:ascii="Calibri" w:hAnsi="Calibri"/>
        </w:rPr>
        <w:t xml:space="preserve"> evidence began to emerge </w:t>
      </w:r>
      <w:r w:rsidR="00A416FB">
        <w:rPr>
          <w:rFonts w:ascii="Calibri" w:hAnsi="Calibri"/>
        </w:rPr>
        <w:t xml:space="preserve">in the UK and </w:t>
      </w:r>
      <w:r w:rsidR="00162D59">
        <w:rPr>
          <w:rFonts w:ascii="Calibri" w:hAnsi="Calibri"/>
        </w:rPr>
        <w:t xml:space="preserve">other countries </w:t>
      </w:r>
      <w:r w:rsidR="00162D59">
        <w:rPr>
          <w:rFonts w:ascii="Calibri" w:hAnsi="Calibri"/>
        </w:rPr>
        <w:lastRenderedPageBreak/>
        <w:t xml:space="preserve">that certain demographics </w:t>
      </w:r>
      <w:r w:rsidR="00D02269">
        <w:rPr>
          <w:rFonts w:ascii="Calibri" w:hAnsi="Calibri"/>
        </w:rPr>
        <w:t xml:space="preserve">were of </w:t>
      </w:r>
      <w:r w:rsidR="00162D59">
        <w:rPr>
          <w:rFonts w:ascii="Calibri" w:hAnsi="Calibri"/>
        </w:rPr>
        <w:t xml:space="preserve">higher </w:t>
      </w:r>
      <w:r w:rsidR="00F06E19">
        <w:rPr>
          <w:rFonts w:ascii="Calibri" w:hAnsi="Calibri"/>
        </w:rPr>
        <w:t xml:space="preserve">risk not only of infection but mortality. </w:t>
      </w:r>
      <w:sdt>
        <w:sdtPr>
          <w:rPr>
            <w:rFonts w:ascii="Calibri" w:hAnsi="Calibri"/>
            <w:color w:val="000000"/>
          </w:rPr>
          <w:tag w:val="MENDELEY_CITATION_{&quot;citationID&quot;:&quot;MENDELEY_CITATION_0771a75e-ec8f-4a8f-b177-4547c0f9d823&quot;,&quot;citationItems&quot;:[{&quot;id&quot;:&quot;3194033a-18c6-3875-a5c8-83859dd94edc&quot;,&quot;itemData&quot;:{&quot;type&quot;:&quot;report&quot;,&quot;id&quot;:&quot;3194033a-18c6-3875-a5c8-83859dd94edc&quot;,&quot;title&quot;:&quot;Will COVID-19 be a watershed moment for health inequalities?&quot;,&quot;author&quot;:[{&quot;family&quot;:&quot;Bibby&quot;,&quot;given&quot;:&quot;Jo&quot;,&quot;parse-names&quot;:false,&quot;dropping-particle&quot;:&quot;&quot;,&quot;non-dropping-particle&quot;:&quot;&quot;},{&quot;family&quot;:&quot;Everest&quot;,&quot;given&quot;:&quot;Grace&quot;,&quot;parse-names&quot;:false,&quot;dropping-particle&quot;:&quot;&quot;,&quot;non-dropping-particle&quot;:&quot;&quot;},{&quot;family&quot;:&quot;Abbs&quot;,&quot;given&quot;:&quot;Isabel&quot;,&quot;parse-names&quot;:false,&quot;dropping-particle&quot;:&quot;&quot;,&quot;non-dropping-particle&quot;:&quot;&quot;}],&quot;accessed&quot;:{&quot;date-parts&quot;:[[2021,3,17]]},&quot;issued&quot;:{&quot;date-parts&quot;:[[2020]]}},&quot;isTemporary&quot;:false}],&quot;properties&quot;:{&quot;noteIndex&quot;:0},&quot;isEdited&quot;:false,&quot;manualOverride&quot;:{&quot;isManuallyOverriden&quot;:false,&quot;citeprocText&quot;:&quot;(Bibby, Everest and Abbs, 2020)&quot;,&quot;manualOverrideText&quot;:&quot;&quot;}}"/>
          <w:id w:val="1250619672"/>
          <w:placeholder>
            <w:docPart w:val="DefaultPlaceholder_-1854013440"/>
          </w:placeholder>
        </w:sdtPr>
        <w:sdtEndPr/>
        <w:sdtContent>
          <w:r w:rsidR="00CE328D" w:rsidRPr="00CE328D">
            <w:rPr>
              <w:rFonts w:ascii="Calibri" w:hAnsi="Calibri"/>
              <w:color w:val="000000"/>
            </w:rPr>
            <w:t>(Bibby, Everest and Abbs, 2020)</w:t>
          </w:r>
        </w:sdtContent>
      </w:sdt>
      <w:r w:rsidR="005D240C">
        <w:rPr>
          <w:rFonts w:ascii="Calibri" w:hAnsi="Calibri"/>
        </w:rPr>
        <w:t xml:space="preserve"> </w:t>
      </w:r>
    </w:p>
    <w:p w14:paraId="7F0786EF" w14:textId="41D0C60A" w:rsidR="00A81206" w:rsidRDefault="0087688B" w:rsidP="005D240C">
      <w:pPr>
        <w:spacing w:line="360" w:lineRule="auto"/>
        <w:rPr>
          <w:rFonts w:ascii="Calibri" w:hAnsi="Calibri"/>
        </w:rPr>
      </w:pPr>
      <w:r>
        <w:rPr>
          <w:rFonts w:ascii="Calibri" w:hAnsi="Calibri"/>
        </w:rPr>
        <w:t>Social differences be</w:t>
      </w:r>
      <w:r w:rsidR="00A30F32">
        <w:rPr>
          <w:rFonts w:ascii="Calibri" w:hAnsi="Calibri"/>
        </w:rPr>
        <w:t xml:space="preserve">tween people </w:t>
      </w:r>
      <w:r w:rsidR="00B165DD">
        <w:rPr>
          <w:rFonts w:ascii="Calibri" w:hAnsi="Calibri"/>
        </w:rPr>
        <w:t xml:space="preserve">are associated </w:t>
      </w:r>
      <w:r w:rsidR="007F2F80">
        <w:rPr>
          <w:rFonts w:ascii="Calibri" w:hAnsi="Calibri"/>
        </w:rPr>
        <w:t>with health differences</w:t>
      </w:r>
      <w:r w:rsidR="008B6729">
        <w:rPr>
          <w:rFonts w:ascii="Calibri" w:hAnsi="Calibri"/>
        </w:rPr>
        <w:t xml:space="preserve">. </w:t>
      </w:r>
      <w:r w:rsidR="00A81206">
        <w:rPr>
          <w:rFonts w:ascii="Calibri" w:hAnsi="Calibri"/>
        </w:rPr>
        <w:t>Age</w:t>
      </w:r>
      <w:r w:rsidR="003A107C">
        <w:rPr>
          <w:rFonts w:ascii="Calibri" w:hAnsi="Calibri"/>
        </w:rPr>
        <w:t xml:space="preserve"> (elderly)</w:t>
      </w:r>
      <w:r w:rsidR="00C350A5">
        <w:rPr>
          <w:rFonts w:ascii="Calibri" w:hAnsi="Calibri"/>
        </w:rPr>
        <w:t xml:space="preserve">, </w:t>
      </w:r>
      <w:r w:rsidR="00A81206">
        <w:rPr>
          <w:rFonts w:ascii="Calibri" w:hAnsi="Calibri"/>
        </w:rPr>
        <w:t xml:space="preserve">having a disability or </w:t>
      </w:r>
      <w:r w:rsidR="00507346">
        <w:rPr>
          <w:rFonts w:ascii="Calibri" w:hAnsi="Calibri"/>
        </w:rPr>
        <w:t>underlying</w:t>
      </w:r>
      <w:r w:rsidR="00A81206">
        <w:rPr>
          <w:rFonts w:ascii="Calibri" w:hAnsi="Calibri"/>
        </w:rPr>
        <w:t xml:space="preserve"> health problem</w:t>
      </w:r>
      <w:r w:rsidR="008E5327">
        <w:rPr>
          <w:rFonts w:ascii="Calibri" w:hAnsi="Calibri"/>
        </w:rPr>
        <w:t xml:space="preserve"> as well as ethnicity</w:t>
      </w:r>
      <w:r w:rsidR="002F301D">
        <w:rPr>
          <w:rFonts w:ascii="Calibri" w:hAnsi="Calibri"/>
        </w:rPr>
        <w:t xml:space="preserve"> are the overriding factors of</w:t>
      </w:r>
      <w:r w:rsidR="00E43523">
        <w:rPr>
          <w:rFonts w:ascii="Calibri" w:hAnsi="Calibri"/>
        </w:rPr>
        <w:t xml:space="preserve"> </w:t>
      </w:r>
      <w:r w:rsidR="00D17874">
        <w:rPr>
          <w:rFonts w:ascii="Calibri" w:hAnsi="Calibri"/>
        </w:rPr>
        <w:t xml:space="preserve">health inequalities </w:t>
      </w:r>
      <w:r w:rsidR="00CA27EA">
        <w:rPr>
          <w:rFonts w:ascii="Calibri" w:hAnsi="Calibri"/>
        </w:rPr>
        <w:t xml:space="preserve">detected </w:t>
      </w:r>
      <w:r w:rsidR="007615A9">
        <w:rPr>
          <w:rFonts w:ascii="Calibri" w:hAnsi="Calibri"/>
        </w:rPr>
        <w:t xml:space="preserve">during the onset of </w:t>
      </w:r>
      <w:r w:rsidR="00CA27EA">
        <w:rPr>
          <w:rFonts w:ascii="Calibri" w:hAnsi="Calibri"/>
        </w:rPr>
        <w:t>Covid-19</w:t>
      </w:r>
      <w:sdt>
        <w:sdtPr>
          <w:rPr>
            <w:rFonts w:ascii="Calibri" w:hAnsi="Calibri"/>
            <w:color w:val="000000"/>
          </w:rPr>
          <w:tag w:val="MENDELEY_CITATION_{&quot;citationID&quot;:&quot;MENDELEY_CITATION_d24742f6-c416-46a1-a5f2-e147449d3a7e&quot;,&quot;citationItems&quot;:[{&quot;id&quot;:&quot;de530b54-3040-38fc-aa80-2023f64d0c8c&quot;,&quot;itemData&quot;:{&quot;type&quot;:&quot;article-journal&quot;,&quot;id&quot;:&quot;de530b54-3040-38fc-aa80-2023f64d0c8c&quot;,&quot;title&quot;:&quot;To cite this article: Sylvia Cheater (2020) Health inequalities-Covid-19 will widen the gap&quot;,&quot;author&quot;:[{&quot;family&quot;:&quot;Cheater&quot;,&quot;given&quot;:&quot;Sylvia&quot;,&quot;parse-names&quot;:false,&quot;dropping-particle&quot;:&quot;&quot;,&quot;non-dropping-particle&quot;:&quot;&quot;}],&quot;container-title&quot;:&quot;International Journal of Health Promotion and Education&quot;,&quot;accessed&quot;:{&quot;date-parts&quot;:[[2021,3,11]]},&quot;DOI&quot;:&quot;10.1080/14635240.2020.1771035&quot;,&quot;URL&quot;:&quot;https://www.tandfonline.com/action/journalInformation?journalCode=rhpe20&quot;,&quot;issued&quot;:{&quot;date-parts&quot;:[[2020]]},&quot;page&quot;:&quot;223-225&quot;,&quot;issue&quot;:&quot;4&quot;,&quot;volume&quot;:&quot;58&quot;},&quot;isTemporary&quot;:false}],&quot;properties&quot;:{&quot;noteIndex&quot;:0},&quot;isEdited&quot;:false,&quot;manualOverride&quot;:{&quot;isManuallyOverriden&quot;:false,&quot;citeprocText&quot;:&quot;(Cheater, 2020)&quot;,&quot;manualOverrideText&quot;:&quot;&quot;}}"/>
          <w:id w:val="-1586142859"/>
          <w:placeholder>
            <w:docPart w:val="DefaultPlaceholder_-1854013440"/>
          </w:placeholder>
        </w:sdtPr>
        <w:sdtEndPr/>
        <w:sdtContent>
          <w:r w:rsidR="00CE328D" w:rsidRPr="00CE328D">
            <w:rPr>
              <w:rFonts w:ascii="Calibri" w:hAnsi="Calibri"/>
              <w:color w:val="000000"/>
            </w:rPr>
            <w:t>(Cheater, 2020)</w:t>
          </w:r>
        </w:sdtContent>
      </w:sdt>
    </w:p>
    <w:p w14:paraId="079311F2" w14:textId="12182134" w:rsidR="00FF7547" w:rsidRDefault="000C4A12" w:rsidP="005D240C">
      <w:pPr>
        <w:spacing w:line="360" w:lineRule="auto"/>
        <w:rPr>
          <w:rFonts w:ascii="Calibri" w:hAnsi="Calibri"/>
        </w:rPr>
      </w:pPr>
      <w:r>
        <w:rPr>
          <w:rFonts w:ascii="Calibri" w:hAnsi="Calibri"/>
        </w:rPr>
        <w:t>Findings f</w:t>
      </w:r>
      <w:r w:rsidR="00373261">
        <w:rPr>
          <w:rFonts w:ascii="Calibri" w:hAnsi="Calibri"/>
        </w:rPr>
        <w:t>rom the</w:t>
      </w:r>
      <w:r w:rsidR="003E546E">
        <w:rPr>
          <w:rFonts w:ascii="Calibri" w:hAnsi="Calibri"/>
        </w:rPr>
        <w:t xml:space="preserve"> Intensive Care </w:t>
      </w:r>
      <w:r w:rsidR="00373261">
        <w:rPr>
          <w:rFonts w:ascii="Calibri" w:hAnsi="Calibri"/>
        </w:rPr>
        <w:t xml:space="preserve">National </w:t>
      </w:r>
      <w:r w:rsidR="00BB6B88">
        <w:rPr>
          <w:rFonts w:ascii="Calibri" w:hAnsi="Calibri"/>
        </w:rPr>
        <w:t>A</w:t>
      </w:r>
      <w:r w:rsidR="002F446D">
        <w:rPr>
          <w:rFonts w:ascii="Calibri" w:hAnsi="Calibri"/>
        </w:rPr>
        <w:t xml:space="preserve">udit and </w:t>
      </w:r>
      <w:r w:rsidR="00BB6B88">
        <w:rPr>
          <w:rFonts w:ascii="Calibri" w:hAnsi="Calibri"/>
        </w:rPr>
        <w:t>R</w:t>
      </w:r>
      <w:r w:rsidR="002F446D">
        <w:rPr>
          <w:rFonts w:ascii="Calibri" w:hAnsi="Calibri"/>
        </w:rPr>
        <w:t xml:space="preserve">esearch </w:t>
      </w:r>
      <w:r w:rsidR="00BB6B88">
        <w:rPr>
          <w:rFonts w:ascii="Calibri" w:hAnsi="Calibri"/>
        </w:rPr>
        <w:t>C</w:t>
      </w:r>
      <w:r w:rsidR="002F446D">
        <w:rPr>
          <w:rFonts w:ascii="Calibri" w:hAnsi="Calibri"/>
        </w:rPr>
        <w:t xml:space="preserve">entre </w:t>
      </w:r>
      <w:sdt>
        <w:sdtPr>
          <w:rPr>
            <w:rFonts w:ascii="Calibri" w:hAnsi="Calibri"/>
          </w:rPr>
          <w:tag w:val="MENDELEY_CITATION_{&quot;citationID&quot;:&quot;MENDELEY_CITATION_a220e177-027f-46bd-a274-74593f1481a0&quot;,&quot;citationItems&quot;:[{&quot;id&quot;:&quot;74bd4ec3-8391-32c7-99fd-69dbddf7fe86&quot;,&quot;itemData&quot;:{&quot;type&quot;:&quot;article-journal&quot;,&quot;id&quot;:&quot;74bd4ec3-8391-32c7-99fd-69dbddf7fe86&quot;,&quot;title&quot;:&quot;Black, Asian and Minority Ethnic groups in England are at increased risk of death from COVID-19: indirect standardisation of NHS mortality data&quot;,&quot;author&quot;:[{&quot;family&quot;:&quot;Aldridge&quot;,&quot;given&quot;:&quot;Robert W.&quot;,&quot;parse-names&quot;:false,&quot;dropping-particle&quot;:&quot;&quot;,&quot;non-dropping-particle&quot;:&quot;&quot;},{&quot;family&quot;:&quot;Lewer&quot;,&quot;given&quot;:&quot;Dan&quot;,&quot;parse-names&quot;:false,&quot;dropping-particle&quot;:&quot;&quot;,&quot;non-dropping-particle&quot;:&quot;&quot;},{&quot;family&quot;:&quot;Katikireddi&quot;,&quot;given&quot;:&quot;Srinivasa Vittal&quot;,&quot;parse-names&quot;:false,&quot;dropping-particle&quot;:&quot;&quot;,&quot;non-dropping-particle&quot;:&quot;&quot;},{&quot;family&quot;:&quot;Mathur&quot;,&quot;given&quot;:&quot;Rohini&quot;,&quot;parse-names&quot;:false,&quot;dropping-particle&quot;:&quot;&quot;,&quot;non-dropping-particle&quot;:&quot;&quot;},{&quot;family&quot;:&quot;Pathak&quot;,&quot;given&quot;:&quot;Neha&quot;,&quot;parse-names&quot;:false,&quot;dropping-particle&quot;:&quot;&quot;,&quot;non-dropping-particle&quot;:&quot;&quot;},{&quot;family&quot;:&quot;Burns&quot;,&quot;given&quot;:&quot;Rachel&quot;,&quot;parse-names&quot;:false,&quot;dropping-particle&quot;:&quot;&quot;,&quot;non-dropping-particle&quot;:&quot;&quot;},{&quot;family&quot;:&quot;Fragaszy&quot;,&quot;given&quot;:&quot;Ellen B.&quot;,&quot;parse-names&quot;:false,&quot;dropping-particle&quot;:&quot;&quot;,&quot;non-dropping-particle&quot;:&quot;&quot;},{&quot;family&quot;:&quot;Johnson&quot;,&quot;given&quot;:&quot;Anne M.&quot;,&quot;parse-names&quot;:false,&quot;dropping-particle&quot;:&quot;&quot;,&quot;non-dropping-particle&quot;:&quot;&quot;},{&quot;family&quot;:&quot;Devakumar&quot;,&quot;given&quot;:&quot;Delan&quot;,&quot;parse-names&quot;:false,&quot;dropping-particle&quot;:&quot;&quot;,&quot;non-dropping-particle&quot;:&quot;&quot;},{&quot;family&quot;:&quot;Abubakar&quot;,&quot;given&quot;:&quot;Ibrahim&quot;,&quot;parse-names&quot;:false,&quot;dropping-particle&quot;:&quot;&quot;,&quot;non-dropping-particle&quot;:&quot;&quot;},{&quot;family&quot;:&quot;Hayward&quot;,&quot;given&quot;:&quot;Andrew&quot;,&quot;parse-names&quot;:false,&quot;dropping-particle&quot;:&quot;&quot;,&quot;non-dropping-particle&quot;:&quot;&quot;}],&quot;container-title&quot;:&quot;Wellcome Open Research&quot;,&quot;accessed&quot;:{&quot;date-parts&quot;:[[2021,3,17]]},&quot;DOI&quot;:&quot;10.12688/wellcomeopenres.15922.2&quot;,&quot;URL&quot;:&quot;https://doi.org/10.12688/wellcomeopenres.15922.1&quot;,&quot;issued&quot;:{&quot;date-parts&quot;:[[2020,6,24]]},&quot;page&quot;:&quot;88&quot;,&quot;abstract&quot;:&quot; Background : International and UK data suggest that Black, Asian and Minority Ethnic (BAME) groups are at increased risk of infection and death from COVID-19. We aimed to explore the risk of death in minority ethnic groups in England using data reported by NHS England.  Methods : We used NHS data on patients with a positive COVID-19 test who died in hospitals in England published on 28th April, with deaths by ethnicity available from 1st March 2020 up to 5pm on 21 April 2020. We undertook indirect standardisation of these data (using the whole population of England as the reference) to produce ethnic specific standardised mortality ratios (SMRs) adjusted for age and geographical region.  Results : The largest total number of deaths in minority ethnic groups were Indian (492 deaths) and Black Caribbean (460 deaths) groups. Adjusting for region we found a lower risk of death for White Irish (SMR 0.52; 95%CIs 0.45-0.60) and White British ethnic groups (0.88; 95%CIs 0.86-0.0.89), but increased risk of death for Black African (3.24; 95%CIs 2.90-3.62), Black Caribbean (2.21; 95%CIs 2.02-2.41), Pakistani (3.29; 95%CIs 2.96-3.64), Bangladeshi (2.41; 95%CIs 1.98-2.91) and Indian (1.70; 95%CIs 1.56-1.85) minority ethnic groups.  Conclusion: Our analysis adds to the evidence that BAME people are at increased risk of death from COVID-19 even after adjusting for geographical region, but was limited by the lack of data on deaths outside of NHS settings and ethnicity denominator data being based on the 2011 census. Despite these limitations, we believe there is an urgent need to take action to reduce the risk of death for BAME groups and better understand why some ethnic groups experience greater risk. Actions that are likely to reduce these inequities include ensuring adequate income protection, reducing occupational risks, reducing barriers in accessing healthcare and providing culturally and linguistically appropriate public health communications. &quot;,&quot;publisher&quot;:&quot;F1000 Research Ltd&quot;,&quot;volume&quot;:&quot;5&quot;},&quot;isTemporary&quot;:false}],&quot;properties&quot;:{&quot;noteIndex&quot;:0},&quot;isEdited&quot;:false,&quot;manualOverride&quot;:{&quot;isManuallyOverriden&quot;:false,&quot;citeprocText&quot;:&quot;(Aldridge &lt;i&gt;et al.&lt;/i&gt;, 2020)&quot;,&quot;manualOverrideText&quot;:&quot;&quot;}}"/>
          <w:id w:val="-677659849"/>
          <w:placeholder>
            <w:docPart w:val="DefaultPlaceholder_-1854013440"/>
          </w:placeholder>
        </w:sdtPr>
        <w:sdtEndPr/>
        <w:sdtContent>
          <w:r w:rsidR="00CE328D">
            <w:rPr>
              <w:rFonts w:eastAsia="Times New Roman"/>
            </w:rPr>
            <w:t xml:space="preserve">(Aldridge </w:t>
          </w:r>
          <w:r w:rsidR="00CE328D">
            <w:rPr>
              <w:rFonts w:eastAsia="Times New Roman"/>
              <w:i/>
              <w:iCs/>
            </w:rPr>
            <w:t>et al.</w:t>
          </w:r>
          <w:r w:rsidR="00CE328D">
            <w:rPr>
              <w:rFonts w:eastAsia="Times New Roman"/>
            </w:rPr>
            <w:t>, 2020)</w:t>
          </w:r>
        </w:sdtContent>
      </w:sdt>
      <w:r w:rsidR="00307EAB">
        <w:rPr>
          <w:rFonts w:ascii="Calibri" w:hAnsi="Calibri"/>
        </w:rPr>
        <w:t xml:space="preserve"> indicated</w:t>
      </w:r>
      <w:r w:rsidR="003B3C01">
        <w:rPr>
          <w:rFonts w:ascii="Calibri" w:hAnsi="Calibri"/>
        </w:rPr>
        <w:t xml:space="preserve"> the proportion o</w:t>
      </w:r>
      <w:r w:rsidR="00762B25">
        <w:rPr>
          <w:rFonts w:ascii="Calibri" w:hAnsi="Calibri"/>
        </w:rPr>
        <w:t>f</w:t>
      </w:r>
      <w:r w:rsidR="003B3C01">
        <w:rPr>
          <w:rFonts w:ascii="Calibri" w:hAnsi="Calibri"/>
        </w:rPr>
        <w:t xml:space="preserve"> patients</w:t>
      </w:r>
      <w:r w:rsidR="00452A0E">
        <w:rPr>
          <w:rFonts w:ascii="Calibri" w:hAnsi="Calibri"/>
        </w:rPr>
        <w:t xml:space="preserve"> in England and Wales</w:t>
      </w:r>
      <w:r w:rsidR="00762B25">
        <w:rPr>
          <w:rFonts w:ascii="Calibri" w:hAnsi="Calibri"/>
        </w:rPr>
        <w:t xml:space="preserve"> critically ill with Covid-19</w:t>
      </w:r>
      <w:r w:rsidR="003B3C01">
        <w:rPr>
          <w:rFonts w:ascii="Calibri" w:hAnsi="Calibri"/>
        </w:rPr>
        <w:t xml:space="preserve"> </w:t>
      </w:r>
      <w:r w:rsidR="00BA03CE">
        <w:rPr>
          <w:rFonts w:ascii="Calibri" w:hAnsi="Calibri"/>
        </w:rPr>
        <w:t>descending</w:t>
      </w:r>
      <w:r w:rsidR="009B5DB3">
        <w:rPr>
          <w:rFonts w:ascii="Calibri" w:hAnsi="Calibri"/>
        </w:rPr>
        <w:t xml:space="preserve"> </w:t>
      </w:r>
      <w:r w:rsidR="003B3C01">
        <w:rPr>
          <w:rFonts w:ascii="Calibri" w:hAnsi="Calibri"/>
        </w:rPr>
        <w:t xml:space="preserve">from black, </w:t>
      </w:r>
      <w:r w:rsidR="00BA03CE">
        <w:rPr>
          <w:rFonts w:ascii="Calibri" w:hAnsi="Calibri"/>
        </w:rPr>
        <w:t>Asian,</w:t>
      </w:r>
      <w:r w:rsidR="003B3C01">
        <w:rPr>
          <w:rFonts w:ascii="Calibri" w:hAnsi="Calibri"/>
        </w:rPr>
        <w:t xml:space="preserve"> </w:t>
      </w:r>
      <w:r w:rsidR="00F77AE3">
        <w:rPr>
          <w:rFonts w:ascii="Calibri" w:hAnsi="Calibri"/>
        </w:rPr>
        <w:t xml:space="preserve">and other ethnic groups were higher </w:t>
      </w:r>
      <w:r w:rsidR="00EF5D5F">
        <w:rPr>
          <w:rFonts w:ascii="Calibri" w:hAnsi="Calibri"/>
        </w:rPr>
        <w:t>followed by</w:t>
      </w:r>
      <w:r w:rsidR="00DC3CB1">
        <w:rPr>
          <w:rFonts w:ascii="Calibri" w:hAnsi="Calibri"/>
        </w:rPr>
        <w:t xml:space="preserve"> further data </w:t>
      </w:r>
      <w:r w:rsidR="008F1B20">
        <w:rPr>
          <w:rFonts w:ascii="Calibri" w:hAnsi="Calibri"/>
        </w:rPr>
        <w:t>issued by NHS England show</w:t>
      </w:r>
      <w:r w:rsidR="00EF5D5F">
        <w:rPr>
          <w:rFonts w:ascii="Calibri" w:hAnsi="Calibri"/>
        </w:rPr>
        <w:t>ing</w:t>
      </w:r>
      <w:r w:rsidR="008F1B20">
        <w:rPr>
          <w:rFonts w:ascii="Calibri" w:hAnsi="Calibri"/>
        </w:rPr>
        <w:t xml:space="preserve"> </w:t>
      </w:r>
      <w:r w:rsidR="00F77AE3">
        <w:rPr>
          <w:rFonts w:ascii="Calibri" w:hAnsi="Calibri"/>
        </w:rPr>
        <w:t xml:space="preserve">stark inequalities in comparison </w:t>
      </w:r>
      <w:r w:rsidR="00F62275">
        <w:rPr>
          <w:rFonts w:ascii="Calibri" w:hAnsi="Calibri"/>
        </w:rPr>
        <w:t>to the white population</w:t>
      </w:r>
      <w:r w:rsidR="005173EE">
        <w:rPr>
          <w:rFonts w:ascii="Calibri" w:hAnsi="Calibri"/>
        </w:rPr>
        <w:t xml:space="preserve">. </w:t>
      </w:r>
      <w:sdt>
        <w:sdtPr>
          <w:rPr>
            <w:rFonts w:ascii="Calibri" w:hAnsi="Calibri"/>
            <w:color w:val="000000"/>
          </w:rPr>
          <w:tag w:val="MENDELEY_CITATION_{&quot;citationID&quot;:&quot;MENDELEY_CITATION_f6a79911-df2c-478e-a316-ba3cd324b57a&quot;,&quot;citationItems&quot;:[{&quot;id&quot;:&quot;d19a5cbb-bc8d-3b0d-8619-01854f4b1f80&quot;,&quot;itemData&quot;:{&quot;type&quot;:&quot;article-journal&quot;,&quot;id&quot;:&quot;d19a5cbb-bc8d-3b0d-8619-01854f4b1f80&quot;,&quot;title&quot;:&quot;COVID‐19 and Ethnic Inequalities in England and Wales &lt;sup&gt;*&lt;/sup&gt;&quot;,&quot;author&quot;:[{&quot;family&quot;:&quot;Platt&quot;,&quot;given&quot;:&quot;Lucinda&quot;,&quot;parse-names&quot;:false,&quot;dropping-particle&quot;:&quot;&quot;,&quot;non-dropping-particle&quot;:&quot;&quot;},{&quot;family&quot;:&quot;Warwick&quot;,&quot;given&quot;:&quot;Ross&quot;,&quot;parse-names&quot;:false,&quot;dropping-particle&quot;:&quot;&quot;,&quot;non-dropping-particle&quot;:&quot;&quot;}],&quot;container-title&quot;:&quot;Fiscal Studies&quot;,&quot;accessed&quot;:{&quot;date-parts&quot;:[[2021,3,17]]},&quot;DOI&quot;:&quot;10.1111/1475-5890.12228&quot;,&quot;ISSN&quot;:&quot;0143-5671&quot;,&quot;URL&quot;:&quot;https://onlinelibrary.wiley.com/doi/abs/10.1111/1475-5890.12228&quot;,&quot;issued&quot;:{&quot;date-parts&quot;:[[2020,6,26]]},&quot;page&quot;:&quot;259-289&quot;,&quot;abstract&quot;:&quot;The economic and public health crisis created by the COVID-19 pandemic has exposed existing inequalities between ethnic groups in England and Wales, as well as creating new ones. We draw on current mortality and case data, alongside pre-crisis labour force data, to investigate the relative vulnerability of different ethnic groups to adverse health and economic impacts. After accounting for differences in population structure and regional concentration, we show that most minority groups suffered excess mortality compared with the white British majority group. Differences in underlying health conditions such as diabetes may play a role; so too may occupational exposure to the virus, given the very different labour market profiles of ethnic groups. Distinctive patterns of occupational concentration also highlight the vulnerability of some groups to the economic consequences of social distancing measures, with Bangladeshi and Pakistani men particularly likely to be employed in occupations directly affected by the UK's ‘lockdown’. We show that differences in household structures and inequalities in access to savings mean that a number of minority groups are also less able to weather short-term shocks to their income. Documenting these immediate consequences of the crisis reveals the potential for inequalities to become entrenched in the longer term.&quot;,&quot;publisher&quot;:&quot;Blackwell Publishing Ltd&quot;,&quot;issue&quot;:&quot;2&quot;,&quot;volume&quot;:&quot;41&quot;},&quot;isTemporary&quot;:false}],&quot;properties&quot;:{&quot;noteIndex&quot;:0},&quot;isEdited&quot;:false,&quot;manualOverride&quot;:{&quot;isManuallyOverriden&quot;:false,&quot;citeprocText&quot;:&quot;(Platt and Warwick, 2020)&quot;,&quot;manualOverrideText&quot;:&quot;&quot;}}"/>
          <w:id w:val="-639105755"/>
          <w:placeholder>
            <w:docPart w:val="DefaultPlaceholder_-1854013440"/>
          </w:placeholder>
        </w:sdtPr>
        <w:sdtEndPr/>
        <w:sdtContent>
          <w:r w:rsidR="00CE328D" w:rsidRPr="00CE328D">
            <w:rPr>
              <w:rFonts w:ascii="Calibri" w:hAnsi="Calibri"/>
              <w:color w:val="000000"/>
            </w:rPr>
            <w:t>(Platt and Warwick, 2020)</w:t>
          </w:r>
        </w:sdtContent>
      </w:sdt>
      <w:r w:rsidR="00ED665D">
        <w:rPr>
          <w:rFonts w:ascii="Calibri" w:hAnsi="Calibri"/>
        </w:rPr>
        <w:t xml:space="preserve">. </w:t>
      </w:r>
      <w:r w:rsidR="00E31F37">
        <w:rPr>
          <w:rFonts w:ascii="Calibri" w:hAnsi="Calibri"/>
        </w:rPr>
        <w:t xml:space="preserve">In a review </w:t>
      </w:r>
      <w:r w:rsidR="00640310">
        <w:rPr>
          <w:rFonts w:ascii="Calibri" w:hAnsi="Calibri"/>
        </w:rPr>
        <w:t xml:space="preserve">by </w:t>
      </w:r>
      <w:sdt>
        <w:sdtPr>
          <w:rPr>
            <w:rFonts w:ascii="Calibri" w:hAnsi="Calibri"/>
            <w:color w:val="000000"/>
          </w:rPr>
          <w:tag w:val="MENDELEY_CITATION_{&quot;citationID&quot;:&quot;MENDELEY_CITATION_6a8fd13d-b9fe-43f8-9e84-04532b54bad6&quot;,&quot;citationItems&quot;:[{&quot;id&quot;:&quot;266d4d62-cce7-367a-b0cc-208ea4e7aec9&quot;,&quot;itemData&quot;:{&quot;type&quot;:&quot;report&quot;,&quot;id&quot;:&quot;266d4d62-cce7-367a-b0cc-208ea4e7aec9&quot;,&quot;title&quot;:&quot;Beyond the Data: Understanding the Impact of COVID-19 on BAME Communities&quot;,&quot;author&quot;:[{&quot;family&quot;:&quot;Phe&quot;,&quot;given&quot;:&quot;&quot;,&quot;parse-names&quot;:false,&quot;dropping-particle&quot;:&quot;&quot;,&quot;non-dropping-particle&quot;:&quot;&quot;}],&quot;accessed&quot;:{&quot;date-parts&quot;:[[2021,3,18]]},&quot;URL&quot;:&quot;www.facebook.com/PublicHealthEngland&quot;,&quot;issued&quot;:{&quot;date-parts&quot;:[[2020]]},&quot;abstract&quot;:&quot;Public Health England exists to protect and improve the nation's health and wellbeing, and reduce health inequalities. We do this through world-leading science, research, knowledge and intelligence, advocacy, partnerships and the delivery of specialist public health services. We are an executive agency of the Department of Health and Social Care, and a distinct delivery organisation with operational autonomy. We provide government, local government, the NHS, Parliament, industry and the public with evidence-based professional, scientific and delivery expertise and support.&quot;},&quot;isTemporary&quot;:false}],&quot;properties&quot;:{&quot;noteIndex&quot;:0},&quot;isEdited&quot;:false,&quot;manualOverride&quot;:{&quot;isManuallyOverriden&quot;:false,&quot;citeprocText&quot;:&quot;(Phe, 2020b)&quot;,&quot;manualOverrideText&quot;:&quot;&quot;}}"/>
          <w:id w:val="171693577"/>
          <w:placeholder>
            <w:docPart w:val="DefaultPlaceholder_-1854013440"/>
          </w:placeholder>
        </w:sdtPr>
        <w:sdtEndPr/>
        <w:sdtContent>
          <w:r w:rsidR="00CE328D" w:rsidRPr="00CE328D">
            <w:rPr>
              <w:rFonts w:ascii="Calibri" w:hAnsi="Calibri"/>
              <w:color w:val="000000"/>
            </w:rPr>
            <w:t>(</w:t>
          </w:r>
          <w:proofErr w:type="spellStart"/>
          <w:r w:rsidR="00CE328D" w:rsidRPr="00CE328D">
            <w:rPr>
              <w:rFonts w:ascii="Calibri" w:hAnsi="Calibri"/>
              <w:color w:val="000000"/>
            </w:rPr>
            <w:t>Phe</w:t>
          </w:r>
          <w:proofErr w:type="spellEnd"/>
          <w:r w:rsidR="00CE328D" w:rsidRPr="00CE328D">
            <w:rPr>
              <w:rFonts w:ascii="Calibri" w:hAnsi="Calibri"/>
              <w:color w:val="000000"/>
            </w:rPr>
            <w:t>, 2020a)</w:t>
          </w:r>
        </w:sdtContent>
      </w:sdt>
      <w:r w:rsidR="00640310">
        <w:rPr>
          <w:rFonts w:ascii="Calibri" w:hAnsi="Calibri"/>
        </w:rPr>
        <w:t xml:space="preserve"> </w:t>
      </w:r>
      <w:r w:rsidR="00DA387A">
        <w:rPr>
          <w:rFonts w:ascii="Calibri" w:hAnsi="Calibri"/>
        </w:rPr>
        <w:t xml:space="preserve">it was discussed </w:t>
      </w:r>
      <w:r w:rsidR="000A5233">
        <w:rPr>
          <w:rFonts w:ascii="Calibri" w:hAnsi="Calibri"/>
        </w:rPr>
        <w:t xml:space="preserve">that </w:t>
      </w:r>
      <w:r w:rsidR="00DA387A">
        <w:rPr>
          <w:rFonts w:ascii="Calibri" w:hAnsi="Calibri"/>
        </w:rPr>
        <w:t xml:space="preserve">covid-19 </w:t>
      </w:r>
      <w:r w:rsidR="000A5233">
        <w:rPr>
          <w:rFonts w:ascii="Calibri" w:hAnsi="Calibri"/>
        </w:rPr>
        <w:t xml:space="preserve">exposed and exacerbated </w:t>
      </w:r>
      <w:r w:rsidR="00D87526">
        <w:rPr>
          <w:rFonts w:ascii="Calibri" w:hAnsi="Calibri"/>
        </w:rPr>
        <w:t xml:space="preserve">long standing inequalities affecting BAME communities </w:t>
      </w:r>
      <w:r w:rsidR="0035161D">
        <w:rPr>
          <w:rFonts w:ascii="Calibri" w:hAnsi="Calibri"/>
        </w:rPr>
        <w:t xml:space="preserve">in the UK. Data also from the ONS and PHE </w:t>
      </w:r>
      <w:r w:rsidR="00250381">
        <w:rPr>
          <w:rFonts w:ascii="Calibri" w:hAnsi="Calibri"/>
        </w:rPr>
        <w:t xml:space="preserve">analysis confirmed a strong </w:t>
      </w:r>
      <w:r w:rsidR="00BA03CE">
        <w:rPr>
          <w:rFonts w:ascii="Calibri" w:hAnsi="Calibri"/>
        </w:rPr>
        <w:t>association</w:t>
      </w:r>
      <w:r w:rsidR="00250381">
        <w:rPr>
          <w:rFonts w:ascii="Calibri" w:hAnsi="Calibri"/>
        </w:rPr>
        <w:t xml:space="preserve"> between economic </w:t>
      </w:r>
      <w:r w:rsidR="0023272D">
        <w:rPr>
          <w:rFonts w:ascii="Calibri" w:hAnsi="Calibri"/>
        </w:rPr>
        <w:t xml:space="preserve">disadvantage and covid-19. </w:t>
      </w:r>
      <w:sdt>
        <w:sdtPr>
          <w:rPr>
            <w:rFonts w:ascii="Calibri" w:hAnsi="Calibri"/>
            <w:color w:val="000000"/>
          </w:rPr>
          <w:tag w:val="MENDELEY_CITATION_{&quot;citationID&quot;:&quot;MENDELEY_CITATION_dc963b0c-3baa-44ab-a541-d40b5f27568f&quot;,&quot;citationItems&quot;:[{&quot;id&quot;:&quot;266d4d62-cce7-367a-b0cc-208ea4e7aec9&quot;,&quot;itemData&quot;:{&quot;type&quot;:&quot;report&quot;,&quot;id&quot;:&quot;266d4d62-cce7-367a-b0cc-208ea4e7aec9&quot;,&quot;title&quot;:&quot;Beyond the Data: Understanding the Impact of COVID-19 on BAME Communities&quot;,&quot;author&quot;:[{&quot;family&quot;:&quot;Phe&quot;,&quot;given&quot;:&quot;&quot;,&quot;parse-names&quot;:false,&quot;dropping-particle&quot;:&quot;&quot;,&quot;non-dropping-particle&quot;:&quot;&quot;}],&quot;accessed&quot;:{&quot;date-parts&quot;:[[2021,3,18]]},&quot;URL&quot;:&quot;www.facebook.com/PublicHealthEngland&quot;,&quot;issued&quot;:{&quot;date-parts&quot;:[[2020]]},&quot;abstract&quot;:&quot;Public Health England exists to protect and improve the nation's health and wellbeing, and reduce health inequalities. We do this through world-leading science, research, knowledge and intelligence, advocacy, partnerships and the delivery of specialist public health services. We are an executive agency of the Department of Health and Social Care, and a distinct delivery organisation with operational autonomy. We provide government, local government, the NHS, Parliament, industry and the public with evidence-based professional, scientific and delivery expertise and support.&quot;},&quot;isTemporary&quot;:false}],&quot;properties&quot;:{&quot;noteIndex&quot;:0},&quot;isEdited&quot;:false,&quot;manualOverride&quot;:{&quot;isManuallyOverriden&quot;:false,&quot;citeprocText&quot;:&quot;(Phe, 2020a)&quot;,&quot;manualOverrideText&quot;:&quot;&quot;}}"/>
          <w:id w:val="2005387856"/>
          <w:placeholder>
            <w:docPart w:val="DefaultPlaceholder_-1854013440"/>
          </w:placeholder>
        </w:sdtPr>
        <w:sdtEndPr/>
        <w:sdtContent>
          <w:r w:rsidR="00CE328D" w:rsidRPr="00CE328D">
            <w:rPr>
              <w:rFonts w:ascii="Calibri" w:hAnsi="Calibri"/>
              <w:color w:val="000000"/>
            </w:rPr>
            <w:t>(</w:t>
          </w:r>
          <w:proofErr w:type="spellStart"/>
          <w:r w:rsidR="00CE328D" w:rsidRPr="00CE328D">
            <w:rPr>
              <w:rFonts w:ascii="Calibri" w:hAnsi="Calibri"/>
              <w:color w:val="000000"/>
            </w:rPr>
            <w:t>Phe</w:t>
          </w:r>
          <w:proofErr w:type="spellEnd"/>
          <w:r w:rsidR="00CE328D" w:rsidRPr="00CE328D">
            <w:rPr>
              <w:rFonts w:ascii="Calibri" w:hAnsi="Calibri"/>
              <w:color w:val="000000"/>
            </w:rPr>
            <w:t>, 2020a)</w:t>
          </w:r>
        </w:sdtContent>
      </w:sdt>
    </w:p>
    <w:p w14:paraId="0F1FDAB6" w14:textId="11BC4FC8" w:rsidR="00F33002" w:rsidRDefault="000565A0" w:rsidP="005D240C">
      <w:pPr>
        <w:spacing w:line="360" w:lineRule="auto"/>
        <w:rPr>
          <w:rFonts w:ascii="Calibri" w:hAnsi="Calibri"/>
        </w:rPr>
      </w:pPr>
      <w:r>
        <w:rPr>
          <w:rFonts w:ascii="Calibri" w:hAnsi="Calibri"/>
        </w:rPr>
        <w:t>The s</w:t>
      </w:r>
      <w:r w:rsidR="00F33002">
        <w:rPr>
          <w:rFonts w:ascii="Calibri" w:hAnsi="Calibri"/>
        </w:rPr>
        <w:t>ocial</w:t>
      </w:r>
      <w:r w:rsidR="00B53F06">
        <w:rPr>
          <w:rFonts w:ascii="Calibri" w:hAnsi="Calibri"/>
        </w:rPr>
        <w:t xml:space="preserve">ly </w:t>
      </w:r>
      <w:r w:rsidR="00F33002">
        <w:rPr>
          <w:rFonts w:ascii="Calibri" w:hAnsi="Calibri"/>
        </w:rPr>
        <w:t>depr</w:t>
      </w:r>
      <w:r w:rsidR="005A0034">
        <w:rPr>
          <w:rFonts w:ascii="Calibri" w:hAnsi="Calibri"/>
        </w:rPr>
        <w:t>ived</w:t>
      </w:r>
      <w:r w:rsidR="00617AAC">
        <w:rPr>
          <w:rFonts w:ascii="Calibri" w:hAnsi="Calibri"/>
        </w:rPr>
        <w:t xml:space="preserve">, </w:t>
      </w:r>
      <w:r w:rsidR="005A0034">
        <w:rPr>
          <w:rFonts w:ascii="Calibri" w:hAnsi="Calibri"/>
        </w:rPr>
        <w:t xml:space="preserve">on a </w:t>
      </w:r>
      <w:r w:rsidR="0044760F">
        <w:rPr>
          <w:rFonts w:ascii="Calibri" w:hAnsi="Calibri"/>
        </w:rPr>
        <w:t>low income</w:t>
      </w:r>
      <w:r w:rsidR="005A0034">
        <w:rPr>
          <w:rFonts w:ascii="Calibri" w:hAnsi="Calibri"/>
        </w:rPr>
        <w:t xml:space="preserve"> or unemployed </w:t>
      </w:r>
      <w:r w:rsidR="00B53F06">
        <w:rPr>
          <w:rFonts w:ascii="Calibri" w:hAnsi="Calibri"/>
        </w:rPr>
        <w:t xml:space="preserve">groups </w:t>
      </w:r>
      <w:r w:rsidR="00EB6F8D">
        <w:rPr>
          <w:rFonts w:ascii="Calibri" w:hAnsi="Calibri"/>
        </w:rPr>
        <w:t xml:space="preserve">emphasised </w:t>
      </w:r>
      <w:r w:rsidR="00337BA0">
        <w:rPr>
          <w:rFonts w:ascii="Calibri" w:hAnsi="Calibri"/>
        </w:rPr>
        <w:t>not only in the UK</w:t>
      </w:r>
      <w:r w:rsidR="00B53F06">
        <w:rPr>
          <w:rFonts w:ascii="Calibri" w:hAnsi="Calibri"/>
        </w:rPr>
        <w:t xml:space="preserve"> </w:t>
      </w:r>
      <w:r w:rsidR="00674D8B">
        <w:rPr>
          <w:rFonts w:ascii="Calibri" w:hAnsi="Calibri"/>
        </w:rPr>
        <w:t>but globally</w:t>
      </w:r>
      <w:r w:rsidR="00EB6F8D">
        <w:rPr>
          <w:rFonts w:ascii="Calibri" w:hAnsi="Calibri"/>
        </w:rPr>
        <w:t xml:space="preserve"> </w:t>
      </w:r>
      <w:r w:rsidR="002202D5">
        <w:rPr>
          <w:rFonts w:ascii="Calibri" w:hAnsi="Calibri"/>
        </w:rPr>
        <w:t xml:space="preserve">have set </w:t>
      </w:r>
      <w:r w:rsidR="007A3D47">
        <w:rPr>
          <w:rFonts w:ascii="Calibri" w:hAnsi="Calibri"/>
        </w:rPr>
        <w:t>a trend in higher cases of covid-19 diagnosis and mortality</w:t>
      </w:r>
      <w:r w:rsidR="006F5B45">
        <w:rPr>
          <w:rFonts w:ascii="Calibri" w:hAnsi="Calibri"/>
        </w:rPr>
        <w:t xml:space="preserve"> </w:t>
      </w:r>
      <w:sdt>
        <w:sdtPr>
          <w:rPr>
            <w:rFonts w:ascii="Calibri" w:hAnsi="Calibri"/>
          </w:rPr>
          <w:tag w:val="MENDELEY_CITATION_{&quot;citationID&quot;:&quot;MENDELEY_CITATION_a3792749-0ef6-4b32-9bb9-1c57b155ab35&quot;,&quot;citationItems&quot;:[{&quot;id&quot;:&quot;d990261b-5ef9-3756-9d17-27e95fcd6915&quot;,&quot;itemData&quot;:{&quot;type&quot;:&quot;article-journal&quot;,&quot;id&quot;:&quot;d990261b-5ef9-3756-9d17-27e95fcd6915&quot;,&quot;title&quot;:&quot;Health equity and COVID-19: global perspectives&quot;,&quot;author&quot;:[{&quot;family&quot;:&quot;Shadmi&quot;,&quot;given&quot;:&quot;Efrat&quot;,&quot;parse-names&quot;:false,&quot;dropping-particle&quot;:&quot;&quot;,&quot;non-dropping-particle&quot;:&quot;&quot;},{&quot;family&quot;:&quot;Chen&quot;,&quot;given&quot;:&quot;Yingyao&quot;,&quot;parse-names&quot;:false,&quot;dropping-particle&quot;:&quot;&quot;,&quot;non-dropping-particle&quot;:&quot;&quot;},{&quot;family&quot;:&quot;Dourado&quot;,&quot;given&quot;:&quot;Inês&quot;,&quot;parse-names&quot;:false,&quot;dropping-particle&quot;:&quot;&quot;,&quot;non-dropping-particle&quot;:&quot;&quot;},{&quot;family&quot;:&quot;Faran-Perach&quot;,&quot;given&quot;:&quot;Inbal&quot;,&quot;parse-names&quot;:false,&quot;dropping-particle&quot;:&quot;&quot;,&quot;non-dropping-particle&quot;:&quot;&quot;},{&quot;family&quot;:&quot;Furler&quot;,&quot;given&quot;:&quot;John&quot;,&quot;parse-names&quot;:false,&quot;dropping-particle&quot;:&quot;&quot;,&quot;non-dropping-particle&quot;:&quot;&quot;},{&quot;family&quot;:&quot;Hangoma&quot;,&quot;given&quot;:&quot;Peter&quot;,&quot;parse-names&quot;:false,&quot;dropping-particle&quot;:&quot;&quot;,&quot;non-dropping-particle&quot;:&quot;&quot;},{&quot;family&quot;:&quot;Hanvoravongchai&quot;,&quot;given&quot;:&quot;Piya&quot;,&quot;parse-names&quot;:false,&quot;dropping-particle&quot;:&quot;&quot;,&quot;non-dropping-particle&quot;:&quot;&quot;},{&quot;family&quot;:&quot;Obando&quot;,&quot;given&quot;:&quot;Claudia&quot;,&quot;parse-names&quot;:false,&quot;dropping-particle&quot;:&quot;&quot;,&quot;non-dropping-particle&quot;:&quot;&quot;},{&quot;family&quot;:&quot;Petrosyan&quot;,&quot;given&quot;:&quot;Varduhi&quot;,&quot;parse-names&quot;:false,&quot;dropping-particle&quot;:&quot;&quot;,&quot;non-dropping-particle&quot;:&quot;&quot;},{&quot;family&quot;:&quot;Rao&quot;,&quot;given&quot;:&quot;Krishna D&quot;,&quot;parse-names&quot;:false,&quot;dropping-particle&quot;:&quot;&quot;,&quot;non-dropping-particle&quot;:&quot;&quot;},{&quot;family&quot;:&quot;Ruano&quot;,&quot;given&quot;:&quot;Ana Lorena&quot;,&quot;parse-names&quot;:false,&quot;dropping-particle&quot;:&quot;&quot;,&quot;non-dropping-particle&quot;:&quot;&quot;},{&quot;family&quot;:&quot;Shi&quot;,&quot;given&quot;:&quot;Leiyu&quot;,&quot;parse-names&quot;:false,&quot;dropping-particle&quot;:&quot;&quot;,&quot;non-dropping-particle&quot;:&quot;&quot;},{&quot;family&quot;:&quot;Eugenio De Souza&quot;,&quot;given&quot;:&quot;Luis&quot;,&quot;parse-names&quot;:false,&quot;dropping-particle&quot;:&quot;&quot;,&quot;non-dropping-particle&quot;:&quot;&quot;},{&quot;family&quot;:&quot;Spitzer-Shohat&quot;,&quot;given&quot;:&quot;Sivan&quot;,&quot;parse-names&quot;:false,&quot;dropping-particle&quot;:&quot;&quot;,&quot;non-dropping-particle&quot;:&quot;&quot;},{&quot;family&quot;:&quot;Sturgiss&quot;,&quot;given&quot;:&quot;Elizabeth&quot;,&quot;parse-names&quot;:false,&quot;dropping-particle&quot;:&quot;&quot;,&quot;non-dropping-particle&quot;:&quot;&quot;},{&quot;family&quot;:&quot;Suphanchaimat&quot;,&quot;given&quot;:&quot;Rapeepong&quot;,&quot;parse-names&quot;:false,&quot;dropping-particle&quot;:&quot;&quot;,&quot;non-dropping-particle&quot;:&quot;&quot;},{&quot;family&quot;:&quot;Uribe&quot;,&quot;given&quot;:&quot;Manuela Villar&quot;,&quot;parse-names&quot;:false,&quot;dropping-particle&quot;:&quot;&quot;,&quot;non-dropping-particle&quot;:&quot;&quot;},{&quot;family&quot;:&quot;Willems&quot;,&quot;given&quot;:&quot;Sara&quot;,&quot;parse-names&quot;:false,&quot;dropping-particle&quot;:&quot;&quot;,&quot;non-dropping-particle&quot;:&quot;&quot;}],&quot;accessed&quot;:{&quot;date-parts&quot;:[[2021,3,18]]},&quot;DOI&quot;:&quot;10.1186/s12939-020-01218-z&quot;,&quot;URL&quot;:&quot;https://doi.org/10.1186/s12939-020-01218-z&quot;,&quot;abstract&quot;:&quot;The COVID-19 is disproportionally affecting the poor, minorities and a broad range of vulnerable populations, due to its inequitable spread in areas of dense population and limited mitigation capacity due to high prevalence of chronic conditions or poor access to high quality public health and medical care. Moreover, the collateral effects of the pandemic due to the global economic downturn, and social isolation and movement restriction measures, are unequally affecting those in the lowest power strata of societies. To address the challenges to health equity and describe some of the approaches taken by governments and local organizations, we have compiled 13 country case studies from various regions around the world&quot;},&quot;isTemporary&quot;:false}],&quot;properties&quot;:{&quot;noteIndex&quot;:0},&quot;isEdited&quot;:false,&quot;manualOverride&quot;:{&quot;isManuallyOverriden&quot;:false,&quot;citeprocText&quot;:&quot;(Shadmi &lt;i&gt;et al.&lt;/i&gt;, no date)&quot;,&quot;manualOverrideText&quot;:&quot;&quot;}}"/>
          <w:id w:val="-1832434509"/>
          <w:placeholder>
            <w:docPart w:val="DefaultPlaceholder_-1854013440"/>
          </w:placeholder>
        </w:sdtPr>
        <w:sdtEndPr/>
        <w:sdtContent>
          <w:r w:rsidR="00CE328D">
            <w:rPr>
              <w:rFonts w:eastAsia="Times New Roman"/>
            </w:rPr>
            <w:t xml:space="preserve">(Shadmi </w:t>
          </w:r>
          <w:r w:rsidR="00CE328D">
            <w:rPr>
              <w:rFonts w:eastAsia="Times New Roman"/>
              <w:i/>
              <w:iCs/>
            </w:rPr>
            <w:t>et al.</w:t>
          </w:r>
          <w:r w:rsidR="00CE328D">
            <w:rPr>
              <w:rFonts w:eastAsia="Times New Roman"/>
            </w:rPr>
            <w:t>, no date)</w:t>
          </w:r>
        </w:sdtContent>
      </w:sdt>
      <w:r w:rsidR="007A3D47">
        <w:rPr>
          <w:rFonts w:ascii="Calibri" w:hAnsi="Calibri"/>
        </w:rPr>
        <w:t>.</w:t>
      </w:r>
      <w:r w:rsidR="00591B0E">
        <w:rPr>
          <w:rFonts w:ascii="Calibri" w:hAnsi="Calibri"/>
        </w:rPr>
        <w:t xml:space="preserve"> </w:t>
      </w:r>
      <w:r w:rsidR="00FC389E">
        <w:rPr>
          <w:rFonts w:ascii="Calibri" w:hAnsi="Calibri"/>
        </w:rPr>
        <w:t>Areas of poverty</w:t>
      </w:r>
      <w:r w:rsidR="00F72F3E">
        <w:rPr>
          <w:rFonts w:ascii="Calibri" w:hAnsi="Calibri"/>
        </w:rPr>
        <w:t xml:space="preserve"> usually more densely populated </w:t>
      </w:r>
      <w:r w:rsidR="00B25DE3">
        <w:rPr>
          <w:rFonts w:ascii="Calibri" w:hAnsi="Calibri"/>
        </w:rPr>
        <w:t xml:space="preserve">tend </w:t>
      </w:r>
      <w:r w:rsidR="00E44031">
        <w:rPr>
          <w:rFonts w:ascii="Calibri" w:hAnsi="Calibri"/>
        </w:rPr>
        <w:t xml:space="preserve">to have increased cases of </w:t>
      </w:r>
      <w:r w:rsidR="00793D4F">
        <w:rPr>
          <w:rFonts w:ascii="Calibri" w:hAnsi="Calibri"/>
        </w:rPr>
        <w:t xml:space="preserve">diseases relative to the social detriments of health. </w:t>
      </w:r>
      <w:r w:rsidR="003E153F">
        <w:rPr>
          <w:rFonts w:ascii="Calibri" w:hAnsi="Calibri"/>
        </w:rPr>
        <w:t xml:space="preserve">Data revealed </w:t>
      </w:r>
      <w:r w:rsidR="00793D4F">
        <w:rPr>
          <w:rFonts w:ascii="Calibri" w:hAnsi="Calibri"/>
        </w:rPr>
        <w:t>London</w:t>
      </w:r>
      <w:r w:rsidR="00B5410A">
        <w:rPr>
          <w:rFonts w:ascii="Calibri" w:hAnsi="Calibri"/>
        </w:rPr>
        <w:t xml:space="preserve"> (highest)</w:t>
      </w:r>
      <w:r w:rsidR="00BB751A">
        <w:rPr>
          <w:rFonts w:ascii="Calibri" w:hAnsi="Calibri"/>
        </w:rPr>
        <w:t xml:space="preserve">, </w:t>
      </w:r>
      <w:r w:rsidR="00B5410A">
        <w:rPr>
          <w:rFonts w:ascii="Calibri" w:hAnsi="Calibri"/>
        </w:rPr>
        <w:t xml:space="preserve">North West, </w:t>
      </w:r>
      <w:r w:rsidR="00AA6160">
        <w:rPr>
          <w:rFonts w:ascii="Calibri" w:hAnsi="Calibri"/>
        </w:rPr>
        <w:t>North</w:t>
      </w:r>
      <w:r w:rsidR="00B5410A">
        <w:rPr>
          <w:rFonts w:ascii="Calibri" w:hAnsi="Calibri"/>
        </w:rPr>
        <w:t xml:space="preserve"> East, West Midlands</w:t>
      </w:r>
      <w:r w:rsidR="008247A2">
        <w:rPr>
          <w:rFonts w:ascii="Calibri" w:hAnsi="Calibri"/>
        </w:rPr>
        <w:t xml:space="preserve"> as </w:t>
      </w:r>
      <w:r w:rsidR="0016206C">
        <w:rPr>
          <w:rFonts w:ascii="Calibri" w:hAnsi="Calibri"/>
        </w:rPr>
        <w:t xml:space="preserve">having the most </w:t>
      </w:r>
      <w:r w:rsidR="008247A2">
        <w:rPr>
          <w:rFonts w:ascii="Calibri" w:hAnsi="Calibri"/>
        </w:rPr>
        <w:t xml:space="preserve">diagnosis and death rates </w:t>
      </w:r>
      <w:r w:rsidR="00E80B6C">
        <w:rPr>
          <w:rFonts w:ascii="Calibri" w:hAnsi="Calibri"/>
        </w:rPr>
        <w:t xml:space="preserve">of covid-19 </w:t>
      </w:r>
      <w:r w:rsidR="008247A2">
        <w:rPr>
          <w:rFonts w:ascii="Calibri" w:hAnsi="Calibri"/>
        </w:rPr>
        <w:t xml:space="preserve">in the UK </w:t>
      </w:r>
      <w:sdt>
        <w:sdtPr>
          <w:rPr>
            <w:rFonts w:ascii="Calibri" w:hAnsi="Calibri"/>
          </w:rPr>
          <w:tag w:val="MENDELEY_CITATION_{&quot;citationID&quot;:&quot;MENDELEY_CITATION_4505f436-9cf0-4641-9048-8518b087832e&quot;,&quot;citationItems&quot;:[{&quot;id&quot;:&quot;5de3c88c-4152-3717-9a1c-de52b8d268b7&quot;,&quot;itemData&quot;:{&quot;type&quot;:&quot;report&quot;,&quot;id&quot;:&quot;5de3c88c-4152-3717-9a1c-de52b8d268b7&quot;,&quot;title&quot;:&quot;Disparities in the risk and outcomes of COVID-19&quot;,&quot;accessed&quot;:{&quot;date-parts&quot;:[[2021,3,18]]},&quot;URL&quot;:&quot;www.facebook.com/PublicHealthEngland&quot;,&quot;issued&quot;:{&quot;date-parts&quot;:[[2020]]}},&quot;isTemporary&quot;:false}],&quot;properties&quot;:{&quot;noteIndex&quot;:0},&quot;isEdited&quot;:false,&quot;manualOverride&quot;:{&quot;isManuallyOverriden&quot;:false,&quot;citeprocText&quot;:&quot;(&lt;i&gt;Disparities in the risk and outcomes of COVID-19&lt;/i&gt;, 2020)&quot;,&quot;manualOverrideText&quot;:&quot;&quot;}}"/>
          <w:id w:val="-1023469649"/>
          <w:placeholder>
            <w:docPart w:val="DefaultPlaceholder_-1854013440"/>
          </w:placeholder>
        </w:sdtPr>
        <w:sdtEndPr/>
        <w:sdtContent>
          <w:r w:rsidR="00CE328D">
            <w:rPr>
              <w:rFonts w:eastAsia="Times New Roman"/>
            </w:rPr>
            <w:t>(</w:t>
          </w:r>
          <w:r w:rsidR="00CE328D">
            <w:rPr>
              <w:rFonts w:eastAsia="Times New Roman"/>
              <w:i/>
              <w:iCs/>
            </w:rPr>
            <w:t>Disparities in the risk and outcomes of COVID-19</w:t>
          </w:r>
          <w:r w:rsidR="00CE328D">
            <w:rPr>
              <w:rFonts w:eastAsia="Times New Roman"/>
            </w:rPr>
            <w:t>, 2020)</w:t>
          </w:r>
        </w:sdtContent>
      </w:sdt>
      <w:r w:rsidR="00B5410A">
        <w:rPr>
          <w:rFonts w:ascii="Calibri" w:hAnsi="Calibri"/>
        </w:rPr>
        <w:t xml:space="preserve"> </w:t>
      </w:r>
      <w:r w:rsidR="0025450C">
        <w:rPr>
          <w:rFonts w:ascii="Calibri" w:hAnsi="Calibri"/>
        </w:rPr>
        <w:t xml:space="preserve">Those </w:t>
      </w:r>
      <w:r w:rsidR="00BD71B3">
        <w:rPr>
          <w:rFonts w:ascii="Calibri" w:hAnsi="Calibri"/>
        </w:rPr>
        <w:t xml:space="preserve">living within these communities are the most </w:t>
      </w:r>
      <w:r w:rsidR="000E49FF">
        <w:rPr>
          <w:rFonts w:ascii="Calibri" w:hAnsi="Calibri"/>
        </w:rPr>
        <w:t>vulnerable</w:t>
      </w:r>
      <w:r w:rsidR="007450F6">
        <w:rPr>
          <w:rFonts w:ascii="Calibri" w:hAnsi="Calibri"/>
        </w:rPr>
        <w:t xml:space="preserve">, they are predominantly </w:t>
      </w:r>
      <w:r w:rsidR="00293DB8">
        <w:rPr>
          <w:rFonts w:ascii="Calibri" w:hAnsi="Calibri"/>
        </w:rPr>
        <w:t xml:space="preserve">less educated in low paid work, bad diet </w:t>
      </w:r>
      <w:r w:rsidR="00623101">
        <w:rPr>
          <w:rFonts w:ascii="Calibri" w:hAnsi="Calibri"/>
        </w:rPr>
        <w:t>and habits</w:t>
      </w:r>
      <w:r w:rsidR="00307EAB">
        <w:rPr>
          <w:rFonts w:ascii="Calibri" w:hAnsi="Calibri"/>
        </w:rPr>
        <w:t xml:space="preserve"> </w:t>
      </w:r>
      <w:r w:rsidR="00CE7D6F">
        <w:rPr>
          <w:rFonts w:ascii="Calibri" w:hAnsi="Calibri"/>
        </w:rPr>
        <w:t xml:space="preserve">inducing related </w:t>
      </w:r>
      <w:r w:rsidR="00FC389E">
        <w:rPr>
          <w:rFonts w:ascii="Calibri" w:hAnsi="Calibri"/>
        </w:rPr>
        <w:t>diseases as</w:t>
      </w:r>
      <w:r w:rsidR="00623101">
        <w:rPr>
          <w:rFonts w:ascii="Calibri" w:hAnsi="Calibri"/>
        </w:rPr>
        <w:t xml:space="preserve"> well </w:t>
      </w:r>
      <w:r w:rsidR="00460015">
        <w:rPr>
          <w:rFonts w:ascii="Calibri" w:hAnsi="Calibri"/>
        </w:rPr>
        <w:t>as large</w:t>
      </w:r>
      <w:r w:rsidR="00623101">
        <w:rPr>
          <w:rFonts w:ascii="Calibri" w:hAnsi="Calibri"/>
        </w:rPr>
        <w:t xml:space="preserve"> BAME </w:t>
      </w:r>
      <w:r w:rsidR="00AA6160">
        <w:rPr>
          <w:rFonts w:ascii="Calibri" w:hAnsi="Calibri"/>
        </w:rPr>
        <w:t>communities</w:t>
      </w:r>
      <w:r w:rsidR="00623101">
        <w:rPr>
          <w:rFonts w:ascii="Calibri" w:hAnsi="Calibri"/>
        </w:rPr>
        <w:t xml:space="preserve"> that we have al</w:t>
      </w:r>
      <w:r w:rsidR="00A87770">
        <w:rPr>
          <w:rFonts w:ascii="Calibri" w:hAnsi="Calibri"/>
        </w:rPr>
        <w:t>ready established as high risk.</w:t>
      </w:r>
    </w:p>
    <w:p w14:paraId="3AECE5AC" w14:textId="35E15B8A" w:rsidR="003A3BB1" w:rsidRDefault="003A3BB1" w:rsidP="005D240C">
      <w:pPr>
        <w:spacing w:line="360" w:lineRule="auto"/>
        <w:rPr>
          <w:rFonts w:ascii="Calibri" w:hAnsi="Calibri"/>
        </w:rPr>
      </w:pPr>
    </w:p>
    <w:p w14:paraId="21819B65" w14:textId="2B536DC0" w:rsidR="003A3BB1" w:rsidRPr="004054DE" w:rsidRDefault="005C2DCE" w:rsidP="005D240C">
      <w:pPr>
        <w:spacing w:line="360" w:lineRule="auto"/>
        <w:rPr>
          <w:rFonts w:ascii="Calibri" w:hAnsi="Calibri"/>
          <w:b/>
          <w:i/>
          <w:sz w:val="28"/>
          <w:u w:val="single"/>
        </w:rPr>
      </w:pPr>
      <w:r>
        <w:rPr>
          <w:rFonts w:ascii="Calibri" w:hAnsi="Calibri"/>
          <w:b/>
          <w:i/>
          <w:sz w:val="28"/>
          <w:u w:val="single"/>
        </w:rPr>
        <w:t>Covid-19</w:t>
      </w:r>
      <w:r w:rsidR="005341F5">
        <w:rPr>
          <w:rFonts w:ascii="Calibri" w:hAnsi="Calibri"/>
          <w:b/>
          <w:i/>
          <w:sz w:val="28"/>
          <w:u w:val="single"/>
        </w:rPr>
        <w:t xml:space="preserve">, the </w:t>
      </w:r>
      <w:r w:rsidR="00191EAD">
        <w:rPr>
          <w:rFonts w:ascii="Calibri" w:hAnsi="Calibri"/>
          <w:b/>
          <w:i/>
          <w:sz w:val="28"/>
          <w:u w:val="single"/>
        </w:rPr>
        <w:t>world,</w:t>
      </w:r>
      <w:r w:rsidR="00B32CAE">
        <w:rPr>
          <w:rFonts w:ascii="Calibri" w:hAnsi="Calibri"/>
          <w:b/>
          <w:i/>
          <w:sz w:val="28"/>
          <w:u w:val="single"/>
        </w:rPr>
        <w:t xml:space="preserve"> and the UK </w:t>
      </w:r>
    </w:p>
    <w:p w14:paraId="071C09FA" w14:textId="230B05BA" w:rsidR="00FC6F0A" w:rsidRDefault="005A3A91" w:rsidP="005D240C">
      <w:pPr>
        <w:spacing w:line="360" w:lineRule="auto"/>
        <w:rPr>
          <w:rFonts w:ascii="Calibri" w:hAnsi="Calibri"/>
        </w:rPr>
      </w:pPr>
      <w:r>
        <w:rPr>
          <w:rFonts w:ascii="Calibri" w:hAnsi="Calibri"/>
        </w:rPr>
        <w:t>China</w:t>
      </w:r>
      <w:r w:rsidR="00DC2407">
        <w:rPr>
          <w:rFonts w:ascii="Calibri" w:hAnsi="Calibri"/>
        </w:rPr>
        <w:t xml:space="preserve">, where the outbreak began quickly put procedures into place to </w:t>
      </w:r>
      <w:r w:rsidR="00F430DB">
        <w:rPr>
          <w:rFonts w:ascii="Calibri" w:hAnsi="Calibri"/>
        </w:rPr>
        <w:t>stem the flow of infection.</w:t>
      </w:r>
      <w:r w:rsidR="00CF5460">
        <w:rPr>
          <w:rFonts w:ascii="Calibri" w:hAnsi="Calibri"/>
        </w:rPr>
        <w:t xml:space="preserve"> Almost all people are covered </w:t>
      </w:r>
      <w:r w:rsidR="004F0985">
        <w:rPr>
          <w:rFonts w:ascii="Calibri" w:hAnsi="Calibri"/>
        </w:rPr>
        <w:t xml:space="preserve">by </w:t>
      </w:r>
      <w:r w:rsidR="00FA493A">
        <w:rPr>
          <w:rFonts w:ascii="Calibri" w:hAnsi="Calibri"/>
        </w:rPr>
        <w:t xml:space="preserve">employee urban and rural medical insurance </w:t>
      </w:r>
      <w:r w:rsidR="007C2305">
        <w:rPr>
          <w:rFonts w:ascii="Calibri" w:hAnsi="Calibri"/>
        </w:rPr>
        <w:t>and healthcare, those schemes</w:t>
      </w:r>
      <w:r w:rsidR="00E1248F">
        <w:rPr>
          <w:rFonts w:ascii="Calibri" w:hAnsi="Calibri"/>
        </w:rPr>
        <w:t xml:space="preserve"> </w:t>
      </w:r>
      <w:r w:rsidR="00807639">
        <w:rPr>
          <w:rFonts w:ascii="Calibri" w:hAnsi="Calibri"/>
        </w:rPr>
        <w:t xml:space="preserve">reflect different benefit coverages </w:t>
      </w:r>
      <w:r w:rsidR="00E1248F">
        <w:rPr>
          <w:rFonts w:ascii="Calibri" w:hAnsi="Calibri"/>
        </w:rPr>
        <w:t>reflecting equity challenges</w:t>
      </w:r>
      <w:r w:rsidR="00F933F7">
        <w:rPr>
          <w:rFonts w:ascii="Calibri" w:hAnsi="Calibri"/>
        </w:rPr>
        <w:t xml:space="preserve"> ensuring that no matter what </w:t>
      </w:r>
      <w:r w:rsidR="00682C11">
        <w:rPr>
          <w:rFonts w:ascii="Calibri" w:hAnsi="Calibri"/>
        </w:rPr>
        <w:t xml:space="preserve">urban or rural </w:t>
      </w:r>
      <w:r w:rsidR="00AA6160">
        <w:rPr>
          <w:rFonts w:ascii="Calibri" w:hAnsi="Calibri"/>
        </w:rPr>
        <w:t>background</w:t>
      </w:r>
      <w:r w:rsidR="00682C11">
        <w:rPr>
          <w:rFonts w:ascii="Calibri" w:hAnsi="Calibri"/>
        </w:rPr>
        <w:t xml:space="preserve"> they would be covered by government </w:t>
      </w:r>
      <w:r w:rsidR="00A7409C">
        <w:rPr>
          <w:rFonts w:ascii="Calibri" w:hAnsi="Calibri"/>
        </w:rPr>
        <w:t xml:space="preserve">insurance funds and </w:t>
      </w:r>
      <w:r w:rsidR="00AA6160">
        <w:rPr>
          <w:rFonts w:ascii="Calibri" w:hAnsi="Calibri"/>
        </w:rPr>
        <w:t>subsidies</w:t>
      </w:r>
      <w:r w:rsidR="00A7409C">
        <w:rPr>
          <w:rFonts w:ascii="Calibri" w:hAnsi="Calibri"/>
        </w:rPr>
        <w:t xml:space="preserve"> </w:t>
      </w:r>
      <w:r w:rsidR="00E1248F">
        <w:rPr>
          <w:rFonts w:ascii="Calibri" w:hAnsi="Calibri"/>
        </w:rPr>
        <w:t xml:space="preserve"> </w:t>
      </w:r>
      <w:sdt>
        <w:sdtPr>
          <w:rPr>
            <w:rFonts w:ascii="Calibri" w:hAnsi="Calibri"/>
          </w:rPr>
          <w:tag w:val="MENDELEY_CITATION_{&quot;citationID&quot;:&quot;MENDELEY_CITATION_44f10098-b330-4b3b-868e-585235134983&quot;,&quot;citationItems&quot;:[{&quot;id&quot;:&quot;d990261b-5ef9-3756-9d17-27e95fcd6915&quot;,&quot;itemData&quot;:{&quot;type&quot;:&quot;article-journal&quot;,&quot;id&quot;:&quot;d990261b-5ef9-3756-9d17-27e95fcd6915&quot;,&quot;title&quot;:&quot;Health equity and COVID-19: global perspectives&quot;,&quot;author&quot;:[{&quot;family&quot;:&quot;Shadmi&quot;,&quot;given&quot;:&quot;Efrat&quot;,&quot;parse-names&quot;:false,&quot;dropping-particle&quot;:&quot;&quot;,&quot;non-dropping-particle&quot;:&quot;&quot;},{&quot;family&quot;:&quot;Chen&quot;,&quot;given&quot;:&quot;Yingyao&quot;,&quot;parse-names&quot;:false,&quot;dropping-particle&quot;:&quot;&quot;,&quot;non-dropping-particle&quot;:&quot;&quot;},{&quot;family&quot;:&quot;Dourado&quot;,&quot;given&quot;:&quot;Inês&quot;,&quot;parse-names&quot;:false,&quot;dropping-particle&quot;:&quot;&quot;,&quot;non-dropping-particle&quot;:&quot;&quot;},{&quot;family&quot;:&quot;Faran-Perach&quot;,&quot;given&quot;:&quot;Inbal&quot;,&quot;parse-names&quot;:false,&quot;dropping-particle&quot;:&quot;&quot;,&quot;non-dropping-particle&quot;:&quot;&quot;},{&quot;family&quot;:&quot;Furler&quot;,&quot;given&quot;:&quot;John&quot;,&quot;parse-names&quot;:false,&quot;dropping-particle&quot;:&quot;&quot;,&quot;non-dropping-particle&quot;:&quot;&quot;},{&quot;family&quot;:&quot;Hangoma&quot;,&quot;given&quot;:&quot;Peter&quot;,&quot;parse-names&quot;:false,&quot;dropping-particle&quot;:&quot;&quot;,&quot;non-dropping-particle&quot;:&quot;&quot;},{&quot;family&quot;:&quot;Hanvoravongchai&quot;,&quot;given&quot;:&quot;Piya&quot;,&quot;parse-names&quot;:false,&quot;dropping-particle&quot;:&quot;&quot;,&quot;non-dropping-particle&quot;:&quot;&quot;},{&quot;family&quot;:&quot;Obando&quot;,&quot;given&quot;:&quot;Claudia&quot;,&quot;parse-names&quot;:false,&quot;dropping-particle&quot;:&quot;&quot;,&quot;non-dropping-particle&quot;:&quot;&quot;},{&quot;family&quot;:&quot;Petrosyan&quot;,&quot;given&quot;:&quot;Varduhi&quot;,&quot;parse-names&quot;:false,&quot;dropping-particle&quot;:&quot;&quot;,&quot;non-dropping-particle&quot;:&quot;&quot;},{&quot;family&quot;:&quot;Rao&quot;,&quot;given&quot;:&quot;Krishna D&quot;,&quot;parse-names&quot;:false,&quot;dropping-particle&quot;:&quot;&quot;,&quot;non-dropping-particle&quot;:&quot;&quot;},{&quot;family&quot;:&quot;Ruano&quot;,&quot;given&quot;:&quot;Ana Lorena&quot;,&quot;parse-names&quot;:false,&quot;dropping-particle&quot;:&quot;&quot;,&quot;non-dropping-particle&quot;:&quot;&quot;},{&quot;family&quot;:&quot;Shi&quot;,&quot;given&quot;:&quot;Leiyu&quot;,&quot;parse-names&quot;:false,&quot;dropping-particle&quot;:&quot;&quot;,&quot;non-dropping-particle&quot;:&quot;&quot;},{&quot;family&quot;:&quot;Eugenio De Souza&quot;,&quot;given&quot;:&quot;Luis&quot;,&quot;parse-names&quot;:false,&quot;dropping-particle&quot;:&quot;&quot;,&quot;non-dropping-particle&quot;:&quot;&quot;},{&quot;family&quot;:&quot;Spitzer-Shohat&quot;,&quot;given&quot;:&quot;Sivan&quot;,&quot;parse-names&quot;:false,&quot;dropping-particle&quot;:&quot;&quot;,&quot;non-dropping-particle&quot;:&quot;&quot;},{&quot;family&quot;:&quot;Sturgiss&quot;,&quot;given&quot;:&quot;Elizabeth&quot;,&quot;parse-names&quot;:false,&quot;dropping-particle&quot;:&quot;&quot;,&quot;non-dropping-particle&quot;:&quot;&quot;},{&quot;family&quot;:&quot;Suphanchaimat&quot;,&quot;given&quot;:&quot;Rapeepong&quot;,&quot;parse-names&quot;:false,&quot;dropping-particle&quot;:&quot;&quot;,&quot;non-dropping-particle&quot;:&quot;&quot;},{&quot;family&quot;:&quot;Uribe&quot;,&quot;given&quot;:&quot;Manuela Villar&quot;,&quot;parse-names&quot;:false,&quot;dropping-particle&quot;:&quot;&quot;,&quot;non-dropping-particle&quot;:&quot;&quot;},{&quot;family&quot;:&quot;Willems&quot;,&quot;given&quot;:&quot;Sara&quot;,&quot;parse-names&quot;:false,&quot;dropping-particle&quot;:&quot;&quot;,&quot;non-dropping-particle&quot;:&quot;&quot;}],&quot;accessed&quot;:{&quot;date-parts&quot;:[[2021,3,18]]},&quot;DOI&quot;:&quot;10.1186/s12939-020-01218-z&quot;,&quot;URL&quot;:&quot;https://doi.org/10.1186/s12939-020-01218-z&quot;,&quot;abstract&quot;:&quot;The COVID-19 is disproportionally affecting the poor, minorities and a broad range of vulnerable populations, due to its inequitable spread in areas of dense population and limited mitigation capacity due to high prevalence of chronic conditions or poor access to high quality public health and medical care. Moreover, the collateral effects of the pandemic due to the global economic downturn, and social isolation and movement restriction measures, are unequally affecting those in the lowest power strata of societies. To address the challenges to health equity and describe some of the approaches taken by governments and local organizations, we have compiled 13 country case studies from various regions around the world&quot;},&quot;isTemporary&quot;:false}],&quot;properties&quot;:{&quot;noteIndex&quot;:0},&quot;isEdited&quot;:false,&quot;manualOverride&quot;:{&quot;isManuallyOverriden&quot;:false,&quot;citeprocText&quot;:&quot;(Shadmi &lt;i&gt;et al.&lt;/i&gt;, no date)&quot;,&quot;manualOverrideText&quot;:&quot;&quot;}}"/>
          <w:id w:val="2002771576"/>
          <w:placeholder>
            <w:docPart w:val="DefaultPlaceholder_-1854013440"/>
          </w:placeholder>
        </w:sdtPr>
        <w:sdtEndPr/>
        <w:sdtContent>
          <w:r w:rsidR="00CE328D">
            <w:rPr>
              <w:rFonts w:eastAsia="Times New Roman"/>
            </w:rPr>
            <w:t xml:space="preserve">(Shadmi </w:t>
          </w:r>
          <w:r w:rsidR="00CE328D">
            <w:rPr>
              <w:rFonts w:eastAsia="Times New Roman"/>
              <w:i/>
              <w:iCs/>
            </w:rPr>
            <w:t>et al.</w:t>
          </w:r>
          <w:r w:rsidR="00CE328D">
            <w:rPr>
              <w:rFonts w:eastAsia="Times New Roman"/>
            </w:rPr>
            <w:t>, no date)</w:t>
          </w:r>
        </w:sdtContent>
      </w:sdt>
      <w:r w:rsidR="00A7409C">
        <w:rPr>
          <w:rFonts w:ascii="Calibri" w:hAnsi="Calibri"/>
        </w:rPr>
        <w:t xml:space="preserve">. </w:t>
      </w:r>
      <w:r w:rsidR="003A39DB">
        <w:rPr>
          <w:rFonts w:ascii="Calibri" w:hAnsi="Calibri"/>
        </w:rPr>
        <w:t>In</w:t>
      </w:r>
      <w:r w:rsidR="00344C0D">
        <w:rPr>
          <w:rFonts w:ascii="Calibri" w:hAnsi="Calibri"/>
        </w:rPr>
        <w:t xml:space="preserve"> comparison Brazil </w:t>
      </w:r>
      <w:r w:rsidR="00134142">
        <w:rPr>
          <w:rFonts w:ascii="Calibri" w:hAnsi="Calibri"/>
        </w:rPr>
        <w:lastRenderedPageBreak/>
        <w:t xml:space="preserve">with one of the highest </w:t>
      </w:r>
      <w:r w:rsidR="009C432B">
        <w:rPr>
          <w:rFonts w:ascii="Calibri" w:hAnsi="Calibri"/>
        </w:rPr>
        <w:t xml:space="preserve">Covid-19 </w:t>
      </w:r>
      <w:r w:rsidR="00AA6160">
        <w:rPr>
          <w:rFonts w:ascii="Calibri" w:hAnsi="Calibri"/>
        </w:rPr>
        <w:t>transmission</w:t>
      </w:r>
      <w:r w:rsidR="00134142">
        <w:rPr>
          <w:rFonts w:ascii="Calibri" w:hAnsi="Calibri"/>
        </w:rPr>
        <w:t xml:space="preserve"> rates in the </w:t>
      </w:r>
      <w:r w:rsidR="00FC389E">
        <w:rPr>
          <w:rFonts w:ascii="Calibri" w:hAnsi="Calibri"/>
        </w:rPr>
        <w:t>world,</w:t>
      </w:r>
      <w:r w:rsidR="003A39DB">
        <w:rPr>
          <w:rFonts w:ascii="Calibri" w:hAnsi="Calibri"/>
        </w:rPr>
        <w:t xml:space="preserve"> spread</w:t>
      </w:r>
      <w:r w:rsidR="002226B1">
        <w:rPr>
          <w:rFonts w:ascii="Calibri" w:hAnsi="Calibri"/>
        </w:rPr>
        <w:t xml:space="preserve"> from upper class well educated mostly white</w:t>
      </w:r>
      <w:r w:rsidR="00371DA1">
        <w:rPr>
          <w:rFonts w:ascii="Calibri" w:hAnsi="Calibri"/>
        </w:rPr>
        <w:t xml:space="preserve"> indi</w:t>
      </w:r>
      <w:r w:rsidR="00DE5C4F">
        <w:rPr>
          <w:rFonts w:ascii="Calibri" w:hAnsi="Calibri"/>
        </w:rPr>
        <w:t xml:space="preserve">viduals </w:t>
      </w:r>
      <w:r w:rsidR="002226B1">
        <w:rPr>
          <w:rFonts w:ascii="Calibri" w:hAnsi="Calibri"/>
        </w:rPr>
        <w:t>who arrived by plane</w:t>
      </w:r>
      <w:r w:rsidR="00CC375A">
        <w:rPr>
          <w:rFonts w:ascii="Calibri" w:hAnsi="Calibri"/>
        </w:rPr>
        <w:t xml:space="preserve"> who </w:t>
      </w:r>
      <w:r w:rsidR="00D62A47">
        <w:rPr>
          <w:rFonts w:ascii="Calibri" w:hAnsi="Calibri"/>
        </w:rPr>
        <w:t>thereby passed</w:t>
      </w:r>
      <w:r w:rsidR="002226B1">
        <w:rPr>
          <w:rFonts w:ascii="Calibri" w:hAnsi="Calibri"/>
        </w:rPr>
        <w:t xml:space="preserve"> on the virus to the </w:t>
      </w:r>
      <w:r w:rsidR="00B9014F">
        <w:rPr>
          <w:rFonts w:ascii="Calibri" w:hAnsi="Calibri"/>
        </w:rPr>
        <w:t xml:space="preserve">low income, </w:t>
      </w:r>
      <w:r w:rsidR="002226B1">
        <w:rPr>
          <w:rFonts w:ascii="Calibri" w:hAnsi="Calibri"/>
        </w:rPr>
        <w:t xml:space="preserve">poor domestic workers </w:t>
      </w:r>
      <w:r w:rsidR="00B9014F">
        <w:rPr>
          <w:rFonts w:ascii="Calibri" w:hAnsi="Calibri"/>
        </w:rPr>
        <w:t xml:space="preserve">who then </w:t>
      </w:r>
      <w:r w:rsidR="00DE5C4F">
        <w:rPr>
          <w:rFonts w:ascii="Calibri" w:hAnsi="Calibri"/>
        </w:rPr>
        <w:t xml:space="preserve">in </w:t>
      </w:r>
      <w:r w:rsidR="002226B1">
        <w:rPr>
          <w:rFonts w:ascii="Calibri" w:hAnsi="Calibri"/>
        </w:rPr>
        <w:t xml:space="preserve">turn spread </w:t>
      </w:r>
      <w:r w:rsidR="00AA6160">
        <w:rPr>
          <w:rFonts w:ascii="Calibri" w:hAnsi="Calibri"/>
        </w:rPr>
        <w:t>through</w:t>
      </w:r>
      <w:r w:rsidR="003A39DB">
        <w:rPr>
          <w:rFonts w:ascii="Calibri" w:hAnsi="Calibri"/>
        </w:rPr>
        <w:t xml:space="preserve"> the </w:t>
      </w:r>
      <w:r w:rsidR="00FC389E">
        <w:rPr>
          <w:rFonts w:ascii="Calibri" w:hAnsi="Calibri"/>
        </w:rPr>
        <w:t>poverty-stricken</w:t>
      </w:r>
      <w:r w:rsidR="003A39DB">
        <w:rPr>
          <w:rFonts w:ascii="Calibri" w:hAnsi="Calibri"/>
        </w:rPr>
        <w:t xml:space="preserve"> </w:t>
      </w:r>
      <w:r w:rsidR="004C6766">
        <w:rPr>
          <w:rFonts w:ascii="Calibri" w:hAnsi="Calibri"/>
        </w:rPr>
        <w:t>communities</w:t>
      </w:r>
      <w:r w:rsidR="00173BE9">
        <w:rPr>
          <w:rFonts w:ascii="Calibri" w:hAnsi="Calibri"/>
        </w:rPr>
        <w:t xml:space="preserve">. Brazil </w:t>
      </w:r>
      <w:r w:rsidR="003A39DB">
        <w:rPr>
          <w:rFonts w:ascii="Calibri" w:hAnsi="Calibri"/>
        </w:rPr>
        <w:t>also</w:t>
      </w:r>
      <w:r w:rsidR="001F2A54">
        <w:rPr>
          <w:rFonts w:ascii="Calibri" w:hAnsi="Calibri"/>
        </w:rPr>
        <w:t xml:space="preserve"> </w:t>
      </w:r>
      <w:r w:rsidR="00173BE9">
        <w:rPr>
          <w:rFonts w:ascii="Calibri" w:hAnsi="Calibri"/>
        </w:rPr>
        <w:t xml:space="preserve">has the </w:t>
      </w:r>
      <w:r w:rsidR="001F2A54">
        <w:rPr>
          <w:rFonts w:ascii="Calibri" w:hAnsi="Calibri"/>
        </w:rPr>
        <w:t>highest number of ICU beds</w:t>
      </w:r>
      <w:r w:rsidR="00387380">
        <w:rPr>
          <w:rFonts w:ascii="Calibri" w:hAnsi="Calibri"/>
        </w:rPr>
        <w:t xml:space="preserve"> in the world </w:t>
      </w:r>
      <w:r w:rsidR="008D7FDA">
        <w:rPr>
          <w:rFonts w:ascii="Calibri" w:hAnsi="Calibri"/>
        </w:rPr>
        <w:t xml:space="preserve">with </w:t>
      </w:r>
      <w:r w:rsidR="00F7346F">
        <w:rPr>
          <w:rFonts w:ascii="Calibri" w:hAnsi="Calibri"/>
        </w:rPr>
        <w:t xml:space="preserve">health inequities </w:t>
      </w:r>
      <w:r w:rsidR="008D7FDA">
        <w:rPr>
          <w:rFonts w:ascii="Calibri" w:hAnsi="Calibri"/>
        </w:rPr>
        <w:t>observed</w:t>
      </w:r>
      <w:r w:rsidR="00A67371">
        <w:rPr>
          <w:rFonts w:ascii="Calibri" w:hAnsi="Calibri"/>
        </w:rPr>
        <w:t xml:space="preserve"> with 2.58 ICU beds per 10,000 in the richest region</w:t>
      </w:r>
      <w:r w:rsidR="00466831">
        <w:rPr>
          <w:rFonts w:ascii="Calibri" w:hAnsi="Calibri"/>
        </w:rPr>
        <w:t xml:space="preserve"> compared with just 1.23 and 1.35 per 10,000 in the poorest</w:t>
      </w:r>
      <w:r w:rsidR="00E822AE">
        <w:rPr>
          <w:rFonts w:ascii="Calibri" w:hAnsi="Calibri"/>
        </w:rPr>
        <w:t xml:space="preserve"> </w:t>
      </w:r>
      <w:sdt>
        <w:sdtPr>
          <w:rPr>
            <w:rFonts w:ascii="Calibri" w:hAnsi="Calibri"/>
          </w:rPr>
          <w:tag w:val="MENDELEY_CITATION_{&quot;citationID&quot;:&quot;MENDELEY_CITATION_26cbc148-6cc9-4e81-9da7-867297cbdabc&quot;,&quot;citationItems&quot;:[{&quot;id&quot;:&quot;d990261b-5ef9-3756-9d17-27e95fcd6915&quot;,&quot;itemData&quot;:{&quot;type&quot;:&quot;article-journal&quot;,&quot;id&quot;:&quot;d990261b-5ef9-3756-9d17-27e95fcd6915&quot;,&quot;title&quot;:&quot;Health equity and COVID-19: global perspectives&quot;,&quot;author&quot;:[{&quot;family&quot;:&quot;Shadmi&quot;,&quot;given&quot;:&quot;Efrat&quot;,&quot;parse-names&quot;:false,&quot;dropping-particle&quot;:&quot;&quot;,&quot;non-dropping-particle&quot;:&quot;&quot;},{&quot;family&quot;:&quot;Chen&quot;,&quot;given&quot;:&quot;Yingyao&quot;,&quot;parse-names&quot;:false,&quot;dropping-particle&quot;:&quot;&quot;,&quot;non-dropping-particle&quot;:&quot;&quot;},{&quot;family&quot;:&quot;Dourado&quot;,&quot;given&quot;:&quot;Inês&quot;,&quot;parse-names&quot;:false,&quot;dropping-particle&quot;:&quot;&quot;,&quot;non-dropping-particle&quot;:&quot;&quot;},{&quot;family&quot;:&quot;Faran-Perach&quot;,&quot;given&quot;:&quot;Inbal&quot;,&quot;parse-names&quot;:false,&quot;dropping-particle&quot;:&quot;&quot;,&quot;non-dropping-particle&quot;:&quot;&quot;},{&quot;family&quot;:&quot;Furler&quot;,&quot;given&quot;:&quot;John&quot;,&quot;parse-names&quot;:false,&quot;dropping-particle&quot;:&quot;&quot;,&quot;non-dropping-particle&quot;:&quot;&quot;},{&quot;family&quot;:&quot;Hangoma&quot;,&quot;given&quot;:&quot;Peter&quot;,&quot;parse-names&quot;:false,&quot;dropping-particle&quot;:&quot;&quot;,&quot;non-dropping-particle&quot;:&quot;&quot;},{&quot;family&quot;:&quot;Hanvoravongchai&quot;,&quot;given&quot;:&quot;Piya&quot;,&quot;parse-names&quot;:false,&quot;dropping-particle&quot;:&quot;&quot;,&quot;non-dropping-particle&quot;:&quot;&quot;},{&quot;family&quot;:&quot;Obando&quot;,&quot;given&quot;:&quot;Claudia&quot;,&quot;parse-names&quot;:false,&quot;dropping-particle&quot;:&quot;&quot;,&quot;non-dropping-particle&quot;:&quot;&quot;},{&quot;family&quot;:&quot;Petrosyan&quot;,&quot;given&quot;:&quot;Varduhi&quot;,&quot;parse-names&quot;:false,&quot;dropping-particle&quot;:&quot;&quot;,&quot;non-dropping-particle&quot;:&quot;&quot;},{&quot;family&quot;:&quot;Rao&quot;,&quot;given&quot;:&quot;Krishna D&quot;,&quot;parse-names&quot;:false,&quot;dropping-particle&quot;:&quot;&quot;,&quot;non-dropping-particle&quot;:&quot;&quot;},{&quot;family&quot;:&quot;Ruano&quot;,&quot;given&quot;:&quot;Ana Lorena&quot;,&quot;parse-names&quot;:false,&quot;dropping-particle&quot;:&quot;&quot;,&quot;non-dropping-particle&quot;:&quot;&quot;},{&quot;family&quot;:&quot;Shi&quot;,&quot;given&quot;:&quot;Leiyu&quot;,&quot;parse-names&quot;:false,&quot;dropping-particle&quot;:&quot;&quot;,&quot;non-dropping-particle&quot;:&quot;&quot;},{&quot;family&quot;:&quot;Eugenio De Souza&quot;,&quot;given&quot;:&quot;Luis&quot;,&quot;parse-names&quot;:false,&quot;dropping-particle&quot;:&quot;&quot;,&quot;non-dropping-particle&quot;:&quot;&quot;},{&quot;family&quot;:&quot;Spitzer-Shohat&quot;,&quot;given&quot;:&quot;Sivan&quot;,&quot;parse-names&quot;:false,&quot;dropping-particle&quot;:&quot;&quot;,&quot;non-dropping-particle&quot;:&quot;&quot;},{&quot;family&quot;:&quot;Sturgiss&quot;,&quot;given&quot;:&quot;Elizabeth&quot;,&quot;parse-names&quot;:false,&quot;dropping-particle&quot;:&quot;&quot;,&quot;non-dropping-particle&quot;:&quot;&quot;},{&quot;family&quot;:&quot;Suphanchaimat&quot;,&quot;given&quot;:&quot;Rapeepong&quot;,&quot;parse-names&quot;:false,&quot;dropping-particle&quot;:&quot;&quot;,&quot;non-dropping-particle&quot;:&quot;&quot;},{&quot;family&quot;:&quot;Uribe&quot;,&quot;given&quot;:&quot;Manuela Villar&quot;,&quot;parse-names&quot;:false,&quot;dropping-particle&quot;:&quot;&quot;,&quot;non-dropping-particle&quot;:&quot;&quot;},{&quot;family&quot;:&quot;Willems&quot;,&quot;given&quot;:&quot;Sara&quot;,&quot;parse-names&quot;:false,&quot;dropping-particle&quot;:&quot;&quot;,&quot;non-dropping-particle&quot;:&quot;&quot;}],&quot;accessed&quot;:{&quot;date-parts&quot;:[[2021,3,18]]},&quot;DOI&quot;:&quot;10.1186/s12939-020-01218-z&quot;,&quot;URL&quot;:&quot;https://doi.org/10.1186/s12939-020-01218-z&quot;,&quot;abstract&quot;:&quot;The COVID-19 is disproportionally affecting the poor, minorities and a broad range of vulnerable populations, due to its inequitable spread in areas of dense population and limited mitigation capacity due to high prevalence of chronic conditions or poor access to high quality public health and medical care. Moreover, the collateral effects of the pandemic due to the global economic downturn, and social isolation and movement restriction measures, are unequally affecting those in the lowest power strata of societies. To address the challenges to health equity and describe some of the approaches taken by governments and local organizations, we have compiled 13 country case studies from various regions around the world&quot;},&quot;isTemporary&quot;:false}],&quot;properties&quot;:{&quot;noteIndex&quot;:0},&quot;isEdited&quot;:false,&quot;manualOverride&quot;:{&quot;isManuallyOverriden&quot;:false,&quot;citeprocText&quot;:&quot;(Shadmi &lt;i&gt;et al.&lt;/i&gt;, no date)&quot;,&quot;manualOverrideText&quot;:&quot;&quot;}}"/>
          <w:id w:val="-836926261"/>
          <w:placeholder>
            <w:docPart w:val="DefaultPlaceholder_-1854013440"/>
          </w:placeholder>
        </w:sdtPr>
        <w:sdtEndPr/>
        <w:sdtContent>
          <w:r w:rsidR="00CE328D">
            <w:rPr>
              <w:rFonts w:eastAsia="Times New Roman"/>
            </w:rPr>
            <w:t xml:space="preserve">(Shadmi </w:t>
          </w:r>
          <w:r w:rsidR="00CE328D">
            <w:rPr>
              <w:rFonts w:eastAsia="Times New Roman"/>
              <w:i/>
              <w:iCs/>
            </w:rPr>
            <w:t>et al.</w:t>
          </w:r>
          <w:r w:rsidR="00CE328D">
            <w:rPr>
              <w:rFonts w:eastAsia="Times New Roman"/>
            </w:rPr>
            <w:t>, no date)</w:t>
          </w:r>
        </w:sdtContent>
      </w:sdt>
      <w:r w:rsidR="00173BE9">
        <w:rPr>
          <w:rFonts w:ascii="Calibri" w:hAnsi="Calibri"/>
        </w:rPr>
        <w:t xml:space="preserve">. </w:t>
      </w:r>
    </w:p>
    <w:p w14:paraId="43CD2005" w14:textId="35A06AAF" w:rsidR="00F33002" w:rsidRDefault="00E43FB7" w:rsidP="005D240C">
      <w:pPr>
        <w:spacing w:line="360" w:lineRule="auto"/>
        <w:rPr>
          <w:rFonts w:ascii="Calibri" w:hAnsi="Calibri"/>
        </w:rPr>
      </w:pPr>
      <w:r>
        <w:rPr>
          <w:rFonts w:ascii="Calibri" w:hAnsi="Calibri"/>
        </w:rPr>
        <w:t xml:space="preserve">In an article </w:t>
      </w:r>
      <w:r w:rsidR="00FC6F0A">
        <w:rPr>
          <w:rFonts w:ascii="Calibri" w:hAnsi="Calibri"/>
        </w:rPr>
        <w:t xml:space="preserve">using </w:t>
      </w:r>
      <w:r w:rsidR="00FC389E">
        <w:rPr>
          <w:rFonts w:ascii="Calibri" w:hAnsi="Calibri"/>
        </w:rPr>
        <w:t>evidence-based</w:t>
      </w:r>
      <w:r w:rsidR="00FC6F0A">
        <w:rPr>
          <w:rFonts w:ascii="Calibri" w:hAnsi="Calibri"/>
        </w:rPr>
        <w:t xml:space="preserve"> data </w:t>
      </w:r>
      <w:sdt>
        <w:sdtPr>
          <w:rPr>
            <w:rFonts w:ascii="Calibri" w:hAnsi="Calibri"/>
          </w:rPr>
          <w:tag w:val="MENDELEY_CITATION_{&quot;citationID&quot;:&quot;MENDELEY_CITATION_aa22a034-e33b-4af2-8340-deeb16ad18b4&quot;,&quot;citationItems&quot;:[{&quot;id&quot;:&quot;6f0fa12f-5c14-33a4-b8cf-3d4b52a0f17b&quot;,&quot;itemData&quot;:{&quot;type&quot;:&quot;article-journal&quot;,&quot;id&quot;:&quot;6f0fa12f-5c14-33a4-b8cf-3d4b52a0f17b&quot;,&quot;title&quot;:&quot;Black-White Risk Differentials in COVID-19 (SARS-COV2) Transmission, Mortality and Case Fatality in the United States: Translational Epidemiologic Perspective and Challenges&quot;,&quot;author&quot;:[{&quot;family&quot;:&quot;Holmes&quot;,&quot;given&quot;:&quot;Laurens&quot;,&quot;parse-names&quot;:false,&quot;dropping-particle&quot;:&quot;&quot;,&quot;non-dropping-particle&quot;:&quot;&quot;},{&quot;family&quot;:&quot;Enwere&quot;,&quot;given&quot;:&quot;Michael&quot;,&quot;parse-names&quot;:false,&quot;dropping-particle&quot;:&quot;&quot;,&quot;non-dropping-particle&quot;:&quot;&quot;},{&quot;family&quot;:&quot;Williams&quot;,&quot;given&quot;:&quot;Janille&quot;,&quot;parse-names&quot;:false,&quot;dropping-particle&quot;:&quot;&quot;,&quot;non-dropping-particle&quot;:&quot;&quot;},{&quot;family&quot;:&quot;Ogundele&quot;,&quot;given&quot;:&quot;Benjamin&quot;,&quot;parse-names&quot;:false,&quot;dropping-particle&quot;:&quot;&quot;,&quot;non-dropping-particle&quot;:&quot;&quot;},{&quot;family&quot;:&quot;Chavan&quot;,&quot;given&quot;:&quot;Prachi&quot;,&quot;parse-names&quot;:false,&quot;dropping-particle&quot;:&quot;&quot;,&quot;non-dropping-particle&quot;:&quot;&quot;},{&quot;family&quot;:&quot;Piccoli&quot;,&quot;given&quot;:&quot;Tatiana&quot;,&quot;parse-names&quot;:false,&quot;dropping-particle&quot;:&quot;&quot;,&quot;non-dropping-particle&quot;:&quot;&quot;},{&quot;family&quot;:&quot;Chinaka&quot;,&quot;given&quot;:&quot;Chinacherem&quot;,&quot;parse-names&quot;:false,&quot;dropping-particle&quot;:&quot;&quot;,&quot;non-dropping-particle&quot;:&quot;&quot;},{&quot;family&quot;:&quot;Comeaux&quot;,&quot;given&quot;:&quot;Camillia&quot;,&quot;parse-names&quot;:false,&quot;dropping-particle&quot;:&quot;&quot;,&quot;non-dropping-particle&quot;:&quot;&quot;},{&quot;family&quot;:&quot;Pelaez&quot;,&quot;given&quot;:&quot;Lavisha&quot;,&quot;parse-names&quot;:false,&quot;dropping-particle&quot;:&quot;&quot;,&quot;non-dropping-particle&quot;:&quot;&quot;},{&quot;family&quot;:&quot;Okundaye&quot;,&quot;given&quot;:&quot;Osatohamwen&quot;,&quot;parse-names&quot;:false,&quot;dropping-particle&quot;:&quot;&quot;,&quot;non-dropping-particle&quot;:&quot;&quot;},{&quot;family&quot;:&quot;Stalnaker&quot;,&quot;given&quot;:&quot;Leslie&quot;,&quot;parse-names&quot;:false,&quot;dropping-particle&quot;:&quot;&quot;,&quot;non-dropping-particle&quot;:&quot;&quot;},{&quot;family&quot;:&quot;Kalle&quot;,&quot;given&quot;:&quot;Fanta&quot;,&quot;parse-names&quot;:false,&quot;dropping-particle&quot;:&quot;&quot;,&quot;non-dropping-particle&quot;:&quot;&quot;},{&quot;family&quot;:&quot;Deepika&quot;,&quot;given&quot;:&quot;Keeti&quot;,&quot;parse-names&quot;:false,&quot;dropping-particle&quot;:&quot;&quot;,&quot;non-dropping-particle&quot;:&quot;&quot;},{&quot;family&quot;:&quot;Philipcien&quot;,&quot;given&quot;:&quot;Glen&quot;,&quot;parse-names&quot;:false,&quot;dropping-particle&quot;:&quot;&quot;,&quot;non-dropping-particle&quot;:&quot;&quot;},{&quot;family&quot;:&quot;Poleon&quot;,&quot;given&quot;:&quot;Maura&quot;,&quot;parse-names&quot;:false,&quot;dropping-particle&quot;:&quot;&quot;,&quot;non-dropping-particle&quot;:&quot;&quot;},{&quot;family&quot;:&quot;Ogungbade&quot;,&quot;given&quot;:&quot;Gbadebo&quot;,&quot;parse-names&quot;:false,&quot;dropping-particle&quot;:&quot;&quot;,&quot;non-dropping-particle&quot;:&quot;&quot;},{&quot;family&quot;:&quot;Elmi&quot;,&quot;given&quot;:&quot;Hikma&quot;,&quot;parse-names&quot;:false,&quot;dropping-particle&quot;:&quot;&quot;,&quot;non-dropping-particle&quot;:&quot;&quot;},{&quot;family&quot;:&quot;John&quot;,&quot;given&quot;:&quot;Valescia&quot;,&quot;parse-names&quot;:false,&quot;dropping-particle&quot;:&quot;&quot;,&quot;non-dropping-particle&quot;:&quot;&quot;},{&quot;family&quot;:&quot;Dabney&quot;,&quot;given&quot;:&quot;Kirk W&quot;,&quot;parse-names&quot;:false,&quot;dropping-particle&quot;:&quot;&quot;,&quot;non-dropping-particle&quot;:&quot;&quot;}],&quot;container-title&quot;:&quot;Int. J. Environ. Res. Public Health&quot;,&quot;accessed&quot;:{&quot;date-parts&quot;:[[2021,3,18]]},&quot;DOI&quot;:&quot;10.3390/ijerph17124322&quot;,&quot;URL&quot;:&quot;www.mdpi.com/journal/ijerph&quot;,&quot;issued&quot;:{&quot;date-parts&quot;:[[2020]]},&quot;page&quot;:&quot;4322&quot;,&quot;abstract&quot;:&quot;Background: Social and health inequities predispose vulnerable populations to adverse morbidity and mortality outcomes of epidemics and pandemics. While racial disparities in cumulative incidence (CmI) and mortality from the influenza pandemics of 1918 and 2009 implicated Blacks with survival disadvantage relative to Whites in the United States, COVID-19 currently indicates comparable disparities. We aimed to: (a) assess COVID-19 CmI by race, (b) determine the Black-White case fatality (CF) and risk differentials, and (c) apply explanatory model for mortality risk differentials. Methods: COVID-19 data on confirmed cases and deaths by selective states health departments were assessed using a cross-sectional ecologic design. Chi-square was used for CF independence, while binomial regression model for the Black-White risk differentials. Results: The COVID-19 mortality CmI indicated Blacks/AA with 34% of the total mortality in the United States, albeit their 13% population size. The COVID-19 CF was higher among Blacks/AA relative to Whites; Maryland, (2.7% vs. 2.5%), Wisconsin (7.4% vs. 4.8%), Illinois (4.8% vs. 4.2%), Chicago (5.9% vs. 3.2%), Detroit (Michigan), 7.2% and St. John the Baptist Parish (Louisiana), 7.9%. Blacks/AA compared to Whites in Michigan were 15% more likely to die, CmI risk ratio (CmIRR) = 1.15, 95% CI, 1.01-1.32. Blacks/AA relative to Whites in Illinois were 13% more likely to die, CmIRR = 1.13, 95% CI, 0.93-1.39, while Blacks/AA compared to Whites in Wisconsin were 51% more likely to die, CmIRR = 1.51, 95% CI, 1.10-2.10. In Chicago, Blacks/AA were more than twice as likely to die, CmIRR = 2.24, 95% CI, 1.36-3.88. Conclusion: Substantial racial/ethnic disparities are observed in COVID-19 CF and mortality with Blacks/AA disproportionately affected across the United States.&quot;,&quot;volume&quot;:&quot;17&quot;},&quot;isTemporary&quot;:false}],&quot;properties&quot;:{&quot;noteIndex&quot;:0},&quot;isEdited&quot;:false,&quot;manualOverride&quot;:{&quot;isManuallyOverriden&quot;:false,&quot;citeprocText&quot;:&quot;(Holmes &lt;i&gt;et al.&lt;/i&gt;, 2020)&quot;,&quot;manualOverrideText&quot;:&quot;&quot;}}"/>
          <w:id w:val="1557673167"/>
          <w:placeholder>
            <w:docPart w:val="DefaultPlaceholder_-1854013440"/>
          </w:placeholder>
        </w:sdtPr>
        <w:sdtEndPr/>
        <w:sdtContent>
          <w:r w:rsidR="00CE328D">
            <w:rPr>
              <w:rFonts w:eastAsia="Times New Roman"/>
            </w:rPr>
            <w:t xml:space="preserve">(Holmes </w:t>
          </w:r>
          <w:r w:rsidR="00CE328D">
            <w:rPr>
              <w:rFonts w:eastAsia="Times New Roman"/>
              <w:i/>
              <w:iCs/>
            </w:rPr>
            <w:t>et al.</w:t>
          </w:r>
          <w:r w:rsidR="00CE328D">
            <w:rPr>
              <w:rFonts w:eastAsia="Times New Roman"/>
            </w:rPr>
            <w:t>, 2020)</w:t>
          </w:r>
        </w:sdtContent>
      </w:sdt>
      <w:r>
        <w:rPr>
          <w:rFonts w:ascii="Calibri" w:hAnsi="Calibri"/>
        </w:rPr>
        <w:t xml:space="preserve"> </w:t>
      </w:r>
      <w:r w:rsidR="00271E21">
        <w:rPr>
          <w:rFonts w:ascii="Calibri" w:hAnsi="Calibri"/>
        </w:rPr>
        <w:t xml:space="preserve">observed social inequity </w:t>
      </w:r>
      <w:r w:rsidR="009832A7">
        <w:rPr>
          <w:rFonts w:ascii="Calibri" w:hAnsi="Calibri"/>
        </w:rPr>
        <w:t xml:space="preserve">and decreased effort by US public </w:t>
      </w:r>
      <w:r w:rsidR="00FC389E">
        <w:rPr>
          <w:rFonts w:ascii="Calibri" w:hAnsi="Calibri"/>
        </w:rPr>
        <w:t>health system,</w:t>
      </w:r>
      <w:r w:rsidR="00366281">
        <w:rPr>
          <w:rFonts w:ascii="Calibri" w:hAnsi="Calibri"/>
        </w:rPr>
        <w:t xml:space="preserve"> with a lack of healthcare and resources </w:t>
      </w:r>
      <w:r w:rsidR="00F233FE">
        <w:rPr>
          <w:rFonts w:ascii="Calibri" w:hAnsi="Calibri"/>
        </w:rPr>
        <w:t>for the American Black population</w:t>
      </w:r>
      <w:r w:rsidR="007D6040">
        <w:rPr>
          <w:rFonts w:ascii="Calibri" w:hAnsi="Calibri"/>
        </w:rPr>
        <w:t>. Its data concluded that despite 13</w:t>
      </w:r>
      <w:r w:rsidR="00EC6F7A">
        <w:rPr>
          <w:rFonts w:ascii="Calibri" w:hAnsi="Calibri"/>
        </w:rPr>
        <w:t xml:space="preserve">% of the </w:t>
      </w:r>
      <w:r w:rsidR="006F1358">
        <w:rPr>
          <w:rFonts w:ascii="Calibri" w:hAnsi="Calibri"/>
        </w:rPr>
        <w:t xml:space="preserve">USA population being of black </w:t>
      </w:r>
      <w:r w:rsidR="00E2439C">
        <w:rPr>
          <w:rFonts w:ascii="Calibri" w:hAnsi="Calibri"/>
        </w:rPr>
        <w:t>African American</w:t>
      </w:r>
      <w:r w:rsidR="00D35D74">
        <w:rPr>
          <w:rFonts w:ascii="Calibri" w:hAnsi="Calibri"/>
        </w:rPr>
        <w:t xml:space="preserve"> this population </w:t>
      </w:r>
      <w:r w:rsidR="00FC389E">
        <w:rPr>
          <w:rFonts w:ascii="Calibri" w:hAnsi="Calibri"/>
        </w:rPr>
        <w:t>represented 34</w:t>
      </w:r>
      <w:r w:rsidR="001A27BA">
        <w:rPr>
          <w:rFonts w:ascii="Calibri" w:hAnsi="Calibri"/>
        </w:rPr>
        <w:t>%</w:t>
      </w:r>
      <w:r w:rsidR="001D7F35">
        <w:rPr>
          <w:rFonts w:ascii="Calibri" w:hAnsi="Calibri"/>
        </w:rPr>
        <w:t xml:space="preserve"> of all deaths </w:t>
      </w:r>
      <w:r w:rsidR="00D35D74">
        <w:rPr>
          <w:rFonts w:ascii="Calibri" w:hAnsi="Calibri"/>
        </w:rPr>
        <w:t xml:space="preserve">from Covid-19 </w:t>
      </w:r>
      <w:r w:rsidR="005A693C">
        <w:rPr>
          <w:rFonts w:ascii="Calibri" w:hAnsi="Calibri"/>
        </w:rPr>
        <w:t xml:space="preserve">in </w:t>
      </w:r>
      <w:r w:rsidR="00FC389E">
        <w:rPr>
          <w:rFonts w:ascii="Calibri" w:hAnsi="Calibri"/>
        </w:rPr>
        <w:t>mid-April</w:t>
      </w:r>
      <w:r w:rsidR="005A693C">
        <w:rPr>
          <w:rFonts w:ascii="Calibri" w:hAnsi="Calibri"/>
        </w:rPr>
        <w:t xml:space="preserve"> 2020.</w:t>
      </w:r>
    </w:p>
    <w:p w14:paraId="28FC99CF" w14:textId="49FB6319" w:rsidR="00F03AE7" w:rsidRDefault="002C4E71" w:rsidP="005D240C">
      <w:pPr>
        <w:spacing w:line="360" w:lineRule="auto"/>
        <w:rPr>
          <w:rFonts w:ascii="Calibri" w:hAnsi="Calibri"/>
        </w:rPr>
      </w:pPr>
      <w:r>
        <w:rPr>
          <w:rFonts w:ascii="Calibri" w:hAnsi="Calibri"/>
        </w:rPr>
        <w:t>The UK</w:t>
      </w:r>
      <w:r w:rsidR="006344B6">
        <w:rPr>
          <w:rFonts w:ascii="Calibri" w:hAnsi="Calibri"/>
        </w:rPr>
        <w:t xml:space="preserve"> and </w:t>
      </w:r>
      <w:r>
        <w:rPr>
          <w:rFonts w:ascii="Calibri" w:hAnsi="Calibri"/>
        </w:rPr>
        <w:t xml:space="preserve">USA are </w:t>
      </w:r>
      <w:r w:rsidR="00FC389E">
        <w:rPr>
          <w:rFonts w:ascii="Calibri" w:hAnsi="Calibri"/>
        </w:rPr>
        <w:t>lagging</w:t>
      </w:r>
      <w:r>
        <w:rPr>
          <w:rFonts w:ascii="Calibri" w:hAnsi="Calibri"/>
        </w:rPr>
        <w:t xml:space="preserve"> </w:t>
      </w:r>
      <w:r w:rsidR="006E0003">
        <w:rPr>
          <w:rFonts w:ascii="Calibri" w:hAnsi="Calibri"/>
        </w:rPr>
        <w:t>when it comes to social equality</w:t>
      </w:r>
      <w:r w:rsidR="006A2412">
        <w:rPr>
          <w:rFonts w:ascii="Calibri" w:hAnsi="Calibri"/>
        </w:rPr>
        <w:t xml:space="preserve">. </w:t>
      </w:r>
      <w:r w:rsidR="001F48B2">
        <w:rPr>
          <w:rFonts w:ascii="Calibri" w:hAnsi="Calibri"/>
        </w:rPr>
        <w:t>The evidence</w:t>
      </w:r>
      <w:r w:rsidR="002F4D48">
        <w:rPr>
          <w:rFonts w:ascii="Calibri" w:hAnsi="Calibri"/>
        </w:rPr>
        <w:t xml:space="preserve"> </w:t>
      </w:r>
      <w:r w:rsidR="00605436">
        <w:rPr>
          <w:rFonts w:ascii="Calibri" w:hAnsi="Calibri"/>
        </w:rPr>
        <w:t xml:space="preserve">from </w:t>
      </w:r>
      <w:r w:rsidR="00F57243">
        <w:rPr>
          <w:rFonts w:ascii="Calibri" w:hAnsi="Calibri"/>
        </w:rPr>
        <w:t>hundreds of studies</w:t>
      </w:r>
      <w:r w:rsidR="002F4D48">
        <w:rPr>
          <w:rFonts w:ascii="Calibri" w:hAnsi="Calibri"/>
        </w:rPr>
        <w:t xml:space="preserve"> </w:t>
      </w:r>
      <w:r w:rsidR="006A2412">
        <w:rPr>
          <w:rFonts w:ascii="Calibri" w:hAnsi="Calibri"/>
        </w:rPr>
        <w:t>li</w:t>
      </w:r>
      <w:r w:rsidR="00F57243">
        <w:rPr>
          <w:rFonts w:ascii="Calibri" w:hAnsi="Calibri"/>
        </w:rPr>
        <w:t>nks</w:t>
      </w:r>
      <w:r w:rsidR="006A2412">
        <w:rPr>
          <w:rFonts w:ascii="Calibri" w:hAnsi="Calibri"/>
        </w:rPr>
        <w:t xml:space="preserve"> localities </w:t>
      </w:r>
      <w:r w:rsidR="00CF057C">
        <w:rPr>
          <w:rFonts w:ascii="Calibri" w:hAnsi="Calibri"/>
        </w:rPr>
        <w:t>and</w:t>
      </w:r>
      <w:r w:rsidR="001F48B2">
        <w:rPr>
          <w:rFonts w:ascii="Calibri" w:hAnsi="Calibri"/>
        </w:rPr>
        <w:t xml:space="preserve"> Covid-19 diagnosis</w:t>
      </w:r>
      <w:r w:rsidR="00CF057C">
        <w:rPr>
          <w:rFonts w:ascii="Calibri" w:hAnsi="Calibri"/>
        </w:rPr>
        <w:t xml:space="preserve"> along with mortality rates. </w:t>
      </w:r>
      <w:r w:rsidR="00011878">
        <w:rPr>
          <w:rFonts w:ascii="Calibri" w:hAnsi="Calibri"/>
        </w:rPr>
        <w:t xml:space="preserve">We can identify many of the “high risk” </w:t>
      </w:r>
      <w:r w:rsidR="005F2BD7">
        <w:rPr>
          <w:rFonts w:ascii="Calibri" w:hAnsi="Calibri"/>
        </w:rPr>
        <w:t xml:space="preserve">categories susceptible to covid-19 </w:t>
      </w:r>
      <w:r w:rsidR="00465AF7">
        <w:rPr>
          <w:rFonts w:ascii="Calibri" w:hAnsi="Calibri"/>
        </w:rPr>
        <w:t xml:space="preserve">are on the lower socio-economic ladder. This </w:t>
      </w:r>
      <w:r w:rsidR="005B63BD">
        <w:rPr>
          <w:rFonts w:ascii="Calibri" w:hAnsi="Calibri"/>
        </w:rPr>
        <w:t xml:space="preserve">indicates multiple house occupancy, menial paid work, </w:t>
      </w:r>
      <w:r w:rsidR="00EB6658">
        <w:rPr>
          <w:rFonts w:ascii="Calibri" w:hAnsi="Calibri"/>
        </w:rPr>
        <w:t xml:space="preserve">lack of education leading to </w:t>
      </w:r>
      <w:r w:rsidR="00B229A8">
        <w:rPr>
          <w:rFonts w:ascii="Calibri" w:hAnsi="Calibri"/>
        </w:rPr>
        <w:t xml:space="preserve">poor life choices. We can link </w:t>
      </w:r>
      <w:r w:rsidR="00FC389E">
        <w:rPr>
          <w:rFonts w:ascii="Calibri" w:hAnsi="Calibri"/>
        </w:rPr>
        <w:t>all</w:t>
      </w:r>
      <w:r w:rsidR="00B229A8">
        <w:rPr>
          <w:rFonts w:ascii="Calibri" w:hAnsi="Calibri"/>
        </w:rPr>
        <w:t xml:space="preserve"> the above to increased risk in</w:t>
      </w:r>
      <w:r w:rsidR="00DF6EAC">
        <w:rPr>
          <w:rFonts w:ascii="Calibri" w:hAnsi="Calibri"/>
        </w:rPr>
        <w:t xml:space="preserve"> disease associated with detriments of health</w:t>
      </w:r>
      <w:r w:rsidR="00711F6A">
        <w:rPr>
          <w:rFonts w:ascii="Calibri" w:hAnsi="Calibri"/>
        </w:rPr>
        <w:t xml:space="preserve">, furthering the </w:t>
      </w:r>
      <w:r w:rsidR="00E403DD">
        <w:rPr>
          <w:rFonts w:ascii="Calibri" w:hAnsi="Calibri"/>
        </w:rPr>
        <w:t xml:space="preserve">capacity for </w:t>
      </w:r>
      <w:r w:rsidR="00FC389E">
        <w:rPr>
          <w:rFonts w:ascii="Calibri" w:hAnsi="Calibri"/>
        </w:rPr>
        <w:t>viruses</w:t>
      </w:r>
      <w:r w:rsidR="00E403DD">
        <w:rPr>
          <w:rFonts w:ascii="Calibri" w:hAnsi="Calibri"/>
        </w:rPr>
        <w:t xml:space="preserve"> such as covid-19 to spread. </w:t>
      </w:r>
      <w:r w:rsidR="003F57F5">
        <w:rPr>
          <w:rFonts w:ascii="Calibri" w:hAnsi="Calibri"/>
        </w:rPr>
        <w:t>More needs to be done</w:t>
      </w:r>
      <w:r w:rsidR="00393733">
        <w:rPr>
          <w:rFonts w:ascii="Calibri" w:hAnsi="Calibri"/>
        </w:rPr>
        <w:t xml:space="preserve"> within the UK to create better quality housing </w:t>
      </w:r>
      <w:r w:rsidR="00DD52A5">
        <w:rPr>
          <w:rFonts w:ascii="Calibri" w:hAnsi="Calibri"/>
        </w:rPr>
        <w:t xml:space="preserve">along with green spaces and support for the vulnerable. </w:t>
      </w:r>
      <w:r w:rsidR="003F57F5">
        <w:rPr>
          <w:rFonts w:ascii="Calibri" w:hAnsi="Calibri"/>
        </w:rPr>
        <w:t xml:space="preserve"> </w:t>
      </w:r>
      <w:r w:rsidR="00F03AE7">
        <w:rPr>
          <w:rFonts w:ascii="Calibri" w:hAnsi="Calibri"/>
        </w:rPr>
        <w:t xml:space="preserve">The UK </w:t>
      </w:r>
      <w:r w:rsidR="00634EE9">
        <w:rPr>
          <w:rFonts w:ascii="Calibri" w:hAnsi="Calibri"/>
        </w:rPr>
        <w:t xml:space="preserve">has various incentives and </w:t>
      </w:r>
      <w:r w:rsidR="00FF015F">
        <w:rPr>
          <w:rFonts w:ascii="Calibri" w:hAnsi="Calibri"/>
        </w:rPr>
        <w:t xml:space="preserve">organisations in place to help bridge the gap in </w:t>
      </w:r>
      <w:r w:rsidR="00AA6160">
        <w:rPr>
          <w:rFonts w:ascii="Calibri" w:hAnsi="Calibri"/>
        </w:rPr>
        <w:t>equalities</w:t>
      </w:r>
      <w:r w:rsidR="00A302B2">
        <w:rPr>
          <w:rFonts w:ascii="Calibri" w:hAnsi="Calibri"/>
        </w:rPr>
        <w:t xml:space="preserve"> such as </w:t>
      </w:r>
      <w:r w:rsidR="002452E8">
        <w:rPr>
          <w:rFonts w:ascii="Calibri" w:hAnsi="Calibri"/>
        </w:rPr>
        <w:t>the Joseph Rowntree Foundation</w:t>
      </w:r>
      <w:r w:rsidR="009B2AF1">
        <w:rPr>
          <w:rFonts w:ascii="Calibri" w:hAnsi="Calibri"/>
        </w:rPr>
        <w:t xml:space="preserve"> </w:t>
      </w:r>
      <w:sdt>
        <w:sdtPr>
          <w:rPr>
            <w:rFonts w:ascii="Calibri" w:hAnsi="Calibri"/>
          </w:rPr>
          <w:tag w:val="MENDELEY_CITATION_{&quot;citationID&quot;:&quot;MENDELEY_CITATION_d47d9d39-2216-4e72-9b12-0da1f6e300b5&quot;,&quot;citationItems&quot;:[{&quot;id&quot;:&quot;ccfc8f05-f814-320b-a68a-e31ec60af5ee&quot;,&quot;itemData&quot;:{&quot;type&quot;:&quot;webpage&quot;,&quot;id&quot;:&quot;ccfc8f05-f814-320b-a68a-e31ec60af5ee&quot;,&quot;title&quot;:&quot;UK poverty: Causes, costs and solutions | JRF&quot;,&quot;accessed&quot;:{&quot;date-parts&quot;:[[2021,3,17]]},&quot;URL&quot;:&quot;https://www.jrf.org.uk/report/uk-poverty-causes-costs-and-solutions&quot;},&quot;isTemporary&quot;:false}],&quot;properties&quot;:{&quot;noteIndex&quot;:0},&quot;isEdited&quot;:false,&quot;manualOverride&quot;:{&quot;isManuallyOverriden&quot;:false,&quot;citeprocText&quot;:&quot;(&lt;i&gt;UK poverty: Causes, costs and solutions | JRF&lt;/i&gt;, no date)&quot;,&quot;manualOverrideText&quot;:&quot;&quot;}}"/>
          <w:id w:val="344292532"/>
          <w:placeholder>
            <w:docPart w:val="DefaultPlaceholder_-1854013440"/>
          </w:placeholder>
        </w:sdtPr>
        <w:sdtEndPr/>
        <w:sdtContent>
          <w:r w:rsidR="00CE328D">
            <w:rPr>
              <w:rFonts w:eastAsia="Times New Roman"/>
            </w:rPr>
            <w:t>(</w:t>
          </w:r>
          <w:r w:rsidR="00CE328D">
            <w:rPr>
              <w:rFonts w:eastAsia="Times New Roman"/>
              <w:i/>
              <w:iCs/>
            </w:rPr>
            <w:t>UK poverty: Causes, costs and solutions | JRF</w:t>
          </w:r>
          <w:r w:rsidR="00CE328D">
            <w:rPr>
              <w:rFonts w:eastAsia="Times New Roman"/>
            </w:rPr>
            <w:t>, no date)</w:t>
          </w:r>
        </w:sdtContent>
      </w:sdt>
      <w:r w:rsidR="009B2AF1">
        <w:rPr>
          <w:rFonts w:ascii="Calibri" w:hAnsi="Calibri"/>
        </w:rPr>
        <w:t xml:space="preserve"> </w:t>
      </w:r>
      <w:r w:rsidR="005E40A4">
        <w:rPr>
          <w:rFonts w:ascii="Calibri" w:hAnsi="Calibri"/>
        </w:rPr>
        <w:t xml:space="preserve">however more on pay </w:t>
      </w:r>
      <w:r w:rsidR="00AA6160">
        <w:rPr>
          <w:rFonts w:ascii="Calibri" w:hAnsi="Calibri"/>
        </w:rPr>
        <w:t>infrastructure</w:t>
      </w:r>
      <w:r w:rsidR="005E40A4">
        <w:rPr>
          <w:rFonts w:ascii="Calibri" w:hAnsi="Calibri"/>
        </w:rPr>
        <w:t xml:space="preserve"> is essential </w:t>
      </w:r>
      <w:r w:rsidR="00191EAD">
        <w:rPr>
          <w:rFonts w:ascii="Calibri" w:hAnsi="Calibri"/>
        </w:rPr>
        <w:t>to</w:t>
      </w:r>
      <w:r w:rsidR="005E40A4">
        <w:rPr>
          <w:rFonts w:ascii="Calibri" w:hAnsi="Calibri"/>
        </w:rPr>
        <w:t xml:space="preserve"> bridge the </w:t>
      </w:r>
      <w:r w:rsidR="00093098">
        <w:rPr>
          <w:rFonts w:ascii="Calibri" w:hAnsi="Calibri"/>
        </w:rPr>
        <w:t>gap, valuing those in lower paid work</w:t>
      </w:r>
      <w:r w:rsidR="00376EF7">
        <w:rPr>
          <w:rFonts w:ascii="Calibri" w:hAnsi="Calibri"/>
        </w:rPr>
        <w:t xml:space="preserve">. </w:t>
      </w:r>
    </w:p>
    <w:p w14:paraId="765A931F" w14:textId="343EE2AC" w:rsidR="00376EF7" w:rsidRDefault="00376EF7" w:rsidP="005D240C">
      <w:pPr>
        <w:spacing w:line="360" w:lineRule="auto"/>
        <w:rPr>
          <w:rFonts w:ascii="Calibri" w:hAnsi="Calibri"/>
        </w:rPr>
      </w:pPr>
    </w:p>
    <w:p w14:paraId="6B8ABB5F" w14:textId="543A9FF4" w:rsidR="00376EF7" w:rsidRDefault="00376EF7" w:rsidP="005D240C">
      <w:pPr>
        <w:spacing w:line="360" w:lineRule="auto"/>
        <w:rPr>
          <w:rFonts w:ascii="Calibri" w:hAnsi="Calibri"/>
          <w:b/>
          <w:i/>
          <w:sz w:val="28"/>
          <w:u w:val="single"/>
        </w:rPr>
      </w:pPr>
      <w:r>
        <w:rPr>
          <w:rFonts w:ascii="Calibri" w:hAnsi="Calibri"/>
          <w:b/>
          <w:i/>
          <w:sz w:val="28"/>
          <w:u w:val="single"/>
        </w:rPr>
        <w:t xml:space="preserve">Conclusion </w:t>
      </w:r>
    </w:p>
    <w:p w14:paraId="1A1AB284" w14:textId="4BE82C86" w:rsidR="001D3520" w:rsidRDefault="007474EE" w:rsidP="005D240C">
      <w:pPr>
        <w:spacing w:line="360" w:lineRule="auto"/>
        <w:rPr>
          <w:rFonts w:ascii="Calibri" w:hAnsi="Calibri"/>
        </w:rPr>
      </w:pPr>
      <w:r>
        <w:rPr>
          <w:rFonts w:ascii="Calibri" w:hAnsi="Calibri"/>
        </w:rPr>
        <w:t xml:space="preserve">It is striking to see </w:t>
      </w:r>
      <w:r w:rsidR="00D336AB">
        <w:rPr>
          <w:rFonts w:ascii="Calibri" w:hAnsi="Calibri"/>
        </w:rPr>
        <w:t>the</w:t>
      </w:r>
      <w:r w:rsidR="000E29D7">
        <w:rPr>
          <w:rFonts w:ascii="Calibri" w:hAnsi="Calibri"/>
        </w:rPr>
        <w:t xml:space="preserve"> effect </w:t>
      </w:r>
      <w:r w:rsidR="00D63EA6">
        <w:rPr>
          <w:rFonts w:ascii="Calibri" w:hAnsi="Calibri"/>
        </w:rPr>
        <w:t>Covid-19 has</w:t>
      </w:r>
      <w:r w:rsidR="0004702A">
        <w:rPr>
          <w:rFonts w:ascii="Calibri" w:hAnsi="Calibri"/>
        </w:rPr>
        <w:t xml:space="preserve"> had </w:t>
      </w:r>
      <w:r w:rsidR="006F63B7">
        <w:rPr>
          <w:rFonts w:ascii="Calibri" w:hAnsi="Calibri"/>
        </w:rPr>
        <w:t xml:space="preserve">in </w:t>
      </w:r>
      <w:r w:rsidR="00D63EA6">
        <w:rPr>
          <w:rFonts w:ascii="Calibri" w:hAnsi="Calibri"/>
        </w:rPr>
        <w:t>acce</w:t>
      </w:r>
      <w:r w:rsidR="00AB2C27">
        <w:rPr>
          <w:rFonts w:ascii="Calibri" w:hAnsi="Calibri"/>
        </w:rPr>
        <w:t>ntuat</w:t>
      </w:r>
      <w:r w:rsidR="006F63B7">
        <w:rPr>
          <w:rFonts w:ascii="Calibri" w:hAnsi="Calibri"/>
        </w:rPr>
        <w:t xml:space="preserve">ing an already unequal society. Every living being should have </w:t>
      </w:r>
      <w:r w:rsidR="00E4023C">
        <w:rPr>
          <w:rFonts w:ascii="Calibri" w:hAnsi="Calibri"/>
        </w:rPr>
        <w:t xml:space="preserve">equal chances in life, the opportunity </w:t>
      </w:r>
      <w:r w:rsidR="00BE19CE">
        <w:rPr>
          <w:rFonts w:ascii="Calibri" w:hAnsi="Calibri"/>
        </w:rPr>
        <w:t xml:space="preserve">to progress in higher </w:t>
      </w:r>
      <w:r w:rsidR="00FC389E">
        <w:rPr>
          <w:rFonts w:ascii="Calibri" w:hAnsi="Calibri"/>
        </w:rPr>
        <w:t>education,</w:t>
      </w:r>
      <w:r w:rsidR="00BE19CE">
        <w:rPr>
          <w:rFonts w:ascii="Calibri" w:hAnsi="Calibri"/>
        </w:rPr>
        <w:t xml:space="preserve"> a valued income affording quality housing within aesthetically pleasing surroundings</w:t>
      </w:r>
      <w:r w:rsidR="00257BAE">
        <w:rPr>
          <w:rFonts w:ascii="Calibri" w:hAnsi="Calibri"/>
        </w:rPr>
        <w:t xml:space="preserve"> along with guidance and support</w:t>
      </w:r>
      <w:r w:rsidR="00376B98">
        <w:rPr>
          <w:rFonts w:ascii="Calibri" w:hAnsi="Calibri"/>
        </w:rPr>
        <w:t xml:space="preserve">. </w:t>
      </w:r>
      <w:r w:rsidR="00770BAF">
        <w:rPr>
          <w:rFonts w:ascii="Calibri" w:hAnsi="Calibri"/>
        </w:rPr>
        <w:t xml:space="preserve">Life should not be a lottery determining your </w:t>
      </w:r>
      <w:r w:rsidR="005B7CE7">
        <w:rPr>
          <w:rFonts w:ascii="Calibri" w:hAnsi="Calibri"/>
        </w:rPr>
        <w:t>prospects on where or to whom you are born.</w:t>
      </w:r>
      <w:r w:rsidR="00376B98">
        <w:rPr>
          <w:rFonts w:ascii="Calibri" w:hAnsi="Calibri"/>
        </w:rPr>
        <w:t xml:space="preserve"> </w:t>
      </w:r>
      <w:r w:rsidR="00827E55">
        <w:rPr>
          <w:rFonts w:ascii="Calibri" w:hAnsi="Calibri"/>
        </w:rPr>
        <w:t xml:space="preserve">The UK </w:t>
      </w:r>
      <w:r w:rsidR="003D55E8">
        <w:rPr>
          <w:rFonts w:ascii="Calibri" w:hAnsi="Calibri"/>
        </w:rPr>
        <w:t>as well as other nations urgently need to address the econ</w:t>
      </w:r>
      <w:r w:rsidR="00EA4A7B">
        <w:rPr>
          <w:rFonts w:ascii="Calibri" w:hAnsi="Calibri"/>
        </w:rPr>
        <w:t xml:space="preserve">omical gap between societies </w:t>
      </w:r>
      <w:r w:rsidR="00F90A4D">
        <w:rPr>
          <w:rFonts w:ascii="Calibri" w:hAnsi="Calibri"/>
        </w:rPr>
        <w:t xml:space="preserve">ensuring a fair and equal society </w:t>
      </w:r>
      <w:r w:rsidR="00FC3E6F">
        <w:rPr>
          <w:rFonts w:ascii="Calibri" w:hAnsi="Calibri"/>
        </w:rPr>
        <w:t>for all.</w:t>
      </w:r>
      <w:r w:rsidR="002C090B">
        <w:rPr>
          <w:rFonts w:ascii="Calibri" w:hAnsi="Calibri"/>
        </w:rPr>
        <w:t xml:space="preserve"> </w:t>
      </w:r>
      <w:r w:rsidR="00E4476F">
        <w:rPr>
          <w:rFonts w:ascii="Calibri" w:hAnsi="Calibri"/>
        </w:rPr>
        <w:lastRenderedPageBreak/>
        <w:t xml:space="preserve">Now as the pandemic hopefully begins to slow down </w:t>
      </w:r>
      <w:r w:rsidR="00114953">
        <w:rPr>
          <w:rFonts w:ascii="Calibri" w:hAnsi="Calibri"/>
        </w:rPr>
        <w:t xml:space="preserve">the UK will need to address the </w:t>
      </w:r>
      <w:r w:rsidR="00D62A47">
        <w:rPr>
          <w:rFonts w:ascii="Calibri" w:hAnsi="Calibri"/>
        </w:rPr>
        <w:t>aftermath,</w:t>
      </w:r>
      <w:r w:rsidR="00E95401">
        <w:rPr>
          <w:rFonts w:ascii="Calibri" w:hAnsi="Calibri"/>
        </w:rPr>
        <w:t xml:space="preserve"> </w:t>
      </w:r>
      <w:r w:rsidR="001250DD">
        <w:rPr>
          <w:rFonts w:ascii="Calibri" w:hAnsi="Calibri"/>
        </w:rPr>
        <w:t>which includes the</w:t>
      </w:r>
      <w:r w:rsidR="00254DA3">
        <w:rPr>
          <w:rFonts w:ascii="Calibri" w:hAnsi="Calibri"/>
        </w:rPr>
        <w:t xml:space="preserve"> stark realisation </w:t>
      </w:r>
      <w:r w:rsidR="00AA5D10">
        <w:rPr>
          <w:rFonts w:ascii="Calibri" w:hAnsi="Calibri"/>
        </w:rPr>
        <w:t>that Covid-19 has</w:t>
      </w:r>
      <w:r w:rsidR="009135E1">
        <w:rPr>
          <w:rFonts w:ascii="Calibri" w:hAnsi="Calibri"/>
        </w:rPr>
        <w:t xml:space="preserve"> weaved it way </w:t>
      </w:r>
      <w:r w:rsidR="009432C1">
        <w:rPr>
          <w:rFonts w:ascii="Calibri" w:hAnsi="Calibri"/>
        </w:rPr>
        <w:t>through areas</w:t>
      </w:r>
      <w:r w:rsidR="007868B9">
        <w:rPr>
          <w:rFonts w:ascii="Calibri" w:hAnsi="Calibri"/>
        </w:rPr>
        <w:t xml:space="preserve"> of geographical deprivation</w:t>
      </w:r>
      <w:r w:rsidR="002D7598">
        <w:rPr>
          <w:rFonts w:ascii="Calibri" w:hAnsi="Calibri"/>
        </w:rPr>
        <w:t xml:space="preserve"> </w:t>
      </w:r>
      <w:r w:rsidR="009135E1">
        <w:rPr>
          <w:rFonts w:ascii="Calibri" w:hAnsi="Calibri"/>
        </w:rPr>
        <w:t xml:space="preserve">targeting the vulnerable. </w:t>
      </w:r>
      <w:r w:rsidR="00067FB0">
        <w:rPr>
          <w:rFonts w:ascii="Calibri" w:hAnsi="Calibri"/>
        </w:rPr>
        <w:t xml:space="preserve">Lessons need to </w:t>
      </w:r>
      <w:r w:rsidR="00D62A47">
        <w:rPr>
          <w:rFonts w:ascii="Calibri" w:hAnsi="Calibri"/>
        </w:rPr>
        <w:t>learn</w:t>
      </w:r>
      <w:r w:rsidR="00067FB0">
        <w:rPr>
          <w:rFonts w:ascii="Calibri" w:hAnsi="Calibri"/>
        </w:rPr>
        <w:t xml:space="preserve"> </w:t>
      </w:r>
      <w:r w:rsidR="009815E0">
        <w:rPr>
          <w:rFonts w:ascii="Calibri" w:hAnsi="Calibri"/>
        </w:rPr>
        <w:t xml:space="preserve">for the future, money invested </w:t>
      </w:r>
      <w:r w:rsidR="002C0E6E">
        <w:rPr>
          <w:rFonts w:ascii="Calibri" w:hAnsi="Calibri"/>
        </w:rPr>
        <w:t xml:space="preserve">into derelict communities raising peoples moral and </w:t>
      </w:r>
      <w:r w:rsidR="00D62A47">
        <w:rPr>
          <w:rFonts w:ascii="Calibri" w:hAnsi="Calibri"/>
        </w:rPr>
        <w:t>self-worth</w:t>
      </w:r>
      <w:r w:rsidR="0077317F">
        <w:rPr>
          <w:rFonts w:ascii="Calibri" w:hAnsi="Calibri"/>
        </w:rPr>
        <w:t>, decreasing disease and morbidity.</w:t>
      </w:r>
    </w:p>
    <w:p w14:paraId="73C4B43D" w14:textId="621AC21B" w:rsidR="00FC3E6F" w:rsidRDefault="00FC3E6F" w:rsidP="005D240C">
      <w:pPr>
        <w:spacing w:line="360" w:lineRule="auto"/>
        <w:rPr>
          <w:rFonts w:ascii="Calibri" w:hAnsi="Calibri"/>
        </w:rPr>
      </w:pPr>
      <w:r>
        <w:rPr>
          <w:rFonts w:ascii="Calibri" w:hAnsi="Calibri"/>
        </w:rPr>
        <w:t xml:space="preserve">“None of us, none of our health </w:t>
      </w:r>
      <w:r w:rsidR="00AA6160">
        <w:rPr>
          <w:rFonts w:ascii="Calibri" w:hAnsi="Calibri"/>
        </w:rPr>
        <w:t>systems, none</w:t>
      </w:r>
      <w:r w:rsidR="00C135E9">
        <w:rPr>
          <w:rFonts w:ascii="Calibri" w:hAnsi="Calibri"/>
        </w:rPr>
        <w:t xml:space="preserve"> of our economics, operate in vacuum. We are inter</w:t>
      </w:r>
      <w:r w:rsidR="00E43469">
        <w:rPr>
          <w:rFonts w:ascii="Calibri" w:hAnsi="Calibri"/>
        </w:rPr>
        <w:t>dependent. We cannot win without solidarity”</w:t>
      </w:r>
      <w:r w:rsidR="004916DA">
        <w:rPr>
          <w:rFonts w:ascii="Calibri" w:hAnsi="Calibri"/>
        </w:rPr>
        <w:t xml:space="preserve"> </w:t>
      </w:r>
      <w:sdt>
        <w:sdtPr>
          <w:rPr>
            <w:rFonts w:ascii="Calibri" w:hAnsi="Calibri"/>
          </w:rPr>
          <w:tag w:val="MENDELEY_CITATION_{&quot;citationID&quot;:&quot;MENDELEY_CITATION_304b36d2-5154-4ef9-a41f-e0033f21387c&quot;,&quot;citationItems&quot;:[{&quot;id&quot;:&quot;8ca09fcc-3ad0-35da-a7fc-2f02f61cee21&quot;,&quot;itemData&quot;:{&quot;type&quot;:&quot;webpage&quot;,&quot;id&quot;:&quot;8ca09fcc-3ad0-35da-a7fc-2f02f61cee21&quot;,&quot;title&quot;:&quot;WHO Director-Generals remarks for G20 trade ministers&quot;,&quot;accessed&quot;:{&quot;date-parts&quot;:[[2021,3,18]]},&quot;URL&quot;:&quot;https://www.who.int/director-general/speeches/detail/who-director-generals-remarks-for-g20-trade-ministers&quot;},&quot;isTemporary&quot;:false}],&quot;properties&quot;:{&quot;noteIndex&quot;:0},&quot;isEdited&quot;:false,&quot;manualOverride&quot;:{&quot;isManuallyOverriden&quot;:false,&quot;citeprocText&quot;:&quot;(&lt;i&gt;WHO Director-Generals remarks for G20 trade ministers&lt;/i&gt;, no date)&quot;,&quot;manualOverrideText&quot;:&quot;&quot;}}"/>
          <w:id w:val="-1932736638"/>
          <w:placeholder>
            <w:docPart w:val="DefaultPlaceholder_-1854013440"/>
          </w:placeholder>
        </w:sdtPr>
        <w:sdtEndPr/>
        <w:sdtContent>
          <w:r w:rsidR="00CE328D">
            <w:rPr>
              <w:rFonts w:eastAsia="Times New Roman"/>
            </w:rPr>
            <w:t>(</w:t>
          </w:r>
          <w:r w:rsidR="00CE328D">
            <w:rPr>
              <w:rFonts w:eastAsia="Times New Roman"/>
              <w:i/>
              <w:iCs/>
            </w:rPr>
            <w:t>WHO Director-Generals remarks for G20 trade ministers</w:t>
          </w:r>
          <w:r w:rsidR="00CE328D">
            <w:rPr>
              <w:rFonts w:eastAsia="Times New Roman"/>
            </w:rPr>
            <w:t>, no date)</w:t>
          </w:r>
        </w:sdtContent>
      </w:sdt>
    </w:p>
    <w:p w14:paraId="1AAB8411" w14:textId="32031D0C" w:rsidR="00613429" w:rsidRDefault="00613429" w:rsidP="005D240C">
      <w:pPr>
        <w:spacing w:line="360" w:lineRule="auto"/>
        <w:rPr>
          <w:rFonts w:ascii="Calibri" w:hAnsi="Calibri"/>
        </w:rPr>
      </w:pPr>
    </w:p>
    <w:p w14:paraId="7F63E03F" w14:textId="77777777" w:rsidR="00F33002" w:rsidRDefault="00F33002" w:rsidP="005D240C">
      <w:pPr>
        <w:spacing w:line="360" w:lineRule="auto"/>
        <w:rPr>
          <w:rFonts w:ascii="Calibri" w:hAnsi="Calibri"/>
        </w:rPr>
      </w:pPr>
    </w:p>
    <w:p w14:paraId="2D8E0195" w14:textId="3D1FAAF3" w:rsidR="001B0E4F" w:rsidRPr="005E0425" w:rsidRDefault="00F24F88" w:rsidP="005D240C">
      <w:pPr>
        <w:spacing w:line="360" w:lineRule="auto"/>
        <w:rPr>
          <w:rFonts w:ascii="Calibri" w:hAnsi="Calibri"/>
          <w:b/>
          <w:i/>
          <w:sz w:val="28"/>
          <w:u w:val="single"/>
        </w:rPr>
      </w:pPr>
      <w:r>
        <w:rPr>
          <w:rFonts w:ascii="Calibri" w:hAnsi="Calibri"/>
          <w:b/>
          <w:i/>
          <w:sz w:val="28"/>
          <w:u w:val="single"/>
        </w:rPr>
        <w:t>Reference</w:t>
      </w:r>
      <w:r w:rsidR="005E0425">
        <w:rPr>
          <w:rFonts w:ascii="Calibri" w:hAnsi="Calibri"/>
          <w:b/>
          <w:i/>
          <w:sz w:val="28"/>
          <w:u w:val="single"/>
        </w:rPr>
        <w:t>s</w:t>
      </w:r>
    </w:p>
    <w:p w14:paraId="1407648A" w14:textId="10126A8B" w:rsidR="007311A4" w:rsidRPr="005D240C" w:rsidRDefault="007311A4" w:rsidP="005D240C">
      <w:pPr>
        <w:spacing w:line="360" w:lineRule="auto"/>
        <w:rPr>
          <w:rFonts w:ascii="Calibri" w:hAnsi="Calibri"/>
        </w:rPr>
      </w:pPr>
      <w:r w:rsidRPr="00BC4627">
        <w:rPr>
          <w:rFonts w:ascii="Calibri" w:hAnsi="Calibri"/>
        </w:rPr>
        <w:fldChar w:fldCharType="begin" w:fldLock="1"/>
      </w:r>
      <w:r w:rsidRPr="00BC4627">
        <w:rPr>
          <w:rFonts w:ascii="Calibri" w:hAnsi="Calibri"/>
        </w:rPr>
        <w:instrText xml:space="preserve">ADDIN Mendeley Bibliography CSL_BIBLIOGRAPHY </w:instrText>
      </w:r>
      <w:r w:rsidRPr="00BC4627">
        <w:rPr>
          <w:rFonts w:ascii="Calibri" w:hAnsi="Calibri"/>
        </w:rPr>
        <w:fldChar w:fldCharType="separate"/>
      </w:r>
    </w:p>
    <w:sdt>
      <w:sdtPr>
        <w:rPr>
          <w:rFonts w:ascii="Calibri" w:hAnsi="Calibri" w:cs="Calibri"/>
          <w:noProof/>
        </w:rPr>
        <w:tag w:val="MENDELEY_BIBLIOGRAPHY"/>
        <w:id w:val="1915732038"/>
        <w:placeholder>
          <w:docPart w:val="DefaultPlaceholder_-1854013440"/>
        </w:placeholder>
      </w:sdtPr>
      <w:sdtEndPr/>
      <w:sdtContent>
        <w:p w14:paraId="2BB7AA46" w14:textId="77777777" w:rsidR="00BD3865" w:rsidRDefault="00BD3865">
          <w:pPr>
            <w:divId w:val="1159157034"/>
            <w:rPr>
              <w:rFonts w:eastAsia="Times New Roman"/>
            </w:rPr>
          </w:pPr>
          <w:r>
            <w:rPr>
              <w:rFonts w:eastAsia="Times New Roman"/>
            </w:rPr>
            <w:t xml:space="preserve">Ahmed, F. </w:t>
          </w:r>
          <w:r>
            <w:rPr>
              <w:rFonts w:eastAsia="Times New Roman"/>
              <w:i/>
              <w:iCs/>
            </w:rPr>
            <w:t>et al.</w:t>
          </w:r>
          <w:r>
            <w:rPr>
              <w:rFonts w:eastAsia="Times New Roman"/>
            </w:rPr>
            <w:t xml:space="preserve"> (2020) “Why inequality could spread COVID-19,” </w:t>
          </w:r>
          <w:r>
            <w:rPr>
              <w:rFonts w:eastAsia="Times New Roman"/>
              <w:i/>
              <w:iCs/>
            </w:rPr>
            <w:t>The Lancet Public Health</w:t>
          </w:r>
          <w:r>
            <w:rPr>
              <w:rFonts w:eastAsia="Times New Roman"/>
            </w:rPr>
            <w:t>. Elsevier Ltd, p. e240. doi: 10.1016/S2468-2667(20)30085-2.</w:t>
          </w:r>
        </w:p>
        <w:p w14:paraId="400C09FC" w14:textId="77777777" w:rsidR="00BD3865" w:rsidRDefault="00BD3865">
          <w:pPr>
            <w:divId w:val="1508442614"/>
            <w:rPr>
              <w:rFonts w:eastAsia="Times New Roman"/>
            </w:rPr>
          </w:pPr>
          <w:r>
            <w:rPr>
              <w:rFonts w:eastAsia="Times New Roman"/>
            </w:rPr>
            <w:t xml:space="preserve">Aldridge, R. W. </w:t>
          </w:r>
          <w:r>
            <w:rPr>
              <w:rFonts w:eastAsia="Times New Roman"/>
              <w:i/>
              <w:iCs/>
            </w:rPr>
            <w:t>et al.</w:t>
          </w:r>
          <w:r>
            <w:rPr>
              <w:rFonts w:eastAsia="Times New Roman"/>
            </w:rPr>
            <w:t xml:space="preserve"> (2020) “Black, Asian and Minority Ethnic groups in England are at increased risk of death from COVID-19: indirect standardisation of NHS mortality data,” </w:t>
          </w:r>
          <w:r>
            <w:rPr>
              <w:rFonts w:eastAsia="Times New Roman"/>
              <w:i/>
              <w:iCs/>
            </w:rPr>
            <w:t>Wellcome Open Research</w:t>
          </w:r>
          <w:r>
            <w:rPr>
              <w:rFonts w:eastAsia="Times New Roman"/>
            </w:rPr>
            <w:t>, 5, p. 88. doi: 10.12688/wellcomeopenres.15922.2.</w:t>
          </w:r>
        </w:p>
        <w:p w14:paraId="28E7D81F" w14:textId="77777777" w:rsidR="00BD3865" w:rsidRDefault="00BD3865">
          <w:pPr>
            <w:divId w:val="1131628879"/>
            <w:rPr>
              <w:rFonts w:eastAsia="Times New Roman"/>
            </w:rPr>
          </w:pPr>
          <w:r>
            <w:rPr>
              <w:rFonts w:eastAsia="Times New Roman"/>
            </w:rPr>
            <w:t xml:space="preserve">Bambra, C., Riordan, R. and Ford, J. (2020) “The COVID-19 pandemic and health inequalities,” </w:t>
          </w:r>
          <w:r>
            <w:rPr>
              <w:rFonts w:eastAsia="Times New Roman"/>
              <w:i/>
              <w:iCs/>
            </w:rPr>
            <w:t>J Epidemiol Community Health</w:t>
          </w:r>
          <w:r>
            <w:rPr>
              <w:rFonts w:eastAsia="Times New Roman"/>
            </w:rPr>
            <w:t>, 74, pp. 964–968. doi: 10.1136/jech-2020-214401.</w:t>
          </w:r>
        </w:p>
        <w:p w14:paraId="615AF35A" w14:textId="77777777" w:rsidR="00BD3865" w:rsidRDefault="00BD3865">
          <w:pPr>
            <w:divId w:val="1721906426"/>
            <w:rPr>
              <w:rFonts w:eastAsia="Times New Roman"/>
            </w:rPr>
          </w:pPr>
          <w:r>
            <w:rPr>
              <w:rFonts w:eastAsia="Times New Roman"/>
            </w:rPr>
            <w:t xml:space="preserve">Bibby, J., Everest, G. and Abbs, I. (2020) </w:t>
          </w:r>
          <w:r>
            <w:rPr>
              <w:rFonts w:eastAsia="Times New Roman"/>
              <w:i/>
              <w:iCs/>
            </w:rPr>
            <w:t>Will COVID-19 be a watershed moment for health inequalities?</w:t>
          </w:r>
        </w:p>
        <w:p w14:paraId="7936B895" w14:textId="77777777" w:rsidR="00BD3865" w:rsidRDefault="00BD3865">
          <w:pPr>
            <w:divId w:val="1952934171"/>
            <w:rPr>
              <w:rFonts w:eastAsia="Times New Roman"/>
            </w:rPr>
          </w:pPr>
          <w:r>
            <w:rPr>
              <w:rFonts w:eastAsia="Times New Roman"/>
            </w:rPr>
            <w:t xml:space="preserve">Cheater, S. (2020) “To cite this article: Sylvia Cheater (2020) Health inequalities-Covid-19 will widen the gap,” </w:t>
          </w:r>
          <w:r>
            <w:rPr>
              <w:rFonts w:eastAsia="Times New Roman"/>
              <w:i/>
              <w:iCs/>
            </w:rPr>
            <w:t>International Journal of Health Promotion and Education</w:t>
          </w:r>
          <w:r>
            <w:rPr>
              <w:rFonts w:eastAsia="Times New Roman"/>
            </w:rPr>
            <w:t>, 58(4), pp. 223–225. doi: 10.1080/14635240.2020.1771035.</w:t>
          </w:r>
        </w:p>
        <w:p w14:paraId="435413C1" w14:textId="77777777" w:rsidR="00BD3865" w:rsidRDefault="00BD3865">
          <w:pPr>
            <w:divId w:val="1722509924"/>
            <w:rPr>
              <w:rFonts w:eastAsia="Times New Roman"/>
            </w:rPr>
          </w:pPr>
          <w:r>
            <w:rPr>
              <w:rFonts w:eastAsia="Times New Roman"/>
              <w:i/>
              <w:iCs/>
            </w:rPr>
            <w:t>Disparities in the risk and outcomes of COVID-19</w:t>
          </w:r>
          <w:r>
            <w:rPr>
              <w:rFonts w:eastAsia="Times New Roman"/>
            </w:rPr>
            <w:t xml:space="preserve"> (2020). Available at: www.facebook.com/PublicHealthEngland (Accessed: March 18, 2021).</w:t>
          </w:r>
        </w:p>
        <w:p w14:paraId="0B86B50C" w14:textId="77777777" w:rsidR="00BD3865" w:rsidRDefault="00BD3865">
          <w:pPr>
            <w:divId w:val="498156652"/>
            <w:rPr>
              <w:rFonts w:eastAsia="Times New Roman"/>
            </w:rPr>
          </w:pPr>
          <w:r>
            <w:rPr>
              <w:rFonts w:eastAsia="Times New Roman"/>
            </w:rPr>
            <w:t xml:space="preserve">Dupriez, V. </w:t>
          </w:r>
          <w:r>
            <w:rPr>
              <w:rFonts w:eastAsia="Times New Roman"/>
              <w:i/>
              <w:iCs/>
            </w:rPr>
            <w:t>et al.</w:t>
          </w:r>
          <w:r>
            <w:rPr>
              <w:rFonts w:eastAsia="Times New Roman"/>
            </w:rPr>
            <w:t xml:space="preserve"> (2012) “Social Inequalities of Post-secondary Educational Aspirations: Influence of social background, school composition and institutional context,” </w:t>
          </w:r>
          <w:r>
            <w:rPr>
              <w:rFonts w:eastAsia="Times New Roman"/>
              <w:i/>
              <w:iCs/>
            </w:rPr>
            <w:t>European Educational Research Journal</w:t>
          </w:r>
          <w:r>
            <w:rPr>
              <w:rFonts w:eastAsia="Times New Roman"/>
            </w:rPr>
            <w:t>, 11(4), pp. 504–519. doi: 10.2304/eerj.2012.11.4.504.</w:t>
          </w:r>
        </w:p>
        <w:p w14:paraId="49DC5058" w14:textId="77777777" w:rsidR="00BD3865" w:rsidRDefault="00BD3865">
          <w:pPr>
            <w:divId w:val="94180424"/>
            <w:rPr>
              <w:rFonts w:eastAsia="Times New Roman"/>
            </w:rPr>
          </w:pPr>
          <w:r>
            <w:rPr>
              <w:rFonts w:eastAsia="Times New Roman"/>
            </w:rPr>
            <w:t xml:space="preserve">Holmes, L. </w:t>
          </w:r>
          <w:r>
            <w:rPr>
              <w:rFonts w:eastAsia="Times New Roman"/>
              <w:i/>
              <w:iCs/>
            </w:rPr>
            <w:t>et al.</w:t>
          </w:r>
          <w:r>
            <w:rPr>
              <w:rFonts w:eastAsia="Times New Roman"/>
            </w:rPr>
            <w:t xml:space="preserve"> (2020) “Black-White Risk Differentials in COVID-19 (SARS-COV2) Transmission, Mortality and Case Fatality in the United States: Translational Epidemiologic Perspective and Challenges,” </w:t>
          </w:r>
          <w:r>
            <w:rPr>
              <w:rFonts w:eastAsia="Times New Roman"/>
              <w:i/>
              <w:iCs/>
            </w:rPr>
            <w:t>Int. J. Environ. Res. Public Health</w:t>
          </w:r>
          <w:r>
            <w:rPr>
              <w:rFonts w:eastAsia="Times New Roman"/>
            </w:rPr>
            <w:t>, 17, p. 4322. doi: 10.3390/ijerph17124322.</w:t>
          </w:r>
        </w:p>
        <w:p w14:paraId="240328A5" w14:textId="77777777" w:rsidR="00BD3865" w:rsidRDefault="00BD3865">
          <w:pPr>
            <w:divId w:val="789276151"/>
            <w:rPr>
              <w:rFonts w:eastAsia="Times New Roman"/>
            </w:rPr>
          </w:pPr>
          <w:r>
            <w:rPr>
              <w:rFonts w:eastAsia="Times New Roman"/>
            </w:rPr>
            <w:lastRenderedPageBreak/>
            <w:t xml:space="preserve">Macintyre, S. (1997) </w:t>
          </w:r>
          <w:r>
            <w:rPr>
              <w:rFonts w:eastAsia="Times New Roman"/>
              <w:i/>
              <w:iCs/>
            </w:rPr>
            <w:t>THE BLACK REPORT AND BEYOND WHAT ARE THE ISSUES?</w:t>
          </w:r>
          <w:r>
            <w:rPr>
              <w:rFonts w:eastAsia="Times New Roman"/>
            </w:rPr>
            <w:t xml:space="preserve">, </w:t>
          </w:r>
          <w:r>
            <w:rPr>
              <w:rFonts w:eastAsia="Times New Roman"/>
              <w:i/>
              <w:iCs/>
            </w:rPr>
            <w:t>Soc. Sci. Med</w:t>
          </w:r>
          <w:r>
            <w:rPr>
              <w:rFonts w:eastAsia="Times New Roman"/>
            </w:rPr>
            <w:t>.</w:t>
          </w:r>
        </w:p>
        <w:p w14:paraId="283B1244" w14:textId="77777777" w:rsidR="00BD3865" w:rsidRDefault="00BD3865">
          <w:pPr>
            <w:divId w:val="1286811622"/>
            <w:rPr>
              <w:rFonts w:eastAsia="Times New Roman"/>
            </w:rPr>
          </w:pPr>
          <w:r>
            <w:rPr>
              <w:rFonts w:eastAsia="Times New Roman"/>
            </w:rPr>
            <w:t xml:space="preserve">Michael, M. (2015) </w:t>
          </w:r>
          <w:r>
            <w:rPr>
              <w:rFonts w:eastAsia="Times New Roman"/>
              <w:i/>
              <w:iCs/>
            </w:rPr>
            <w:t>The Health Gap</w:t>
          </w:r>
          <w:r>
            <w:rPr>
              <w:rFonts w:eastAsia="Times New Roman"/>
            </w:rPr>
            <w:t>. London: Bloomsbury paperbacks plc.</w:t>
          </w:r>
        </w:p>
        <w:p w14:paraId="7D3889C0" w14:textId="77777777" w:rsidR="00BD3865" w:rsidRDefault="00BD3865">
          <w:pPr>
            <w:divId w:val="773482283"/>
            <w:rPr>
              <w:rFonts w:eastAsia="Times New Roman"/>
            </w:rPr>
          </w:pPr>
          <w:r>
            <w:rPr>
              <w:rFonts w:eastAsia="Times New Roman"/>
            </w:rPr>
            <w:t xml:space="preserve">Phe (2020a) </w:t>
          </w:r>
          <w:r>
            <w:rPr>
              <w:rFonts w:eastAsia="Times New Roman"/>
              <w:i/>
              <w:iCs/>
            </w:rPr>
            <w:t>Beyond the Data: Understanding the Impact of COVID-19 on BAME Communities</w:t>
          </w:r>
          <w:r>
            <w:rPr>
              <w:rFonts w:eastAsia="Times New Roman"/>
            </w:rPr>
            <w:t>. Available at: www.facebook.com/PublicHealthEngland (Accessed: March 18, 2021).</w:t>
          </w:r>
        </w:p>
        <w:p w14:paraId="7D097CCA" w14:textId="77777777" w:rsidR="00BD3865" w:rsidRDefault="00BD3865">
          <w:pPr>
            <w:divId w:val="267812440"/>
            <w:rPr>
              <w:rFonts w:eastAsia="Times New Roman"/>
            </w:rPr>
          </w:pPr>
          <w:r>
            <w:rPr>
              <w:rFonts w:eastAsia="Times New Roman"/>
            </w:rPr>
            <w:t xml:space="preserve">Phe (2020b) </w:t>
          </w:r>
          <w:r>
            <w:rPr>
              <w:rFonts w:eastAsia="Times New Roman"/>
              <w:i/>
              <w:iCs/>
            </w:rPr>
            <w:t>Disparities in the risk and outcomes from COVID-19</w:t>
          </w:r>
          <w:r>
            <w:rPr>
              <w:rFonts w:eastAsia="Times New Roman"/>
            </w:rPr>
            <w:t>. Available at: www.facebook.com/PublicHealthEngland (Accessed: March 10, 2021).</w:t>
          </w:r>
        </w:p>
        <w:p w14:paraId="70053CE7" w14:textId="77777777" w:rsidR="00BD3865" w:rsidRDefault="00BD3865">
          <w:pPr>
            <w:divId w:val="621768089"/>
            <w:rPr>
              <w:rFonts w:eastAsia="Times New Roman"/>
            </w:rPr>
          </w:pPr>
          <w:r>
            <w:rPr>
              <w:rFonts w:eastAsia="Times New Roman"/>
            </w:rPr>
            <w:t>Pickett, K. E. and Dorling, D. (2010) “Against the organization of misery? The Marmot Review of health inequalities.” doi: 10.1016/j.socscimed.2010.07.013.</w:t>
          </w:r>
        </w:p>
        <w:p w14:paraId="13FE5CF0" w14:textId="77777777" w:rsidR="00BD3865" w:rsidRDefault="00BD3865">
          <w:pPr>
            <w:divId w:val="868684880"/>
            <w:rPr>
              <w:rFonts w:eastAsia="Times New Roman"/>
            </w:rPr>
          </w:pPr>
          <w:r>
            <w:rPr>
              <w:rFonts w:eastAsia="Times New Roman"/>
            </w:rPr>
            <w:t xml:space="preserve">Platt, L. and Warwick, R. (2020) “COVID‐19 and Ethnic Inequalities in England and Wales </w:t>
          </w:r>
          <w:r>
            <w:rPr>
              <w:rFonts w:eastAsia="Times New Roman"/>
              <w:vertAlign w:val="superscript"/>
            </w:rPr>
            <w:t>*</w:t>
          </w:r>
          <w:r>
            <w:rPr>
              <w:rFonts w:eastAsia="Times New Roman"/>
            </w:rPr>
            <w:t xml:space="preserve">,” </w:t>
          </w:r>
          <w:r>
            <w:rPr>
              <w:rFonts w:eastAsia="Times New Roman"/>
              <w:i/>
              <w:iCs/>
            </w:rPr>
            <w:t>Fiscal Studies</w:t>
          </w:r>
          <w:r>
            <w:rPr>
              <w:rFonts w:eastAsia="Times New Roman"/>
            </w:rPr>
            <w:t>, 41(2), pp. 259–289. doi: 10.1111/1475-5890.12228.</w:t>
          </w:r>
        </w:p>
        <w:p w14:paraId="20400FC6" w14:textId="77777777" w:rsidR="00BD3865" w:rsidRDefault="00BD3865">
          <w:pPr>
            <w:divId w:val="1417482382"/>
            <w:rPr>
              <w:rFonts w:eastAsia="Times New Roman"/>
            </w:rPr>
          </w:pPr>
          <w:r>
            <w:rPr>
              <w:rFonts w:eastAsia="Times New Roman"/>
            </w:rPr>
            <w:t xml:space="preserve">Rothan, H. A. and Byrareddy, S. N. (2020) “The epidemiology and pathogenesis of coronavirus disease (COVID-19) outbreak,” </w:t>
          </w:r>
          <w:r>
            <w:rPr>
              <w:rFonts w:eastAsia="Times New Roman"/>
              <w:i/>
              <w:iCs/>
            </w:rPr>
            <w:t>Journal of Autoimmunity</w:t>
          </w:r>
          <w:r>
            <w:rPr>
              <w:rFonts w:eastAsia="Times New Roman"/>
            </w:rPr>
            <w:t>. Academic Press, p. 102433. doi: 10.1016/j.jaut.2020.102433.</w:t>
          </w:r>
        </w:p>
        <w:p w14:paraId="54A9D554" w14:textId="77777777" w:rsidR="00BD3865" w:rsidRDefault="00BD3865">
          <w:pPr>
            <w:divId w:val="815415403"/>
            <w:rPr>
              <w:rFonts w:eastAsia="Times New Roman"/>
            </w:rPr>
          </w:pPr>
          <w:r>
            <w:rPr>
              <w:rFonts w:eastAsia="Times New Roman"/>
            </w:rPr>
            <w:t xml:space="preserve">Shadmi, E. </w:t>
          </w:r>
          <w:r>
            <w:rPr>
              <w:rFonts w:eastAsia="Times New Roman"/>
              <w:i/>
              <w:iCs/>
            </w:rPr>
            <w:t>et al.</w:t>
          </w:r>
          <w:r>
            <w:rPr>
              <w:rFonts w:eastAsia="Times New Roman"/>
            </w:rPr>
            <w:t xml:space="preserve"> (no date) “Health equity and COVID-19: global perspectives.” doi: 10.1186/s12939-020-01218-z.</w:t>
          </w:r>
        </w:p>
        <w:p w14:paraId="1269CC6A" w14:textId="77777777" w:rsidR="00BD3865" w:rsidRDefault="00BD3865">
          <w:pPr>
            <w:divId w:val="1501191541"/>
            <w:rPr>
              <w:rFonts w:eastAsia="Times New Roman"/>
            </w:rPr>
          </w:pPr>
          <w:r>
            <w:rPr>
              <w:rFonts w:eastAsia="Times New Roman"/>
              <w:i/>
              <w:iCs/>
            </w:rPr>
            <w:t>UK poverty: Causes, costs and solutions | JRF</w:t>
          </w:r>
          <w:r>
            <w:rPr>
              <w:rFonts w:eastAsia="Times New Roman"/>
            </w:rPr>
            <w:t xml:space="preserve"> (no date). Available at: https://www.jrf.org.uk/report/uk-poverty-causes-costs-and-solutions (Accessed: March 17, 2021).</w:t>
          </w:r>
        </w:p>
        <w:p w14:paraId="7FD3AA43" w14:textId="77777777" w:rsidR="00BD3865" w:rsidRDefault="00BD3865">
          <w:pPr>
            <w:divId w:val="2066220595"/>
            <w:rPr>
              <w:rFonts w:eastAsia="Times New Roman"/>
            </w:rPr>
          </w:pPr>
          <w:r>
            <w:rPr>
              <w:rFonts w:eastAsia="Times New Roman"/>
              <w:i/>
              <w:iCs/>
            </w:rPr>
            <w:t>WHO Director-Generals remarks for G20 trade ministers</w:t>
          </w:r>
          <w:r>
            <w:rPr>
              <w:rFonts w:eastAsia="Times New Roman"/>
            </w:rPr>
            <w:t xml:space="preserve"> (no date). Available at: https://www.who.int/director-general/speeches/detail/who-director-generals-remarks-for-g20-trade-ministers (Accessed: March 18, 2021).</w:t>
          </w:r>
        </w:p>
        <w:p w14:paraId="7637CF89" w14:textId="7BEDC490" w:rsidR="00BD3865" w:rsidRDefault="00BD3865">
          <w:pPr>
            <w:divId w:val="1803107561"/>
            <w:rPr>
              <w:rFonts w:eastAsia="Times New Roman"/>
            </w:rPr>
          </w:pPr>
          <w:r>
            <w:rPr>
              <w:rFonts w:eastAsia="Times New Roman"/>
              <w:i/>
              <w:iCs/>
            </w:rPr>
            <w:t>Wider Determinants of Health - PHE</w:t>
          </w:r>
          <w:r>
            <w:rPr>
              <w:rFonts w:eastAsia="Times New Roman"/>
            </w:rPr>
            <w:t xml:space="preserve"> (</w:t>
          </w:r>
          <w:r w:rsidR="003342F1">
            <w:rPr>
              <w:rFonts w:eastAsia="Times New Roman"/>
            </w:rPr>
            <w:t>2019</w:t>
          </w:r>
          <w:r>
            <w:rPr>
              <w:rFonts w:eastAsia="Times New Roman"/>
            </w:rPr>
            <w:t>). Available at: https://fingertips.phe.org.uk/profile/wider-determinants (Accessed: March 17, 2021).</w:t>
          </w:r>
        </w:p>
        <w:p w14:paraId="761C4E09" w14:textId="5621BD12" w:rsidR="002E68CE" w:rsidRPr="00BC4627" w:rsidRDefault="00BD3865" w:rsidP="007311A4">
          <w:pPr>
            <w:widowControl w:val="0"/>
            <w:autoSpaceDE w:val="0"/>
            <w:autoSpaceDN w:val="0"/>
            <w:adjustRightInd w:val="0"/>
            <w:spacing w:line="240" w:lineRule="auto"/>
            <w:rPr>
              <w:rFonts w:ascii="Calibri" w:hAnsi="Calibri" w:cs="Calibri"/>
              <w:noProof/>
            </w:rPr>
          </w:pPr>
          <w:r>
            <w:rPr>
              <w:rFonts w:eastAsia="Times New Roman"/>
            </w:rPr>
            <w:t> </w:t>
          </w:r>
        </w:p>
      </w:sdtContent>
    </w:sdt>
    <w:p w14:paraId="1E624C46" w14:textId="77777777" w:rsidR="00696089" w:rsidRPr="00BC4627" w:rsidRDefault="00696089" w:rsidP="007311A4">
      <w:pPr>
        <w:widowControl w:val="0"/>
        <w:autoSpaceDE w:val="0"/>
        <w:autoSpaceDN w:val="0"/>
        <w:adjustRightInd w:val="0"/>
        <w:spacing w:line="240" w:lineRule="auto"/>
        <w:rPr>
          <w:rFonts w:ascii="Calibri" w:hAnsi="Calibri" w:cs="Calibri"/>
          <w:noProof/>
        </w:rPr>
      </w:pPr>
    </w:p>
    <w:p w14:paraId="2BD30000" w14:textId="7AA8C92A" w:rsidR="00BE1BB8" w:rsidRPr="00BC4627" w:rsidRDefault="007311A4" w:rsidP="007311A4">
      <w:pPr>
        <w:spacing w:line="360" w:lineRule="auto"/>
        <w:rPr>
          <w:rFonts w:ascii="Calibri" w:hAnsi="Calibri"/>
        </w:rPr>
      </w:pPr>
      <w:r w:rsidRPr="00BC4627">
        <w:rPr>
          <w:rFonts w:ascii="Calibri" w:hAnsi="Calibri"/>
        </w:rPr>
        <w:fldChar w:fldCharType="end"/>
      </w:r>
    </w:p>
    <w:sectPr w:rsidR="00BE1BB8" w:rsidRPr="00BC4627">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4CD7914" w14:textId="77777777" w:rsidR="00F735CE" w:rsidRDefault="00F735CE" w:rsidP="00E53330">
      <w:pPr>
        <w:spacing w:after="0" w:line="240" w:lineRule="auto"/>
      </w:pPr>
      <w:r>
        <w:separator/>
      </w:r>
    </w:p>
  </w:endnote>
  <w:endnote w:type="continuationSeparator" w:id="0">
    <w:p w14:paraId="4AB9FC12" w14:textId="77777777" w:rsidR="00F735CE" w:rsidRDefault="00F735CE" w:rsidP="00E5333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74025323"/>
      <w:docPartObj>
        <w:docPartGallery w:val="Page Numbers (Bottom of Page)"/>
        <w:docPartUnique/>
      </w:docPartObj>
    </w:sdtPr>
    <w:sdtEndPr>
      <w:rPr>
        <w:noProof/>
      </w:rPr>
    </w:sdtEndPr>
    <w:sdtContent>
      <w:p w14:paraId="1D914AF2" w14:textId="761B8B42" w:rsidR="00E53330" w:rsidRDefault="00E5333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4E34200" w14:textId="77777777" w:rsidR="00E53330" w:rsidRDefault="00E5333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1762C9B" w14:textId="77777777" w:rsidR="00F735CE" w:rsidRDefault="00F735CE" w:rsidP="00E53330">
      <w:pPr>
        <w:spacing w:after="0" w:line="240" w:lineRule="auto"/>
      </w:pPr>
      <w:r>
        <w:separator/>
      </w:r>
    </w:p>
  </w:footnote>
  <w:footnote w:type="continuationSeparator" w:id="0">
    <w:p w14:paraId="59593FC3" w14:textId="77777777" w:rsidR="00F735CE" w:rsidRDefault="00F735CE" w:rsidP="00E5333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07DF4"/>
    <w:rsid w:val="00000E34"/>
    <w:rsid w:val="00001928"/>
    <w:rsid w:val="000045F7"/>
    <w:rsid w:val="00011564"/>
    <w:rsid w:val="00011878"/>
    <w:rsid w:val="0001262C"/>
    <w:rsid w:val="00013301"/>
    <w:rsid w:val="00017BFC"/>
    <w:rsid w:val="000231F7"/>
    <w:rsid w:val="00026AB4"/>
    <w:rsid w:val="00027246"/>
    <w:rsid w:val="000358B5"/>
    <w:rsid w:val="00042FDD"/>
    <w:rsid w:val="0004702A"/>
    <w:rsid w:val="0005169B"/>
    <w:rsid w:val="00053A1C"/>
    <w:rsid w:val="000565A0"/>
    <w:rsid w:val="00060399"/>
    <w:rsid w:val="0006201A"/>
    <w:rsid w:val="00062B51"/>
    <w:rsid w:val="00063FB3"/>
    <w:rsid w:val="00066D5B"/>
    <w:rsid w:val="00067FB0"/>
    <w:rsid w:val="00071C73"/>
    <w:rsid w:val="00071EEC"/>
    <w:rsid w:val="00077476"/>
    <w:rsid w:val="00083F71"/>
    <w:rsid w:val="00091E75"/>
    <w:rsid w:val="00093098"/>
    <w:rsid w:val="00093970"/>
    <w:rsid w:val="00094DB5"/>
    <w:rsid w:val="00097B91"/>
    <w:rsid w:val="000A116D"/>
    <w:rsid w:val="000A20A6"/>
    <w:rsid w:val="000A42F8"/>
    <w:rsid w:val="000A5233"/>
    <w:rsid w:val="000B28ED"/>
    <w:rsid w:val="000B3966"/>
    <w:rsid w:val="000C02CC"/>
    <w:rsid w:val="000C4A12"/>
    <w:rsid w:val="000C4D01"/>
    <w:rsid w:val="000D5427"/>
    <w:rsid w:val="000D638A"/>
    <w:rsid w:val="000E29D7"/>
    <w:rsid w:val="000E49FF"/>
    <w:rsid w:val="000E4BC0"/>
    <w:rsid w:val="000E4C4E"/>
    <w:rsid w:val="001108B4"/>
    <w:rsid w:val="001137BA"/>
    <w:rsid w:val="00114953"/>
    <w:rsid w:val="00114C9E"/>
    <w:rsid w:val="00115B67"/>
    <w:rsid w:val="00117C1C"/>
    <w:rsid w:val="00124028"/>
    <w:rsid w:val="001250DD"/>
    <w:rsid w:val="001314D4"/>
    <w:rsid w:val="00134142"/>
    <w:rsid w:val="00135FB6"/>
    <w:rsid w:val="00136032"/>
    <w:rsid w:val="001427AB"/>
    <w:rsid w:val="001443B0"/>
    <w:rsid w:val="00145418"/>
    <w:rsid w:val="00145E48"/>
    <w:rsid w:val="00150351"/>
    <w:rsid w:val="001508AD"/>
    <w:rsid w:val="0015341B"/>
    <w:rsid w:val="00156ABD"/>
    <w:rsid w:val="00161AC5"/>
    <w:rsid w:val="0016206C"/>
    <w:rsid w:val="00162D59"/>
    <w:rsid w:val="00166027"/>
    <w:rsid w:val="00173BE9"/>
    <w:rsid w:val="00174950"/>
    <w:rsid w:val="00174FC0"/>
    <w:rsid w:val="001752D0"/>
    <w:rsid w:val="00181166"/>
    <w:rsid w:val="001856ED"/>
    <w:rsid w:val="00191EAD"/>
    <w:rsid w:val="0019308E"/>
    <w:rsid w:val="001A27BA"/>
    <w:rsid w:val="001A3EC9"/>
    <w:rsid w:val="001A41F3"/>
    <w:rsid w:val="001A7F09"/>
    <w:rsid w:val="001B0E4F"/>
    <w:rsid w:val="001B1474"/>
    <w:rsid w:val="001B42B8"/>
    <w:rsid w:val="001B65E5"/>
    <w:rsid w:val="001B7371"/>
    <w:rsid w:val="001C4531"/>
    <w:rsid w:val="001C68B6"/>
    <w:rsid w:val="001D02AD"/>
    <w:rsid w:val="001D3520"/>
    <w:rsid w:val="001D7F35"/>
    <w:rsid w:val="001E13EB"/>
    <w:rsid w:val="001E33C4"/>
    <w:rsid w:val="001E6B4D"/>
    <w:rsid w:val="001E76B4"/>
    <w:rsid w:val="001F2888"/>
    <w:rsid w:val="001F2A54"/>
    <w:rsid w:val="001F4367"/>
    <w:rsid w:val="001F48B2"/>
    <w:rsid w:val="001F7EB0"/>
    <w:rsid w:val="00201876"/>
    <w:rsid w:val="0020289C"/>
    <w:rsid w:val="00202F63"/>
    <w:rsid w:val="00210080"/>
    <w:rsid w:val="002145F6"/>
    <w:rsid w:val="00216513"/>
    <w:rsid w:val="002202D5"/>
    <w:rsid w:val="002226B1"/>
    <w:rsid w:val="00225752"/>
    <w:rsid w:val="00230106"/>
    <w:rsid w:val="0023272D"/>
    <w:rsid w:val="0023652D"/>
    <w:rsid w:val="00242370"/>
    <w:rsid w:val="002452E8"/>
    <w:rsid w:val="00245EF5"/>
    <w:rsid w:val="00250381"/>
    <w:rsid w:val="00252157"/>
    <w:rsid w:val="002527D1"/>
    <w:rsid w:val="0025450C"/>
    <w:rsid w:val="00254DA3"/>
    <w:rsid w:val="00255BE7"/>
    <w:rsid w:val="00257017"/>
    <w:rsid w:val="00257BAE"/>
    <w:rsid w:val="00257CAB"/>
    <w:rsid w:val="00262101"/>
    <w:rsid w:val="00263ABA"/>
    <w:rsid w:val="00264785"/>
    <w:rsid w:val="002660D5"/>
    <w:rsid w:val="00271E21"/>
    <w:rsid w:val="00273D4E"/>
    <w:rsid w:val="00275E9F"/>
    <w:rsid w:val="00275F0C"/>
    <w:rsid w:val="00277ACE"/>
    <w:rsid w:val="00281960"/>
    <w:rsid w:val="002837E0"/>
    <w:rsid w:val="0028471C"/>
    <w:rsid w:val="00291C12"/>
    <w:rsid w:val="00293DB8"/>
    <w:rsid w:val="002A2065"/>
    <w:rsid w:val="002A3D2A"/>
    <w:rsid w:val="002A4948"/>
    <w:rsid w:val="002B0934"/>
    <w:rsid w:val="002B2BE9"/>
    <w:rsid w:val="002C090B"/>
    <w:rsid w:val="002C0E6E"/>
    <w:rsid w:val="002C49E2"/>
    <w:rsid w:val="002C4E71"/>
    <w:rsid w:val="002C6558"/>
    <w:rsid w:val="002D4314"/>
    <w:rsid w:val="002D4FCA"/>
    <w:rsid w:val="002D5868"/>
    <w:rsid w:val="002D5BC2"/>
    <w:rsid w:val="002D65A3"/>
    <w:rsid w:val="002D7598"/>
    <w:rsid w:val="002E1012"/>
    <w:rsid w:val="002E26A8"/>
    <w:rsid w:val="002E68CE"/>
    <w:rsid w:val="002F1F38"/>
    <w:rsid w:val="002F2429"/>
    <w:rsid w:val="002F301D"/>
    <w:rsid w:val="002F38C6"/>
    <w:rsid w:val="002F39AB"/>
    <w:rsid w:val="002F446D"/>
    <w:rsid w:val="002F4D48"/>
    <w:rsid w:val="00300909"/>
    <w:rsid w:val="0030539B"/>
    <w:rsid w:val="003070C6"/>
    <w:rsid w:val="00307EAB"/>
    <w:rsid w:val="00312E87"/>
    <w:rsid w:val="00315392"/>
    <w:rsid w:val="00322AEA"/>
    <w:rsid w:val="00325137"/>
    <w:rsid w:val="003253BD"/>
    <w:rsid w:val="003276B7"/>
    <w:rsid w:val="003303FA"/>
    <w:rsid w:val="00330F95"/>
    <w:rsid w:val="003342F1"/>
    <w:rsid w:val="00337BA0"/>
    <w:rsid w:val="003403EA"/>
    <w:rsid w:val="00344B9F"/>
    <w:rsid w:val="00344C0D"/>
    <w:rsid w:val="0035161D"/>
    <w:rsid w:val="00351E70"/>
    <w:rsid w:val="00361611"/>
    <w:rsid w:val="0036552B"/>
    <w:rsid w:val="00366281"/>
    <w:rsid w:val="00371DA1"/>
    <w:rsid w:val="00372B71"/>
    <w:rsid w:val="00373261"/>
    <w:rsid w:val="00373354"/>
    <w:rsid w:val="003736D1"/>
    <w:rsid w:val="00376266"/>
    <w:rsid w:val="00376B98"/>
    <w:rsid w:val="00376EF7"/>
    <w:rsid w:val="00382D41"/>
    <w:rsid w:val="003855D3"/>
    <w:rsid w:val="00387380"/>
    <w:rsid w:val="0039286E"/>
    <w:rsid w:val="00393733"/>
    <w:rsid w:val="00397E1C"/>
    <w:rsid w:val="003A107C"/>
    <w:rsid w:val="003A1229"/>
    <w:rsid w:val="003A1973"/>
    <w:rsid w:val="003A2C99"/>
    <w:rsid w:val="003A39DB"/>
    <w:rsid w:val="003A3BB1"/>
    <w:rsid w:val="003A5999"/>
    <w:rsid w:val="003A6B9C"/>
    <w:rsid w:val="003A793A"/>
    <w:rsid w:val="003B1EEB"/>
    <w:rsid w:val="003B3C01"/>
    <w:rsid w:val="003C5DB9"/>
    <w:rsid w:val="003D349C"/>
    <w:rsid w:val="003D55E8"/>
    <w:rsid w:val="003D6274"/>
    <w:rsid w:val="003E153F"/>
    <w:rsid w:val="003E2720"/>
    <w:rsid w:val="003E2C2D"/>
    <w:rsid w:val="003E356A"/>
    <w:rsid w:val="003E546E"/>
    <w:rsid w:val="003F4040"/>
    <w:rsid w:val="003F57F5"/>
    <w:rsid w:val="00400E97"/>
    <w:rsid w:val="0040145B"/>
    <w:rsid w:val="0040448C"/>
    <w:rsid w:val="004054DE"/>
    <w:rsid w:val="00405815"/>
    <w:rsid w:val="004102C9"/>
    <w:rsid w:val="0041103C"/>
    <w:rsid w:val="00414941"/>
    <w:rsid w:val="004261B0"/>
    <w:rsid w:val="004264D2"/>
    <w:rsid w:val="00426A33"/>
    <w:rsid w:val="00433A0C"/>
    <w:rsid w:val="004405A5"/>
    <w:rsid w:val="004447BF"/>
    <w:rsid w:val="0044760F"/>
    <w:rsid w:val="00451013"/>
    <w:rsid w:val="00452A0E"/>
    <w:rsid w:val="0045548D"/>
    <w:rsid w:val="00457FE7"/>
    <w:rsid w:val="00460015"/>
    <w:rsid w:val="00460B38"/>
    <w:rsid w:val="004612C3"/>
    <w:rsid w:val="0046494A"/>
    <w:rsid w:val="00465893"/>
    <w:rsid w:val="00465AF7"/>
    <w:rsid w:val="00466831"/>
    <w:rsid w:val="00466BF1"/>
    <w:rsid w:val="004724A8"/>
    <w:rsid w:val="0047556A"/>
    <w:rsid w:val="00480F96"/>
    <w:rsid w:val="00484108"/>
    <w:rsid w:val="004843B9"/>
    <w:rsid w:val="004916DA"/>
    <w:rsid w:val="004927C7"/>
    <w:rsid w:val="00494D47"/>
    <w:rsid w:val="004A57B8"/>
    <w:rsid w:val="004A633E"/>
    <w:rsid w:val="004B12AE"/>
    <w:rsid w:val="004B1932"/>
    <w:rsid w:val="004B2E71"/>
    <w:rsid w:val="004B41A5"/>
    <w:rsid w:val="004B441A"/>
    <w:rsid w:val="004C18FA"/>
    <w:rsid w:val="004C5247"/>
    <w:rsid w:val="004C6766"/>
    <w:rsid w:val="004C7841"/>
    <w:rsid w:val="004D1D60"/>
    <w:rsid w:val="004D2CA9"/>
    <w:rsid w:val="004D63F7"/>
    <w:rsid w:val="004E30F8"/>
    <w:rsid w:val="004E5836"/>
    <w:rsid w:val="004F0985"/>
    <w:rsid w:val="004F7A67"/>
    <w:rsid w:val="004F7B6C"/>
    <w:rsid w:val="005012D5"/>
    <w:rsid w:val="00503285"/>
    <w:rsid w:val="00506E4C"/>
    <w:rsid w:val="00507346"/>
    <w:rsid w:val="005074A0"/>
    <w:rsid w:val="00507DF4"/>
    <w:rsid w:val="0051205E"/>
    <w:rsid w:val="00514648"/>
    <w:rsid w:val="005173EE"/>
    <w:rsid w:val="005211F9"/>
    <w:rsid w:val="00521374"/>
    <w:rsid w:val="005341F5"/>
    <w:rsid w:val="00536ECF"/>
    <w:rsid w:val="00547D36"/>
    <w:rsid w:val="00557624"/>
    <w:rsid w:val="00562096"/>
    <w:rsid w:val="00562F66"/>
    <w:rsid w:val="00563D47"/>
    <w:rsid w:val="00564F31"/>
    <w:rsid w:val="0056650B"/>
    <w:rsid w:val="005703AA"/>
    <w:rsid w:val="00574C48"/>
    <w:rsid w:val="0057541E"/>
    <w:rsid w:val="00577FFA"/>
    <w:rsid w:val="00582958"/>
    <w:rsid w:val="00585410"/>
    <w:rsid w:val="00585B9E"/>
    <w:rsid w:val="00591B0E"/>
    <w:rsid w:val="00594045"/>
    <w:rsid w:val="005973F9"/>
    <w:rsid w:val="00597550"/>
    <w:rsid w:val="005A0034"/>
    <w:rsid w:val="005A1A2D"/>
    <w:rsid w:val="005A292F"/>
    <w:rsid w:val="005A3997"/>
    <w:rsid w:val="005A3A91"/>
    <w:rsid w:val="005A693C"/>
    <w:rsid w:val="005B1274"/>
    <w:rsid w:val="005B1445"/>
    <w:rsid w:val="005B63BD"/>
    <w:rsid w:val="005B7CE7"/>
    <w:rsid w:val="005C2DCE"/>
    <w:rsid w:val="005C2FD7"/>
    <w:rsid w:val="005C3852"/>
    <w:rsid w:val="005C745E"/>
    <w:rsid w:val="005D240C"/>
    <w:rsid w:val="005D66D1"/>
    <w:rsid w:val="005D768A"/>
    <w:rsid w:val="005E0425"/>
    <w:rsid w:val="005E059C"/>
    <w:rsid w:val="005E253D"/>
    <w:rsid w:val="005E25A4"/>
    <w:rsid w:val="005E404F"/>
    <w:rsid w:val="005E40A4"/>
    <w:rsid w:val="005E6AD5"/>
    <w:rsid w:val="005F1B3E"/>
    <w:rsid w:val="005F2BD7"/>
    <w:rsid w:val="005F4BA6"/>
    <w:rsid w:val="005F4D84"/>
    <w:rsid w:val="00602583"/>
    <w:rsid w:val="00604C87"/>
    <w:rsid w:val="00605436"/>
    <w:rsid w:val="00606CDE"/>
    <w:rsid w:val="00612F9A"/>
    <w:rsid w:val="00613429"/>
    <w:rsid w:val="006154A0"/>
    <w:rsid w:val="00617AAC"/>
    <w:rsid w:val="00617D98"/>
    <w:rsid w:val="00623101"/>
    <w:rsid w:val="006236A1"/>
    <w:rsid w:val="00624285"/>
    <w:rsid w:val="00627249"/>
    <w:rsid w:val="0063065C"/>
    <w:rsid w:val="006344B6"/>
    <w:rsid w:val="00634EE9"/>
    <w:rsid w:val="00640310"/>
    <w:rsid w:val="00640919"/>
    <w:rsid w:val="00642E67"/>
    <w:rsid w:val="00643562"/>
    <w:rsid w:val="00643E32"/>
    <w:rsid w:val="00644C9B"/>
    <w:rsid w:val="00644D90"/>
    <w:rsid w:val="00647612"/>
    <w:rsid w:val="00650345"/>
    <w:rsid w:val="00654466"/>
    <w:rsid w:val="00656600"/>
    <w:rsid w:val="00662257"/>
    <w:rsid w:val="0066382D"/>
    <w:rsid w:val="00667D22"/>
    <w:rsid w:val="0067061F"/>
    <w:rsid w:val="006743EF"/>
    <w:rsid w:val="00674D8B"/>
    <w:rsid w:val="00675001"/>
    <w:rsid w:val="00676E2A"/>
    <w:rsid w:val="0068047F"/>
    <w:rsid w:val="006807E6"/>
    <w:rsid w:val="00682C11"/>
    <w:rsid w:val="006837AC"/>
    <w:rsid w:val="006855FC"/>
    <w:rsid w:val="0069094A"/>
    <w:rsid w:val="00690B3E"/>
    <w:rsid w:val="006932FC"/>
    <w:rsid w:val="00695576"/>
    <w:rsid w:val="00696089"/>
    <w:rsid w:val="006A2412"/>
    <w:rsid w:val="006A2511"/>
    <w:rsid w:val="006A4118"/>
    <w:rsid w:val="006B1C60"/>
    <w:rsid w:val="006B29C0"/>
    <w:rsid w:val="006C53FF"/>
    <w:rsid w:val="006D1147"/>
    <w:rsid w:val="006D22B4"/>
    <w:rsid w:val="006D32F1"/>
    <w:rsid w:val="006D4B7B"/>
    <w:rsid w:val="006D76D3"/>
    <w:rsid w:val="006E0003"/>
    <w:rsid w:val="006E15E8"/>
    <w:rsid w:val="006E513D"/>
    <w:rsid w:val="006F0900"/>
    <w:rsid w:val="006F1358"/>
    <w:rsid w:val="006F5799"/>
    <w:rsid w:val="006F5B45"/>
    <w:rsid w:val="006F63B7"/>
    <w:rsid w:val="00704B5C"/>
    <w:rsid w:val="00704E7C"/>
    <w:rsid w:val="0071081E"/>
    <w:rsid w:val="00711F6A"/>
    <w:rsid w:val="00713942"/>
    <w:rsid w:val="007167E4"/>
    <w:rsid w:val="007178D6"/>
    <w:rsid w:val="007207CF"/>
    <w:rsid w:val="0072383C"/>
    <w:rsid w:val="00730162"/>
    <w:rsid w:val="00730C7B"/>
    <w:rsid w:val="007311A4"/>
    <w:rsid w:val="00734E1C"/>
    <w:rsid w:val="007366C8"/>
    <w:rsid w:val="007366DF"/>
    <w:rsid w:val="00740DB8"/>
    <w:rsid w:val="007450F6"/>
    <w:rsid w:val="007474EE"/>
    <w:rsid w:val="0075145C"/>
    <w:rsid w:val="00753A1E"/>
    <w:rsid w:val="007615A9"/>
    <w:rsid w:val="00762B25"/>
    <w:rsid w:val="00764812"/>
    <w:rsid w:val="00770BAF"/>
    <w:rsid w:val="0077317F"/>
    <w:rsid w:val="00774D64"/>
    <w:rsid w:val="00776848"/>
    <w:rsid w:val="00777CF6"/>
    <w:rsid w:val="00777E84"/>
    <w:rsid w:val="007837A0"/>
    <w:rsid w:val="007853C6"/>
    <w:rsid w:val="007868B9"/>
    <w:rsid w:val="0079163F"/>
    <w:rsid w:val="00791E36"/>
    <w:rsid w:val="00793D4F"/>
    <w:rsid w:val="007954E5"/>
    <w:rsid w:val="007977A9"/>
    <w:rsid w:val="007A0B8C"/>
    <w:rsid w:val="007A1D60"/>
    <w:rsid w:val="007A3D47"/>
    <w:rsid w:val="007A50FF"/>
    <w:rsid w:val="007A5695"/>
    <w:rsid w:val="007A7FE0"/>
    <w:rsid w:val="007B0FF2"/>
    <w:rsid w:val="007B26F1"/>
    <w:rsid w:val="007B463E"/>
    <w:rsid w:val="007C1997"/>
    <w:rsid w:val="007C2305"/>
    <w:rsid w:val="007D04AD"/>
    <w:rsid w:val="007D3BFD"/>
    <w:rsid w:val="007D6040"/>
    <w:rsid w:val="007D7DEC"/>
    <w:rsid w:val="007D7F03"/>
    <w:rsid w:val="007E4ABD"/>
    <w:rsid w:val="007E746D"/>
    <w:rsid w:val="007F10AF"/>
    <w:rsid w:val="007F16D2"/>
    <w:rsid w:val="007F231E"/>
    <w:rsid w:val="007F24EA"/>
    <w:rsid w:val="007F2F80"/>
    <w:rsid w:val="007F5DF1"/>
    <w:rsid w:val="007F6790"/>
    <w:rsid w:val="007F6AFC"/>
    <w:rsid w:val="00807639"/>
    <w:rsid w:val="00811584"/>
    <w:rsid w:val="00815999"/>
    <w:rsid w:val="00816A49"/>
    <w:rsid w:val="00823EB0"/>
    <w:rsid w:val="008247A2"/>
    <w:rsid w:val="00827E55"/>
    <w:rsid w:val="008319F5"/>
    <w:rsid w:val="00832E54"/>
    <w:rsid w:val="008338E0"/>
    <w:rsid w:val="00834A96"/>
    <w:rsid w:val="00834D18"/>
    <w:rsid w:val="00836151"/>
    <w:rsid w:val="00837136"/>
    <w:rsid w:val="00837E8E"/>
    <w:rsid w:val="00840205"/>
    <w:rsid w:val="00840C59"/>
    <w:rsid w:val="00846623"/>
    <w:rsid w:val="0085026D"/>
    <w:rsid w:val="00852DF4"/>
    <w:rsid w:val="00861DF1"/>
    <w:rsid w:val="0086238A"/>
    <w:rsid w:val="00873435"/>
    <w:rsid w:val="0087688B"/>
    <w:rsid w:val="008862F2"/>
    <w:rsid w:val="00886390"/>
    <w:rsid w:val="00886888"/>
    <w:rsid w:val="00887BE2"/>
    <w:rsid w:val="00890EE6"/>
    <w:rsid w:val="00894548"/>
    <w:rsid w:val="00896B5A"/>
    <w:rsid w:val="00897EC3"/>
    <w:rsid w:val="008A1406"/>
    <w:rsid w:val="008A4DB7"/>
    <w:rsid w:val="008A7C8A"/>
    <w:rsid w:val="008B3A14"/>
    <w:rsid w:val="008B4288"/>
    <w:rsid w:val="008B6729"/>
    <w:rsid w:val="008B6AE3"/>
    <w:rsid w:val="008D0D79"/>
    <w:rsid w:val="008D37B6"/>
    <w:rsid w:val="008D51BD"/>
    <w:rsid w:val="008D7FDA"/>
    <w:rsid w:val="008E2863"/>
    <w:rsid w:val="008E3FCA"/>
    <w:rsid w:val="008E5327"/>
    <w:rsid w:val="008F1B20"/>
    <w:rsid w:val="008F54F5"/>
    <w:rsid w:val="008F62CC"/>
    <w:rsid w:val="008F6BEF"/>
    <w:rsid w:val="0090112A"/>
    <w:rsid w:val="00902ADB"/>
    <w:rsid w:val="009034BA"/>
    <w:rsid w:val="00907EC2"/>
    <w:rsid w:val="00911304"/>
    <w:rsid w:val="009119E7"/>
    <w:rsid w:val="009135E1"/>
    <w:rsid w:val="00913F8B"/>
    <w:rsid w:val="009224CC"/>
    <w:rsid w:val="00925A80"/>
    <w:rsid w:val="0093127E"/>
    <w:rsid w:val="0093253B"/>
    <w:rsid w:val="009432C1"/>
    <w:rsid w:val="009460CE"/>
    <w:rsid w:val="009502C1"/>
    <w:rsid w:val="00954DFF"/>
    <w:rsid w:val="009557D1"/>
    <w:rsid w:val="00955F85"/>
    <w:rsid w:val="009566FA"/>
    <w:rsid w:val="00957D9B"/>
    <w:rsid w:val="00960FF9"/>
    <w:rsid w:val="0096327E"/>
    <w:rsid w:val="00967E64"/>
    <w:rsid w:val="00970DBD"/>
    <w:rsid w:val="0097238A"/>
    <w:rsid w:val="00975917"/>
    <w:rsid w:val="009815E0"/>
    <w:rsid w:val="009832A7"/>
    <w:rsid w:val="009909F3"/>
    <w:rsid w:val="009945ED"/>
    <w:rsid w:val="009970E9"/>
    <w:rsid w:val="009A06E3"/>
    <w:rsid w:val="009A0B00"/>
    <w:rsid w:val="009A2021"/>
    <w:rsid w:val="009A2C8B"/>
    <w:rsid w:val="009A3051"/>
    <w:rsid w:val="009A45CA"/>
    <w:rsid w:val="009A62D2"/>
    <w:rsid w:val="009B2AF1"/>
    <w:rsid w:val="009B5DB3"/>
    <w:rsid w:val="009B5E29"/>
    <w:rsid w:val="009B644A"/>
    <w:rsid w:val="009C432B"/>
    <w:rsid w:val="009C442B"/>
    <w:rsid w:val="009C543C"/>
    <w:rsid w:val="009D5646"/>
    <w:rsid w:val="009F77E8"/>
    <w:rsid w:val="00A05A92"/>
    <w:rsid w:val="00A1120E"/>
    <w:rsid w:val="00A17FBA"/>
    <w:rsid w:val="00A27A73"/>
    <w:rsid w:val="00A302B2"/>
    <w:rsid w:val="00A30F32"/>
    <w:rsid w:val="00A31684"/>
    <w:rsid w:val="00A31AA9"/>
    <w:rsid w:val="00A33631"/>
    <w:rsid w:val="00A3438F"/>
    <w:rsid w:val="00A356D8"/>
    <w:rsid w:val="00A402E6"/>
    <w:rsid w:val="00A40816"/>
    <w:rsid w:val="00A416FB"/>
    <w:rsid w:val="00A448B0"/>
    <w:rsid w:val="00A45432"/>
    <w:rsid w:val="00A50929"/>
    <w:rsid w:val="00A56DA2"/>
    <w:rsid w:val="00A638A7"/>
    <w:rsid w:val="00A66647"/>
    <w:rsid w:val="00A67371"/>
    <w:rsid w:val="00A67B05"/>
    <w:rsid w:val="00A70DEE"/>
    <w:rsid w:val="00A73BA2"/>
    <w:rsid w:val="00A73D24"/>
    <w:rsid w:val="00A7409C"/>
    <w:rsid w:val="00A745DF"/>
    <w:rsid w:val="00A764E3"/>
    <w:rsid w:val="00A77826"/>
    <w:rsid w:val="00A81206"/>
    <w:rsid w:val="00A85106"/>
    <w:rsid w:val="00A86F92"/>
    <w:rsid w:val="00A87770"/>
    <w:rsid w:val="00A96534"/>
    <w:rsid w:val="00AA204D"/>
    <w:rsid w:val="00AA3238"/>
    <w:rsid w:val="00AA3B3B"/>
    <w:rsid w:val="00AA5D10"/>
    <w:rsid w:val="00AA6010"/>
    <w:rsid w:val="00AA6160"/>
    <w:rsid w:val="00AA723B"/>
    <w:rsid w:val="00AB2C27"/>
    <w:rsid w:val="00AB4FD7"/>
    <w:rsid w:val="00AB5AFF"/>
    <w:rsid w:val="00AB649E"/>
    <w:rsid w:val="00AC7898"/>
    <w:rsid w:val="00AD0AD9"/>
    <w:rsid w:val="00AD51E5"/>
    <w:rsid w:val="00AD56CF"/>
    <w:rsid w:val="00AD66D2"/>
    <w:rsid w:val="00AE33E1"/>
    <w:rsid w:val="00AE5718"/>
    <w:rsid w:val="00AF0E4B"/>
    <w:rsid w:val="00AF4BEC"/>
    <w:rsid w:val="00AF5AC3"/>
    <w:rsid w:val="00AF772E"/>
    <w:rsid w:val="00B02CDA"/>
    <w:rsid w:val="00B064B7"/>
    <w:rsid w:val="00B10C29"/>
    <w:rsid w:val="00B1365E"/>
    <w:rsid w:val="00B13DA3"/>
    <w:rsid w:val="00B165DD"/>
    <w:rsid w:val="00B1797A"/>
    <w:rsid w:val="00B22995"/>
    <w:rsid w:val="00B229A8"/>
    <w:rsid w:val="00B233EF"/>
    <w:rsid w:val="00B239AF"/>
    <w:rsid w:val="00B25DE3"/>
    <w:rsid w:val="00B32CAE"/>
    <w:rsid w:val="00B35519"/>
    <w:rsid w:val="00B40B80"/>
    <w:rsid w:val="00B46A13"/>
    <w:rsid w:val="00B52734"/>
    <w:rsid w:val="00B53F06"/>
    <w:rsid w:val="00B5410A"/>
    <w:rsid w:val="00B62DF4"/>
    <w:rsid w:val="00B659F5"/>
    <w:rsid w:val="00B66A3C"/>
    <w:rsid w:val="00B710D7"/>
    <w:rsid w:val="00B717F8"/>
    <w:rsid w:val="00B7457E"/>
    <w:rsid w:val="00B854DF"/>
    <w:rsid w:val="00B873D2"/>
    <w:rsid w:val="00B87A00"/>
    <w:rsid w:val="00B9014F"/>
    <w:rsid w:val="00B904B4"/>
    <w:rsid w:val="00B9251D"/>
    <w:rsid w:val="00B94732"/>
    <w:rsid w:val="00B947D9"/>
    <w:rsid w:val="00BA03CE"/>
    <w:rsid w:val="00BA0DF8"/>
    <w:rsid w:val="00BA2877"/>
    <w:rsid w:val="00BA6ED2"/>
    <w:rsid w:val="00BB6B88"/>
    <w:rsid w:val="00BB751A"/>
    <w:rsid w:val="00BB77F6"/>
    <w:rsid w:val="00BC400C"/>
    <w:rsid w:val="00BC4627"/>
    <w:rsid w:val="00BC554B"/>
    <w:rsid w:val="00BC5945"/>
    <w:rsid w:val="00BD3865"/>
    <w:rsid w:val="00BD4ED1"/>
    <w:rsid w:val="00BD71B3"/>
    <w:rsid w:val="00BE130A"/>
    <w:rsid w:val="00BE19CE"/>
    <w:rsid w:val="00BE1BB8"/>
    <w:rsid w:val="00C01F49"/>
    <w:rsid w:val="00C03338"/>
    <w:rsid w:val="00C05C5F"/>
    <w:rsid w:val="00C0685F"/>
    <w:rsid w:val="00C06FBD"/>
    <w:rsid w:val="00C10B53"/>
    <w:rsid w:val="00C120B8"/>
    <w:rsid w:val="00C135E9"/>
    <w:rsid w:val="00C15D90"/>
    <w:rsid w:val="00C164B6"/>
    <w:rsid w:val="00C209F0"/>
    <w:rsid w:val="00C22680"/>
    <w:rsid w:val="00C24F07"/>
    <w:rsid w:val="00C3048E"/>
    <w:rsid w:val="00C34BAC"/>
    <w:rsid w:val="00C350A5"/>
    <w:rsid w:val="00C3709C"/>
    <w:rsid w:val="00C370E9"/>
    <w:rsid w:val="00C44AB6"/>
    <w:rsid w:val="00C5716C"/>
    <w:rsid w:val="00C57F37"/>
    <w:rsid w:val="00C6037E"/>
    <w:rsid w:val="00C6059D"/>
    <w:rsid w:val="00C654D1"/>
    <w:rsid w:val="00C71F13"/>
    <w:rsid w:val="00C72583"/>
    <w:rsid w:val="00C7408F"/>
    <w:rsid w:val="00C7588F"/>
    <w:rsid w:val="00C8086F"/>
    <w:rsid w:val="00C817DB"/>
    <w:rsid w:val="00C86D1C"/>
    <w:rsid w:val="00C912C9"/>
    <w:rsid w:val="00C91846"/>
    <w:rsid w:val="00C91F0E"/>
    <w:rsid w:val="00C92B94"/>
    <w:rsid w:val="00C95007"/>
    <w:rsid w:val="00CA27EA"/>
    <w:rsid w:val="00CA41D9"/>
    <w:rsid w:val="00CA45CA"/>
    <w:rsid w:val="00CB2325"/>
    <w:rsid w:val="00CB7831"/>
    <w:rsid w:val="00CC0091"/>
    <w:rsid w:val="00CC375A"/>
    <w:rsid w:val="00CC7695"/>
    <w:rsid w:val="00CD050C"/>
    <w:rsid w:val="00CD563D"/>
    <w:rsid w:val="00CD5E1B"/>
    <w:rsid w:val="00CE2361"/>
    <w:rsid w:val="00CE2514"/>
    <w:rsid w:val="00CE328D"/>
    <w:rsid w:val="00CE7D6F"/>
    <w:rsid w:val="00CF057C"/>
    <w:rsid w:val="00CF5460"/>
    <w:rsid w:val="00D010F2"/>
    <w:rsid w:val="00D01CB0"/>
    <w:rsid w:val="00D02269"/>
    <w:rsid w:val="00D17874"/>
    <w:rsid w:val="00D20D98"/>
    <w:rsid w:val="00D2518E"/>
    <w:rsid w:val="00D270EE"/>
    <w:rsid w:val="00D307D9"/>
    <w:rsid w:val="00D32C37"/>
    <w:rsid w:val="00D33470"/>
    <w:rsid w:val="00D336AB"/>
    <w:rsid w:val="00D35D74"/>
    <w:rsid w:val="00D37B11"/>
    <w:rsid w:val="00D41C03"/>
    <w:rsid w:val="00D44B97"/>
    <w:rsid w:val="00D46C3C"/>
    <w:rsid w:val="00D543F2"/>
    <w:rsid w:val="00D548BA"/>
    <w:rsid w:val="00D55EFD"/>
    <w:rsid w:val="00D605E6"/>
    <w:rsid w:val="00D61ADA"/>
    <w:rsid w:val="00D61E1F"/>
    <w:rsid w:val="00D625C1"/>
    <w:rsid w:val="00D62A47"/>
    <w:rsid w:val="00D63A4A"/>
    <w:rsid w:val="00D63EA6"/>
    <w:rsid w:val="00D64829"/>
    <w:rsid w:val="00D65F85"/>
    <w:rsid w:val="00D6677E"/>
    <w:rsid w:val="00D66C21"/>
    <w:rsid w:val="00D750D9"/>
    <w:rsid w:val="00D75566"/>
    <w:rsid w:val="00D76843"/>
    <w:rsid w:val="00D83E56"/>
    <w:rsid w:val="00D87526"/>
    <w:rsid w:val="00DA2A01"/>
    <w:rsid w:val="00DA387A"/>
    <w:rsid w:val="00DA42F5"/>
    <w:rsid w:val="00DA4816"/>
    <w:rsid w:val="00DA56C9"/>
    <w:rsid w:val="00DC184B"/>
    <w:rsid w:val="00DC2407"/>
    <w:rsid w:val="00DC3CB1"/>
    <w:rsid w:val="00DC5633"/>
    <w:rsid w:val="00DC6AAE"/>
    <w:rsid w:val="00DC7EA6"/>
    <w:rsid w:val="00DD52A5"/>
    <w:rsid w:val="00DE4659"/>
    <w:rsid w:val="00DE5C4F"/>
    <w:rsid w:val="00DE6BCD"/>
    <w:rsid w:val="00DE76E0"/>
    <w:rsid w:val="00DF07D2"/>
    <w:rsid w:val="00DF2DB2"/>
    <w:rsid w:val="00DF6B00"/>
    <w:rsid w:val="00DF6EAC"/>
    <w:rsid w:val="00DF7555"/>
    <w:rsid w:val="00E01865"/>
    <w:rsid w:val="00E025C9"/>
    <w:rsid w:val="00E02898"/>
    <w:rsid w:val="00E109C8"/>
    <w:rsid w:val="00E10B0A"/>
    <w:rsid w:val="00E1248F"/>
    <w:rsid w:val="00E204A4"/>
    <w:rsid w:val="00E23983"/>
    <w:rsid w:val="00E2439C"/>
    <w:rsid w:val="00E26E67"/>
    <w:rsid w:val="00E3132D"/>
    <w:rsid w:val="00E31F37"/>
    <w:rsid w:val="00E31F81"/>
    <w:rsid w:val="00E373F3"/>
    <w:rsid w:val="00E4023C"/>
    <w:rsid w:val="00E403DD"/>
    <w:rsid w:val="00E43469"/>
    <w:rsid w:val="00E43523"/>
    <w:rsid w:val="00E43FB7"/>
    <w:rsid w:val="00E44031"/>
    <w:rsid w:val="00E4476F"/>
    <w:rsid w:val="00E466BD"/>
    <w:rsid w:val="00E46ABC"/>
    <w:rsid w:val="00E4774A"/>
    <w:rsid w:val="00E53330"/>
    <w:rsid w:val="00E54FA7"/>
    <w:rsid w:val="00E619AE"/>
    <w:rsid w:val="00E64D4E"/>
    <w:rsid w:val="00E7064B"/>
    <w:rsid w:val="00E73773"/>
    <w:rsid w:val="00E76C33"/>
    <w:rsid w:val="00E77975"/>
    <w:rsid w:val="00E80B6C"/>
    <w:rsid w:val="00E822AE"/>
    <w:rsid w:val="00E82E7B"/>
    <w:rsid w:val="00E84B38"/>
    <w:rsid w:val="00E84F90"/>
    <w:rsid w:val="00E91047"/>
    <w:rsid w:val="00E92D80"/>
    <w:rsid w:val="00E9435F"/>
    <w:rsid w:val="00E95401"/>
    <w:rsid w:val="00E9556D"/>
    <w:rsid w:val="00EA0743"/>
    <w:rsid w:val="00EA166B"/>
    <w:rsid w:val="00EA2650"/>
    <w:rsid w:val="00EA44FE"/>
    <w:rsid w:val="00EA4A7B"/>
    <w:rsid w:val="00EA5295"/>
    <w:rsid w:val="00EB6238"/>
    <w:rsid w:val="00EB6658"/>
    <w:rsid w:val="00EB6F8D"/>
    <w:rsid w:val="00EC6F7A"/>
    <w:rsid w:val="00EC7EA8"/>
    <w:rsid w:val="00ED40CE"/>
    <w:rsid w:val="00ED665D"/>
    <w:rsid w:val="00ED66AD"/>
    <w:rsid w:val="00EE379C"/>
    <w:rsid w:val="00EE5A0B"/>
    <w:rsid w:val="00EF1C91"/>
    <w:rsid w:val="00EF4217"/>
    <w:rsid w:val="00EF4C97"/>
    <w:rsid w:val="00EF5D42"/>
    <w:rsid w:val="00EF5D5F"/>
    <w:rsid w:val="00EF62DB"/>
    <w:rsid w:val="00F00AF7"/>
    <w:rsid w:val="00F01D09"/>
    <w:rsid w:val="00F0265A"/>
    <w:rsid w:val="00F03AE7"/>
    <w:rsid w:val="00F0483E"/>
    <w:rsid w:val="00F06E19"/>
    <w:rsid w:val="00F1306C"/>
    <w:rsid w:val="00F14993"/>
    <w:rsid w:val="00F160E8"/>
    <w:rsid w:val="00F16F29"/>
    <w:rsid w:val="00F16FA4"/>
    <w:rsid w:val="00F233FE"/>
    <w:rsid w:val="00F23E64"/>
    <w:rsid w:val="00F24F88"/>
    <w:rsid w:val="00F30AB4"/>
    <w:rsid w:val="00F33002"/>
    <w:rsid w:val="00F33B41"/>
    <w:rsid w:val="00F341EB"/>
    <w:rsid w:val="00F34C7B"/>
    <w:rsid w:val="00F36820"/>
    <w:rsid w:val="00F430DB"/>
    <w:rsid w:val="00F438CB"/>
    <w:rsid w:val="00F50CB8"/>
    <w:rsid w:val="00F52CBC"/>
    <w:rsid w:val="00F57243"/>
    <w:rsid w:val="00F57439"/>
    <w:rsid w:val="00F62275"/>
    <w:rsid w:val="00F72F3E"/>
    <w:rsid w:val="00F7346F"/>
    <w:rsid w:val="00F735CE"/>
    <w:rsid w:val="00F77AE3"/>
    <w:rsid w:val="00F825D7"/>
    <w:rsid w:val="00F834FD"/>
    <w:rsid w:val="00F85061"/>
    <w:rsid w:val="00F90A4D"/>
    <w:rsid w:val="00F933F7"/>
    <w:rsid w:val="00F935A8"/>
    <w:rsid w:val="00F94A9C"/>
    <w:rsid w:val="00FA224F"/>
    <w:rsid w:val="00FA493A"/>
    <w:rsid w:val="00FB587C"/>
    <w:rsid w:val="00FB77C9"/>
    <w:rsid w:val="00FC0A31"/>
    <w:rsid w:val="00FC34CE"/>
    <w:rsid w:val="00FC389E"/>
    <w:rsid w:val="00FC3E6F"/>
    <w:rsid w:val="00FC6F0A"/>
    <w:rsid w:val="00FD5682"/>
    <w:rsid w:val="00FE2015"/>
    <w:rsid w:val="00FF015F"/>
    <w:rsid w:val="00FF754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869ECC3"/>
  <w15:chartTrackingRefBased/>
  <w15:docId w15:val="{303F4656-A9FC-43E5-ABC9-D30E3F0F36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heme="minorHAnsi" w:hAnsi="Times New Roman" w:cs="Times New Roman"/>
        <w:sz w:val="24"/>
        <w:szCs w:val="24"/>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53330"/>
    <w:pPr>
      <w:tabs>
        <w:tab w:val="center" w:pos="4513"/>
        <w:tab w:val="right" w:pos="9026"/>
      </w:tabs>
      <w:spacing w:after="0" w:line="240" w:lineRule="auto"/>
    </w:pPr>
  </w:style>
  <w:style w:type="character" w:customStyle="1" w:styleId="HeaderChar">
    <w:name w:val="Header Char"/>
    <w:basedOn w:val="DefaultParagraphFont"/>
    <w:link w:val="Header"/>
    <w:uiPriority w:val="99"/>
    <w:rsid w:val="00E53330"/>
  </w:style>
  <w:style w:type="paragraph" w:styleId="Footer">
    <w:name w:val="footer"/>
    <w:basedOn w:val="Normal"/>
    <w:link w:val="FooterChar"/>
    <w:uiPriority w:val="99"/>
    <w:unhideWhenUsed/>
    <w:rsid w:val="00E53330"/>
    <w:pPr>
      <w:tabs>
        <w:tab w:val="center" w:pos="4513"/>
        <w:tab w:val="right" w:pos="9026"/>
      </w:tabs>
      <w:spacing w:after="0" w:line="240" w:lineRule="auto"/>
    </w:pPr>
  </w:style>
  <w:style w:type="character" w:customStyle="1" w:styleId="FooterChar">
    <w:name w:val="Footer Char"/>
    <w:basedOn w:val="DefaultParagraphFont"/>
    <w:link w:val="Footer"/>
    <w:uiPriority w:val="99"/>
    <w:rsid w:val="00E53330"/>
  </w:style>
  <w:style w:type="character" w:styleId="PlaceholderText">
    <w:name w:val="Placeholder Text"/>
    <w:basedOn w:val="DefaultParagraphFont"/>
    <w:uiPriority w:val="99"/>
    <w:semiHidden/>
    <w:rsid w:val="003A793A"/>
    <w:rPr>
      <w:color w:val="808080"/>
    </w:rPr>
  </w:style>
  <w:style w:type="character" w:styleId="CommentReference">
    <w:name w:val="annotation reference"/>
    <w:basedOn w:val="DefaultParagraphFont"/>
    <w:uiPriority w:val="99"/>
    <w:semiHidden/>
    <w:unhideWhenUsed/>
    <w:rsid w:val="00B22995"/>
    <w:rPr>
      <w:sz w:val="16"/>
      <w:szCs w:val="16"/>
    </w:rPr>
  </w:style>
  <w:style w:type="paragraph" w:styleId="CommentText">
    <w:name w:val="annotation text"/>
    <w:basedOn w:val="Normal"/>
    <w:link w:val="CommentTextChar"/>
    <w:uiPriority w:val="99"/>
    <w:semiHidden/>
    <w:unhideWhenUsed/>
    <w:rsid w:val="00B22995"/>
    <w:pPr>
      <w:spacing w:line="240" w:lineRule="auto"/>
    </w:pPr>
    <w:rPr>
      <w:sz w:val="20"/>
      <w:szCs w:val="20"/>
    </w:rPr>
  </w:style>
  <w:style w:type="character" w:customStyle="1" w:styleId="CommentTextChar">
    <w:name w:val="Comment Text Char"/>
    <w:basedOn w:val="DefaultParagraphFont"/>
    <w:link w:val="CommentText"/>
    <w:uiPriority w:val="99"/>
    <w:semiHidden/>
    <w:rsid w:val="00B22995"/>
    <w:rPr>
      <w:sz w:val="20"/>
      <w:szCs w:val="20"/>
    </w:rPr>
  </w:style>
  <w:style w:type="paragraph" w:styleId="CommentSubject">
    <w:name w:val="annotation subject"/>
    <w:basedOn w:val="CommentText"/>
    <w:next w:val="CommentText"/>
    <w:link w:val="CommentSubjectChar"/>
    <w:uiPriority w:val="99"/>
    <w:semiHidden/>
    <w:unhideWhenUsed/>
    <w:rsid w:val="00B22995"/>
    <w:rPr>
      <w:b/>
      <w:bCs/>
    </w:rPr>
  </w:style>
  <w:style w:type="character" w:customStyle="1" w:styleId="CommentSubjectChar">
    <w:name w:val="Comment Subject Char"/>
    <w:basedOn w:val="CommentTextChar"/>
    <w:link w:val="CommentSubject"/>
    <w:uiPriority w:val="99"/>
    <w:semiHidden/>
    <w:rsid w:val="00B22995"/>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059328">
      <w:bodyDiv w:val="1"/>
      <w:marLeft w:val="0"/>
      <w:marRight w:val="0"/>
      <w:marTop w:val="0"/>
      <w:marBottom w:val="0"/>
      <w:divBdr>
        <w:top w:val="none" w:sz="0" w:space="0" w:color="auto"/>
        <w:left w:val="none" w:sz="0" w:space="0" w:color="auto"/>
        <w:bottom w:val="none" w:sz="0" w:space="0" w:color="auto"/>
        <w:right w:val="none" w:sz="0" w:space="0" w:color="auto"/>
      </w:divBdr>
    </w:div>
    <w:div w:id="21633336">
      <w:bodyDiv w:val="1"/>
      <w:marLeft w:val="0"/>
      <w:marRight w:val="0"/>
      <w:marTop w:val="0"/>
      <w:marBottom w:val="0"/>
      <w:divBdr>
        <w:top w:val="none" w:sz="0" w:space="0" w:color="auto"/>
        <w:left w:val="none" w:sz="0" w:space="0" w:color="auto"/>
        <w:bottom w:val="none" w:sz="0" w:space="0" w:color="auto"/>
        <w:right w:val="none" w:sz="0" w:space="0" w:color="auto"/>
      </w:divBdr>
    </w:div>
    <w:div w:id="21826242">
      <w:bodyDiv w:val="1"/>
      <w:marLeft w:val="0"/>
      <w:marRight w:val="0"/>
      <w:marTop w:val="0"/>
      <w:marBottom w:val="0"/>
      <w:divBdr>
        <w:top w:val="none" w:sz="0" w:space="0" w:color="auto"/>
        <w:left w:val="none" w:sz="0" w:space="0" w:color="auto"/>
        <w:bottom w:val="none" w:sz="0" w:space="0" w:color="auto"/>
        <w:right w:val="none" w:sz="0" w:space="0" w:color="auto"/>
      </w:divBdr>
    </w:div>
    <w:div w:id="51009289">
      <w:bodyDiv w:val="1"/>
      <w:marLeft w:val="0"/>
      <w:marRight w:val="0"/>
      <w:marTop w:val="0"/>
      <w:marBottom w:val="0"/>
      <w:divBdr>
        <w:top w:val="none" w:sz="0" w:space="0" w:color="auto"/>
        <w:left w:val="none" w:sz="0" w:space="0" w:color="auto"/>
        <w:bottom w:val="none" w:sz="0" w:space="0" w:color="auto"/>
        <w:right w:val="none" w:sz="0" w:space="0" w:color="auto"/>
      </w:divBdr>
      <w:divsChild>
        <w:div w:id="393043314">
          <w:marLeft w:val="0"/>
          <w:marRight w:val="0"/>
          <w:marTop w:val="0"/>
          <w:marBottom w:val="0"/>
          <w:divBdr>
            <w:top w:val="none" w:sz="0" w:space="0" w:color="auto"/>
            <w:left w:val="none" w:sz="0" w:space="0" w:color="auto"/>
            <w:bottom w:val="none" w:sz="0" w:space="0" w:color="auto"/>
            <w:right w:val="none" w:sz="0" w:space="0" w:color="auto"/>
          </w:divBdr>
        </w:div>
        <w:div w:id="26033978">
          <w:marLeft w:val="0"/>
          <w:marRight w:val="0"/>
          <w:marTop w:val="0"/>
          <w:marBottom w:val="0"/>
          <w:divBdr>
            <w:top w:val="none" w:sz="0" w:space="0" w:color="auto"/>
            <w:left w:val="none" w:sz="0" w:space="0" w:color="auto"/>
            <w:bottom w:val="none" w:sz="0" w:space="0" w:color="auto"/>
            <w:right w:val="none" w:sz="0" w:space="0" w:color="auto"/>
          </w:divBdr>
        </w:div>
        <w:div w:id="529953306">
          <w:marLeft w:val="0"/>
          <w:marRight w:val="0"/>
          <w:marTop w:val="0"/>
          <w:marBottom w:val="0"/>
          <w:divBdr>
            <w:top w:val="none" w:sz="0" w:space="0" w:color="auto"/>
            <w:left w:val="none" w:sz="0" w:space="0" w:color="auto"/>
            <w:bottom w:val="none" w:sz="0" w:space="0" w:color="auto"/>
            <w:right w:val="none" w:sz="0" w:space="0" w:color="auto"/>
          </w:divBdr>
        </w:div>
        <w:div w:id="1813132279">
          <w:marLeft w:val="0"/>
          <w:marRight w:val="0"/>
          <w:marTop w:val="0"/>
          <w:marBottom w:val="0"/>
          <w:divBdr>
            <w:top w:val="none" w:sz="0" w:space="0" w:color="auto"/>
            <w:left w:val="none" w:sz="0" w:space="0" w:color="auto"/>
            <w:bottom w:val="none" w:sz="0" w:space="0" w:color="auto"/>
            <w:right w:val="none" w:sz="0" w:space="0" w:color="auto"/>
          </w:divBdr>
        </w:div>
        <w:div w:id="315494930">
          <w:marLeft w:val="0"/>
          <w:marRight w:val="0"/>
          <w:marTop w:val="0"/>
          <w:marBottom w:val="0"/>
          <w:divBdr>
            <w:top w:val="none" w:sz="0" w:space="0" w:color="auto"/>
            <w:left w:val="none" w:sz="0" w:space="0" w:color="auto"/>
            <w:bottom w:val="none" w:sz="0" w:space="0" w:color="auto"/>
            <w:right w:val="none" w:sz="0" w:space="0" w:color="auto"/>
          </w:divBdr>
        </w:div>
        <w:div w:id="1379358816">
          <w:marLeft w:val="0"/>
          <w:marRight w:val="0"/>
          <w:marTop w:val="0"/>
          <w:marBottom w:val="0"/>
          <w:divBdr>
            <w:top w:val="none" w:sz="0" w:space="0" w:color="auto"/>
            <w:left w:val="none" w:sz="0" w:space="0" w:color="auto"/>
            <w:bottom w:val="none" w:sz="0" w:space="0" w:color="auto"/>
            <w:right w:val="none" w:sz="0" w:space="0" w:color="auto"/>
          </w:divBdr>
        </w:div>
        <w:div w:id="1934967279">
          <w:marLeft w:val="0"/>
          <w:marRight w:val="0"/>
          <w:marTop w:val="0"/>
          <w:marBottom w:val="0"/>
          <w:divBdr>
            <w:top w:val="none" w:sz="0" w:space="0" w:color="auto"/>
            <w:left w:val="none" w:sz="0" w:space="0" w:color="auto"/>
            <w:bottom w:val="none" w:sz="0" w:space="0" w:color="auto"/>
            <w:right w:val="none" w:sz="0" w:space="0" w:color="auto"/>
          </w:divBdr>
        </w:div>
        <w:div w:id="2038196643">
          <w:marLeft w:val="0"/>
          <w:marRight w:val="0"/>
          <w:marTop w:val="0"/>
          <w:marBottom w:val="0"/>
          <w:divBdr>
            <w:top w:val="none" w:sz="0" w:space="0" w:color="auto"/>
            <w:left w:val="none" w:sz="0" w:space="0" w:color="auto"/>
            <w:bottom w:val="none" w:sz="0" w:space="0" w:color="auto"/>
            <w:right w:val="none" w:sz="0" w:space="0" w:color="auto"/>
          </w:divBdr>
        </w:div>
        <w:div w:id="727729064">
          <w:marLeft w:val="0"/>
          <w:marRight w:val="0"/>
          <w:marTop w:val="0"/>
          <w:marBottom w:val="0"/>
          <w:divBdr>
            <w:top w:val="none" w:sz="0" w:space="0" w:color="auto"/>
            <w:left w:val="none" w:sz="0" w:space="0" w:color="auto"/>
            <w:bottom w:val="none" w:sz="0" w:space="0" w:color="auto"/>
            <w:right w:val="none" w:sz="0" w:space="0" w:color="auto"/>
          </w:divBdr>
        </w:div>
        <w:div w:id="361906295">
          <w:marLeft w:val="0"/>
          <w:marRight w:val="0"/>
          <w:marTop w:val="0"/>
          <w:marBottom w:val="0"/>
          <w:divBdr>
            <w:top w:val="none" w:sz="0" w:space="0" w:color="auto"/>
            <w:left w:val="none" w:sz="0" w:space="0" w:color="auto"/>
            <w:bottom w:val="none" w:sz="0" w:space="0" w:color="auto"/>
            <w:right w:val="none" w:sz="0" w:space="0" w:color="auto"/>
          </w:divBdr>
        </w:div>
        <w:div w:id="854998868">
          <w:marLeft w:val="0"/>
          <w:marRight w:val="0"/>
          <w:marTop w:val="0"/>
          <w:marBottom w:val="0"/>
          <w:divBdr>
            <w:top w:val="none" w:sz="0" w:space="0" w:color="auto"/>
            <w:left w:val="none" w:sz="0" w:space="0" w:color="auto"/>
            <w:bottom w:val="none" w:sz="0" w:space="0" w:color="auto"/>
            <w:right w:val="none" w:sz="0" w:space="0" w:color="auto"/>
          </w:divBdr>
        </w:div>
        <w:div w:id="524829106">
          <w:marLeft w:val="0"/>
          <w:marRight w:val="0"/>
          <w:marTop w:val="0"/>
          <w:marBottom w:val="0"/>
          <w:divBdr>
            <w:top w:val="none" w:sz="0" w:space="0" w:color="auto"/>
            <w:left w:val="none" w:sz="0" w:space="0" w:color="auto"/>
            <w:bottom w:val="none" w:sz="0" w:space="0" w:color="auto"/>
            <w:right w:val="none" w:sz="0" w:space="0" w:color="auto"/>
          </w:divBdr>
        </w:div>
        <w:div w:id="1568030911">
          <w:marLeft w:val="0"/>
          <w:marRight w:val="0"/>
          <w:marTop w:val="0"/>
          <w:marBottom w:val="0"/>
          <w:divBdr>
            <w:top w:val="none" w:sz="0" w:space="0" w:color="auto"/>
            <w:left w:val="none" w:sz="0" w:space="0" w:color="auto"/>
            <w:bottom w:val="none" w:sz="0" w:space="0" w:color="auto"/>
            <w:right w:val="none" w:sz="0" w:space="0" w:color="auto"/>
          </w:divBdr>
        </w:div>
      </w:divsChild>
    </w:div>
    <w:div w:id="64886370">
      <w:bodyDiv w:val="1"/>
      <w:marLeft w:val="0"/>
      <w:marRight w:val="0"/>
      <w:marTop w:val="0"/>
      <w:marBottom w:val="0"/>
      <w:divBdr>
        <w:top w:val="none" w:sz="0" w:space="0" w:color="auto"/>
        <w:left w:val="none" w:sz="0" w:space="0" w:color="auto"/>
        <w:bottom w:val="none" w:sz="0" w:space="0" w:color="auto"/>
        <w:right w:val="none" w:sz="0" w:space="0" w:color="auto"/>
      </w:divBdr>
    </w:div>
    <w:div w:id="73161826">
      <w:bodyDiv w:val="1"/>
      <w:marLeft w:val="0"/>
      <w:marRight w:val="0"/>
      <w:marTop w:val="0"/>
      <w:marBottom w:val="0"/>
      <w:divBdr>
        <w:top w:val="none" w:sz="0" w:space="0" w:color="auto"/>
        <w:left w:val="none" w:sz="0" w:space="0" w:color="auto"/>
        <w:bottom w:val="none" w:sz="0" w:space="0" w:color="auto"/>
        <w:right w:val="none" w:sz="0" w:space="0" w:color="auto"/>
      </w:divBdr>
    </w:div>
    <w:div w:id="77406147">
      <w:bodyDiv w:val="1"/>
      <w:marLeft w:val="0"/>
      <w:marRight w:val="0"/>
      <w:marTop w:val="0"/>
      <w:marBottom w:val="0"/>
      <w:divBdr>
        <w:top w:val="none" w:sz="0" w:space="0" w:color="auto"/>
        <w:left w:val="none" w:sz="0" w:space="0" w:color="auto"/>
        <w:bottom w:val="none" w:sz="0" w:space="0" w:color="auto"/>
        <w:right w:val="none" w:sz="0" w:space="0" w:color="auto"/>
      </w:divBdr>
    </w:div>
    <w:div w:id="87695466">
      <w:bodyDiv w:val="1"/>
      <w:marLeft w:val="0"/>
      <w:marRight w:val="0"/>
      <w:marTop w:val="0"/>
      <w:marBottom w:val="0"/>
      <w:divBdr>
        <w:top w:val="none" w:sz="0" w:space="0" w:color="auto"/>
        <w:left w:val="none" w:sz="0" w:space="0" w:color="auto"/>
        <w:bottom w:val="none" w:sz="0" w:space="0" w:color="auto"/>
        <w:right w:val="none" w:sz="0" w:space="0" w:color="auto"/>
      </w:divBdr>
    </w:div>
    <w:div w:id="134876723">
      <w:bodyDiv w:val="1"/>
      <w:marLeft w:val="0"/>
      <w:marRight w:val="0"/>
      <w:marTop w:val="0"/>
      <w:marBottom w:val="0"/>
      <w:divBdr>
        <w:top w:val="none" w:sz="0" w:space="0" w:color="auto"/>
        <w:left w:val="none" w:sz="0" w:space="0" w:color="auto"/>
        <w:bottom w:val="none" w:sz="0" w:space="0" w:color="auto"/>
        <w:right w:val="none" w:sz="0" w:space="0" w:color="auto"/>
      </w:divBdr>
    </w:div>
    <w:div w:id="163590860">
      <w:bodyDiv w:val="1"/>
      <w:marLeft w:val="0"/>
      <w:marRight w:val="0"/>
      <w:marTop w:val="0"/>
      <w:marBottom w:val="0"/>
      <w:divBdr>
        <w:top w:val="none" w:sz="0" w:space="0" w:color="auto"/>
        <w:left w:val="none" w:sz="0" w:space="0" w:color="auto"/>
        <w:bottom w:val="none" w:sz="0" w:space="0" w:color="auto"/>
        <w:right w:val="none" w:sz="0" w:space="0" w:color="auto"/>
      </w:divBdr>
    </w:div>
    <w:div w:id="176310148">
      <w:bodyDiv w:val="1"/>
      <w:marLeft w:val="0"/>
      <w:marRight w:val="0"/>
      <w:marTop w:val="0"/>
      <w:marBottom w:val="0"/>
      <w:divBdr>
        <w:top w:val="none" w:sz="0" w:space="0" w:color="auto"/>
        <w:left w:val="none" w:sz="0" w:space="0" w:color="auto"/>
        <w:bottom w:val="none" w:sz="0" w:space="0" w:color="auto"/>
        <w:right w:val="none" w:sz="0" w:space="0" w:color="auto"/>
      </w:divBdr>
    </w:div>
    <w:div w:id="182715972">
      <w:bodyDiv w:val="1"/>
      <w:marLeft w:val="0"/>
      <w:marRight w:val="0"/>
      <w:marTop w:val="0"/>
      <w:marBottom w:val="0"/>
      <w:divBdr>
        <w:top w:val="none" w:sz="0" w:space="0" w:color="auto"/>
        <w:left w:val="none" w:sz="0" w:space="0" w:color="auto"/>
        <w:bottom w:val="none" w:sz="0" w:space="0" w:color="auto"/>
        <w:right w:val="none" w:sz="0" w:space="0" w:color="auto"/>
      </w:divBdr>
      <w:divsChild>
        <w:div w:id="2002806211">
          <w:marLeft w:val="0"/>
          <w:marRight w:val="0"/>
          <w:marTop w:val="0"/>
          <w:marBottom w:val="0"/>
          <w:divBdr>
            <w:top w:val="none" w:sz="0" w:space="0" w:color="auto"/>
            <w:left w:val="none" w:sz="0" w:space="0" w:color="auto"/>
            <w:bottom w:val="none" w:sz="0" w:space="0" w:color="auto"/>
            <w:right w:val="none" w:sz="0" w:space="0" w:color="auto"/>
          </w:divBdr>
        </w:div>
        <w:div w:id="343478734">
          <w:marLeft w:val="0"/>
          <w:marRight w:val="0"/>
          <w:marTop w:val="0"/>
          <w:marBottom w:val="0"/>
          <w:divBdr>
            <w:top w:val="none" w:sz="0" w:space="0" w:color="auto"/>
            <w:left w:val="none" w:sz="0" w:space="0" w:color="auto"/>
            <w:bottom w:val="none" w:sz="0" w:space="0" w:color="auto"/>
            <w:right w:val="none" w:sz="0" w:space="0" w:color="auto"/>
          </w:divBdr>
        </w:div>
        <w:div w:id="563490114">
          <w:marLeft w:val="0"/>
          <w:marRight w:val="0"/>
          <w:marTop w:val="0"/>
          <w:marBottom w:val="0"/>
          <w:divBdr>
            <w:top w:val="none" w:sz="0" w:space="0" w:color="auto"/>
            <w:left w:val="none" w:sz="0" w:space="0" w:color="auto"/>
            <w:bottom w:val="none" w:sz="0" w:space="0" w:color="auto"/>
            <w:right w:val="none" w:sz="0" w:space="0" w:color="auto"/>
          </w:divBdr>
        </w:div>
        <w:div w:id="1693414069">
          <w:marLeft w:val="0"/>
          <w:marRight w:val="0"/>
          <w:marTop w:val="0"/>
          <w:marBottom w:val="0"/>
          <w:divBdr>
            <w:top w:val="none" w:sz="0" w:space="0" w:color="auto"/>
            <w:left w:val="none" w:sz="0" w:space="0" w:color="auto"/>
            <w:bottom w:val="none" w:sz="0" w:space="0" w:color="auto"/>
            <w:right w:val="none" w:sz="0" w:space="0" w:color="auto"/>
          </w:divBdr>
        </w:div>
        <w:div w:id="705837747">
          <w:marLeft w:val="0"/>
          <w:marRight w:val="0"/>
          <w:marTop w:val="0"/>
          <w:marBottom w:val="0"/>
          <w:divBdr>
            <w:top w:val="none" w:sz="0" w:space="0" w:color="auto"/>
            <w:left w:val="none" w:sz="0" w:space="0" w:color="auto"/>
            <w:bottom w:val="none" w:sz="0" w:space="0" w:color="auto"/>
            <w:right w:val="none" w:sz="0" w:space="0" w:color="auto"/>
          </w:divBdr>
        </w:div>
      </w:divsChild>
    </w:div>
    <w:div w:id="189997978">
      <w:bodyDiv w:val="1"/>
      <w:marLeft w:val="0"/>
      <w:marRight w:val="0"/>
      <w:marTop w:val="0"/>
      <w:marBottom w:val="0"/>
      <w:divBdr>
        <w:top w:val="none" w:sz="0" w:space="0" w:color="auto"/>
        <w:left w:val="none" w:sz="0" w:space="0" w:color="auto"/>
        <w:bottom w:val="none" w:sz="0" w:space="0" w:color="auto"/>
        <w:right w:val="none" w:sz="0" w:space="0" w:color="auto"/>
      </w:divBdr>
    </w:div>
    <w:div w:id="206140487">
      <w:bodyDiv w:val="1"/>
      <w:marLeft w:val="0"/>
      <w:marRight w:val="0"/>
      <w:marTop w:val="0"/>
      <w:marBottom w:val="0"/>
      <w:divBdr>
        <w:top w:val="none" w:sz="0" w:space="0" w:color="auto"/>
        <w:left w:val="none" w:sz="0" w:space="0" w:color="auto"/>
        <w:bottom w:val="none" w:sz="0" w:space="0" w:color="auto"/>
        <w:right w:val="none" w:sz="0" w:space="0" w:color="auto"/>
      </w:divBdr>
      <w:divsChild>
        <w:div w:id="1254168055">
          <w:marLeft w:val="0"/>
          <w:marRight w:val="0"/>
          <w:marTop w:val="0"/>
          <w:marBottom w:val="0"/>
          <w:divBdr>
            <w:top w:val="none" w:sz="0" w:space="0" w:color="auto"/>
            <w:left w:val="none" w:sz="0" w:space="0" w:color="auto"/>
            <w:bottom w:val="none" w:sz="0" w:space="0" w:color="auto"/>
            <w:right w:val="none" w:sz="0" w:space="0" w:color="auto"/>
          </w:divBdr>
        </w:div>
        <w:div w:id="839664361">
          <w:marLeft w:val="0"/>
          <w:marRight w:val="0"/>
          <w:marTop w:val="0"/>
          <w:marBottom w:val="0"/>
          <w:divBdr>
            <w:top w:val="none" w:sz="0" w:space="0" w:color="auto"/>
            <w:left w:val="none" w:sz="0" w:space="0" w:color="auto"/>
            <w:bottom w:val="none" w:sz="0" w:space="0" w:color="auto"/>
            <w:right w:val="none" w:sz="0" w:space="0" w:color="auto"/>
          </w:divBdr>
        </w:div>
        <w:div w:id="65885986">
          <w:marLeft w:val="0"/>
          <w:marRight w:val="0"/>
          <w:marTop w:val="0"/>
          <w:marBottom w:val="0"/>
          <w:divBdr>
            <w:top w:val="none" w:sz="0" w:space="0" w:color="auto"/>
            <w:left w:val="none" w:sz="0" w:space="0" w:color="auto"/>
            <w:bottom w:val="none" w:sz="0" w:space="0" w:color="auto"/>
            <w:right w:val="none" w:sz="0" w:space="0" w:color="auto"/>
          </w:divBdr>
        </w:div>
        <w:div w:id="1155100723">
          <w:marLeft w:val="0"/>
          <w:marRight w:val="0"/>
          <w:marTop w:val="0"/>
          <w:marBottom w:val="0"/>
          <w:divBdr>
            <w:top w:val="none" w:sz="0" w:space="0" w:color="auto"/>
            <w:left w:val="none" w:sz="0" w:space="0" w:color="auto"/>
            <w:bottom w:val="none" w:sz="0" w:space="0" w:color="auto"/>
            <w:right w:val="none" w:sz="0" w:space="0" w:color="auto"/>
          </w:divBdr>
        </w:div>
      </w:divsChild>
    </w:div>
    <w:div w:id="209996479">
      <w:bodyDiv w:val="1"/>
      <w:marLeft w:val="0"/>
      <w:marRight w:val="0"/>
      <w:marTop w:val="0"/>
      <w:marBottom w:val="0"/>
      <w:divBdr>
        <w:top w:val="none" w:sz="0" w:space="0" w:color="auto"/>
        <w:left w:val="none" w:sz="0" w:space="0" w:color="auto"/>
        <w:bottom w:val="none" w:sz="0" w:space="0" w:color="auto"/>
        <w:right w:val="none" w:sz="0" w:space="0" w:color="auto"/>
      </w:divBdr>
      <w:divsChild>
        <w:div w:id="717585929">
          <w:marLeft w:val="0"/>
          <w:marRight w:val="0"/>
          <w:marTop w:val="0"/>
          <w:marBottom w:val="0"/>
          <w:divBdr>
            <w:top w:val="none" w:sz="0" w:space="0" w:color="auto"/>
            <w:left w:val="none" w:sz="0" w:space="0" w:color="auto"/>
            <w:bottom w:val="none" w:sz="0" w:space="0" w:color="auto"/>
            <w:right w:val="none" w:sz="0" w:space="0" w:color="auto"/>
          </w:divBdr>
        </w:div>
        <w:div w:id="1285232853">
          <w:marLeft w:val="0"/>
          <w:marRight w:val="0"/>
          <w:marTop w:val="0"/>
          <w:marBottom w:val="0"/>
          <w:divBdr>
            <w:top w:val="none" w:sz="0" w:space="0" w:color="auto"/>
            <w:left w:val="none" w:sz="0" w:space="0" w:color="auto"/>
            <w:bottom w:val="none" w:sz="0" w:space="0" w:color="auto"/>
            <w:right w:val="none" w:sz="0" w:space="0" w:color="auto"/>
          </w:divBdr>
        </w:div>
        <w:div w:id="1097867067">
          <w:marLeft w:val="0"/>
          <w:marRight w:val="0"/>
          <w:marTop w:val="0"/>
          <w:marBottom w:val="0"/>
          <w:divBdr>
            <w:top w:val="none" w:sz="0" w:space="0" w:color="auto"/>
            <w:left w:val="none" w:sz="0" w:space="0" w:color="auto"/>
            <w:bottom w:val="none" w:sz="0" w:space="0" w:color="auto"/>
            <w:right w:val="none" w:sz="0" w:space="0" w:color="auto"/>
          </w:divBdr>
        </w:div>
        <w:div w:id="478769161">
          <w:marLeft w:val="0"/>
          <w:marRight w:val="0"/>
          <w:marTop w:val="0"/>
          <w:marBottom w:val="0"/>
          <w:divBdr>
            <w:top w:val="none" w:sz="0" w:space="0" w:color="auto"/>
            <w:left w:val="none" w:sz="0" w:space="0" w:color="auto"/>
            <w:bottom w:val="none" w:sz="0" w:space="0" w:color="auto"/>
            <w:right w:val="none" w:sz="0" w:space="0" w:color="auto"/>
          </w:divBdr>
        </w:div>
        <w:div w:id="561448043">
          <w:marLeft w:val="0"/>
          <w:marRight w:val="0"/>
          <w:marTop w:val="0"/>
          <w:marBottom w:val="0"/>
          <w:divBdr>
            <w:top w:val="none" w:sz="0" w:space="0" w:color="auto"/>
            <w:left w:val="none" w:sz="0" w:space="0" w:color="auto"/>
            <w:bottom w:val="none" w:sz="0" w:space="0" w:color="auto"/>
            <w:right w:val="none" w:sz="0" w:space="0" w:color="auto"/>
          </w:divBdr>
        </w:div>
        <w:div w:id="337074599">
          <w:marLeft w:val="0"/>
          <w:marRight w:val="0"/>
          <w:marTop w:val="0"/>
          <w:marBottom w:val="0"/>
          <w:divBdr>
            <w:top w:val="none" w:sz="0" w:space="0" w:color="auto"/>
            <w:left w:val="none" w:sz="0" w:space="0" w:color="auto"/>
            <w:bottom w:val="none" w:sz="0" w:space="0" w:color="auto"/>
            <w:right w:val="none" w:sz="0" w:space="0" w:color="auto"/>
          </w:divBdr>
        </w:div>
      </w:divsChild>
    </w:div>
    <w:div w:id="219750028">
      <w:bodyDiv w:val="1"/>
      <w:marLeft w:val="0"/>
      <w:marRight w:val="0"/>
      <w:marTop w:val="0"/>
      <w:marBottom w:val="0"/>
      <w:divBdr>
        <w:top w:val="none" w:sz="0" w:space="0" w:color="auto"/>
        <w:left w:val="none" w:sz="0" w:space="0" w:color="auto"/>
        <w:bottom w:val="none" w:sz="0" w:space="0" w:color="auto"/>
        <w:right w:val="none" w:sz="0" w:space="0" w:color="auto"/>
      </w:divBdr>
    </w:div>
    <w:div w:id="226692504">
      <w:bodyDiv w:val="1"/>
      <w:marLeft w:val="0"/>
      <w:marRight w:val="0"/>
      <w:marTop w:val="0"/>
      <w:marBottom w:val="0"/>
      <w:divBdr>
        <w:top w:val="none" w:sz="0" w:space="0" w:color="auto"/>
        <w:left w:val="none" w:sz="0" w:space="0" w:color="auto"/>
        <w:bottom w:val="none" w:sz="0" w:space="0" w:color="auto"/>
        <w:right w:val="none" w:sz="0" w:space="0" w:color="auto"/>
      </w:divBdr>
    </w:div>
    <w:div w:id="229967053">
      <w:bodyDiv w:val="1"/>
      <w:marLeft w:val="0"/>
      <w:marRight w:val="0"/>
      <w:marTop w:val="0"/>
      <w:marBottom w:val="0"/>
      <w:divBdr>
        <w:top w:val="none" w:sz="0" w:space="0" w:color="auto"/>
        <w:left w:val="none" w:sz="0" w:space="0" w:color="auto"/>
        <w:bottom w:val="none" w:sz="0" w:space="0" w:color="auto"/>
        <w:right w:val="none" w:sz="0" w:space="0" w:color="auto"/>
      </w:divBdr>
    </w:div>
    <w:div w:id="230576859">
      <w:bodyDiv w:val="1"/>
      <w:marLeft w:val="0"/>
      <w:marRight w:val="0"/>
      <w:marTop w:val="0"/>
      <w:marBottom w:val="0"/>
      <w:divBdr>
        <w:top w:val="none" w:sz="0" w:space="0" w:color="auto"/>
        <w:left w:val="none" w:sz="0" w:space="0" w:color="auto"/>
        <w:bottom w:val="none" w:sz="0" w:space="0" w:color="auto"/>
        <w:right w:val="none" w:sz="0" w:space="0" w:color="auto"/>
      </w:divBdr>
    </w:div>
    <w:div w:id="296763789">
      <w:bodyDiv w:val="1"/>
      <w:marLeft w:val="0"/>
      <w:marRight w:val="0"/>
      <w:marTop w:val="0"/>
      <w:marBottom w:val="0"/>
      <w:divBdr>
        <w:top w:val="none" w:sz="0" w:space="0" w:color="auto"/>
        <w:left w:val="none" w:sz="0" w:space="0" w:color="auto"/>
        <w:bottom w:val="none" w:sz="0" w:space="0" w:color="auto"/>
        <w:right w:val="none" w:sz="0" w:space="0" w:color="auto"/>
      </w:divBdr>
    </w:div>
    <w:div w:id="309601218">
      <w:bodyDiv w:val="1"/>
      <w:marLeft w:val="0"/>
      <w:marRight w:val="0"/>
      <w:marTop w:val="0"/>
      <w:marBottom w:val="0"/>
      <w:divBdr>
        <w:top w:val="none" w:sz="0" w:space="0" w:color="auto"/>
        <w:left w:val="none" w:sz="0" w:space="0" w:color="auto"/>
        <w:bottom w:val="none" w:sz="0" w:space="0" w:color="auto"/>
        <w:right w:val="none" w:sz="0" w:space="0" w:color="auto"/>
      </w:divBdr>
    </w:div>
    <w:div w:id="311718401">
      <w:bodyDiv w:val="1"/>
      <w:marLeft w:val="0"/>
      <w:marRight w:val="0"/>
      <w:marTop w:val="0"/>
      <w:marBottom w:val="0"/>
      <w:divBdr>
        <w:top w:val="none" w:sz="0" w:space="0" w:color="auto"/>
        <w:left w:val="none" w:sz="0" w:space="0" w:color="auto"/>
        <w:bottom w:val="none" w:sz="0" w:space="0" w:color="auto"/>
        <w:right w:val="none" w:sz="0" w:space="0" w:color="auto"/>
      </w:divBdr>
      <w:divsChild>
        <w:div w:id="1387996281">
          <w:marLeft w:val="0"/>
          <w:marRight w:val="0"/>
          <w:marTop w:val="0"/>
          <w:marBottom w:val="0"/>
          <w:divBdr>
            <w:top w:val="none" w:sz="0" w:space="0" w:color="auto"/>
            <w:left w:val="none" w:sz="0" w:space="0" w:color="auto"/>
            <w:bottom w:val="none" w:sz="0" w:space="0" w:color="auto"/>
            <w:right w:val="none" w:sz="0" w:space="0" w:color="auto"/>
          </w:divBdr>
        </w:div>
        <w:div w:id="1360428960">
          <w:marLeft w:val="0"/>
          <w:marRight w:val="0"/>
          <w:marTop w:val="0"/>
          <w:marBottom w:val="0"/>
          <w:divBdr>
            <w:top w:val="none" w:sz="0" w:space="0" w:color="auto"/>
            <w:left w:val="none" w:sz="0" w:space="0" w:color="auto"/>
            <w:bottom w:val="none" w:sz="0" w:space="0" w:color="auto"/>
            <w:right w:val="none" w:sz="0" w:space="0" w:color="auto"/>
          </w:divBdr>
        </w:div>
        <w:div w:id="1429693759">
          <w:marLeft w:val="0"/>
          <w:marRight w:val="0"/>
          <w:marTop w:val="0"/>
          <w:marBottom w:val="0"/>
          <w:divBdr>
            <w:top w:val="none" w:sz="0" w:space="0" w:color="auto"/>
            <w:left w:val="none" w:sz="0" w:space="0" w:color="auto"/>
            <w:bottom w:val="none" w:sz="0" w:space="0" w:color="auto"/>
            <w:right w:val="none" w:sz="0" w:space="0" w:color="auto"/>
          </w:divBdr>
        </w:div>
        <w:div w:id="1018704127">
          <w:marLeft w:val="0"/>
          <w:marRight w:val="0"/>
          <w:marTop w:val="0"/>
          <w:marBottom w:val="0"/>
          <w:divBdr>
            <w:top w:val="none" w:sz="0" w:space="0" w:color="auto"/>
            <w:left w:val="none" w:sz="0" w:space="0" w:color="auto"/>
            <w:bottom w:val="none" w:sz="0" w:space="0" w:color="auto"/>
            <w:right w:val="none" w:sz="0" w:space="0" w:color="auto"/>
          </w:divBdr>
        </w:div>
        <w:div w:id="1047028176">
          <w:marLeft w:val="0"/>
          <w:marRight w:val="0"/>
          <w:marTop w:val="0"/>
          <w:marBottom w:val="0"/>
          <w:divBdr>
            <w:top w:val="none" w:sz="0" w:space="0" w:color="auto"/>
            <w:left w:val="none" w:sz="0" w:space="0" w:color="auto"/>
            <w:bottom w:val="none" w:sz="0" w:space="0" w:color="auto"/>
            <w:right w:val="none" w:sz="0" w:space="0" w:color="auto"/>
          </w:divBdr>
        </w:div>
      </w:divsChild>
    </w:div>
    <w:div w:id="314183102">
      <w:bodyDiv w:val="1"/>
      <w:marLeft w:val="0"/>
      <w:marRight w:val="0"/>
      <w:marTop w:val="0"/>
      <w:marBottom w:val="0"/>
      <w:divBdr>
        <w:top w:val="none" w:sz="0" w:space="0" w:color="auto"/>
        <w:left w:val="none" w:sz="0" w:space="0" w:color="auto"/>
        <w:bottom w:val="none" w:sz="0" w:space="0" w:color="auto"/>
        <w:right w:val="none" w:sz="0" w:space="0" w:color="auto"/>
      </w:divBdr>
    </w:div>
    <w:div w:id="316805945">
      <w:bodyDiv w:val="1"/>
      <w:marLeft w:val="0"/>
      <w:marRight w:val="0"/>
      <w:marTop w:val="0"/>
      <w:marBottom w:val="0"/>
      <w:divBdr>
        <w:top w:val="none" w:sz="0" w:space="0" w:color="auto"/>
        <w:left w:val="none" w:sz="0" w:space="0" w:color="auto"/>
        <w:bottom w:val="none" w:sz="0" w:space="0" w:color="auto"/>
        <w:right w:val="none" w:sz="0" w:space="0" w:color="auto"/>
      </w:divBdr>
    </w:div>
    <w:div w:id="318851985">
      <w:bodyDiv w:val="1"/>
      <w:marLeft w:val="0"/>
      <w:marRight w:val="0"/>
      <w:marTop w:val="0"/>
      <w:marBottom w:val="0"/>
      <w:divBdr>
        <w:top w:val="none" w:sz="0" w:space="0" w:color="auto"/>
        <w:left w:val="none" w:sz="0" w:space="0" w:color="auto"/>
        <w:bottom w:val="none" w:sz="0" w:space="0" w:color="auto"/>
        <w:right w:val="none" w:sz="0" w:space="0" w:color="auto"/>
      </w:divBdr>
    </w:div>
    <w:div w:id="325790991">
      <w:bodyDiv w:val="1"/>
      <w:marLeft w:val="0"/>
      <w:marRight w:val="0"/>
      <w:marTop w:val="0"/>
      <w:marBottom w:val="0"/>
      <w:divBdr>
        <w:top w:val="none" w:sz="0" w:space="0" w:color="auto"/>
        <w:left w:val="none" w:sz="0" w:space="0" w:color="auto"/>
        <w:bottom w:val="none" w:sz="0" w:space="0" w:color="auto"/>
        <w:right w:val="none" w:sz="0" w:space="0" w:color="auto"/>
      </w:divBdr>
    </w:div>
    <w:div w:id="344941824">
      <w:bodyDiv w:val="1"/>
      <w:marLeft w:val="0"/>
      <w:marRight w:val="0"/>
      <w:marTop w:val="0"/>
      <w:marBottom w:val="0"/>
      <w:divBdr>
        <w:top w:val="none" w:sz="0" w:space="0" w:color="auto"/>
        <w:left w:val="none" w:sz="0" w:space="0" w:color="auto"/>
        <w:bottom w:val="none" w:sz="0" w:space="0" w:color="auto"/>
        <w:right w:val="none" w:sz="0" w:space="0" w:color="auto"/>
      </w:divBdr>
    </w:div>
    <w:div w:id="369576643">
      <w:bodyDiv w:val="1"/>
      <w:marLeft w:val="0"/>
      <w:marRight w:val="0"/>
      <w:marTop w:val="0"/>
      <w:marBottom w:val="0"/>
      <w:divBdr>
        <w:top w:val="none" w:sz="0" w:space="0" w:color="auto"/>
        <w:left w:val="none" w:sz="0" w:space="0" w:color="auto"/>
        <w:bottom w:val="none" w:sz="0" w:space="0" w:color="auto"/>
        <w:right w:val="none" w:sz="0" w:space="0" w:color="auto"/>
      </w:divBdr>
    </w:div>
    <w:div w:id="401370827">
      <w:bodyDiv w:val="1"/>
      <w:marLeft w:val="0"/>
      <w:marRight w:val="0"/>
      <w:marTop w:val="0"/>
      <w:marBottom w:val="0"/>
      <w:divBdr>
        <w:top w:val="none" w:sz="0" w:space="0" w:color="auto"/>
        <w:left w:val="none" w:sz="0" w:space="0" w:color="auto"/>
        <w:bottom w:val="none" w:sz="0" w:space="0" w:color="auto"/>
        <w:right w:val="none" w:sz="0" w:space="0" w:color="auto"/>
      </w:divBdr>
    </w:div>
    <w:div w:id="413477018">
      <w:bodyDiv w:val="1"/>
      <w:marLeft w:val="0"/>
      <w:marRight w:val="0"/>
      <w:marTop w:val="0"/>
      <w:marBottom w:val="0"/>
      <w:divBdr>
        <w:top w:val="none" w:sz="0" w:space="0" w:color="auto"/>
        <w:left w:val="none" w:sz="0" w:space="0" w:color="auto"/>
        <w:bottom w:val="none" w:sz="0" w:space="0" w:color="auto"/>
        <w:right w:val="none" w:sz="0" w:space="0" w:color="auto"/>
      </w:divBdr>
    </w:div>
    <w:div w:id="425812620">
      <w:bodyDiv w:val="1"/>
      <w:marLeft w:val="0"/>
      <w:marRight w:val="0"/>
      <w:marTop w:val="0"/>
      <w:marBottom w:val="0"/>
      <w:divBdr>
        <w:top w:val="none" w:sz="0" w:space="0" w:color="auto"/>
        <w:left w:val="none" w:sz="0" w:space="0" w:color="auto"/>
        <w:bottom w:val="none" w:sz="0" w:space="0" w:color="auto"/>
        <w:right w:val="none" w:sz="0" w:space="0" w:color="auto"/>
      </w:divBdr>
      <w:divsChild>
        <w:div w:id="1152330319">
          <w:marLeft w:val="0"/>
          <w:marRight w:val="0"/>
          <w:marTop w:val="0"/>
          <w:marBottom w:val="0"/>
          <w:divBdr>
            <w:top w:val="none" w:sz="0" w:space="0" w:color="auto"/>
            <w:left w:val="none" w:sz="0" w:space="0" w:color="auto"/>
            <w:bottom w:val="none" w:sz="0" w:space="0" w:color="auto"/>
            <w:right w:val="none" w:sz="0" w:space="0" w:color="auto"/>
          </w:divBdr>
        </w:div>
        <w:div w:id="872497405">
          <w:marLeft w:val="0"/>
          <w:marRight w:val="0"/>
          <w:marTop w:val="0"/>
          <w:marBottom w:val="0"/>
          <w:divBdr>
            <w:top w:val="none" w:sz="0" w:space="0" w:color="auto"/>
            <w:left w:val="none" w:sz="0" w:space="0" w:color="auto"/>
            <w:bottom w:val="none" w:sz="0" w:space="0" w:color="auto"/>
            <w:right w:val="none" w:sz="0" w:space="0" w:color="auto"/>
          </w:divBdr>
        </w:div>
        <w:div w:id="952706218">
          <w:marLeft w:val="0"/>
          <w:marRight w:val="0"/>
          <w:marTop w:val="0"/>
          <w:marBottom w:val="0"/>
          <w:divBdr>
            <w:top w:val="none" w:sz="0" w:space="0" w:color="auto"/>
            <w:left w:val="none" w:sz="0" w:space="0" w:color="auto"/>
            <w:bottom w:val="none" w:sz="0" w:space="0" w:color="auto"/>
            <w:right w:val="none" w:sz="0" w:space="0" w:color="auto"/>
          </w:divBdr>
        </w:div>
        <w:div w:id="654842061">
          <w:marLeft w:val="0"/>
          <w:marRight w:val="0"/>
          <w:marTop w:val="0"/>
          <w:marBottom w:val="0"/>
          <w:divBdr>
            <w:top w:val="none" w:sz="0" w:space="0" w:color="auto"/>
            <w:left w:val="none" w:sz="0" w:space="0" w:color="auto"/>
            <w:bottom w:val="none" w:sz="0" w:space="0" w:color="auto"/>
            <w:right w:val="none" w:sz="0" w:space="0" w:color="auto"/>
          </w:divBdr>
        </w:div>
        <w:div w:id="2024167263">
          <w:marLeft w:val="0"/>
          <w:marRight w:val="0"/>
          <w:marTop w:val="0"/>
          <w:marBottom w:val="0"/>
          <w:divBdr>
            <w:top w:val="none" w:sz="0" w:space="0" w:color="auto"/>
            <w:left w:val="none" w:sz="0" w:space="0" w:color="auto"/>
            <w:bottom w:val="none" w:sz="0" w:space="0" w:color="auto"/>
            <w:right w:val="none" w:sz="0" w:space="0" w:color="auto"/>
          </w:divBdr>
        </w:div>
        <w:div w:id="2122873058">
          <w:marLeft w:val="0"/>
          <w:marRight w:val="0"/>
          <w:marTop w:val="0"/>
          <w:marBottom w:val="0"/>
          <w:divBdr>
            <w:top w:val="none" w:sz="0" w:space="0" w:color="auto"/>
            <w:left w:val="none" w:sz="0" w:space="0" w:color="auto"/>
            <w:bottom w:val="none" w:sz="0" w:space="0" w:color="auto"/>
            <w:right w:val="none" w:sz="0" w:space="0" w:color="auto"/>
          </w:divBdr>
        </w:div>
      </w:divsChild>
    </w:div>
    <w:div w:id="431358891">
      <w:bodyDiv w:val="1"/>
      <w:marLeft w:val="0"/>
      <w:marRight w:val="0"/>
      <w:marTop w:val="0"/>
      <w:marBottom w:val="0"/>
      <w:divBdr>
        <w:top w:val="none" w:sz="0" w:space="0" w:color="auto"/>
        <w:left w:val="none" w:sz="0" w:space="0" w:color="auto"/>
        <w:bottom w:val="none" w:sz="0" w:space="0" w:color="auto"/>
        <w:right w:val="none" w:sz="0" w:space="0" w:color="auto"/>
      </w:divBdr>
      <w:divsChild>
        <w:div w:id="663968241">
          <w:marLeft w:val="0"/>
          <w:marRight w:val="0"/>
          <w:marTop w:val="0"/>
          <w:marBottom w:val="0"/>
          <w:divBdr>
            <w:top w:val="none" w:sz="0" w:space="0" w:color="auto"/>
            <w:left w:val="none" w:sz="0" w:space="0" w:color="auto"/>
            <w:bottom w:val="none" w:sz="0" w:space="0" w:color="auto"/>
            <w:right w:val="none" w:sz="0" w:space="0" w:color="auto"/>
          </w:divBdr>
        </w:div>
        <w:div w:id="550508092">
          <w:marLeft w:val="0"/>
          <w:marRight w:val="0"/>
          <w:marTop w:val="0"/>
          <w:marBottom w:val="0"/>
          <w:divBdr>
            <w:top w:val="none" w:sz="0" w:space="0" w:color="auto"/>
            <w:left w:val="none" w:sz="0" w:space="0" w:color="auto"/>
            <w:bottom w:val="none" w:sz="0" w:space="0" w:color="auto"/>
            <w:right w:val="none" w:sz="0" w:space="0" w:color="auto"/>
          </w:divBdr>
        </w:div>
        <w:div w:id="480080956">
          <w:marLeft w:val="0"/>
          <w:marRight w:val="0"/>
          <w:marTop w:val="0"/>
          <w:marBottom w:val="0"/>
          <w:divBdr>
            <w:top w:val="none" w:sz="0" w:space="0" w:color="auto"/>
            <w:left w:val="none" w:sz="0" w:space="0" w:color="auto"/>
            <w:bottom w:val="none" w:sz="0" w:space="0" w:color="auto"/>
            <w:right w:val="none" w:sz="0" w:space="0" w:color="auto"/>
          </w:divBdr>
        </w:div>
        <w:div w:id="1151098239">
          <w:marLeft w:val="0"/>
          <w:marRight w:val="0"/>
          <w:marTop w:val="0"/>
          <w:marBottom w:val="0"/>
          <w:divBdr>
            <w:top w:val="none" w:sz="0" w:space="0" w:color="auto"/>
            <w:left w:val="none" w:sz="0" w:space="0" w:color="auto"/>
            <w:bottom w:val="none" w:sz="0" w:space="0" w:color="auto"/>
            <w:right w:val="none" w:sz="0" w:space="0" w:color="auto"/>
          </w:divBdr>
        </w:div>
        <w:div w:id="70665748">
          <w:marLeft w:val="0"/>
          <w:marRight w:val="0"/>
          <w:marTop w:val="0"/>
          <w:marBottom w:val="0"/>
          <w:divBdr>
            <w:top w:val="none" w:sz="0" w:space="0" w:color="auto"/>
            <w:left w:val="none" w:sz="0" w:space="0" w:color="auto"/>
            <w:bottom w:val="none" w:sz="0" w:space="0" w:color="auto"/>
            <w:right w:val="none" w:sz="0" w:space="0" w:color="auto"/>
          </w:divBdr>
        </w:div>
      </w:divsChild>
    </w:div>
    <w:div w:id="450902055">
      <w:bodyDiv w:val="1"/>
      <w:marLeft w:val="0"/>
      <w:marRight w:val="0"/>
      <w:marTop w:val="0"/>
      <w:marBottom w:val="0"/>
      <w:divBdr>
        <w:top w:val="none" w:sz="0" w:space="0" w:color="auto"/>
        <w:left w:val="none" w:sz="0" w:space="0" w:color="auto"/>
        <w:bottom w:val="none" w:sz="0" w:space="0" w:color="auto"/>
        <w:right w:val="none" w:sz="0" w:space="0" w:color="auto"/>
      </w:divBdr>
    </w:div>
    <w:div w:id="451444364">
      <w:bodyDiv w:val="1"/>
      <w:marLeft w:val="0"/>
      <w:marRight w:val="0"/>
      <w:marTop w:val="0"/>
      <w:marBottom w:val="0"/>
      <w:divBdr>
        <w:top w:val="none" w:sz="0" w:space="0" w:color="auto"/>
        <w:left w:val="none" w:sz="0" w:space="0" w:color="auto"/>
        <w:bottom w:val="none" w:sz="0" w:space="0" w:color="auto"/>
        <w:right w:val="none" w:sz="0" w:space="0" w:color="auto"/>
      </w:divBdr>
    </w:div>
    <w:div w:id="469790061">
      <w:bodyDiv w:val="1"/>
      <w:marLeft w:val="0"/>
      <w:marRight w:val="0"/>
      <w:marTop w:val="0"/>
      <w:marBottom w:val="0"/>
      <w:divBdr>
        <w:top w:val="none" w:sz="0" w:space="0" w:color="auto"/>
        <w:left w:val="none" w:sz="0" w:space="0" w:color="auto"/>
        <w:bottom w:val="none" w:sz="0" w:space="0" w:color="auto"/>
        <w:right w:val="none" w:sz="0" w:space="0" w:color="auto"/>
      </w:divBdr>
    </w:div>
    <w:div w:id="477651353">
      <w:bodyDiv w:val="1"/>
      <w:marLeft w:val="0"/>
      <w:marRight w:val="0"/>
      <w:marTop w:val="0"/>
      <w:marBottom w:val="0"/>
      <w:divBdr>
        <w:top w:val="none" w:sz="0" w:space="0" w:color="auto"/>
        <w:left w:val="none" w:sz="0" w:space="0" w:color="auto"/>
        <w:bottom w:val="none" w:sz="0" w:space="0" w:color="auto"/>
        <w:right w:val="none" w:sz="0" w:space="0" w:color="auto"/>
      </w:divBdr>
    </w:div>
    <w:div w:id="481697382">
      <w:bodyDiv w:val="1"/>
      <w:marLeft w:val="0"/>
      <w:marRight w:val="0"/>
      <w:marTop w:val="0"/>
      <w:marBottom w:val="0"/>
      <w:divBdr>
        <w:top w:val="none" w:sz="0" w:space="0" w:color="auto"/>
        <w:left w:val="none" w:sz="0" w:space="0" w:color="auto"/>
        <w:bottom w:val="none" w:sz="0" w:space="0" w:color="auto"/>
        <w:right w:val="none" w:sz="0" w:space="0" w:color="auto"/>
      </w:divBdr>
    </w:div>
    <w:div w:id="513887031">
      <w:bodyDiv w:val="1"/>
      <w:marLeft w:val="0"/>
      <w:marRight w:val="0"/>
      <w:marTop w:val="0"/>
      <w:marBottom w:val="0"/>
      <w:divBdr>
        <w:top w:val="none" w:sz="0" w:space="0" w:color="auto"/>
        <w:left w:val="none" w:sz="0" w:space="0" w:color="auto"/>
        <w:bottom w:val="none" w:sz="0" w:space="0" w:color="auto"/>
        <w:right w:val="none" w:sz="0" w:space="0" w:color="auto"/>
      </w:divBdr>
    </w:div>
    <w:div w:id="525098082">
      <w:bodyDiv w:val="1"/>
      <w:marLeft w:val="0"/>
      <w:marRight w:val="0"/>
      <w:marTop w:val="0"/>
      <w:marBottom w:val="0"/>
      <w:divBdr>
        <w:top w:val="none" w:sz="0" w:space="0" w:color="auto"/>
        <w:left w:val="none" w:sz="0" w:space="0" w:color="auto"/>
        <w:bottom w:val="none" w:sz="0" w:space="0" w:color="auto"/>
        <w:right w:val="none" w:sz="0" w:space="0" w:color="auto"/>
      </w:divBdr>
      <w:divsChild>
        <w:div w:id="1133786260">
          <w:marLeft w:val="0"/>
          <w:marRight w:val="0"/>
          <w:marTop w:val="0"/>
          <w:marBottom w:val="0"/>
          <w:divBdr>
            <w:top w:val="none" w:sz="0" w:space="0" w:color="auto"/>
            <w:left w:val="none" w:sz="0" w:space="0" w:color="auto"/>
            <w:bottom w:val="none" w:sz="0" w:space="0" w:color="auto"/>
            <w:right w:val="none" w:sz="0" w:space="0" w:color="auto"/>
          </w:divBdr>
        </w:div>
        <w:div w:id="665136454">
          <w:marLeft w:val="0"/>
          <w:marRight w:val="0"/>
          <w:marTop w:val="0"/>
          <w:marBottom w:val="0"/>
          <w:divBdr>
            <w:top w:val="none" w:sz="0" w:space="0" w:color="auto"/>
            <w:left w:val="none" w:sz="0" w:space="0" w:color="auto"/>
            <w:bottom w:val="none" w:sz="0" w:space="0" w:color="auto"/>
            <w:right w:val="none" w:sz="0" w:space="0" w:color="auto"/>
          </w:divBdr>
        </w:div>
        <w:div w:id="1529567784">
          <w:marLeft w:val="0"/>
          <w:marRight w:val="0"/>
          <w:marTop w:val="0"/>
          <w:marBottom w:val="0"/>
          <w:divBdr>
            <w:top w:val="none" w:sz="0" w:space="0" w:color="auto"/>
            <w:left w:val="none" w:sz="0" w:space="0" w:color="auto"/>
            <w:bottom w:val="none" w:sz="0" w:space="0" w:color="auto"/>
            <w:right w:val="none" w:sz="0" w:space="0" w:color="auto"/>
          </w:divBdr>
        </w:div>
        <w:div w:id="1307855482">
          <w:marLeft w:val="0"/>
          <w:marRight w:val="0"/>
          <w:marTop w:val="0"/>
          <w:marBottom w:val="0"/>
          <w:divBdr>
            <w:top w:val="none" w:sz="0" w:space="0" w:color="auto"/>
            <w:left w:val="none" w:sz="0" w:space="0" w:color="auto"/>
            <w:bottom w:val="none" w:sz="0" w:space="0" w:color="auto"/>
            <w:right w:val="none" w:sz="0" w:space="0" w:color="auto"/>
          </w:divBdr>
        </w:div>
        <w:div w:id="1394691725">
          <w:marLeft w:val="0"/>
          <w:marRight w:val="0"/>
          <w:marTop w:val="0"/>
          <w:marBottom w:val="0"/>
          <w:divBdr>
            <w:top w:val="none" w:sz="0" w:space="0" w:color="auto"/>
            <w:left w:val="none" w:sz="0" w:space="0" w:color="auto"/>
            <w:bottom w:val="none" w:sz="0" w:space="0" w:color="auto"/>
            <w:right w:val="none" w:sz="0" w:space="0" w:color="auto"/>
          </w:divBdr>
        </w:div>
      </w:divsChild>
    </w:div>
    <w:div w:id="543254886">
      <w:bodyDiv w:val="1"/>
      <w:marLeft w:val="0"/>
      <w:marRight w:val="0"/>
      <w:marTop w:val="0"/>
      <w:marBottom w:val="0"/>
      <w:divBdr>
        <w:top w:val="none" w:sz="0" w:space="0" w:color="auto"/>
        <w:left w:val="none" w:sz="0" w:space="0" w:color="auto"/>
        <w:bottom w:val="none" w:sz="0" w:space="0" w:color="auto"/>
        <w:right w:val="none" w:sz="0" w:space="0" w:color="auto"/>
      </w:divBdr>
      <w:divsChild>
        <w:div w:id="1402562279">
          <w:marLeft w:val="0"/>
          <w:marRight w:val="0"/>
          <w:marTop w:val="0"/>
          <w:marBottom w:val="0"/>
          <w:divBdr>
            <w:top w:val="none" w:sz="0" w:space="0" w:color="auto"/>
            <w:left w:val="none" w:sz="0" w:space="0" w:color="auto"/>
            <w:bottom w:val="none" w:sz="0" w:space="0" w:color="auto"/>
            <w:right w:val="none" w:sz="0" w:space="0" w:color="auto"/>
          </w:divBdr>
        </w:div>
        <w:div w:id="1534267238">
          <w:marLeft w:val="0"/>
          <w:marRight w:val="0"/>
          <w:marTop w:val="0"/>
          <w:marBottom w:val="0"/>
          <w:divBdr>
            <w:top w:val="none" w:sz="0" w:space="0" w:color="auto"/>
            <w:left w:val="none" w:sz="0" w:space="0" w:color="auto"/>
            <w:bottom w:val="none" w:sz="0" w:space="0" w:color="auto"/>
            <w:right w:val="none" w:sz="0" w:space="0" w:color="auto"/>
          </w:divBdr>
        </w:div>
        <w:div w:id="1122959824">
          <w:marLeft w:val="0"/>
          <w:marRight w:val="0"/>
          <w:marTop w:val="0"/>
          <w:marBottom w:val="0"/>
          <w:divBdr>
            <w:top w:val="none" w:sz="0" w:space="0" w:color="auto"/>
            <w:left w:val="none" w:sz="0" w:space="0" w:color="auto"/>
            <w:bottom w:val="none" w:sz="0" w:space="0" w:color="auto"/>
            <w:right w:val="none" w:sz="0" w:space="0" w:color="auto"/>
          </w:divBdr>
        </w:div>
        <w:div w:id="128208598">
          <w:marLeft w:val="0"/>
          <w:marRight w:val="0"/>
          <w:marTop w:val="0"/>
          <w:marBottom w:val="0"/>
          <w:divBdr>
            <w:top w:val="none" w:sz="0" w:space="0" w:color="auto"/>
            <w:left w:val="none" w:sz="0" w:space="0" w:color="auto"/>
            <w:bottom w:val="none" w:sz="0" w:space="0" w:color="auto"/>
            <w:right w:val="none" w:sz="0" w:space="0" w:color="auto"/>
          </w:divBdr>
        </w:div>
        <w:div w:id="134494918">
          <w:marLeft w:val="0"/>
          <w:marRight w:val="0"/>
          <w:marTop w:val="0"/>
          <w:marBottom w:val="0"/>
          <w:divBdr>
            <w:top w:val="none" w:sz="0" w:space="0" w:color="auto"/>
            <w:left w:val="none" w:sz="0" w:space="0" w:color="auto"/>
            <w:bottom w:val="none" w:sz="0" w:space="0" w:color="auto"/>
            <w:right w:val="none" w:sz="0" w:space="0" w:color="auto"/>
          </w:divBdr>
        </w:div>
        <w:div w:id="1644507645">
          <w:marLeft w:val="0"/>
          <w:marRight w:val="0"/>
          <w:marTop w:val="0"/>
          <w:marBottom w:val="0"/>
          <w:divBdr>
            <w:top w:val="none" w:sz="0" w:space="0" w:color="auto"/>
            <w:left w:val="none" w:sz="0" w:space="0" w:color="auto"/>
            <w:bottom w:val="none" w:sz="0" w:space="0" w:color="auto"/>
            <w:right w:val="none" w:sz="0" w:space="0" w:color="auto"/>
          </w:divBdr>
        </w:div>
        <w:div w:id="1477843717">
          <w:marLeft w:val="0"/>
          <w:marRight w:val="0"/>
          <w:marTop w:val="0"/>
          <w:marBottom w:val="0"/>
          <w:divBdr>
            <w:top w:val="none" w:sz="0" w:space="0" w:color="auto"/>
            <w:left w:val="none" w:sz="0" w:space="0" w:color="auto"/>
            <w:bottom w:val="none" w:sz="0" w:space="0" w:color="auto"/>
            <w:right w:val="none" w:sz="0" w:space="0" w:color="auto"/>
          </w:divBdr>
        </w:div>
        <w:div w:id="415253010">
          <w:marLeft w:val="0"/>
          <w:marRight w:val="0"/>
          <w:marTop w:val="0"/>
          <w:marBottom w:val="0"/>
          <w:divBdr>
            <w:top w:val="none" w:sz="0" w:space="0" w:color="auto"/>
            <w:left w:val="none" w:sz="0" w:space="0" w:color="auto"/>
            <w:bottom w:val="none" w:sz="0" w:space="0" w:color="auto"/>
            <w:right w:val="none" w:sz="0" w:space="0" w:color="auto"/>
          </w:divBdr>
        </w:div>
        <w:div w:id="1083648125">
          <w:marLeft w:val="0"/>
          <w:marRight w:val="0"/>
          <w:marTop w:val="0"/>
          <w:marBottom w:val="0"/>
          <w:divBdr>
            <w:top w:val="none" w:sz="0" w:space="0" w:color="auto"/>
            <w:left w:val="none" w:sz="0" w:space="0" w:color="auto"/>
            <w:bottom w:val="none" w:sz="0" w:space="0" w:color="auto"/>
            <w:right w:val="none" w:sz="0" w:space="0" w:color="auto"/>
          </w:divBdr>
        </w:div>
        <w:div w:id="1643146702">
          <w:marLeft w:val="0"/>
          <w:marRight w:val="0"/>
          <w:marTop w:val="0"/>
          <w:marBottom w:val="0"/>
          <w:divBdr>
            <w:top w:val="none" w:sz="0" w:space="0" w:color="auto"/>
            <w:left w:val="none" w:sz="0" w:space="0" w:color="auto"/>
            <w:bottom w:val="none" w:sz="0" w:space="0" w:color="auto"/>
            <w:right w:val="none" w:sz="0" w:space="0" w:color="auto"/>
          </w:divBdr>
        </w:div>
      </w:divsChild>
    </w:div>
    <w:div w:id="567308174">
      <w:bodyDiv w:val="1"/>
      <w:marLeft w:val="0"/>
      <w:marRight w:val="0"/>
      <w:marTop w:val="0"/>
      <w:marBottom w:val="0"/>
      <w:divBdr>
        <w:top w:val="none" w:sz="0" w:space="0" w:color="auto"/>
        <w:left w:val="none" w:sz="0" w:space="0" w:color="auto"/>
        <w:bottom w:val="none" w:sz="0" w:space="0" w:color="auto"/>
        <w:right w:val="none" w:sz="0" w:space="0" w:color="auto"/>
      </w:divBdr>
    </w:div>
    <w:div w:id="573662226">
      <w:bodyDiv w:val="1"/>
      <w:marLeft w:val="0"/>
      <w:marRight w:val="0"/>
      <w:marTop w:val="0"/>
      <w:marBottom w:val="0"/>
      <w:divBdr>
        <w:top w:val="none" w:sz="0" w:space="0" w:color="auto"/>
        <w:left w:val="none" w:sz="0" w:space="0" w:color="auto"/>
        <w:bottom w:val="none" w:sz="0" w:space="0" w:color="auto"/>
        <w:right w:val="none" w:sz="0" w:space="0" w:color="auto"/>
      </w:divBdr>
    </w:div>
    <w:div w:id="595484688">
      <w:bodyDiv w:val="1"/>
      <w:marLeft w:val="0"/>
      <w:marRight w:val="0"/>
      <w:marTop w:val="0"/>
      <w:marBottom w:val="0"/>
      <w:divBdr>
        <w:top w:val="none" w:sz="0" w:space="0" w:color="auto"/>
        <w:left w:val="none" w:sz="0" w:space="0" w:color="auto"/>
        <w:bottom w:val="none" w:sz="0" w:space="0" w:color="auto"/>
        <w:right w:val="none" w:sz="0" w:space="0" w:color="auto"/>
      </w:divBdr>
    </w:div>
    <w:div w:id="616833040">
      <w:bodyDiv w:val="1"/>
      <w:marLeft w:val="0"/>
      <w:marRight w:val="0"/>
      <w:marTop w:val="0"/>
      <w:marBottom w:val="0"/>
      <w:divBdr>
        <w:top w:val="none" w:sz="0" w:space="0" w:color="auto"/>
        <w:left w:val="none" w:sz="0" w:space="0" w:color="auto"/>
        <w:bottom w:val="none" w:sz="0" w:space="0" w:color="auto"/>
        <w:right w:val="none" w:sz="0" w:space="0" w:color="auto"/>
      </w:divBdr>
      <w:divsChild>
        <w:div w:id="1829709257">
          <w:marLeft w:val="0"/>
          <w:marRight w:val="0"/>
          <w:marTop w:val="0"/>
          <w:marBottom w:val="0"/>
          <w:divBdr>
            <w:top w:val="none" w:sz="0" w:space="0" w:color="auto"/>
            <w:left w:val="none" w:sz="0" w:space="0" w:color="auto"/>
            <w:bottom w:val="none" w:sz="0" w:space="0" w:color="auto"/>
            <w:right w:val="none" w:sz="0" w:space="0" w:color="auto"/>
          </w:divBdr>
        </w:div>
        <w:div w:id="514881123">
          <w:marLeft w:val="0"/>
          <w:marRight w:val="0"/>
          <w:marTop w:val="0"/>
          <w:marBottom w:val="0"/>
          <w:divBdr>
            <w:top w:val="none" w:sz="0" w:space="0" w:color="auto"/>
            <w:left w:val="none" w:sz="0" w:space="0" w:color="auto"/>
            <w:bottom w:val="none" w:sz="0" w:space="0" w:color="auto"/>
            <w:right w:val="none" w:sz="0" w:space="0" w:color="auto"/>
          </w:divBdr>
        </w:div>
        <w:div w:id="1361202212">
          <w:marLeft w:val="0"/>
          <w:marRight w:val="0"/>
          <w:marTop w:val="0"/>
          <w:marBottom w:val="0"/>
          <w:divBdr>
            <w:top w:val="none" w:sz="0" w:space="0" w:color="auto"/>
            <w:left w:val="none" w:sz="0" w:space="0" w:color="auto"/>
            <w:bottom w:val="none" w:sz="0" w:space="0" w:color="auto"/>
            <w:right w:val="none" w:sz="0" w:space="0" w:color="auto"/>
          </w:divBdr>
        </w:div>
        <w:div w:id="411321217">
          <w:marLeft w:val="0"/>
          <w:marRight w:val="0"/>
          <w:marTop w:val="0"/>
          <w:marBottom w:val="0"/>
          <w:divBdr>
            <w:top w:val="none" w:sz="0" w:space="0" w:color="auto"/>
            <w:left w:val="none" w:sz="0" w:space="0" w:color="auto"/>
            <w:bottom w:val="none" w:sz="0" w:space="0" w:color="auto"/>
            <w:right w:val="none" w:sz="0" w:space="0" w:color="auto"/>
          </w:divBdr>
        </w:div>
        <w:div w:id="1325742378">
          <w:marLeft w:val="0"/>
          <w:marRight w:val="0"/>
          <w:marTop w:val="0"/>
          <w:marBottom w:val="0"/>
          <w:divBdr>
            <w:top w:val="none" w:sz="0" w:space="0" w:color="auto"/>
            <w:left w:val="none" w:sz="0" w:space="0" w:color="auto"/>
            <w:bottom w:val="none" w:sz="0" w:space="0" w:color="auto"/>
            <w:right w:val="none" w:sz="0" w:space="0" w:color="auto"/>
          </w:divBdr>
        </w:div>
        <w:div w:id="361366699">
          <w:marLeft w:val="0"/>
          <w:marRight w:val="0"/>
          <w:marTop w:val="0"/>
          <w:marBottom w:val="0"/>
          <w:divBdr>
            <w:top w:val="none" w:sz="0" w:space="0" w:color="auto"/>
            <w:left w:val="none" w:sz="0" w:space="0" w:color="auto"/>
            <w:bottom w:val="none" w:sz="0" w:space="0" w:color="auto"/>
            <w:right w:val="none" w:sz="0" w:space="0" w:color="auto"/>
          </w:divBdr>
        </w:div>
        <w:div w:id="206721391">
          <w:marLeft w:val="0"/>
          <w:marRight w:val="0"/>
          <w:marTop w:val="0"/>
          <w:marBottom w:val="0"/>
          <w:divBdr>
            <w:top w:val="none" w:sz="0" w:space="0" w:color="auto"/>
            <w:left w:val="none" w:sz="0" w:space="0" w:color="auto"/>
            <w:bottom w:val="none" w:sz="0" w:space="0" w:color="auto"/>
            <w:right w:val="none" w:sz="0" w:space="0" w:color="auto"/>
          </w:divBdr>
        </w:div>
        <w:div w:id="917791627">
          <w:marLeft w:val="0"/>
          <w:marRight w:val="0"/>
          <w:marTop w:val="0"/>
          <w:marBottom w:val="0"/>
          <w:divBdr>
            <w:top w:val="none" w:sz="0" w:space="0" w:color="auto"/>
            <w:left w:val="none" w:sz="0" w:space="0" w:color="auto"/>
            <w:bottom w:val="none" w:sz="0" w:space="0" w:color="auto"/>
            <w:right w:val="none" w:sz="0" w:space="0" w:color="auto"/>
          </w:divBdr>
        </w:div>
        <w:div w:id="1744529353">
          <w:marLeft w:val="0"/>
          <w:marRight w:val="0"/>
          <w:marTop w:val="0"/>
          <w:marBottom w:val="0"/>
          <w:divBdr>
            <w:top w:val="none" w:sz="0" w:space="0" w:color="auto"/>
            <w:left w:val="none" w:sz="0" w:space="0" w:color="auto"/>
            <w:bottom w:val="none" w:sz="0" w:space="0" w:color="auto"/>
            <w:right w:val="none" w:sz="0" w:space="0" w:color="auto"/>
          </w:divBdr>
        </w:div>
        <w:div w:id="1081021933">
          <w:marLeft w:val="0"/>
          <w:marRight w:val="0"/>
          <w:marTop w:val="0"/>
          <w:marBottom w:val="0"/>
          <w:divBdr>
            <w:top w:val="none" w:sz="0" w:space="0" w:color="auto"/>
            <w:left w:val="none" w:sz="0" w:space="0" w:color="auto"/>
            <w:bottom w:val="none" w:sz="0" w:space="0" w:color="auto"/>
            <w:right w:val="none" w:sz="0" w:space="0" w:color="auto"/>
          </w:divBdr>
        </w:div>
      </w:divsChild>
    </w:div>
    <w:div w:id="622658696">
      <w:bodyDiv w:val="1"/>
      <w:marLeft w:val="0"/>
      <w:marRight w:val="0"/>
      <w:marTop w:val="0"/>
      <w:marBottom w:val="0"/>
      <w:divBdr>
        <w:top w:val="none" w:sz="0" w:space="0" w:color="auto"/>
        <w:left w:val="none" w:sz="0" w:space="0" w:color="auto"/>
        <w:bottom w:val="none" w:sz="0" w:space="0" w:color="auto"/>
        <w:right w:val="none" w:sz="0" w:space="0" w:color="auto"/>
      </w:divBdr>
    </w:div>
    <w:div w:id="626619047">
      <w:bodyDiv w:val="1"/>
      <w:marLeft w:val="0"/>
      <w:marRight w:val="0"/>
      <w:marTop w:val="0"/>
      <w:marBottom w:val="0"/>
      <w:divBdr>
        <w:top w:val="none" w:sz="0" w:space="0" w:color="auto"/>
        <w:left w:val="none" w:sz="0" w:space="0" w:color="auto"/>
        <w:bottom w:val="none" w:sz="0" w:space="0" w:color="auto"/>
        <w:right w:val="none" w:sz="0" w:space="0" w:color="auto"/>
      </w:divBdr>
      <w:divsChild>
        <w:div w:id="339432226">
          <w:marLeft w:val="0"/>
          <w:marRight w:val="0"/>
          <w:marTop w:val="0"/>
          <w:marBottom w:val="0"/>
          <w:divBdr>
            <w:top w:val="none" w:sz="0" w:space="0" w:color="auto"/>
            <w:left w:val="none" w:sz="0" w:space="0" w:color="auto"/>
            <w:bottom w:val="none" w:sz="0" w:space="0" w:color="auto"/>
            <w:right w:val="none" w:sz="0" w:space="0" w:color="auto"/>
          </w:divBdr>
        </w:div>
        <w:div w:id="1305234371">
          <w:marLeft w:val="0"/>
          <w:marRight w:val="0"/>
          <w:marTop w:val="0"/>
          <w:marBottom w:val="0"/>
          <w:divBdr>
            <w:top w:val="none" w:sz="0" w:space="0" w:color="auto"/>
            <w:left w:val="none" w:sz="0" w:space="0" w:color="auto"/>
            <w:bottom w:val="none" w:sz="0" w:space="0" w:color="auto"/>
            <w:right w:val="none" w:sz="0" w:space="0" w:color="auto"/>
          </w:divBdr>
        </w:div>
        <w:div w:id="692077673">
          <w:marLeft w:val="0"/>
          <w:marRight w:val="0"/>
          <w:marTop w:val="0"/>
          <w:marBottom w:val="0"/>
          <w:divBdr>
            <w:top w:val="none" w:sz="0" w:space="0" w:color="auto"/>
            <w:left w:val="none" w:sz="0" w:space="0" w:color="auto"/>
            <w:bottom w:val="none" w:sz="0" w:space="0" w:color="auto"/>
            <w:right w:val="none" w:sz="0" w:space="0" w:color="auto"/>
          </w:divBdr>
        </w:div>
        <w:div w:id="2085059177">
          <w:marLeft w:val="0"/>
          <w:marRight w:val="0"/>
          <w:marTop w:val="0"/>
          <w:marBottom w:val="0"/>
          <w:divBdr>
            <w:top w:val="none" w:sz="0" w:space="0" w:color="auto"/>
            <w:left w:val="none" w:sz="0" w:space="0" w:color="auto"/>
            <w:bottom w:val="none" w:sz="0" w:space="0" w:color="auto"/>
            <w:right w:val="none" w:sz="0" w:space="0" w:color="auto"/>
          </w:divBdr>
        </w:div>
        <w:div w:id="963925535">
          <w:marLeft w:val="0"/>
          <w:marRight w:val="0"/>
          <w:marTop w:val="0"/>
          <w:marBottom w:val="0"/>
          <w:divBdr>
            <w:top w:val="none" w:sz="0" w:space="0" w:color="auto"/>
            <w:left w:val="none" w:sz="0" w:space="0" w:color="auto"/>
            <w:bottom w:val="none" w:sz="0" w:space="0" w:color="auto"/>
            <w:right w:val="none" w:sz="0" w:space="0" w:color="auto"/>
          </w:divBdr>
        </w:div>
        <w:div w:id="231742175">
          <w:marLeft w:val="0"/>
          <w:marRight w:val="0"/>
          <w:marTop w:val="0"/>
          <w:marBottom w:val="0"/>
          <w:divBdr>
            <w:top w:val="none" w:sz="0" w:space="0" w:color="auto"/>
            <w:left w:val="none" w:sz="0" w:space="0" w:color="auto"/>
            <w:bottom w:val="none" w:sz="0" w:space="0" w:color="auto"/>
            <w:right w:val="none" w:sz="0" w:space="0" w:color="auto"/>
          </w:divBdr>
        </w:div>
        <w:div w:id="1861161704">
          <w:marLeft w:val="0"/>
          <w:marRight w:val="0"/>
          <w:marTop w:val="0"/>
          <w:marBottom w:val="0"/>
          <w:divBdr>
            <w:top w:val="none" w:sz="0" w:space="0" w:color="auto"/>
            <w:left w:val="none" w:sz="0" w:space="0" w:color="auto"/>
            <w:bottom w:val="none" w:sz="0" w:space="0" w:color="auto"/>
            <w:right w:val="none" w:sz="0" w:space="0" w:color="auto"/>
          </w:divBdr>
        </w:div>
        <w:div w:id="1724015425">
          <w:marLeft w:val="0"/>
          <w:marRight w:val="0"/>
          <w:marTop w:val="0"/>
          <w:marBottom w:val="0"/>
          <w:divBdr>
            <w:top w:val="none" w:sz="0" w:space="0" w:color="auto"/>
            <w:left w:val="none" w:sz="0" w:space="0" w:color="auto"/>
            <w:bottom w:val="none" w:sz="0" w:space="0" w:color="auto"/>
            <w:right w:val="none" w:sz="0" w:space="0" w:color="auto"/>
          </w:divBdr>
        </w:div>
        <w:div w:id="1823304849">
          <w:marLeft w:val="0"/>
          <w:marRight w:val="0"/>
          <w:marTop w:val="0"/>
          <w:marBottom w:val="0"/>
          <w:divBdr>
            <w:top w:val="none" w:sz="0" w:space="0" w:color="auto"/>
            <w:left w:val="none" w:sz="0" w:space="0" w:color="auto"/>
            <w:bottom w:val="none" w:sz="0" w:space="0" w:color="auto"/>
            <w:right w:val="none" w:sz="0" w:space="0" w:color="auto"/>
          </w:divBdr>
        </w:div>
        <w:div w:id="339821680">
          <w:marLeft w:val="0"/>
          <w:marRight w:val="0"/>
          <w:marTop w:val="0"/>
          <w:marBottom w:val="0"/>
          <w:divBdr>
            <w:top w:val="none" w:sz="0" w:space="0" w:color="auto"/>
            <w:left w:val="none" w:sz="0" w:space="0" w:color="auto"/>
            <w:bottom w:val="none" w:sz="0" w:space="0" w:color="auto"/>
            <w:right w:val="none" w:sz="0" w:space="0" w:color="auto"/>
          </w:divBdr>
        </w:div>
        <w:div w:id="465663664">
          <w:marLeft w:val="0"/>
          <w:marRight w:val="0"/>
          <w:marTop w:val="0"/>
          <w:marBottom w:val="0"/>
          <w:divBdr>
            <w:top w:val="none" w:sz="0" w:space="0" w:color="auto"/>
            <w:left w:val="none" w:sz="0" w:space="0" w:color="auto"/>
            <w:bottom w:val="none" w:sz="0" w:space="0" w:color="auto"/>
            <w:right w:val="none" w:sz="0" w:space="0" w:color="auto"/>
          </w:divBdr>
        </w:div>
        <w:div w:id="1461652879">
          <w:marLeft w:val="0"/>
          <w:marRight w:val="0"/>
          <w:marTop w:val="0"/>
          <w:marBottom w:val="0"/>
          <w:divBdr>
            <w:top w:val="none" w:sz="0" w:space="0" w:color="auto"/>
            <w:left w:val="none" w:sz="0" w:space="0" w:color="auto"/>
            <w:bottom w:val="none" w:sz="0" w:space="0" w:color="auto"/>
            <w:right w:val="none" w:sz="0" w:space="0" w:color="auto"/>
          </w:divBdr>
        </w:div>
      </w:divsChild>
    </w:div>
    <w:div w:id="627589446">
      <w:bodyDiv w:val="1"/>
      <w:marLeft w:val="0"/>
      <w:marRight w:val="0"/>
      <w:marTop w:val="0"/>
      <w:marBottom w:val="0"/>
      <w:divBdr>
        <w:top w:val="none" w:sz="0" w:space="0" w:color="auto"/>
        <w:left w:val="none" w:sz="0" w:space="0" w:color="auto"/>
        <w:bottom w:val="none" w:sz="0" w:space="0" w:color="auto"/>
        <w:right w:val="none" w:sz="0" w:space="0" w:color="auto"/>
      </w:divBdr>
    </w:div>
    <w:div w:id="628245287">
      <w:bodyDiv w:val="1"/>
      <w:marLeft w:val="0"/>
      <w:marRight w:val="0"/>
      <w:marTop w:val="0"/>
      <w:marBottom w:val="0"/>
      <w:divBdr>
        <w:top w:val="none" w:sz="0" w:space="0" w:color="auto"/>
        <w:left w:val="none" w:sz="0" w:space="0" w:color="auto"/>
        <w:bottom w:val="none" w:sz="0" w:space="0" w:color="auto"/>
        <w:right w:val="none" w:sz="0" w:space="0" w:color="auto"/>
      </w:divBdr>
    </w:div>
    <w:div w:id="631059389">
      <w:bodyDiv w:val="1"/>
      <w:marLeft w:val="0"/>
      <w:marRight w:val="0"/>
      <w:marTop w:val="0"/>
      <w:marBottom w:val="0"/>
      <w:divBdr>
        <w:top w:val="none" w:sz="0" w:space="0" w:color="auto"/>
        <w:left w:val="none" w:sz="0" w:space="0" w:color="auto"/>
        <w:bottom w:val="none" w:sz="0" w:space="0" w:color="auto"/>
        <w:right w:val="none" w:sz="0" w:space="0" w:color="auto"/>
      </w:divBdr>
      <w:divsChild>
        <w:div w:id="818422555">
          <w:marLeft w:val="0"/>
          <w:marRight w:val="0"/>
          <w:marTop w:val="0"/>
          <w:marBottom w:val="0"/>
          <w:divBdr>
            <w:top w:val="none" w:sz="0" w:space="0" w:color="auto"/>
            <w:left w:val="none" w:sz="0" w:space="0" w:color="auto"/>
            <w:bottom w:val="none" w:sz="0" w:space="0" w:color="auto"/>
            <w:right w:val="none" w:sz="0" w:space="0" w:color="auto"/>
          </w:divBdr>
        </w:div>
        <w:div w:id="1725909513">
          <w:marLeft w:val="0"/>
          <w:marRight w:val="0"/>
          <w:marTop w:val="0"/>
          <w:marBottom w:val="0"/>
          <w:divBdr>
            <w:top w:val="none" w:sz="0" w:space="0" w:color="auto"/>
            <w:left w:val="none" w:sz="0" w:space="0" w:color="auto"/>
            <w:bottom w:val="none" w:sz="0" w:space="0" w:color="auto"/>
            <w:right w:val="none" w:sz="0" w:space="0" w:color="auto"/>
          </w:divBdr>
        </w:div>
        <w:div w:id="1247619377">
          <w:marLeft w:val="0"/>
          <w:marRight w:val="0"/>
          <w:marTop w:val="0"/>
          <w:marBottom w:val="0"/>
          <w:divBdr>
            <w:top w:val="none" w:sz="0" w:space="0" w:color="auto"/>
            <w:left w:val="none" w:sz="0" w:space="0" w:color="auto"/>
            <w:bottom w:val="none" w:sz="0" w:space="0" w:color="auto"/>
            <w:right w:val="none" w:sz="0" w:space="0" w:color="auto"/>
          </w:divBdr>
        </w:div>
        <w:div w:id="1663117944">
          <w:marLeft w:val="0"/>
          <w:marRight w:val="0"/>
          <w:marTop w:val="0"/>
          <w:marBottom w:val="0"/>
          <w:divBdr>
            <w:top w:val="none" w:sz="0" w:space="0" w:color="auto"/>
            <w:left w:val="none" w:sz="0" w:space="0" w:color="auto"/>
            <w:bottom w:val="none" w:sz="0" w:space="0" w:color="auto"/>
            <w:right w:val="none" w:sz="0" w:space="0" w:color="auto"/>
          </w:divBdr>
        </w:div>
        <w:div w:id="1365138306">
          <w:marLeft w:val="0"/>
          <w:marRight w:val="0"/>
          <w:marTop w:val="0"/>
          <w:marBottom w:val="0"/>
          <w:divBdr>
            <w:top w:val="none" w:sz="0" w:space="0" w:color="auto"/>
            <w:left w:val="none" w:sz="0" w:space="0" w:color="auto"/>
            <w:bottom w:val="none" w:sz="0" w:space="0" w:color="auto"/>
            <w:right w:val="none" w:sz="0" w:space="0" w:color="auto"/>
          </w:divBdr>
        </w:div>
      </w:divsChild>
    </w:div>
    <w:div w:id="646279264">
      <w:bodyDiv w:val="1"/>
      <w:marLeft w:val="0"/>
      <w:marRight w:val="0"/>
      <w:marTop w:val="0"/>
      <w:marBottom w:val="0"/>
      <w:divBdr>
        <w:top w:val="none" w:sz="0" w:space="0" w:color="auto"/>
        <w:left w:val="none" w:sz="0" w:space="0" w:color="auto"/>
        <w:bottom w:val="none" w:sz="0" w:space="0" w:color="auto"/>
        <w:right w:val="none" w:sz="0" w:space="0" w:color="auto"/>
      </w:divBdr>
      <w:divsChild>
        <w:div w:id="1495030847">
          <w:marLeft w:val="0"/>
          <w:marRight w:val="0"/>
          <w:marTop w:val="0"/>
          <w:marBottom w:val="0"/>
          <w:divBdr>
            <w:top w:val="none" w:sz="0" w:space="0" w:color="auto"/>
            <w:left w:val="none" w:sz="0" w:space="0" w:color="auto"/>
            <w:bottom w:val="none" w:sz="0" w:space="0" w:color="auto"/>
            <w:right w:val="none" w:sz="0" w:space="0" w:color="auto"/>
          </w:divBdr>
        </w:div>
        <w:div w:id="2074153311">
          <w:marLeft w:val="0"/>
          <w:marRight w:val="0"/>
          <w:marTop w:val="0"/>
          <w:marBottom w:val="0"/>
          <w:divBdr>
            <w:top w:val="none" w:sz="0" w:space="0" w:color="auto"/>
            <w:left w:val="none" w:sz="0" w:space="0" w:color="auto"/>
            <w:bottom w:val="none" w:sz="0" w:space="0" w:color="auto"/>
            <w:right w:val="none" w:sz="0" w:space="0" w:color="auto"/>
          </w:divBdr>
        </w:div>
        <w:div w:id="28385238">
          <w:marLeft w:val="0"/>
          <w:marRight w:val="0"/>
          <w:marTop w:val="0"/>
          <w:marBottom w:val="0"/>
          <w:divBdr>
            <w:top w:val="none" w:sz="0" w:space="0" w:color="auto"/>
            <w:left w:val="none" w:sz="0" w:space="0" w:color="auto"/>
            <w:bottom w:val="none" w:sz="0" w:space="0" w:color="auto"/>
            <w:right w:val="none" w:sz="0" w:space="0" w:color="auto"/>
          </w:divBdr>
        </w:div>
        <w:div w:id="1529879564">
          <w:marLeft w:val="0"/>
          <w:marRight w:val="0"/>
          <w:marTop w:val="0"/>
          <w:marBottom w:val="0"/>
          <w:divBdr>
            <w:top w:val="none" w:sz="0" w:space="0" w:color="auto"/>
            <w:left w:val="none" w:sz="0" w:space="0" w:color="auto"/>
            <w:bottom w:val="none" w:sz="0" w:space="0" w:color="auto"/>
            <w:right w:val="none" w:sz="0" w:space="0" w:color="auto"/>
          </w:divBdr>
        </w:div>
        <w:div w:id="276378171">
          <w:marLeft w:val="0"/>
          <w:marRight w:val="0"/>
          <w:marTop w:val="0"/>
          <w:marBottom w:val="0"/>
          <w:divBdr>
            <w:top w:val="none" w:sz="0" w:space="0" w:color="auto"/>
            <w:left w:val="none" w:sz="0" w:space="0" w:color="auto"/>
            <w:bottom w:val="none" w:sz="0" w:space="0" w:color="auto"/>
            <w:right w:val="none" w:sz="0" w:space="0" w:color="auto"/>
          </w:divBdr>
        </w:div>
      </w:divsChild>
    </w:div>
    <w:div w:id="652411310">
      <w:bodyDiv w:val="1"/>
      <w:marLeft w:val="0"/>
      <w:marRight w:val="0"/>
      <w:marTop w:val="0"/>
      <w:marBottom w:val="0"/>
      <w:divBdr>
        <w:top w:val="none" w:sz="0" w:space="0" w:color="auto"/>
        <w:left w:val="none" w:sz="0" w:space="0" w:color="auto"/>
        <w:bottom w:val="none" w:sz="0" w:space="0" w:color="auto"/>
        <w:right w:val="none" w:sz="0" w:space="0" w:color="auto"/>
      </w:divBdr>
    </w:div>
    <w:div w:id="658460513">
      <w:bodyDiv w:val="1"/>
      <w:marLeft w:val="0"/>
      <w:marRight w:val="0"/>
      <w:marTop w:val="0"/>
      <w:marBottom w:val="0"/>
      <w:divBdr>
        <w:top w:val="none" w:sz="0" w:space="0" w:color="auto"/>
        <w:left w:val="none" w:sz="0" w:space="0" w:color="auto"/>
        <w:bottom w:val="none" w:sz="0" w:space="0" w:color="auto"/>
        <w:right w:val="none" w:sz="0" w:space="0" w:color="auto"/>
      </w:divBdr>
    </w:div>
    <w:div w:id="671418834">
      <w:bodyDiv w:val="1"/>
      <w:marLeft w:val="0"/>
      <w:marRight w:val="0"/>
      <w:marTop w:val="0"/>
      <w:marBottom w:val="0"/>
      <w:divBdr>
        <w:top w:val="none" w:sz="0" w:space="0" w:color="auto"/>
        <w:left w:val="none" w:sz="0" w:space="0" w:color="auto"/>
        <w:bottom w:val="none" w:sz="0" w:space="0" w:color="auto"/>
        <w:right w:val="none" w:sz="0" w:space="0" w:color="auto"/>
      </w:divBdr>
      <w:divsChild>
        <w:div w:id="1745837523">
          <w:marLeft w:val="0"/>
          <w:marRight w:val="0"/>
          <w:marTop w:val="0"/>
          <w:marBottom w:val="0"/>
          <w:divBdr>
            <w:top w:val="none" w:sz="0" w:space="0" w:color="auto"/>
            <w:left w:val="none" w:sz="0" w:space="0" w:color="auto"/>
            <w:bottom w:val="none" w:sz="0" w:space="0" w:color="auto"/>
            <w:right w:val="none" w:sz="0" w:space="0" w:color="auto"/>
          </w:divBdr>
        </w:div>
        <w:div w:id="2039112443">
          <w:marLeft w:val="0"/>
          <w:marRight w:val="0"/>
          <w:marTop w:val="0"/>
          <w:marBottom w:val="0"/>
          <w:divBdr>
            <w:top w:val="none" w:sz="0" w:space="0" w:color="auto"/>
            <w:left w:val="none" w:sz="0" w:space="0" w:color="auto"/>
            <w:bottom w:val="none" w:sz="0" w:space="0" w:color="auto"/>
            <w:right w:val="none" w:sz="0" w:space="0" w:color="auto"/>
          </w:divBdr>
        </w:div>
        <w:div w:id="1310328904">
          <w:marLeft w:val="0"/>
          <w:marRight w:val="0"/>
          <w:marTop w:val="0"/>
          <w:marBottom w:val="0"/>
          <w:divBdr>
            <w:top w:val="none" w:sz="0" w:space="0" w:color="auto"/>
            <w:left w:val="none" w:sz="0" w:space="0" w:color="auto"/>
            <w:bottom w:val="none" w:sz="0" w:space="0" w:color="auto"/>
            <w:right w:val="none" w:sz="0" w:space="0" w:color="auto"/>
          </w:divBdr>
        </w:div>
        <w:div w:id="1279872189">
          <w:marLeft w:val="0"/>
          <w:marRight w:val="0"/>
          <w:marTop w:val="0"/>
          <w:marBottom w:val="0"/>
          <w:divBdr>
            <w:top w:val="none" w:sz="0" w:space="0" w:color="auto"/>
            <w:left w:val="none" w:sz="0" w:space="0" w:color="auto"/>
            <w:bottom w:val="none" w:sz="0" w:space="0" w:color="auto"/>
            <w:right w:val="none" w:sz="0" w:space="0" w:color="auto"/>
          </w:divBdr>
        </w:div>
        <w:div w:id="501089515">
          <w:marLeft w:val="0"/>
          <w:marRight w:val="0"/>
          <w:marTop w:val="0"/>
          <w:marBottom w:val="0"/>
          <w:divBdr>
            <w:top w:val="none" w:sz="0" w:space="0" w:color="auto"/>
            <w:left w:val="none" w:sz="0" w:space="0" w:color="auto"/>
            <w:bottom w:val="none" w:sz="0" w:space="0" w:color="auto"/>
            <w:right w:val="none" w:sz="0" w:space="0" w:color="auto"/>
          </w:divBdr>
        </w:div>
      </w:divsChild>
    </w:div>
    <w:div w:id="676543943">
      <w:bodyDiv w:val="1"/>
      <w:marLeft w:val="0"/>
      <w:marRight w:val="0"/>
      <w:marTop w:val="0"/>
      <w:marBottom w:val="0"/>
      <w:divBdr>
        <w:top w:val="none" w:sz="0" w:space="0" w:color="auto"/>
        <w:left w:val="none" w:sz="0" w:space="0" w:color="auto"/>
        <w:bottom w:val="none" w:sz="0" w:space="0" w:color="auto"/>
        <w:right w:val="none" w:sz="0" w:space="0" w:color="auto"/>
      </w:divBdr>
      <w:divsChild>
        <w:div w:id="904295255">
          <w:marLeft w:val="0"/>
          <w:marRight w:val="0"/>
          <w:marTop w:val="0"/>
          <w:marBottom w:val="0"/>
          <w:divBdr>
            <w:top w:val="none" w:sz="0" w:space="0" w:color="auto"/>
            <w:left w:val="none" w:sz="0" w:space="0" w:color="auto"/>
            <w:bottom w:val="none" w:sz="0" w:space="0" w:color="auto"/>
            <w:right w:val="none" w:sz="0" w:space="0" w:color="auto"/>
          </w:divBdr>
        </w:div>
        <w:div w:id="1836143830">
          <w:marLeft w:val="0"/>
          <w:marRight w:val="0"/>
          <w:marTop w:val="0"/>
          <w:marBottom w:val="0"/>
          <w:divBdr>
            <w:top w:val="none" w:sz="0" w:space="0" w:color="auto"/>
            <w:left w:val="none" w:sz="0" w:space="0" w:color="auto"/>
            <w:bottom w:val="none" w:sz="0" w:space="0" w:color="auto"/>
            <w:right w:val="none" w:sz="0" w:space="0" w:color="auto"/>
          </w:divBdr>
        </w:div>
        <w:div w:id="799570293">
          <w:marLeft w:val="0"/>
          <w:marRight w:val="0"/>
          <w:marTop w:val="0"/>
          <w:marBottom w:val="0"/>
          <w:divBdr>
            <w:top w:val="none" w:sz="0" w:space="0" w:color="auto"/>
            <w:left w:val="none" w:sz="0" w:space="0" w:color="auto"/>
            <w:bottom w:val="none" w:sz="0" w:space="0" w:color="auto"/>
            <w:right w:val="none" w:sz="0" w:space="0" w:color="auto"/>
          </w:divBdr>
        </w:div>
        <w:div w:id="740716507">
          <w:marLeft w:val="0"/>
          <w:marRight w:val="0"/>
          <w:marTop w:val="0"/>
          <w:marBottom w:val="0"/>
          <w:divBdr>
            <w:top w:val="none" w:sz="0" w:space="0" w:color="auto"/>
            <w:left w:val="none" w:sz="0" w:space="0" w:color="auto"/>
            <w:bottom w:val="none" w:sz="0" w:space="0" w:color="auto"/>
            <w:right w:val="none" w:sz="0" w:space="0" w:color="auto"/>
          </w:divBdr>
        </w:div>
        <w:div w:id="1077442780">
          <w:marLeft w:val="0"/>
          <w:marRight w:val="0"/>
          <w:marTop w:val="0"/>
          <w:marBottom w:val="0"/>
          <w:divBdr>
            <w:top w:val="none" w:sz="0" w:space="0" w:color="auto"/>
            <w:left w:val="none" w:sz="0" w:space="0" w:color="auto"/>
            <w:bottom w:val="none" w:sz="0" w:space="0" w:color="auto"/>
            <w:right w:val="none" w:sz="0" w:space="0" w:color="auto"/>
          </w:divBdr>
        </w:div>
        <w:div w:id="1137382066">
          <w:marLeft w:val="0"/>
          <w:marRight w:val="0"/>
          <w:marTop w:val="0"/>
          <w:marBottom w:val="0"/>
          <w:divBdr>
            <w:top w:val="none" w:sz="0" w:space="0" w:color="auto"/>
            <w:left w:val="none" w:sz="0" w:space="0" w:color="auto"/>
            <w:bottom w:val="none" w:sz="0" w:space="0" w:color="auto"/>
            <w:right w:val="none" w:sz="0" w:space="0" w:color="auto"/>
          </w:divBdr>
        </w:div>
        <w:div w:id="1296446309">
          <w:marLeft w:val="0"/>
          <w:marRight w:val="0"/>
          <w:marTop w:val="0"/>
          <w:marBottom w:val="0"/>
          <w:divBdr>
            <w:top w:val="none" w:sz="0" w:space="0" w:color="auto"/>
            <w:left w:val="none" w:sz="0" w:space="0" w:color="auto"/>
            <w:bottom w:val="none" w:sz="0" w:space="0" w:color="auto"/>
            <w:right w:val="none" w:sz="0" w:space="0" w:color="auto"/>
          </w:divBdr>
        </w:div>
        <w:div w:id="940071292">
          <w:marLeft w:val="0"/>
          <w:marRight w:val="0"/>
          <w:marTop w:val="0"/>
          <w:marBottom w:val="0"/>
          <w:divBdr>
            <w:top w:val="none" w:sz="0" w:space="0" w:color="auto"/>
            <w:left w:val="none" w:sz="0" w:space="0" w:color="auto"/>
            <w:bottom w:val="none" w:sz="0" w:space="0" w:color="auto"/>
            <w:right w:val="none" w:sz="0" w:space="0" w:color="auto"/>
          </w:divBdr>
        </w:div>
        <w:div w:id="444815035">
          <w:marLeft w:val="0"/>
          <w:marRight w:val="0"/>
          <w:marTop w:val="0"/>
          <w:marBottom w:val="0"/>
          <w:divBdr>
            <w:top w:val="none" w:sz="0" w:space="0" w:color="auto"/>
            <w:left w:val="none" w:sz="0" w:space="0" w:color="auto"/>
            <w:bottom w:val="none" w:sz="0" w:space="0" w:color="auto"/>
            <w:right w:val="none" w:sz="0" w:space="0" w:color="auto"/>
          </w:divBdr>
        </w:div>
        <w:div w:id="1933201163">
          <w:marLeft w:val="0"/>
          <w:marRight w:val="0"/>
          <w:marTop w:val="0"/>
          <w:marBottom w:val="0"/>
          <w:divBdr>
            <w:top w:val="none" w:sz="0" w:space="0" w:color="auto"/>
            <w:left w:val="none" w:sz="0" w:space="0" w:color="auto"/>
            <w:bottom w:val="none" w:sz="0" w:space="0" w:color="auto"/>
            <w:right w:val="none" w:sz="0" w:space="0" w:color="auto"/>
          </w:divBdr>
        </w:div>
        <w:div w:id="2065441696">
          <w:marLeft w:val="0"/>
          <w:marRight w:val="0"/>
          <w:marTop w:val="0"/>
          <w:marBottom w:val="0"/>
          <w:divBdr>
            <w:top w:val="none" w:sz="0" w:space="0" w:color="auto"/>
            <w:left w:val="none" w:sz="0" w:space="0" w:color="auto"/>
            <w:bottom w:val="none" w:sz="0" w:space="0" w:color="auto"/>
            <w:right w:val="none" w:sz="0" w:space="0" w:color="auto"/>
          </w:divBdr>
        </w:div>
        <w:div w:id="1432815271">
          <w:marLeft w:val="0"/>
          <w:marRight w:val="0"/>
          <w:marTop w:val="0"/>
          <w:marBottom w:val="0"/>
          <w:divBdr>
            <w:top w:val="none" w:sz="0" w:space="0" w:color="auto"/>
            <w:left w:val="none" w:sz="0" w:space="0" w:color="auto"/>
            <w:bottom w:val="none" w:sz="0" w:space="0" w:color="auto"/>
            <w:right w:val="none" w:sz="0" w:space="0" w:color="auto"/>
          </w:divBdr>
        </w:div>
        <w:div w:id="751126310">
          <w:marLeft w:val="0"/>
          <w:marRight w:val="0"/>
          <w:marTop w:val="0"/>
          <w:marBottom w:val="0"/>
          <w:divBdr>
            <w:top w:val="none" w:sz="0" w:space="0" w:color="auto"/>
            <w:left w:val="none" w:sz="0" w:space="0" w:color="auto"/>
            <w:bottom w:val="none" w:sz="0" w:space="0" w:color="auto"/>
            <w:right w:val="none" w:sz="0" w:space="0" w:color="auto"/>
          </w:divBdr>
        </w:div>
      </w:divsChild>
    </w:div>
    <w:div w:id="689379156">
      <w:bodyDiv w:val="1"/>
      <w:marLeft w:val="0"/>
      <w:marRight w:val="0"/>
      <w:marTop w:val="0"/>
      <w:marBottom w:val="0"/>
      <w:divBdr>
        <w:top w:val="none" w:sz="0" w:space="0" w:color="auto"/>
        <w:left w:val="none" w:sz="0" w:space="0" w:color="auto"/>
        <w:bottom w:val="none" w:sz="0" w:space="0" w:color="auto"/>
        <w:right w:val="none" w:sz="0" w:space="0" w:color="auto"/>
      </w:divBdr>
      <w:divsChild>
        <w:div w:id="460193978">
          <w:marLeft w:val="0"/>
          <w:marRight w:val="0"/>
          <w:marTop w:val="0"/>
          <w:marBottom w:val="0"/>
          <w:divBdr>
            <w:top w:val="none" w:sz="0" w:space="0" w:color="auto"/>
            <w:left w:val="none" w:sz="0" w:space="0" w:color="auto"/>
            <w:bottom w:val="none" w:sz="0" w:space="0" w:color="auto"/>
            <w:right w:val="none" w:sz="0" w:space="0" w:color="auto"/>
          </w:divBdr>
        </w:div>
        <w:div w:id="1993480870">
          <w:marLeft w:val="0"/>
          <w:marRight w:val="0"/>
          <w:marTop w:val="0"/>
          <w:marBottom w:val="0"/>
          <w:divBdr>
            <w:top w:val="none" w:sz="0" w:space="0" w:color="auto"/>
            <w:left w:val="none" w:sz="0" w:space="0" w:color="auto"/>
            <w:bottom w:val="none" w:sz="0" w:space="0" w:color="auto"/>
            <w:right w:val="none" w:sz="0" w:space="0" w:color="auto"/>
          </w:divBdr>
        </w:div>
        <w:div w:id="1608000130">
          <w:marLeft w:val="0"/>
          <w:marRight w:val="0"/>
          <w:marTop w:val="0"/>
          <w:marBottom w:val="0"/>
          <w:divBdr>
            <w:top w:val="none" w:sz="0" w:space="0" w:color="auto"/>
            <w:left w:val="none" w:sz="0" w:space="0" w:color="auto"/>
            <w:bottom w:val="none" w:sz="0" w:space="0" w:color="auto"/>
            <w:right w:val="none" w:sz="0" w:space="0" w:color="auto"/>
          </w:divBdr>
        </w:div>
        <w:div w:id="1961841152">
          <w:marLeft w:val="0"/>
          <w:marRight w:val="0"/>
          <w:marTop w:val="0"/>
          <w:marBottom w:val="0"/>
          <w:divBdr>
            <w:top w:val="none" w:sz="0" w:space="0" w:color="auto"/>
            <w:left w:val="none" w:sz="0" w:space="0" w:color="auto"/>
            <w:bottom w:val="none" w:sz="0" w:space="0" w:color="auto"/>
            <w:right w:val="none" w:sz="0" w:space="0" w:color="auto"/>
          </w:divBdr>
        </w:div>
        <w:div w:id="1696228550">
          <w:marLeft w:val="0"/>
          <w:marRight w:val="0"/>
          <w:marTop w:val="0"/>
          <w:marBottom w:val="0"/>
          <w:divBdr>
            <w:top w:val="none" w:sz="0" w:space="0" w:color="auto"/>
            <w:left w:val="none" w:sz="0" w:space="0" w:color="auto"/>
            <w:bottom w:val="none" w:sz="0" w:space="0" w:color="auto"/>
            <w:right w:val="none" w:sz="0" w:space="0" w:color="auto"/>
          </w:divBdr>
        </w:div>
      </w:divsChild>
    </w:div>
    <w:div w:id="706951193">
      <w:bodyDiv w:val="1"/>
      <w:marLeft w:val="0"/>
      <w:marRight w:val="0"/>
      <w:marTop w:val="0"/>
      <w:marBottom w:val="0"/>
      <w:divBdr>
        <w:top w:val="none" w:sz="0" w:space="0" w:color="auto"/>
        <w:left w:val="none" w:sz="0" w:space="0" w:color="auto"/>
        <w:bottom w:val="none" w:sz="0" w:space="0" w:color="auto"/>
        <w:right w:val="none" w:sz="0" w:space="0" w:color="auto"/>
      </w:divBdr>
    </w:div>
    <w:div w:id="748231296">
      <w:bodyDiv w:val="1"/>
      <w:marLeft w:val="0"/>
      <w:marRight w:val="0"/>
      <w:marTop w:val="0"/>
      <w:marBottom w:val="0"/>
      <w:divBdr>
        <w:top w:val="none" w:sz="0" w:space="0" w:color="auto"/>
        <w:left w:val="none" w:sz="0" w:space="0" w:color="auto"/>
        <w:bottom w:val="none" w:sz="0" w:space="0" w:color="auto"/>
        <w:right w:val="none" w:sz="0" w:space="0" w:color="auto"/>
      </w:divBdr>
    </w:div>
    <w:div w:id="748893879">
      <w:bodyDiv w:val="1"/>
      <w:marLeft w:val="0"/>
      <w:marRight w:val="0"/>
      <w:marTop w:val="0"/>
      <w:marBottom w:val="0"/>
      <w:divBdr>
        <w:top w:val="none" w:sz="0" w:space="0" w:color="auto"/>
        <w:left w:val="none" w:sz="0" w:space="0" w:color="auto"/>
        <w:bottom w:val="none" w:sz="0" w:space="0" w:color="auto"/>
        <w:right w:val="none" w:sz="0" w:space="0" w:color="auto"/>
      </w:divBdr>
    </w:div>
    <w:div w:id="753286739">
      <w:bodyDiv w:val="1"/>
      <w:marLeft w:val="0"/>
      <w:marRight w:val="0"/>
      <w:marTop w:val="0"/>
      <w:marBottom w:val="0"/>
      <w:divBdr>
        <w:top w:val="none" w:sz="0" w:space="0" w:color="auto"/>
        <w:left w:val="none" w:sz="0" w:space="0" w:color="auto"/>
        <w:bottom w:val="none" w:sz="0" w:space="0" w:color="auto"/>
        <w:right w:val="none" w:sz="0" w:space="0" w:color="auto"/>
      </w:divBdr>
    </w:div>
    <w:div w:id="787430164">
      <w:bodyDiv w:val="1"/>
      <w:marLeft w:val="0"/>
      <w:marRight w:val="0"/>
      <w:marTop w:val="0"/>
      <w:marBottom w:val="0"/>
      <w:divBdr>
        <w:top w:val="none" w:sz="0" w:space="0" w:color="auto"/>
        <w:left w:val="none" w:sz="0" w:space="0" w:color="auto"/>
        <w:bottom w:val="none" w:sz="0" w:space="0" w:color="auto"/>
        <w:right w:val="none" w:sz="0" w:space="0" w:color="auto"/>
      </w:divBdr>
      <w:divsChild>
        <w:div w:id="1811169361">
          <w:marLeft w:val="0"/>
          <w:marRight w:val="0"/>
          <w:marTop w:val="0"/>
          <w:marBottom w:val="0"/>
          <w:divBdr>
            <w:top w:val="none" w:sz="0" w:space="0" w:color="auto"/>
            <w:left w:val="none" w:sz="0" w:space="0" w:color="auto"/>
            <w:bottom w:val="none" w:sz="0" w:space="0" w:color="auto"/>
            <w:right w:val="none" w:sz="0" w:space="0" w:color="auto"/>
          </w:divBdr>
        </w:div>
        <w:div w:id="1856965930">
          <w:marLeft w:val="0"/>
          <w:marRight w:val="0"/>
          <w:marTop w:val="0"/>
          <w:marBottom w:val="0"/>
          <w:divBdr>
            <w:top w:val="none" w:sz="0" w:space="0" w:color="auto"/>
            <w:left w:val="none" w:sz="0" w:space="0" w:color="auto"/>
            <w:bottom w:val="none" w:sz="0" w:space="0" w:color="auto"/>
            <w:right w:val="none" w:sz="0" w:space="0" w:color="auto"/>
          </w:divBdr>
        </w:div>
        <w:div w:id="408312487">
          <w:marLeft w:val="0"/>
          <w:marRight w:val="0"/>
          <w:marTop w:val="0"/>
          <w:marBottom w:val="0"/>
          <w:divBdr>
            <w:top w:val="none" w:sz="0" w:space="0" w:color="auto"/>
            <w:left w:val="none" w:sz="0" w:space="0" w:color="auto"/>
            <w:bottom w:val="none" w:sz="0" w:space="0" w:color="auto"/>
            <w:right w:val="none" w:sz="0" w:space="0" w:color="auto"/>
          </w:divBdr>
        </w:div>
        <w:div w:id="1648169862">
          <w:marLeft w:val="0"/>
          <w:marRight w:val="0"/>
          <w:marTop w:val="0"/>
          <w:marBottom w:val="0"/>
          <w:divBdr>
            <w:top w:val="none" w:sz="0" w:space="0" w:color="auto"/>
            <w:left w:val="none" w:sz="0" w:space="0" w:color="auto"/>
            <w:bottom w:val="none" w:sz="0" w:space="0" w:color="auto"/>
            <w:right w:val="none" w:sz="0" w:space="0" w:color="auto"/>
          </w:divBdr>
        </w:div>
        <w:div w:id="197815241">
          <w:marLeft w:val="0"/>
          <w:marRight w:val="0"/>
          <w:marTop w:val="0"/>
          <w:marBottom w:val="0"/>
          <w:divBdr>
            <w:top w:val="none" w:sz="0" w:space="0" w:color="auto"/>
            <w:left w:val="none" w:sz="0" w:space="0" w:color="auto"/>
            <w:bottom w:val="none" w:sz="0" w:space="0" w:color="auto"/>
            <w:right w:val="none" w:sz="0" w:space="0" w:color="auto"/>
          </w:divBdr>
        </w:div>
      </w:divsChild>
    </w:div>
    <w:div w:id="796605398">
      <w:bodyDiv w:val="1"/>
      <w:marLeft w:val="0"/>
      <w:marRight w:val="0"/>
      <w:marTop w:val="0"/>
      <w:marBottom w:val="0"/>
      <w:divBdr>
        <w:top w:val="none" w:sz="0" w:space="0" w:color="auto"/>
        <w:left w:val="none" w:sz="0" w:space="0" w:color="auto"/>
        <w:bottom w:val="none" w:sz="0" w:space="0" w:color="auto"/>
        <w:right w:val="none" w:sz="0" w:space="0" w:color="auto"/>
      </w:divBdr>
    </w:div>
    <w:div w:id="801509020">
      <w:bodyDiv w:val="1"/>
      <w:marLeft w:val="0"/>
      <w:marRight w:val="0"/>
      <w:marTop w:val="0"/>
      <w:marBottom w:val="0"/>
      <w:divBdr>
        <w:top w:val="none" w:sz="0" w:space="0" w:color="auto"/>
        <w:left w:val="none" w:sz="0" w:space="0" w:color="auto"/>
        <w:bottom w:val="none" w:sz="0" w:space="0" w:color="auto"/>
        <w:right w:val="none" w:sz="0" w:space="0" w:color="auto"/>
      </w:divBdr>
    </w:div>
    <w:div w:id="805708899">
      <w:bodyDiv w:val="1"/>
      <w:marLeft w:val="0"/>
      <w:marRight w:val="0"/>
      <w:marTop w:val="0"/>
      <w:marBottom w:val="0"/>
      <w:divBdr>
        <w:top w:val="none" w:sz="0" w:space="0" w:color="auto"/>
        <w:left w:val="none" w:sz="0" w:space="0" w:color="auto"/>
        <w:bottom w:val="none" w:sz="0" w:space="0" w:color="auto"/>
        <w:right w:val="none" w:sz="0" w:space="0" w:color="auto"/>
      </w:divBdr>
      <w:divsChild>
        <w:div w:id="1893954174">
          <w:marLeft w:val="0"/>
          <w:marRight w:val="0"/>
          <w:marTop w:val="0"/>
          <w:marBottom w:val="0"/>
          <w:divBdr>
            <w:top w:val="none" w:sz="0" w:space="0" w:color="auto"/>
            <w:left w:val="none" w:sz="0" w:space="0" w:color="auto"/>
            <w:bottom w:val="none" w:sz="0" w:space="0" w:color="auto"/>
            <w:right w:val="none" w:sz="0" w:space="0" w:color="auto"/>
          </w:divBdr>
        </w:div>
        <w:div w:id="1941138824">
          <w:marLeft w:val="0"/>
          <w:marRight w:val="0"/>
          <w:marTop w:val="0"/>
          <w:marBottom w:val="0"/>
          <w:divBdr>
            <w:top w:val="none" w:sz="0" w:space="0" w:color="auto"/>
            <w:left w:val="none" w:sz="0" w:space="0" w:color="auto"/>
            <w:bottom w:val="none" w:sz="0" w:space="0" w:color="auto"/>
            <w:right w:val="none" w:sz="0" w:space="0" w:color="auto"/>
          </w:divBdr>
        </w:div>
      </w:divsChild>
    </w:div>
    <w:div w:id="806581920">
      <w:bodyDiv w:val="1"/>
      <w:marLeft w:val="0"/>
      <w:marRight w:val="0"/>
      <w:marTop w:val="0"/>
      <w:marBottom w:val="0"/>
      <w:divBdr>
        <w:top w:val="none" w:sz="0" w:space="0" w:color="auto"/>
        <w:left w:val="none" w:sz="0" w:space="0" w:color="auto"/>
        <w:bottom w:val="none" w:sz="0" w:space="0" w:color="auto"/>
        <w:right w:val="none" w:sz="0" w:space="0" w:color="auto"/>
      </w:divBdr>
    </w:div>
    <w:div w:id="817570876">
      <w:bodyDiv w:val="1"/>
      <w:marLeft w:val="0"/>
      <w:marRight w:val="0"/>
      <w:marTop w:val="0"/>
      <w:marBottom w:val="0"/>
      <w:divBdr>
        <w:top w:val="none" w:sz="0" w:space="0" w:color="auto"/>
        <w:left w:val="none" w:sz="0" w:space="0" w:color="auto"/>
        <w:bottom w:val="none" w:sz="0" w:space="0" w:color="auto"/>
        <w:right w:val="none" w:sz="0" w:space="0" w:color="auto"/>
      </w:divBdr>
    </w:div>
    <w:div w:id="836728500">
      <w:bodyDiv w:val="1"/>
      <w:marLeft w:val="0"/>
      <w:marRight w:val="0"/>
      <w:marTop w:val="0"/>
      <w:marBottom w:val="0"/>
      <w:divBdr>
        <w:top w:val="none" w:sz="0" w:space="0" w:color="auto"/>
        <w:left w:val="none" w:sz="0" w:space="0" w:color="auto"/>
        <w:bottom w:val="none" w:sz="0" w:space="0" w:color="auto"/>
        <w:right w:val="none" w:sz="0" w:space="0" w:color="auto"/>
      </w:divBdr>
    </w:div>
    <w:div w:id="842087360">
      <w:bodyDiv w:val="1"/>
      <w:marLeft w:val="0"/>
      <w:marRight w:val="0"/>
      <w:marTop w:val="0"/>
      <w:marBottom w:val="0"/>
      <w:divBdr>
        <w:top w:val="none" w:sz="0" w:space="0" w:color="auto"/>
        <w:left w:val="none" w:sz="0" w:space="0" w:color="auto"/>
        <w:bottom w:val="none" w:sz="0" w:space="0" w:color="auto"/>
        <w:right w:val="none" w:sz="0" w:space="0" w:color="auto"/>
      </w:divBdr>
    </w:div>
    <w:div w:id="842277563">
      <w:bodyDiv w:val="1"/>
      <w:marLeft w:val="0"/>
      <w:marRight w:val="0"/>
      <w:marTop w:val="0"/>
      <w:marBottom w:val="0"/>
      <w:divBdr>
        <w:top w:val="none" w:sz="0" w:space="0" w:color="auto"/>
        <w:left w:val="none" w:sz="0" w:space="0" w:color="auto"/>
        <w:bottom w:val="none" w:sz="0" w:space="0" w:color="auto"/>
        <w:right w:val="none" w:sz="0" w:space="0" w:color="auto"/>
      </w:divBdr>
    </w:div>
    <w:div w:id="869343242">
      <w:bodyDiv w:val="1"/>
      <w:marLeft w:val="0"/>
      <w:marRight w:val="0"/>
      <w:marTop w:val="0"/>
      <w:marBottom w:val="0"/>
      <w:divBdr>
        <w:top w:val="none" w:sz="0" w:space="0" w:color="auto"/>
        <w:left w:val="none" w:sz="0" w:space="0" w:color="auto"/>
        <w:bottom w:val="none" w:sz="0" w:space="0" w:color="auto"/>
        <w:right w:val="none" w:sz="0" w:space="0" w:color="auto"/>
      </w:divBdr>
      <w:divsChild>
        <w:div w:id="1369649096">
          <w:marLeft w:val="0"/>
          <w:marRight w:val="0"/>
          <w:marTop w:val="0"/>
          <w:marBottom w:val="0"/>
          <w:divBdr>
            <w:top w:val="none" w:sz="0" w:space="0" w:color="auto"/>
            <w:left w:val="none" w:sz="0" w:space="0" w:color="auto"/>
            <w:bottom w:val="none" w:sz="0" w:space="0" w:color="auto"/>
            <w:right w:val="none" w:sz="0" w:space="0" w:color="auto"/>
          </w:divBdr>
        </w:div>
        <w:div w:id="475730470">
          <w:marLeft w:val="0"/>
          <w:marRight w:val="0"/>
          <w:marTop w:val="0"/>
          <w:marBottom w:val="0"/>
          <w:divBdr>
            <w:top w:val="none" w:sz="0" w:space="0" w:color="auto"/>
            <w:left w:val="none" w:sz="0" w:space="0" w:color="auto"/>
            <w:bottom w:val="none" w:sz="0" w:space="0" w:color="auto"/>
            <w:right w:val="none" w:sz="0" w:space="0" w:color="auto"/>
          </w:divBdr>
        </w:div>
        <w:div w:id="941761800">
          <w:marLeft w:val="0"/>
          <w:marRight w:val="0"/>
          <w:marTop w:val="0"/>
          <w:marBottom w:val="0"/>
          <w:divBdr>
            <w:top w:val="none" w:sz="0" w:space="0" w:color="auto"/>
            <w:left w:val="none" w:sz="0" w:space="0" w:color="auto"/>
            <w:bottom w:val="none" w:sz="0" w:space="0" w:color="auto"/>
            <w:right w:val="none" w:sz="0" w:space="0" w:color="auto"/>
          </w:divBdr>
        </w:div>
        <w:div w:id="839348436">
          <w:marLeft w:val="0"/>
          <w:marRight w:val="0"/>
          <w:marTop w:val="0"/>
          <w:marBottom w:val="0"/>
          <w:divBdr>
            <w:top w:val="none" w:sz="0" w:space="0" w:color="auto"/>
            <w:left w:val="none" w:sz="0" w:space="0" w:color="auto"/>
            <w:bottom w:val="none" w:sz="0" w:space="0" w:color="auto"/>
            <w:right w:val="none" w:sz="0" w:space="0" w:color="auto"/>
          </w:divBdr>
        </w:div>
        <w:div w:id="431782118">
          <w:marLeft w:val="0"/>
          <w:marRight w:val="0"/>
          <w:marTop w:val="0"/>
          <w:marBottom w:val="0"/>
          <w:divBdr>
            <w:top w:val="none" w:sz="0" w:space="0" w:color="auto"/>
            <w:left w:val="none" w:sz="0" w:space="0" w:color="auto"/>
            <w:bottom w:val="none" w:sz="0" w:space="0" w:color="auto"/>
            <w:right w:val="none" w:sz="0" w:space="0" w:color="auto"/>
          </w:divBdr>
        </w:div>
      </w:divsChild>
    </w:div>
    <w:div w:id="874777554">
      <w:bodyDiv w:val="1"/>
      <w:marLeft w:val="0"/>
      <w:marRight w:val="0"/>
      <w:marTop w:val="0"/>
      <w:marBottom w:val="0"/>
      <w:divBdr>
        <w:top w:val="none" w:sz="0" w:space="0" w:color="auto"/>
        <w:left w:val="none" w:sz="0" w:space="0" w:color="auto"/>
        <w:bottom w:val="none" w:sz="0" w:space="0" w:color="auto"/>
        <w:right w:val="none" w:sz="0" w:space="0" w:color="auto"/>
      </w:divBdr>
    </w:div>
    <w:div w:id="888805521">
      <w:bodyDiv w:val="1"/>
      <w:marLeft w:val="0"/>
      <w:marRight w:val="0"/>
      <w:marTop w:val="0"/>
      <w:marBottom w:val="0"/>
      <w:divBdr>
        <w:top w:val="none" w:sz="0" w:space="0" w:color="auto"/>
        <w:left w:val="none" w:sz="0" w:space="0" w:color="auto"/>
        <w:bottom w:val="none" w:sz="0" w:space="0" w:color="auto"/>
        <w:right w:val="none" w:sz="0" w:space="0" w:color="auto"/>
      </w:divBdr>
    </w:div>
    <w:div w:id="903293739">
      <w:bodyDiv w:val="1"/>
      <w:marLeft w:val="0"/>
      <w:marRight w:val="0"/>
      <w:marTop w:val="0"/>
      <w:marBottom w:val="0"/>
      <w:divBdr>
        <w:top w:val="none" w:sz="0" w:space="0" w:color="auto"/>
        <w:left w:val="none" w:sz="0" w:space="0" w:color="auto"/>
        <w:bottom w:val="none" w:sz="0" w:space="0" w:color="auto"/>
        <w:right w:val="none" w:sz="0" w:space="0" w:color="auto"/>
      </w:divBdr>
    </w:div>
    <w:div w:id="911813989">
      <w:bodyDiv w:val="1"/>
      <w:marLeft w:val="0"/>
      <w:marRight w:val="0"/>
      <w:marTop w:val="0"/>
      <w:marBottom w:val="0"/>
      <w:divBdr>
        <w:top w:val="none" w:sz="0" w:space="0" w:color="auto"/>
        <w:left w:val="none" w:sz="0" w:space="0" w:color="auto"/>
        <w:bottom w:val="none" w:sz="0" w:space="0" w:color="auto"/>
        <w:right w:val="none" w:sz="0" w:space="0" w:color="auto"/>
      </w:divBdr>
    </w:div>
    <w:div w:id="925766601">
      <w:bodyDiv w:val="1"/>
      <w:marLeft w:val="0"/>
      <w:marRight w:val="0"/>
      <w:marTop w:val="0"/>
      <w:marBottom w:val="0"/>
      <w:divBdr>
        <w:top w:val="none" w:sz="0" w:space="0" w:color="auto"/>
        <w:left w:val="none" w:sz="0" w:space="0" w:color="auto"/>
        <w:bottom w:val="none" w:sz="0" w:space="0" w:color="auto"/>
        <w:right w:val="none" w:sz="0" w:space="0" w:color="auto"/>
      </w:divBdr>
    </w:div>
    <w:div w:id="930699529">
      <w:bodyDiv w:val="1"/>
      <w:marLeft w:val="0"/>
      <w:marRight w:val="0"/>
      <w:marTop w:val="0"/>
      <w:marBottom w:val="0"/>
      <w:divBdr>
        <w:top w:val="none" w:sz="0" w:space="0" w:color="auto"/>
        <w:left w:val="none" w:sz="0" w:space="0" w:color="auto"/>
        <w:bottom w:val="none" w:sz="0" w:space="0" w:color="auto"/>
        <w:right w:val="none" w:sz="0" w:space="0" w:color="auto"/>
      </w:divBdr>
    </w:div>
    <w:div w:id="956521607">
      <w:bodyDiv w:val="1"/>
      <w:marLeft w:val="0"/>
      <w:marRight w:val="0"/>
      <w:marTop w:val="0"/>
      <w:marBottom w:val="0"/>
      <w:divBdr>
        <w:top w:val="none" w:sz="0" w:space="0" w:color="auto"/>
        <w:left w:val="none" w:sz="0" w:space="0" w:color="auto"/>
        <w:bottom w:val="none" w:sz="0" w:space="0" w:color="auto"/>
        <w:right w:val="none" w:sz="0" w:space="0" w:color="auto"/>
      </w:divBdr>
      <w:divsChild>
        <w:div w:id="980186434">
          <w:marLeft w:val="0"/>
          <w:marRight w:val="0"/>
          <w:marTop w:val="0"/>
          <w:marBottom w:val="0"/>
          <w:divBdr>
            <w:top w:val="none" w:sz="0" w:space="0" w:color="auto"/>
            <w:left w:val="none" w:sz="0" w:space="0" w:color="auto"/>
            <w:bottom w:val="none" w:sz="0" w:space="0" w:color="auto"/>
            <w:right w:val="none" w:sz="0" w:space="0" w:color="auto"/>
          </w:divBdr>
        </w:div>
        <w:div w:id="211893811">
          <w:marLeft w:val="0"/>
          <w:marRight w:val="0"/>
          <w:marTop w:val="0"/>
          <w:marBottom w:val="0"/>
          <w:divBdr>
            <w:top w:val="none" w:sz="0" w:space="0" w:color="auto"/>
            <w:left w:val="none" w:sz="0" w:space="0" w:color="auto"/>
            <w:bottom w:val="none" w:sz="0" w:space="0" w:color="auto"/>
            <w:right w:val="none" w:sz="0" w:space="0" w:color="auto"/>
          </w:divBdr>
        </w:div>
        <w:div w:id="966278329">
          <w:marLeft w:val="0"/>
          <w:marRight w:val="0"/>
          <w:marTop w:val="0"/>
          <w:marBottom w:val="0"/>
          <w:divBdr>
            <w:top w:val="none" w:sz="0" w:space="0" w:color="auto"/>
            <w:left w:val="none" w:sz="0" w:space="0" w:color="auto"/>
            <w:bottom w:val="none" w:sz="0" w:space="0" w:color="auto"/>
            <w:right w:val="none" w:sz="0" w:space="0" w:color="auto"/>
          </w:divBdr>
        </w:div>
        <w:div w:id="480969038">
          <w:marLeft w:val="0"/>
          <w:marRight w:val="0"/>
          <w:marTop w:val="0"/>
          <w:marBottom w:val="0"/>
          <w:divBdr>
            <w:top w:val="none" w:sz="0" w:space="0" w:color="auto"/>
            <w:left w:val="none" w:sz="0" w:space="0" w:color="auto"/>
            <w:bottom w:val="none" w:sz="0" w:space="0" w:color="auto"/>
            <w:right w:val="none" w:sz="0" w:space="0" w:color="auto"/>
          </w:divBdr>
        </w:div>
        <w:div w:id="678703940">
          <w:marLeft w:val="0"/>
          <w:marRight w:val="0"/>
          <w:marTop w:val="0"/>
          <w:marBottom w:val="0"/>
          <w:divBdr>
            <w:top w:val="none" w:sz="0" w:space="0" w:color="auto"/>
            <w:left w:val="none" w:sz="0" w:space="0" w:color="auto"/>
            <w:bottom w:val="none" w:sz="0" w:space="0" w:color="auto"/>
            <w:right w:val="none" w:sz="0" w:space="0" w:color="auto"/>
          </w:divBdr>
        </w:div>
        <w:div w:id="1596207752">
          <w:marLeft w:val="0"/>
          <w:marRight w:val="0"/>
          <w:marTop w:val="0"/>
          <w:marBottom w:val="0"/>
          <w:divBdr>
            <w:top w:val="none" w:sz="0" w:space="0" w:color="auto"/>
            <w:left w:val="none" w:sz="0" w:space="0" w:color="auto"/>
            <w:bottom w:val="none" w:sz="0" w:space="0" w:color="auto"/>
            <w:right w:val="none" w:sz="0" w:space="0" w:color="auto"/>
          </w:divBdr>
        </w:div>
        <w:div w:id="346949195">
          <w:marLeft w:val="0"/>
          <w:marRight w:val="0"/>
          <w:marTop w:val="0"/>
          <w:marBottom w:val="0"/>
          <w:divBdr>
            <w:top w:val="none" w:sz="0" w:space="0" w:color="auto"/>
            <w:left w:val="none" w:sz="0" w:space="0" w:color="auto"/>
            <w:bottom w:val="none" w:sz="0" w:space="0" w:color="auto"/>
            <w:right w:val="none" w:sz="0" w:space="0" w:color="auto"/>
          </w:divBdr>
        </w:div>
        <w:div w:id="1990089907">
          <w:marLeft w:val="0"/>
          <w:marRight w:val="0"/>
          <w:marTop w:val="0"/>
          <w:marBottom w:val="0"/>
          <w:divBdr>
            <w:top w:val="none" w:sz="0" w:space="0" w:color="auto"/>
            <w:left w:val="none" w:sz="0" w:space="0" w:color="auto"/>
            <w:bottom w:val="none" w:sz="0" w:space="0" w:color="auto"/>
            <w:right w:val="none" w:sz="0" w:space="0" w:color="auto"/>
          </w:divBdr>
        </w:div>
        <w:div w:id="1474131085">
          <w:marLeft w:val="0"/>
          <w:marRight w:val="0"/>
          <w:marTop w:val="0"/>
          <w:marBottom w:val="0"/>
          <w:divBdr>
            <w:top w:val="none" w:sz="0" w:space="0" w:color="auto"/>
            <w:left w:val="none" w:sz="0" w:space="0" w:color="auto"/>
            <w:bottom w:val="none" w:sz="0" w:space="0" w:color="auto"/>
            <w:right w:val="none" w:sz="0" w:space="0" w:color="auto"/>
          </w:divBdr>
        </w:div>
        <w:div w:id="1649165151">
          <w:marLeft w:val="0"/>
          <w:marRight w:val="0"/>
          <w:marTop w:val="0"/>
          <w:marBottom w:val="0"/>
          <w:divBdr>
            <w:top w:val="none" w:sz="0" w:space="0" w:color="auto"/>
            <w:left w:val="none" w:sz="0" w:space="0" w:color="auto"/>
            <w:bottom w:val="none" w:sz="0" w:space="0" w:color="auto"/>
            <w:right w:val="none" w:sz="0" w:space="0" w:color="auto"/>
          </w:divBdr>
        </w:div>
        <w:div w:id="540480733">
          <w:marLeft w:val="0"/>
          <w:marRight w:val="0"/>
          <w:marTop w:val="0"/>
          <w:marBottom w:val="0"/>
          <w:divBdr>
            <w:top w:val="none" w:sz="0" w:space="0" w:color="auto"/>
            <w:left w:val="none" w:sz="0" w:space="0" w:color="auto"/>
            <w:bottom w:val="none" w:sz="0" w:space="0" w:color="auto"/>
            <w:right w:val="none" w:sz="0" w:space="0" w:color="auto"/>
          </w:divBdr>
        </w:div>
        <w:div w:id="2145534905">
          <w:marLeft w:val="0"/>
          <w:marRight w:val="0"/>
          <w:marTop w:val="0"/>
          <w:marBottom w:val="0"/>
          <w:divBdr>
            <w:top w:val="none" w:sz="0" w:space="0" w:color="auto"/>
            <w:left w:val="none" w:sz="0" w:space="0" w:color="auto"/>
            <w:bottom w:val="none" w:sz="0" w:space="0" w:color="auto"/>
            <w:right w:val="none" w:sz="0" w:space="0" w:color="auto"/>
          </w:divBdr>
        </w:div>
      </w:divsChild>
    </w:div>
    <w:div w:id="958953450">
      <w:bodyDiv w:val="1"/>
      <w:marLeft w:val="0"/>
      <w:marRight w:val="0"/>
      <w:marTop w:val="0"/>
      <w:marBottom w:val="0"/>
      <w:divBdr>
        <w:top w:val="none" w:sz="0" w:space="0" w:color="auto"/>
        <w:left w:val="none" w:sz="0" w:space="0" w:color="auto"/>
        <w:bottom w:val="none" w:sz="0" w:space="0" w:color="auto"/>
        <w:right w:val="none" w:sz="0" w:space="0" w:color="auto"/>
      </w:divBdr>
      <w:divsChild>
        <w:div w:id="333802956">
          <w:marLeft w:val="0"/>
          <w:marRight w:val="0"/>
          <w:marTop w:val="0"/>
          <w:marBottom w:val="0"/>
          <w:divBdr>
            <w:top w:val="none" w:sz="0" w:space="0" w:color="auto"/>
            <w:left w:val="none" w:sz="0" w:space="0" w:color="auto"/>
            <w:bottom w:val="none" w:sz="0" w:space="0" w:color="auto"/>
            <w:right w:val="none" w:sz="0" w:space="0" w:color="auto"/>
          </w:divBdr>
        </w:div>
        <w:div w:id="1188253365">
          <w:marLeft w:val="0"/>
          <w:marRight w:val="0"/>
          <w:marTop w:val="0"/>
          <w:marBottom w:val="0"/>
          <w:divBdr>
            <w:top w:val="none" w:sz="0" w:space="0" w:color="auto"/>
            <w:left w:val="none" w:sz="0" w:space="0" w:color="auto"/>
            <w:bottom w:val="none" w:sz="0" w:space="0" w:color="auto"/>
            <w:right w:val="none" w:sz="0" w:space="0" w:color="auto"/>
          </w:divBdr>
        </w:div>
        <w:div w:id="162162697">
          <w:marLeft w:val="0"/>
          <w:marRight w:val="0"/>
          <w:marTop w:val="0"/>
          <w:marBottom w:val="0"/>
          <w:divBdr>
            <w:top w:val="none" w:sz="0" w:space="0" w:color="auto"/>
            <w:left w:val="none" w:sz="0" w:space="0" w:color="auto"/>
            <w:bottom w:val="none" w:sz="0" w:space="0" w:color="auto"/>
            <w:right w:val="none" w:sz="0" w:space="0" w:color="auto"/>
          </w:divBdr>
        </w:div>
        <w:div w:id="1151755664">
          <w:marLeft w:val="0"/>
          <w:marRight w:val="0"/>
          <w:marTop w:val="0"/>
          <w:marBottom w:val="0"/>
          <w:divBdr>
            <w:top w:val="none" w:sz="0" w:space="0" w:color="auto"/>
            <w:left w:val="none" w:sz="0" w:space="0" w:color="auto"/>
            <w:bottom w:val="none" w:sz="0" w:space="0" w:color="auto"/>
            <w:right w:val="none" w:sz="0" w:space="0" w:color="auto"/>
          </w:divBdr>
        </w:div>
        <w:div w:id="1762724095">
          <w:marLeft w:val="0"/>
          <w:marRight w:val="0"/>
          <w:marTop w:val="0"/>
          <w:marBottom w:val="0"/>
          <w:divBdr>
            <w:top w:val="none" w:sz="0" w:space="0" w:color="auto"/>
            <w:left w:val="none" w:sz="0" w:space="0" w:color="auto"/>
            <w:bottom w:val="none" w:sz="0" w:space="0" w:color="auto"/>
            <w:right w:val="none" w:sz="0" w:space="0" w:color="auto"/>
          </w:divBdr>
        </w:div>
      </w:divsChild>
    </w:div>
    <w:div w:id="975062444">
      <w:bodyDiv w:val="1"/>
      <w:marLeft w:val="0"/>
      <w:marRight w:val="0"/>
      <w:marTop w:val="0"/>
      <w:marBottom w:val="0"/>
      <w:divBdr>
        <w:top w:val="none" w:sz="0" w:space="0" w:color="auto"/>
        <w:left w:val="none" w:sz="0" w:space="0" w:color="auto"/>
        <w:bottom w:val="none" w:sz="0" w:space="0" w:color="auto"/>
        <w:right w:val="none" w:sz="0" w:space="0" w:color="auto"/>
      </w:divBdr>
      <w:divsChild>
        <w:div w:id="1544243398">
          <w:marLeft w:val="0"/>
          <w:marRight w:val="0"/>
          <w:marTop w:val="0"/>
          <w:marBottom w:val="0"/>
          <w:divBdr>
            <w:top w:val="none" w:sz="0" w:space="0" w:color="auto"/>
            <w:left w:val="none" w:sz="0" w:space="0" w:color="auto"/>
            <w:bottom w:val="none" w:sz="0" w:space="0" w:color="auto"/>
            <w:right w:val="none" w:sz="0" w:space="0" w:color="auto"/>
          </w:divBdr>
        </w:div>
        <w:div w:id="2032030640">
          <w:marLeft w:val="0"/>
          <w:marRight w:val="0"/>
          <w:marTop w:val="0"/>
          <w:marBottom w:val="0"/>
          <w:divBdr>
            <w:top w:val="none" w:sz="0" w:space="0" w:color="auto"/>
            <w:left w:val="none" w:sz="0" w:space="0" w:color="auto"/>
            <w:bottom w:val="none" w:sz="0" w:space="0" w:color="auto"/>
            <w:right w:val="none" w:sz="0" w:space="0" w:color="auto"/>
          </w:divBdr>
        </w:div>
        <w:div w:id="529955420">
          <w:marLeft w:val="0"/>
          <w:marRight w:val="0"/>
          <w:marTop w:val="0"/>
          <w:marBottom w:val="0"/>
          <w:divBdr>
            <w:top w:val="none" w:sz="0" w:space="0" w:color="auto"/>
            <w:left w:val="none" w:sz="0" w:space="0" w:color="auto"/>
            <w:bottom w:val="none" w:sz="0" w:space="0" w:color="auto"/>
            <w:right w:val="none" w:sz="0" w:space="0" w:color="auto"/>
          </w:divBdr>
        </w:div>
        <w:div w:id="1286159421">
          <w:marLeft w:val="0"/>
          <w:marRight w:val="0"/>
          <w:marTop w:val="0"/>
          <w:marBottom w:val="0"/>
          <w:divBdr>
            <w:top w:val="none" w:sz="0" w:space="0" w:color="auto"/>
            <w:left w:val="none" w:sz="0" w:space="0" w:color="auto"/>
            <w:bottom w:val="none" w:sz="0" w:space="0" w:color="auto"/>
            <w:right w:val="none" w:sz="0" w:space="0" w:color="auto"/>
          </w:divBdr>
        </w:div>
        <w:div w:id="490219190">
          <w:marLeft w:val="0"/>
          <w:marRight w:val="0"/>
          <w:marTop w:val="0"/>
          <w:marBottom w:val="0"/>
          <w:divBdr>
            <w:top w:val="none" w:sz="0" w:space="0" w:color="auto"/>
            <w:left w:val="none" w:sz="0" w:space="0" w:color="auto"/>
            <w:bottom w:val="none" w:sz="0" w:space="0" w:color="auto"/>
            <w:right w:val="none" w:sz="0" w:space="0" w:color="auto"/>
          </w:divBdr>
        </w:div>
      </w:divsChild>
    </w:div>
    <w:div w:id="990644615">
      <w:bodyDiv w:val="1"/>
      <w:marLeft w:val="0"/>
      <w:marRight w:val="0"/>
      <w:marTop w:val="0"/>
      <w:marBottom w:val="0"/>
      <w:divBdr>
        <w:top w:val="none" w:sz="0" w:space="0" w:color="auto"/>
        <w:left w:val="none" w:sz="0" w:space="0" w:color="auto"/>
        <w:bottom w:val="none" w:sz="0" w:space="0" w:color="auto"/>
        <w:right w:val="none" w:sz="0" w:space="0" w:color="auto"/>
      </w:divBdr>
      <w:divsChild>
        <w:div w:id="1495953976">
          <w:marLeft w:val="0"/>
          <w:marRight w:val="0"/>
          <w:marTop w:val="0"/>
          <w:marBottom w:val="0"/>
          <w:divBdr>
            <w:top w:val="none" w:sz="0" w:space="0" w:color="auto"/>
            <w:left w:val="none" w:sz="0" w:space="0" w:color="auto"/>
            <w:bottom w:val="none" w:sz="0" w:space="0" w:color="auto"/>
            <w:right w:val="none" w:sz="0" w:space="0" w:color="auto"/>
          </w:divBdr>
        </w:div>
        <w:div w:id="25103649">
          <w:marLeft w:val="0"/>
          <w:marRight w:val="0"/>
          <w:marTop w:val="0"/>
          <w:marBottom w:val="0"/>
          <w:divBdr>
            <w:top w:val="none" w:sz="0" w:space="0" w:color="auto"/>
            <w:left w:val="none" w:sz="0" w:space="0" w:color="auto"/>
            <w:bottom w:val="none" w:sz="0" w:space="0" w:color="auto"/>
            <w:right w:val="none" w:sz="0" w:space="0" w:color="auto"/>
          </w:divBdr>
        </w:div>
        <w:div w:id="1104113739">
          <w:marLeft w:val="0"/>
          <w:marRight w:val="0"/>
          <w:marTop w:val="0"/>
          <w:marBottom w:val="0"/>
          <w:divBdr>
            <w:top w:val="none" w:sz="0" w:space="0" w:color="auto"/>
            <w:left w:val="none" w:sz="0" w:space="0" w:color="auto"/>
            <w:bottom w:val="none" w:sz="0" w:space="0" w:color="auto"/>
            <w:right w:val="none" w:sz="0" w:space="0" w:color="auto"/>
          </w:divBdr>
        </w:div>
        <w:div w:id="132261189">
          <w:marLeft w:val="0"/>
          <w:marRight w:val="0"/>
          <w:marTop w:val="0"/>
          <w:marBottom w:val="0"/>
          <w:divBdr>
            <w:top w:val="none" w:sz="0" w:space="0" w:color="auto"/>
            <w:left w:val="none" w:sz="0" w:space="0" w:color="auto"/>
            <w:bottom w:val="none" w:sz="0" w:space="0" w:color="auto"/>
            <w:right w:val="none" w:sz="0" w:space="0" w:color="auto"/>
          </w:divBdr>
        </w:div>
        <w:div w:id="1472333637">
          <w:marLeft w:val="0"/>
          <w:marRight w:val="0"/>
          <w:marTop w:val="0"/>
          <w:marBottom w:val="0"/>
          <w:divBdr>
            <w:top w:val="none" w:sz="0" w:space="0" w:color="auto"/>
            <w:left w:val="none" w:sz="0" w:space="0" w:color="auto"/>
            <w:bottom w:val="none" w:sz="0" w:space="0" w:color="auto"/>
            <w:right w:val="none" w:sz="0" w:space="0" w:color="auto"/>
          </w:divBdr>
        </w:div>
        <w:div w:id="1525945809">
          <w:marLeft w:val="0"/>
          <w:marRight w:val="0"/>
          <w:marTop w:val="0"/>
          <w:marBottom w:val="0"/>
          <w:divBdr>
            <w:top w:val="none" w:sz="0" w:space="0" w:color="auto"/>
            <w:left w:val="none" w:sz="0" w:space="0" w:color="auto"/>
            <w:bottom w:val="none" w:sz="0" w:space="0" w:color="auto"/>
            <w:right w:val="none" w:sz="0" w:space="0" w:color="auto"/>
          </w:divBdr>
        </w:div>
        <w:div w:id="2071610865">
          <w:marLeft w:val="0"/>
          <w:marRight w:val="0"/>
          <w:marTop w:val="0"/>
          <w:marBottom w:val="0"/>
          <w:divBdr>
            <w:top w:val="none" w:sz="0" w:space="0" w:color="auto"/>
            <w:left w:val="none" w:sz="0" w:space="0" w:color="auto"/>
            <w:bottom w:val="none" w:sz="0" w:space="0" w:color="auto"/>
            <w:right w:val="none" w:sz="0" w:space="0" w:color="auto"/>
          </w:divBdr>
        </w:div>
        <w:div w:id="1383752208">
          <w:marLeft w:val="0"/>
          <w:marRight w:val="0"/>
          <w:marTop w:val="0"/>
          <w:marBottom w:val="0"/>
          <w:divBdr>
            <w:top w:val="none" w:sz="0" w:space="0" w:color="auto"/>
            <w:left w:val="none" w:sz="0" w:space="0" w:color="auto"/>
            <w:bottom w:val="none" w:sz="0" w:space="0" w:color="auto"/>
            <w:right w:val="none" w:sz="0" w:space="0" w:color="auto"/>
          </w:divBdr>
        </w:div>
        <w:div w:id="470558200">
          <w:marLeft w:val="0"/>
          <w:marRight w:val="0"/>
          <w:marTop w:val="0"/>
          <w:marBottom w:val="0"/>
          <w:divBdr>
            <w:top w:val="none" w:sz="0" w:space="0" w:color="auto"/>
            <w:left w:val="none" w:sz="0" w:space="0" w:color="auto"/>
            <w:bottom w:val="none" w:sz="0" w:space="0" w:color="auto"/>
            <w:right w:val="none" w:sz="0" w:space="0" w:color="auto"/>
          </w:divBdr>
        </w:div>
        <w:div w:id="780563505">
          <w:marLeft w:val="0"/>
          <w:marRight w:val="0"/>
          <w:marTop w:val="0"/>
          <w:marBottom w:val="0"/>
          <w:divBdr>
            <w:top w:val="none" w:sz="0" w:space="0" w:color="auto"/>
            <w:left w:val="none" w:sz="0" w:space="0" w:color="auto"/>
            <w:bottom w:val="none" w:sz="0" w:space="0" w:color="auto"/>
            <w:right w:val="none" w:sz="0" w:space="0" w:color="auto"/>
          </w:divBdr>
        </w:div>
        <w:div w:id="466439651">
          <w:marLeft w:val="0"/>
          <w:marRight w:val="0"/>
          <w:marTop w:val="0"/>
          <w:marBottom w:val="0"/>
          <w:divBdr>
            <w:top w:val="none" w:sz="0" w:space="0" w:color="auto"/>
            <w:left w:val="none" w:sz="0" w:space="0" w:color="auto"/>
            <w:bottom w:val="none" w:sz="0" w:space="0" w:color="auto"/>
            <w:right w:val="none" w:sz="0" w:space="0" w:color="auto"/>
          </w:divBdr>
        </w:div>
        <w:div w:id="621154305">
          <w:marLeft w:val="0"/>
          <w:marRight w:val="0"/>
          <w:marTop w:val="0"/>
          <w:marBottom w:val="0"/>
          <w:divBdr>
            <w:top w:val="none" w:sz="0" w:space="0" w:color="auto"/>
            <w:left w:val="none" w:sz="0" w:space="0" w:color="auto"/>
            <w:bottom w:val="none" w:sz="0" w:space="0" w:color="auto"/>
            <w:right w:val="none" w:sz="0" w:space="0" w:color="auto"/>
          </w:divBdr>
        </w:div>
        <w:div w:id="1964262800">
          <w:marLeft w:val="0"/>
          <w:marRight w:val="0"/>
          <w:marTop w:val="0"/>
          <w:marBottom w:val="0"/>
          <w:divBdr>
            <w:top w:val="none" w:sz="0" w:space="0" w:color="auto"/>
            <w:left w:val="none" w:sz="0" w:space="0" w:color="auto"/>
            <w:bottom w:val="none" w:sz="0" w:space="0" w:color="auto"/>
            <w:right w:val="none" w:sz="0" w:space="0" w:color="auto"/>
          </w:divBdr>
        </w:div>
        <w:div w:id="1374034401">
          <w:marLeft w:val="0"/>
          <w:marRight w:val="0"/>
          <w:marTop w:val="0"/>
          <w:marBottom w:val="0"/>
          <w:divBdr>
            <w:top w:val="none" w:sz="0" w:space="0" w:color="auto"/>
            <w:left w:val="none" w:sz="0" w:space="0" w:color="auto"/>
            <w:bottom w:val="none" w:sz="0" w:space="0" w:color="auto"/>
            <w:right w:val="none" w:sz="0" w:space="0" w:color="auto"/>
          </w:divBdr>
        </w:div>
        <w:div w:id="1379474533">
          <w:marLeft w:val="0"/>
          <w:marRight w:val="0"/>
          <w:marTop w:val="0"/>
          <w:marBottom w:val="0"/>
          <w:divBdr>
            <w:top w:val="none" w:sz="0" w:space="0" w:color="auto"/>
            <w:left w:val="none" w:sz="0" w:space="0" w:color="auto"/>
            <w:bottom w:val="none" w:sz="0" w:space="0" w:color="auto"/>
            <w:right w:val="none" w:sz="0" w:space="0" w:color="auto"/>
          </w:divBdr>
        </w:div>
        <w:div w:id="1500383661">
          <w:marLeft w:val="0"/>
          <w:marRight w:val="0"/>
          <w:marTop w:val="0"/>
          <w:marBottom w:val="0"/>
          <w:divBdr>
            <w:top w:val="none" w:sz="0" w:space="0" w:color="auto"/>
            <w:left w:val="none" w:sz="0" w:space="0" w:color="auto"/>
            <w:bottom w:val="none" w:sz="0" w:space="0" w:color="auto"/>
            <w:right w:val="none" w:sz="0" w:space="0" w:color="auto"/>
          </w:divBdr>
        </w:div>
      </w:divsChild>
    </w:div>
    <w:div w:id="995493703">
      <w:bodyDiv w:val="1"/>
      <w:marLeft w:val="0"/>
      <w:marRight w:val="0"/>
      <w:marTop w:val="0"/>
      <w:marBottom w:val="0"/>
      <w:divBdr>
        <w:top w:val="none" w:sz="0" w:space="0" w:color="auto"/>
        <w:left w:val="none" w:sz="0" w:space="0" w:color="auto"/>
        <w:bottom w:val="none" w:sz="0" w:space="0" w:color="auto"/>
        <w:right w:val="none" w:sz="0" w:space="0" w:color="auto"/>
      </w:divBdr>
    </w:div>
    <w:div w:id="1005985399">
      <w:bodyDiv w:val="1"/>
      <w:marLeft w:val="0"/>
      <w:marRight w:val="0"/>
      <w:marTop w:val="0"/>
      <w:marBottom w:val="0"/>
      <w:divBdr>
        <w:top w:val="none" w:sz="0" w:space="0" w:color="auto"/>
        <w:left w:val="none" w:sz="0" w:space="0" w:color="auto"/>
        <w:bottom w:val="none" w:sz="0" w:space="0" w:color="auto"/>
        <w:right w:val="none" w:sz="0" w:space="0" w:color="auto"/>
      </w:divBdr>
      <w:divsChild>
        <w:div w:id="1485203132">
          <w:marLeft w:val="0"/>
          <w:marRight w:val="0"/>
          <w:marTop w:val="0"/>
          <w:marBottom w:val="0"/>
          <w:divBdr>
            <w:top w:val="none" w:sz="0" w:space="0" w:color="auto"/>
            <w:left w:val="none" w:sz="0" w:space="0" w:color="auto"/>
            <w:bottom w:val="none" w:sz="0" w:space="0" w:color="auto"/>
            <w:right w:val="none" w:sz="0" w:space="0" w:color="auto"/>
          </w:divBdr>
        </w:div>
        <w:div w:id="1832670889">
          <w:marLeft w:val="0"/>
          <w:marRight w:val="0"/>
          <w:marTop w:val="0"/>
          <w:marBottom w:val="0"/>
          <w:divBdr>
            <w:top w:val="none" w:sz="0" w:space="0" w:color="auto"/>
            <w:left w:val="none" w:sz="0" w:space="0" w:color="auto"/>
            <w:bottom w:val="none" w:sz="0" w:space="0" w:color="auto"/>
            <w:right w:val="none" w:sz="0" w:space="0" w:color="auto"/>
          </w:divBdr>
        </w:div>
        <w:div w:id="823014890">
          <w:marLeft w:val="0"/>
          <w:marRight w:val="0"/>
          <w:marTop w:val="0"/>
          <w:marBottom w:val="0"/>
          <w:divBdr>
            <w:top w:val="none" w:sz="0" w:space="0" w:color="auto"/>
            <w:left w:val="none" w:sz="0" w:space="0" w:color="auto"/>
            <w:bottom w:val="none" w:sz="0" w:space="0" w:color="auto"/>
            <w:right w:val="none" w:sz="0" w:space="0" w:color="auto"/>
          </w:divBdr>
        </w:div>
        <w:div w:id="1709909356">
          <w:marLeft w:val="0"/>
          <w:marRight w:val="0"/>
          <w:marTop w:val="0"/>
          <w:marBottom w:val="0"/>
          <w:divBdr>
            <w:top w:val="none" w:sz="0" w:space="0" w:color="auto"/>
            <w:left w:val="none" w:sz="0" w:space="0" w:color="auto"/>
            <w:bottom w:val="none" w:sz="0" w:space="0" w:color="auto"/>
            <w:right w:val="none" w:sz="0" w:space="0" w:color="auto"/>
          </w:divBdr>
        </w:div>
        <w:div w:id="1125001929">
          <w:marLeft w:val="0"/>
          <w:marRight w:val="0"/>
          <w:marTop w:val="0"/>
          <w:marBottom w:val="0"/>
          <w:divBdr>
            <w:top w:val="none" w:sz="0" w:space="0" w:color="auto"/>
            <w:left w:val="none" w:sz="0" w:space="0" w:color="auto"/>
            <w:bottom w:val="none" w:sz="0" w:space="0" w:color="auto"/>
            <w:right w:val="none" w:sz="0" w:space="0" w:color="auto"/>
          </w:divBdr>
        </w:div>
        <w:div w:id="2039231646">
          <w:marLeft w:val="0"/>
          <w:marRight w:val="0"/>
          <w:marTop w:val="0"/>
          <w:marBottom w:val="0"/>
          <w:divBdr>
            <w:top w:val="none" w:sz="0" w:space="0" w:color="auto"/>
            <w:left w:val="none" w:sz="0" w:space="0" w:color="auto"/>
            <w:bottom w:val="none" w:sz="0" w:space="0" w:color="auto"/>
            <w:right w:val="none" w:sz="0" w:space="0" w:color="auto"/>
          </w:divBdr>
        </w:div>
        <w:div w:id="893349658">
          <w:marLeft w:val="0"/>
          <w:marRight w:val="0"/>
          <w:marTop w:val="0"/>
          <w:marBottom w:val="0"/>
          <w:divBdr>
            <w:top w:val="none" w:sz="0" w:space="0" w:color="auto"/>
            <w:left w:val="none" w:sz="0" w:space="0" w:color="auto"/>
            <w:bottom w:val="none" w:sz="0" w:space="0" w:color="auto"/>
            <w:right w:val="none" w:sz="0" w:space="0" w:color="auto"/>
          </w:divBdr>
        </w:div>
        <w:div w:id="1487209640">
          <w:marLeft w:val="0"/>
          <w:marRight w:val="0"/>
          <w:marTop w:val="0"/>
          <w:marBottom w:val="0"/>
          <w:divBdr>
            <w:top w:val="none" w:sz="0" w:space="0" w:color="auto"/>
            <w:left w:val="none" w:sz="0" w:space="0" w:color="auto"/>
            <w:bottom w:val="none" w:sz="0" w:space="0" w:color="auto"/>
            <w:right w:val="none" w:sz="0" w:space="0" w:color="auto"/>
          </w:divBdr>
        </w:div>
      </w:divsChild>
    </w:div>
    <w:div w:id="1012727847">
      <w:bodyDiv w:val="1"/>
      <w:marLeft w:val="0"/>
      <w:marRight w:val="0"/>
      <w:marTop w:val="0"/>
      <w:marBottom w:val="0"/>
      <w:divBdr>
        <w:top w:val="none" w:sz="0" w:space="0" w:color="auto"/>
        <w:left w:val="none" w:sz="0" w:space="0" w:color="auto"/>
        <w:bottom w:val="none" w:sz="0" w:space="0" w:color="auto"/>
        <w:right w:val="none" w:sz="0" w:space="0" w:color="auto"/>
      </w:divBdr>
    </w:div>
    <w:div w:id="1042906849">
      <w:bodyDiv w:val="1"/>
      <w:marLeft w:val="0"/>
      <w:marRight w:val="0"/>
      <w:marTop w:val="0"/>
      <w:marBottom w:val="0"/>
      <w:divBdr>
        <w:top w:val="none" w:sz="0" w:space="0" w:color="auto"/>
        <w:left w:val="none" w:sz="0" w:space="0" w:color="auto"/>
        <w:bottom w:val="none" w:sz="0" w:space="0" w:color="auto"/>
        <w:right w:val="none" w:sz="0" w:space="0" w:color="auto"/>
      </w:divBdr>
      <w:divsChild>
        <w:div w:id="821656409">
          <w:marLeft w:val="0"/>
          <w:marRight w:val="0"/>
          <w:marTop w:val="0"/>
          <w:marBottom w:val="0"/>
          <w:divBdr>
            <w:top w:val="none" w:sz="0" w:space="0" w:color="auto"/>
            <w:left w:val="none" w:sz="0" w:space="0" w:color="auto"/>
            <w:bottom w:val="none" w:sz="0" w:space="0" w:color="auto"/>
            <w:right w:val="none" w:sz="0" w:space="0" w:color="auto"/>
          </w:divBdr>
        </w:div>
        <w:div w:id="785737620">
          <w:marLeft w:val="0"/>
          <w:marRight w:val="0"/>
          <w:marTop w:val="0"/>
          <w:marBottom w:val="0"/>
          <w:divBdr>
            <w:top w:val="none" w:sz="0" w:space="0" w:color="auto"/>
            <w:left w:val="none" w:sz="0" w:space="0" w:color="auto"/>
            <w:bottom w:val="none" w:sz="0" w:space="0" w:color="auto"/>
            <w:right w:val="none" w:sz="0" w:space="0" w:color="auto"/>
          </w:divBdr>
        </w:div>
        <w:div w:id="1248921830">
          <w:marLeft w:val="0"/>
          <w:marRight w:val="0"/>
          <w:marTop w:val="0"/>
          <w:marBottom w:val="0"/>
          <w:divBdr>
            <w:top w:val="none" w:sz="0" w:space="0" w:color="auto"/>
            <w:left w:val="none" w:sz="0" w:space="0" w:color="auto"/>
            <w:bottom w:val="none" w:sz="0" w:space="0" w:color="auto"/>
            <w:right w:val="none" w:sz="0" w:space="0" w:color="auto"/>
          </w:divBdr>
        </w:div>
        <w:div w:id="1720595174">
          <w:marLeft w:val="0"/>
          <w:marRight w:val="0"/>
          <w:marTop w:val="0"/>
          <w:marBottom w:val="0"/>
          <w:divBdr>
            <w:top w:val="none" w:sz="0" w:space="0" w:color="auto"/>
            <w:left w:val="none" w:sz="0" w:space="0" w:color="auto"/>
            <w:bottom w:val="none" w:sz="0" w:space="0" w:color="auto"/>
            <w:right w:val="none" w:sz="0" w:space="0" w:color="auto"/>
          </w:divBdr>
        </w:div>
      </w:divsChild>
    </w:div>
    <w:div w:id="1057243381">
      <w:bodyDiv w:val="1"/>
      <w:marLeft w:val="0"/>
      <w:marRight w:val="0"/>
      <w:marTop w:val="0"/>
      <w:marBottom w:val="0"/>
      <w:divBdr>
        <w:top w:val="none" w:sz="0" w:space="0" w:color="auto"/>
        <w:left w:val="none" w:sz="0" w:space="0" w:color="auto"/>
        <w:bottom w:val="none" w:sz="0" w:space="0" w:color="auto"/>
        <w:right w:val="none" w:sz="0" w:space="0" w:color="auto"/>
      </w:divBdr>
    </w:div>
    <w:div w:id="1062169439">
      <w:bodyDiv w:val="1"/>
      <w:marLeft w:val="0"/>
      <w:marRight w:val="0"/>
      <w:marTop w:val="0"/>
      <w:marBottom w:val="0"/>
      <w:divBdr>
        <w:top w:val="none" w:sz="0" w:space="0" w:color="auto"/>
        <w:left w:val="none" w:sz="0" w:space="0" w:color="auto"/>
        <w:bottom w:val="none" w:sz="0" w:space="0" w:color="auto"/>
        <w:right w:val="none" w:sz="0" w:space="0" w:color="auto"/>
      </w:divBdr>
      <w:divsChild>
        <w:div w:id="2046633077">
          <w:marLeft w:val="0"/>
          <w:marRight w:val="0"/>
          <w:marTop w:val="0"/>
          <w:marBottom w:val="0"/>
          <w:divBdr>
            <w:top w:val="none" w:sz="0" w:space="0" w:color="auto"/>
            <w:left w:val="none" w:sz="0" w:space="0" w:color="auto"/>
            <w:bottom w:val="none" w:sz="0" w:space="0" w:color="auto"/>
            <w:right w:val="none" w:sz="0" w:space="0" w:color="auto"/>
          </w:divBdr>
        </w:div>
        <w:div w:id="771559529">
          <w:marLeft w:val="0"/>
          <w:marRight w:val="0"/>
          <w:marTop w:val="0"/>
          <w:marBottom w:val="0"/>
          <w:divBdr>
            <w:top w:val="none" w:sz="0" w:space="0" w:color="auto"/>
            <w:left w:val="none" w:sz="0" w:space="0" w:color="auto"/>
            <w:bottom w:val="none" w:sz="0" w:space="0" w:color="auto"/>
            <w:right w:val="none" w:sz="0" w:space="0" w:color="auto"/>
          </w:divBdr>
        </w:div>
        <w:div w:id="532500756">
          <w:marLeft w:val="0"/>
          <w:marRight w:val="0"/>
          <w:marTop w:val="0"/>
          <w:marBottom w:val="0"/>
          <w:divBdr>
            <w:top w:val="none" w:sz="0" w:space="0" w:color="auto"/>
            <w:left w:val="none" w:sz="0" w:space="0" w:color="auto"/>
            <w:bottom w:val="none" w:sz="0" w:space="0" w:color="auto"/>
            <w:right w:val="none" w:sz="0" w:space="0" w:color="auto"/>
          </w:divBdr>
        </w:div>
        <w:div w:id="336227044">
          <w:marLeft w:val="0"/>
          <w:marRight w:val="0"/>
          <w:marTop w:val="0"/>
          <w:marBottom w:val="0"/>
          <w:divBdr>
            <w:top w:val="none" w:sz="0" w:space="0" w:color="auto"/>
            <w:left w:val="none" w:sz="0" w:space="0" w:color="auto"/>
            <w:bottom w:val="none" w:sz="0" w:space="0" w:color="auto"/>
            <w:right w:val="none" w:sz="0" w:space="0" w:color="auto"/>
          </w:divBdr>
        </w:div>
        <w:div w:id="1525636347">
          <w:marLeft w:val="0"/>
          <w:marRight w:val="0"/>
          <w:marTop w:val="0"/>
          <w:marBottom w:val="0"/>
          <w:divBdr>
            <w:top w:val="none" w:sz="0" w:space="0" w:color="auto"/>
            <w:left w:val="none" w:sz="0" w:space="0" w:color="auto"/>
            <w:bottom w:val="none" w:sz="0" w:space="0" w:color="auto"/>
            <w:right w:val="none" w:sz="0" w:space="0" w:color="auto"/>
          </w:divBdr>
        </w:div>
        <w:div w:id="684332698">
          <w:marLeft w:val="0"/>
          <w:marRight w:val="0"/>
          <w:marTop w:val="0"/>
          <w:marBottom w:val="0"/>
          <w:divBdr>
            <w:top w:val="none" w:sz="0" w:space="0" w:color="auto"/>
            <w:left w:val="none" w:sz="0" w:space="0" w:color="auto"/>
            <w:bottom w:val="none" w:sz="0" w:space="0" w:color="auto"/>
            <w:right w:val="none" w:sz="0" w:space="0" w:color="auto"/>
          </w:divBdr>
        </w:div>
        <w:div w:id="690649888">
          <w:marLeft w:val="0"/>
          <w:marRight w:val="0"/>
          <w:marTop w:val="0"/>
          <w:marBottom w:val="0"/>
          <w:divBdr>
            <w:top w:val="none" w:sz="0" w:space="0" w:color="auto"/>
            <w:left w:val="none" w:sz="0" w:space="0" w:color="auto"/>
            <w:bottom w:val="none" w:sz="0" w:space="0" w:color="auto"/>
            <w:right w:val="none" w:sz="0" w:space="0" w:color="auto"/>
          </w:divBdr>
        </w:div>
        <w:div w:id="548958878">
          <w:marLeft w:val="0"/>
          <w:marRight w:val="0"/>
          <w:marTop w:val="0"/>
          <w:marBottom w:val="0"/>
          <w:divBdr>
            <w:top w:val="none" w:sz="0" w:space="0" w:color="auto"/>
            <w:left w:val="none" w:sz="0" w:space="0" w:color="auto"/>
            <w:bottom w:val="none" w:sz="0" w:space="0" w:color="auto"/>
            <w:right w:val="none" w:sz="0" w:space="0" w:color="auto"/>
          </w:divBdr>
        </w:div>
        <w:div w:id="812216897">
          <w:marLeft w:val="0"/>
          <w:marRight w:val="0"/>
          <w:marTop w:val="0"/>
          <w:marBottom w:val="0"/>
          <w:divBdr>
            <w:top w:val="none" w:sz="0" w:space="0" w:color="auto"/>
            <w:left w:val="none" w:sz="0" w:space="0" w:color="auto"/>
            <w:bottom w:val="none" w:sz="0" w:space="0" w:color="auto"/>
            <w:right w:val="none" w:sz="0" w:space="0" w:color="auto"/>
          </w:divBdr>
        </w:div>
        <w:div w:id="1614365833">
          <w:marLeft w:val="0"/>
          <w:marRight w:val="0"/>
          <w:marTop w:val="0"/>
          <w:marBottom w:val="0"/>
          <w:divBdr>
            <w:top w:val="none" w:sz="0" w:space="0" w:color="auto"/>
            <w:left w:val="none" w:sz="0" w:space="0" w:color="auto"/>
            <w:bottom w:val="none" w:sz="0" w:space="0" w:color="auto"/>
            <w:right w:val="none" w:sz="0" w:space="0" w:color="auto"/>
          </w:divBdr>
        </w:div>
        <w:div w:id="1332680129">
          <w:marLeft w:val="0"/>
          <w:marRight w:val="0"/>
          <w:marTop w:val="0"/>
          <w:marBottom w:val="0"/>
          <w:divBdr>
            <w:top w:val="none" w:sz="0" w:space="0" w:color="auto"/>
            <w:left w:val="none" w:sz="0" w:space="0" w:color="auto"/>
            <w:bottom w:val="none" w:sz="0" w:space="0" w:color="auto"/>
            <w:right w:val="none" w:sz="0" w:space="0" w:color="auto"/>
          </w:divBdr>
        </w:div>
        <w:div w:id="618030527">
          <w:marLeft w:val="0"/>
          <w:marRight w:val="0"/>
          <w:marTop w:val="0"/>
          <w:marBottom w:val="0"/>
          <w:divBdr>
            <w:top w:val="none" w:sz="0" w:space="0" w:color="auto"/>
            <w:left w:val="none" w:sz="0" w:space="0" w:color="auto"/>
            <w:bottom w:val="none" w:sz="0" w:space="0" w:color="auto"/>
            <w:right w:val="none" w:sz="0" w:space="0" w:color="auto"/>
          </w:divBdr>
        </w:div>
        <w:div w:id="2042700943">
          <w:marLeft w:val="0"/>
          <w:marRight w:val="0"/>
          <w:marTop w:val="0"/>
          <w:marBottom w:val="0"/>
          <w:divBdr>
            <w:top w:val="none" w:sz="0" w:space="0" w:color="auto"/>
            <w:left w:val="none" w:sz="0" w:space="0" w:color="auto"/>
            <w:bottom w:val="none" w:sz="0" w:space="0" w:color="auto"/>
            <w:right w:val="none" w:sz="0" w:space="0" w:color="auto"/>
          </w:divBdr>
        </w:div>
        <w:div w:id="259798144">
          <w:marLeft w:val="0"/>
          <w:marRight w:val="0"/>
          <w:marTop w:val="0"/>
          <w:marBottom w:val="0"/>
          <w:divBdr>
            <w:top w:val="none" w:sz="0" w:space="0" w:color="auto"/>
            <w:left w:val="none" w:sz="0" w:space="0" w:color="auto"/>
            <w:bottom w:val="none" w:sz="0" w:space="0" w:color="auto"/>
            <w:right w:val="none" w:sz="0" w:space="0" w:color="auto"/>
          </w:divBdr>
        </w:div>
        <w:div w:id="779420981">
          <w:marLeft w:val="0"/>
          <w:marRight w:val="0"/>
          <w:marTop w:val="0"/>
          <w:marBottom w:val="0"/>
          <w:divBdr>
            <w:top w:val="none" w:sz="0" w:space="0" w:color="auto"/>
            <w:left w:val="none" w:sz="0" w:space="0" w:color="auto"/>
            <w:bottom w:val="none" w:sz="0" w:space="0" w:color="auto"/>
            <w:right w:val="none" w:sz="0" w:space="0" w:color="auto"/>
          </w:divBdr>
        </w:div>
      </w:divsChild>
    </w:div>
    <w:div w:id="1069621743">
      <w:bodyDiv w:val="1"/>
      <w:marLeft w:val="0"/>
      <w:marRight w:val="0"/>
      <w:marTop w:val="0"/>
      <w:marBottom w:val="0"/>
      <w:divBdr>
        <w:top w:val="none" w:sz="0" w:space="0" w:color="auto"/>
        <w:left w:val="none" w:sz="0" w:space="0" w:color="auto"/>
        <w:bottom w:val="none" w:sz="0" w:space="0" w:color="auto"/>
        <w:right w:val="none" w:sz="0" w:space="0" w:color="auto"/>
      </w:divBdr>
    </w:div>
    <w:div w:id="1080369446">
      <w:bodyDiv w:val="1"/>
      <w:marLeft w:val="0"/>
      <w:marRight w:val="0"/>
      <w:marTop w:val="0"/>
      <w:marBottom w:val="0"/>
      <w:divBdr>
        <w:top w:val="none" w:sz="0" w:space="0" w:color="auto"/>
        <w:left w:val="none" w:sz="0" w:space="0" w:color="auto"/>
        <w:bottom w:val="none" w:sz="0" w:space="0" w:color="auto"/>
        <w:right w:val="none" w:sz="0" w:space="0" w:color="auto"/>
      </w:divBdr>
      <w:divsChild>
        <w:div w:id="176115731">
          <w:marLeft w:val="0"/>
          <w:marRight w:val="0"/>
          <w:marTop w:val="0"/>
          <w:marBottom w:val="0"/>
          <w:divBdr>
            <w:top w:val="none" w:sz="0" w:space="0" w:color="auto"/>
            <w:left w:val="none" w:sz="0" w:space="0" w:color="auto"/>
            <w:bottom w:val="none" w:sz="0" w:space="0" w:color="auto"/>
            <w:right w:val="none" w:sz="0" w:space="0" w:color="auto"/>
          </w:divBdr>
        </w:div>
        <w:div w:id="147946768">
          <w:marLeft w:val="0"/>
          <w:marRight w:val="0"/>
          <w:marTop w:val="0"/>
          <w:marBottom w:val="0"/>
          <w:divBdr>
            <w:top w:val="none" w:sz="0" w:space="0" w:color="auto"/>
            <w:left w:val="none" w:sz="0" w:space="0" w:color="auto"/>
            <w:bottom w:val="none" w:sz="0" w:space="0" w:color="auto"/>
            <w:right w:val="none" w:sz="0" w:space="0" w:color="auto"/>
          </w:divBdr>
        </w:div>
        <w:div w:id="2142990999">
          <w:marLeft w:val="0"/>
          <w:marRight w:val="0"/>
          <w:marTop w:val="0"/>
          <w:marBottom w:val="0"/>
          <w:divBdr>
            <w:top w:val="none" w:sz="0" w:space="0" w:color="auto"/>
            <w:left w:val="none" w:sz="0" w:space="0" w:color="auto"/>
            <w:bottom w:val="none" w:sz="0" w:space="0" w:color="auto"/>
            <w:right w:val="none" w:sz="0" w:space="0" w:color="auto"/>
          </w:divBdr>
        </w:div>
        <w:div w:id="1130975765">
          <w:marLeft w:val="0"/>
          <w:marRight w:val="0"/>
          <w:marTop w:val="0"/>
          <w:marBottom w:val="0"/>
          <w:divBdr>
            <w:top w:val="none" w:sz="0" w:space="0" w:color="auto"/>
            <w:left w:val="none" w:sz="0" w:space="0" w:color="auto"/>
            <w:bottom w:val="none" w:sz="0" w:space="0" w:color="auto"/>
            <w:right w:val="none" w:sz="0" w:space="0" w:color="auto"/>
          </w:divBdr>
        </w:div>
        <w:div w:id="536965652">
          <w:marLeft w:val="0"/>
          <w:marRight w:val="0"/>
          <w:marTop w:val="0"/>
          <w:marBottom w:val="0"/>
          <w:divBdr>
            <w:top w:val="none" w:sz="0" w:space="0" w:color="auto"/>
            <w:left w:val="none" w:sz="0" w:space="0" w:color="auto"/>
            <w:bottom w:val="none" w:sz="0" w:space="0" w:color="auto"/>
            <w:right w:val="none" w:sz="0" w:space="0" w:color="auto"/>
          </w:divBdr>
        </w:div>
        <w:div w:id="574164972">
          <w:marLeft w:val="0"/>
          <w:marRight w:val="0"/>
          <w:marTop w:val="0"/>
          <w:marBottom w:val="0"/>
          <w:divBdr>
            <w:top w:val="none" w:sz="0" w:space="0" w:color="auto"/>
            <w:left w:val="none" w:sz="0" w:space="0" w:color="auto"/>
            <w:bottom w:val="none" w:sz="0" w:space="0" w:color="auto"/>
            <w:right w:val="none" w:sz="0" w:space="0" w:color="auto"/>
          </w:divBdr>
        </w:div>
        <w:div w:id="1512602379">
          <w:marLeft w:val="0"/>
          <w:marRight w:val="0"/>
          <w:marTop w:val="0"/>
          <w:marBottom w:val="0"/>
          <w:divBdr>
            <w:top w:val="none" w:sz="0" w:space="0" w:color="auto"/>
            <w:left w:val="none" w:sz="0" w:space="0" w:color="auto"/>
            <w:bottom w:val="none" w:sz="0" w:space="0" w:color="auto"/>
            <w:right w:val="none" w:sz="0" w:space="0" w:color="auto"/>
          </w:divBdr>
        </w:div>
        <w:div w:id="66614287">
          <w:marLeft w:val="0"/>
          <w:marRight w:val="0"/>
          <w:marTop w:val="0"/>
          <w:marBottom w:val="0"/>
          <w:divBdr>
            <w:top w:val="none" w:sz="0" w:space="0" w:color="auto"/>
            <w:left w:val="none" w:sz="0" w:space="0" w:color="auto"/>
            <w:bottom w:val="none" w:sz="0" w:space="0" w:color="auto"/>
            <w:right w:val="none" w:sz="0" w:space="0" w:color="auto"/>
          </w:divBdr>
        </w:div>
        <w:div w:id="190925124">
          <w:marLeft w:val="0"/>
          <w:marRight w:val="0"/>
          <w:marTop w:val="0"/>
          <w:marBottom w:val="0"/>
          <w:divBdr>
            <w:top w:val="none" w:sz="0" w:space="0" w:color="auto"/>
            <w:left w:val="none" w:sz="0" w:space="0" w:color="auto"/>
            <w:bottom w:val="none" w:sz="0" w:space="0" w:color="auto"/>
            <w:right w:val="none" w:sz="0" w:space="0" w:color="auto"/>
          </w:divBdr>
        </w:div>
        <w:div w:id="1627128310">
          <w:marLeft w:val="0"/>
          <w:marRight w:val="0"/>
          <w:marTop w:val="0"/>
          <w:marBottom w:val="0"/>
          <w:divBdr>
            <w:top w:val="none" w:sz="0" w:space="0" w:color="auto"/>
            <w:left w:val="none" w:sz="0" w:space="0" w:color="auto"/>
            <w:bottom w:val="none" w:sz="0" w:space="0" w:color="auto"/>
            <w:right w:val="none" w:sz="0" w:space="0" w:color="auto"/>
          </w:divBdr>
        </w:div>
        <w:div w:id="1237785712">
          <w:marLeft w:val="0"/>
          <w:marRight w:val="0"/>
          <w:marTop w:val="0"/>
          <w:marBottom w:val="0"/>
          <w:divBdr>
            <w:top w:val="none" w:sz="0" w:space="0" w:color="auto"/>
            <w:left w:val="none" w:sz="0" w:space="0" w:color="auto"/>
            <w:bottom w:val="none" w:sz="0" w:space="0" w:color="auto"/>
            <w:right w:val="none" w:sz="0" w:space="0" w:color="auto"/>
          </w:divBdr>
        </w:div>
        <w:div w:id="2128353216">
          <w:marLeft w:val="0"/>
          <w:marRight w:val="0"/>
          <w:marTop w:val="0"/>
          <w:marBottom w:val="0"/>
          <w:divBdr>
            <w:top w:val="none" w:sz="0" w:space="0" w:color="auto"/>
            <w:left w:val="none" w:sz="0" w:space="0" w:color="auto"/>
            <w:bottom w:val="none" w:sz="0" w:space="0" w:color="auto"/>
            <w:right w:val="none" w:sz="0" w:space="0" w:color="auto"/>
          </w:divBdr>
        </w:div>
        <w:div w:id="722800735">
          <w:marLeft w:val="0"/>
          <w:marRight w:val="0"/>
          <w:marTop w:val="0"/>
          <w:marBottom w:val="0"/>
          <w:divBdr>
            <w:top w:val="none" w:sz="0" w:space="0" w:color="auto"/>
            <w:left w:val="none" w:sz="0" w:space="0" w:color="auto"/>
            <w:bottom w:val="none" w:sz="0" w:space="0" w:color="auto"/>
            <w:right w:val="none" w:sz="0" w:space="0" w:color="auto"/>
          </w:divBdr>
        </w:div>
        <w:div w:id="137458315">
          <w:marLeft w:val="0"/>
          <w:marRight w:val="0"/>
          <w:marTop w:val="0"/>
          <w:marBottom w:val="0"/>
          <w:divBdr>
            <w:top w:val="none" w:sz="0" w:space="0" w:color="auto"/>
            <w:left w:val="none" w:sz="0" w:space="0" w:color="auto"/>
            <w:bottom w:val="none" w:sz="0" w:space="0" w:color="auto"/>
            <w:right w:val="none" w:sz="0" w:space="0" w:color="auto"/>
          </w:divBdr>
        </w:div>
        <w:div w:id="1673096338">
          <w:marLeft w:val="0"/>
          <w:marRight w:val="0"/>
          <w:marTop w:val="0"/>
          <w:marBottom w:val="0"/>
          <w:divBdr>
            <w:top w:val="none" w:sz="0" w:space="0" w:color="auto"/>
            <w:left w:val="none" w:sz="0" w:space="0" w:color="auto"/>
            <w:bottom w:val="none" w:sz="0" w:space="0" w:color="auto"/>
            <w:right w:val="none" w:sz="0" w:space="0" w:color="auto"/>
          </w:divBdr>
        </w:div>
        <w:div w:id="874465997">
          <w:marLeft w:val="0"/>
          <w:marRight w:val="0"/>
          <w:marTop w:val="0"/>
          <w:marBottom w:val="0"/>
          <w:divBdr>
            <w:top w:val="none" w:sz="0" w:space="0" w:color="auto"/>
            <w:left w:val="none" w:sz="0" w:space="0" w:color="auto"/>
            <w:bottom w:val="none" w:sz="0" w:space="0" w:color="auto"/>
            <w:right w:val="none" w:sz="0" w:space="0" w:color="auto"/>
          </w:divBdr>
        </w:div>
        <w:div w:id="652180470">
          <w:marLeft w:val="0"/>
          <w:marRight w:val="0"/>
          <w:marTop w:val="0"/>
          <w:marBottom w:val="0"/>
          <w:divBdr>
            <w:top w:val="none" w:sz="0" w:space="0" w:color="auto"/>
            <w:left w:val="none" w:sz="0" w:space="0" w:color="auto"/>
            <w:bottom w:val="none" w:sz="0" w:space="0" w:color="auto"/>
            <w:right w:val="none" w:sz="0" w:space="0" w:color="auto"/>
          </w:divBdr>
        </w:div>
      </w:divsChild>
    </w:div>
    <w:div w:id="1116561297">
      <w:bodyDiv w:val="1"/>
      <w:marLeft w:val="0"/>
      <w:marRight w:val="0"/>
      <w:marTop w:val="0"/>
      <w:marBottom w:val="0"/>
      <w:divBdr>
        <w:top w:val="none" w:sz="0" w:space="0" w:color="auto"/>
        <w:left w:val="none" w:sz="0" w:space="0" w:color="auto"/>
        <w:bottom w:val="none" w:sz="0" w:space="0" w:color="auto"/>
        <w:right w:val="none" w:sz="0" w:space="0" w:color="auto"/>
      </w:divBdr>
      <w:divsChild>
        <w:div w:id="1379665529">
          <w:marLeft w:val="0"/>
          <w:marRight w:val="0"/>
          <w:marTop w:val="0"/>
          <w:marBottom w:val="0"/>
          <w:divBdr>
            <w:top w:val="none" w:sz="0" w:space="0" w:color="auto"/>
            <w:left w:val="none" w:sz="0" w:space="0" w:color="auto"/>
            <w:bottom w:val="none" w:sz="0" w:space="0" w:color="auto"/>
            <w:right w:val="none" w:sz="0" w:space="0" w:color="auto"/>
          </w:divBdr>
        </w:div>
        <w:div w:id="1661927974">
          <w:marLeft w:val="0"/>
          <w:marRight w:val="0"/>
          <w:marTop w:val="0"/>
          <w:marBottom w:val="0"/>
          <w:divBdr>
            <w:top w:val="none" w:sz="0" w:space="0" w:color="auto"/>
            <w:left w:val="none" w:sz="0" w:space="0" w:color="auto"/>
            <w:bottom w:val="none" w:sz="0" w:space="0" w:color="auto"/>
            <w:right w:val="none" w:sz="0" w:space="0" w:color="auto"/>
          </w:divBdr>
        </w:div>
        <w:div w:id="1827819277">
          <w:marLeft w:val="0"/>
          <w:marRight w:val="0"/>
          <w:marTop w:val="0"/>
          <w:marBottom w:val="0"/>
          <w:divBdr>
            <w:top w:val="none" w:sz="0" w:space="0" w:color="auto"/>
            <w:left w:val="none" w:sz="0" w:space="0" w:color="auto"/>
            <w:bottom w:val="none" w:sz="0" w:space="0" w:color="auto"/>
            <w:right w:val="none" w:sz="0" w:space="0" w:color="auto"/>
          </w:divBdr>
        </w:div>
      </w:divsChild>
    </w:div>
    <w:div w:id="1119690867">
      <w:bodyDiv w:val="1"/>
      <w:marLeft w:val="0"/>
      <w:marRight w:val="0"/>
      <w:marTop w:val="0"/>
      <w:marBottom w:val="0"/>
      <w:divBdr>
        <w:top w:val="none" w:sz="0" w:space="0" w:color="auto"/>
        <w:left w:val="none" w:sz="0" w:space="0" w:color="auto"/>
        <w:bottom w:val="none" w:sz="0" w:space="0" w:color="auto"/>
        <w:right w:val="none" w:sz="0" w:space="0" w:color="auto"/>
      </w:divBdr>
    </w:div>
    <w:div w:id="1152865409">
      <w:bodyDiv w:val="1"/>
      <w:marLeft w:val="0"/>
      <w:marRight w:val="0"/>
      <w:marTop w:val="0"/>
      <w:marBottom w:val="0"/>
      <w:divBdr>
        <w:top w:val="none" w:sz="0" w:space="0" w:color="auto"/>
        <w:left w:val="none" w:sz="0" w:space="0" w:color="auto"/>
        <w:bottom w:val="none" w:sz="0" w:space="0" w:color="auto"/>
        <w:right w:val="none" w:sz="0" w:space="0" w:color="auto"/>
      </w:divBdr>
      <w:divsChild>
        <w:div w:id="1114053928">
          <w:marLeft w:val="0"/>
          <w:marRight w:val="0"/>
          <w:marTop w:val="0"/>
          <w:marBottom w:val="0"/>
          <w:divBdr>
            <w:top w:val="none" w:sz="0" w:space="0" w:color="auto"/>
            <w:left w:val="none" w:sz="0" w:space="0" w:color="auto"/>
            <w:bottom w:val="none" w:sz="0" w:space="0" w:color="auto"/>
            <w:right w:val="none" w:sz="0" w:space="0" w:color="auto"/>
          </w:divBdr>
        </w:div>
        <w:div w:id="217789108">
          <w:marLeft w:val="0"/>
          <w:marRight w:val="0"/>
          <w:marTop w:val="0"/>
          <w:marBottom w:val="0"/>
          <w:divBdr>
            <w:top w:val="none" w:sz="0" w:space="0" w:color="auto"/>
            <w:left w:val="none" w:sz="0" w:space="0" w:color="auto"/>
            <w:bottom w:val="none" w:sz="0" w:space="0" w:color="auto"/>
            <w:right w:val="none" w:sz="0" w:space="0" w:color="auto"/>
          </w:divBdr>
        </w:div>
        <w:div w:id="1125539890">
          <w:marLeft w:val="0"/>
          <w:marRight w:val="0"/>
          <w:marTop w:val="0"/>
          <w:marBottom w:val="0"/>
          <w:divBdr>
            <w:top w:val="none" w:sz="0" w:space="0" w:color="auto"/>
            <w:left w:val="none" w:sz="0" w:space="0" w:color="auto"/>
            <w:bottom w:val="none" w:sz="0" w:space="0" w:color="auto"/>
            <w:right w:val="none" w:sz="0" w:space="0" w:color="auto"/>
          </w:divBdr>
        </w:div>
        <w:div w:id="364183654">
          <w:marLeft w:val="0"/>
          <w:marRight w:val="0"/>
          <w:marTop w:val="0"/>
          <w:marBottom w:val="0"/>
          <w:divBdr>
            <w:top w:val="none" w:sz="0" w:space="0" w:color="auto"/>
            <w:left w:val="none" w:sz="0" w:space="0" w:color="auto"/>
            <w:bottom w:val="none" w:sz="0" w:space="0" w:color="auto"/>
            <w:right w:val="none" w:sz="0" w:space="0" w:color="auto"/>
          </w:divBdr>
        </w:div>
      </w:divsChild>
    </w:div>
    <w:div w:id="1167090582">
      <w:bodyDiv w:val="1"/>
      <w:marLeft w:val="0"/>
      <w:marRight w:val="0"/>
      <w:marTop w:val="0"/>
      <w:marBottom w:val="0"/>
      <w:divBdr>
        <w:top w:val="none" w:sz="0" w:space="0" w:color="auto"/>
        <w:left w:val="none" w:sz="0" w:space="0" w:color="auto"/>
        <w:bottom w:val="none" w:sz="0" w:space="0" w:color="auto"/>
        <w:right w:val="none" w:sz="0" w:space="0" w:color="auto"/>
      </w:divBdr>
    </w:div>
    <w:div w:id="1168597794">
      <w:bodyDiv w:val="1"/>
      <w:marLeft w:val="0"/>
      <w:marRight w:val="0"/>
      <w:marTop w:val="0"/>
      <w:marBottom w:val="0"/>
      <w:divBdr>
        <w:top w:val="none" w:sz="0" w:space="0" w:color="auto"/>
        <w:left w:val="none" w:sz="0" w:space="0" w:color="auto"/>
        <w:bottom w:val="none" w:sz="0" w:space="0" w:color="auto"/>
        <w:right w:val="none" w:sz="0" w:space="0" w:color="auto"/>
      </w:divBdr>
      <w:divsChild>
        <w:div w:id="1259488987">
          <w:marLeft w:val="0"/>
          <w:marRight w:val="0"/>
          <w:marTop w:val="0"/>
          <w:marBottom w:val="0"/>
          <w:divBdr>
            <w:top w:val="none" w:sz="0" w:space="0" w:color="auto"/>
            <w:left w:val="none" w:sz="0" w:space="0" w:color="auto"/>
            <w:bottom w:val="none" w:sz="0" w:space="0" w:color="auto"/>
            <w:right w:val="none" w:sz="0" w:space="0" w:color="auto"/>
          </w:divBdr>
        </w:div>
        <w:div w:id="1320420707">
          <w:marLeft w:val="0"/>
          <w:marRight w:val="0"/>
          <w:marTop w:val="0"/>
          <w:marBottom w:val="0"/>
          <w:divBdr>
            <w:top w:val="none" w:sz="0" w:space="0" w:color="auto"/>
            <w:left w:val="none" w:sz="0" w:space="0" w:color="auto"/>
            <w:bottom w:val="none" w:sz="0" w:space="0" w:color="auto"/>
            <w:right w:val="none" w:sz="0" w:space="0" w:color="auto"/>
          </w:divBdr>
        </w:div>
        <w:div w:id="695234848">
          <w:marLeft w:val="0"/>
          <w:marRight w:val="0"/>
          <w:marTop w:val="0"/>
          <w:marBottom w:val="0"/>
          <w:divBdr>
            <w:top w:val="none" w:sz="0" w:space="0" w:color="auto"/>
            <w:left w:val="none" w:sz="0" w:space="0" w:color="auto"/>
            <w:bottom w:val="none" w:sz="0" w:space="0" w:color="auto"/>
            <w:right w:val="none" w:sz="0" w:space="0" w:color="auto"/>
          </w:divBdr>
        </w:div>
        <w:div w:id="200824210">
          <w:marLeft w:val="0"/>
          <w:marRight w:val="0"/>
          <w:marTop w:val="0"/>
          <w:marBottom w:val="0"/>
          <w:divBdr>
            <w:top w:val="none" w:sz="0" w:space="0" w:color="auto"/>
            <w:left w:val="none" w:sz="0" w:space="0" w:color="auto"/>
            <w:bottom w:val="none" w:sz="0" w:space="0" w:color="auto"/>
            <w:right w:val="none" w:sz="0" w:space="0" w:color="auto"/>
          </w:divBdr>
        </w:div>
        <w:div w:id="1876773332">
          <w:marLeft w:val="0"/>
          <w:marRight w:val="0"/>
          <w:marTop w:val="0"/>
          <w:marBottom w:val="0"/>
          <w:divBdr>
            <w:top w:val="none" w:sz="0" w:space="0" w:color="auto"/>
            <w:left w:val="none" w:sz="0" w:space="0" w:color="auto"/>
            <w:bottom w:val="none" w:sz="0" w:space="0" w:color="auto"/>
            <w:right w:val="none" w:sz="0" w:space="0" w:color="auto"/>
          </w:divBdr>
        </w:div>
        <w:div w:id="1591161767">
          <w:marLeft w:val="0"/>
          <w:marRight w:val="0"/>
          <w:marTop w:val="0"/>
          <w:marBottom w:val="0"/>
          <w:divBdr>
            <w:top w:val="none" w:sz="0" w:space="0" w:color="auto"/>
            <w:left w:val="none" w:sz="0" w:space="0" w:color="auto"/>
            <w:bottom w:val="none" w:sz="0" w:space="0" w:color="auto"/>
            <w:right w:val="none" w:sz="0" w:space="0" w:color="auto"/>
          </w:divBdr>
        </w:div>
        <w:div w:id="662247551">
          <w:marLeft w:val="0"/>
          <w:marRight w:val="0"/>
          <w:marTop w:val="0"/>
          <w:marBottom w:val="0"/>
          <w:divBdr>
            <w:top w:val="none" w:sz="0" w:space="0" w:color="auto"/>
            <w:left w:val="none" w:sz="0" w:space="0" w:color="auto"/>
            <w:bottom w:val="none" w:sz="0" w:space="0" w:color="auto"/>
            <w:right w:val="none" w:sz="0" w:space="0" w:color="auto"/>
          </w:divBdr>
        </w:div>
        <w:div w:id="1223442098">
          <w:marLeft w:val="0"/>
          <w:marRight w:val="0"/>
          <w:marTop w:val="0"/>
          <w:marBottom w:val="0"/>
          <w:divBdr>
            <w:top w:val="none" w:sz="0" w:space="0" w:color="auto"/>
            <w:left w:val="none" w:sz="0" w:space="0" w:color="auto"/>
            <w:bottom w:val="none" w:sz="0" w:space="0" w:color="auto"/>
            <w:right w:val="none" w:sz="0" w:space="0" w:color="auto"/>
          </w:divBdr>
        </w:div>
        <w:div w:id="1478376226">
          <w:marLeft w:val="0"/>
          <w:marRight w:val="0"/>
          <w:marTop w:val="0"/>
          <w:marBottom w:val="0"/>
          <w:divBdr>
            <w:top w:val="none" w:sz="0" w:space="0" w:color="auto"/>
            <w:left w:val="none" w:sz="0" w:space="0" w:color="auto"/>
            <w:bottom w:val="none" w:sz="0" w:space="0" w:color="auto"/>
            <w:right w:val="none" w:sz="0" w:space="0" w:color="auto"/>
          </w:divBdr>
        </w:div>
        <w:div w:id="856701564">
          <w:marLeft w:val="0"/>
          <w:marRight w:val="0"/>
          <w:marTop w:val="0"/>
          <w:marBottom w:val="0"/>
          <w:divBdr>
            <w:top w:val="none" w:sz="0" w:space="0" w:color="auto"/>
            <w:left w:val="none" w:sz="0" w:space="0" w:color="auto"/>
            <w:bottom w:val="none" w:sz="0" w:space="0" w:color="auto"/>
            <w:right w:val="none" w:sz="0" w:space="0" w:color="auto"/>
          </w:divBdr>
        </w:div>
        <w:div w:id="925697662">
          <w:marLeft w:val="0"/>
          <w:marRight w:val="0"/>
          <w:marTop w:val="0"/>
          <w:marBottom w:val="0"/>
          <w:divBdr>
            <w:top w:val="none" w:sz="0" w:space="0" w:color="auto"/>
            <w:left w:val="none" w:sz="0" w:space="0" w:color="auto"/>
            <w:bottom w:val="none" w:sz="0" w:space="0" w:color="auto"/>
            <w:right w:val="none" w:sz="0" w:space="0" w:color="auto"/>
          </w:divBdr>
        </w:div>
        <w:div w:id="552429118">
          <w:marLeft w:val="0"/>
          <w:marRight w:val="0"/>
          <w:marTop w:val="0"/>
          <w:marBottom w:val="0"/>
          <w:divBdr>
            <w:top w:val="none" w:sz="0" w:space="0" w:color="auto"/>
            <w:left w:val="none" w:sz="0" w:space="0" w:color="auto"/>
            <w:bottom w:val="none" w:sz="0" w:space="0" w:color="auto"/>
            <w:right w:val="none" w:sz="0" w:space="0" w:color="auto"/>
          </w:divBdr>
        </w:div>
        <w:div w:id="290981602">
          <w:marLeft w:val="0"/>
          <w:marRight w:val="0"/>
          <w:marTop w:val="0"/>
          <w:marBottom w:val="0"/>
          <w:divBdr>
            <w:top w:val="none" w:sz="0" w:space="0" w:color="auto"/>
            <w:left w:val="none" w:sz="0" w:space="0" w:color="auto"/>
            <w:bottom w:val="none" w:sz="0" w:space="0" w:color="auto"/>
            <w:right w:val="none" w:sz="0" w:space="0" w:color="auto"/>
          </w:divBdr>
        </w:div>
        <w:div w:id="99492558">
          <w:marLeft w:val="0"/>
          <w:marRight w:val="0"/>
          <w:marTop w:val="0"/>
          <w:marBottom w:val="0"/>
          <w:divBdr>
            <w:top w:val="none" w:sz="0" w:space="0" w:color="auto"/>
            <w:left w:val="none" w:sz="0" w:space="0" w:color="auto"/>
            <w:bottom w:val="none" w:sz="0" w:space="0" w:color="auto"/>
            <w:right w:val="none" w:sz="0" w:space="0" w:color="auto"/>
          </w:divBdr>
        </w:div>
        <w:div w:id="1021206064">
          <w:marLeft w:val="0"/>
          <w:marRight w:val="0"/>
          <w:marTop w:val="0"/>
          <w:marBottom w:val="0"/>
          <w:divBdr>
            <w:top w:val="none" w:sz="0" w:space="0" w:color="auto"/>
            <w:left w:val="none" w:sz="0" w:space="0" w:color="auto"/>
            <w:bottom w:val="none" w:sz="0" w:space="0" w:color="auto"/>
            <w:right w:val="none" w:sz="0" w:space="0" w:color="auto"/>
          </w:divBdr>
        </w:div>
        <w:div w:id="2005543771">
          <w:marLeft w:val="0"/>
          <w:marRight w:val="0"/>
          <w:marTop w:val="0"/>
          <w:marBottom w:val="0"/>
          <w:divBdr>
            <w:top w:val="none" w:sz="0" w:space="0" w:color="auto"/>
            <w:left w:val="none" w:sz="0" w:space="0" w:color="auto"/>
            <w:bottom w:val="none" w:sz="0" w:space="0" w:color="auto"/>
            <w:right w:val="none" w:sz="0" w:space="0" w:color="auto"/>
          </w:divBdr>
        </w:div>
      </w:divsChild>
    </w:div>
    <w:div w:id="1172912909">
      <w:bodyDiv w:val="1"/>
      <w:marLeft w:val="0"/>
      <w:marRight w:val="0"/>
      <w:marTop w:val="0"/>
      <w:marBottom w:val="0"/>
      <w:divBdr>
        <w:top w:val="none" w:sz="0" w:space="0" w:color="auto"/>
        <w:left w:val="none" w:sz="0" w:space="0" w:color="auto"/>
        <w:bottom w:val="none" w:sz="0" w:space="0" w:color="auto"/>
        <w:right w:val="none" w:sz="0" w:space="0" w:color="auto"/>
      </w:divBdr>
      <w:divsChild>
        <w:div w:id="74321870">
          <w:marLeft w:val="0"/>
          <w:marRight w:val="0"/>
          <w:marTop w:val="0"/>
          <w:marBottom w:val="0"/>
          <w:divBdr>
            <w:top w:val="none" w:sz="0" w:space="0" w:color="auto"/>
            <w:left w:val="none" w:sz="0" w:space="0" w:color="auto"/>
            <w:bottom w:val="none" w:sz="0" w:space="0" w:color="auto"/>
            <w:right w:val="none" w:sz="0" w:space="0" w:color="auto"/>
          </w:divBdr>
        </w:div>
        <w:div w:id="1728381567">
          <w:marLeft w:val="0"/>
          <w:marRight w:val="0"/>
          <w:marTop w:val="0"/>
          <w:marBottom w:val="0"/>
          <w:divBdr>
            <w:top w:val="none" w:sz="0" w:space="0" w:color="auto"/>
            <w:left w:val="none" w:sz="0" w:space="0" w:color="auto"/>
            <w:bottom w:val="none" w:sz="0" w:space="0" w:color="auto"/>
            <w:right w:val="none" w:sz="0" w:space="0" w:color="auto"/>
          </w:divBdr>
        </w:div>
        <w:div w:id="1212763068">
          <w:marLeft w:val="0"/>
          <w:marRight w:val="0"/>
          <w:marTop w:val="0"/>
          <w:marBottom w:val="0"/>
          <w:divBdr>
            <w:top w:val="none" w:sz="0" w:space="0" w:color="auto"/>
            <w:left w:val="none" w:sz="0" w:space="0" w:color="auto"/>
            <w:bottom w:val="none" w:sz="0" w:space="0" w:color="auto"/>
            <w:right w:val="none" w:sz="0" w:space="0" w:color="auto"/>
          </w:divBdr>
        </w:div>
        <w:div w:id="236282885">
          <w:marLeft w:val="0"/>
          <w:marRight w:val="0"/>
          <w:marTop w:val="0"/>
          <w:marBottom w:val="0"/>
          <w:divBdr>
            <w:top w:val="none" w:sz="0" w:space="0" w:color="auto"/>
            <w:left w:val="none" w:sz="0" w:space="0" w:color="auto"/>
            <w:bottom w:val="none" w:sz="0" w:space="0" w:color="auto"/>
            <w:right w:val="none" w:sz="0" w:space="0" w:color="auto"/>
          </w:divBdr>
        </w:div>
        <w:div w:id="652411774">
          <w:marLeft w:val="0"/>
          <w:marRight w:val="0"/>
          <w:marTop w:val="0"/>
          <w:marBottom w:val="0"/>
          <w:divBdr>
            <w:top w:val="none" w:sz="0" w:space="0" w:color="auto"/>
            <w:left w:val="none" w:sz="0" w:space="0" w:color="auto"/>
            <w:bottom w:val="none" w:sz="0" w:space="0" w:color="auto"/>
            <w:right w:val="none" w:sz="0" w:space="0" w:color="auto"/>
          </w:divBdr>
        </w:div>
        <w:div w:id="224806510">
          <w:marLeft w:val="0"/>
          <w:marRight w:val="0"/>
          <w:marTop w:val="0"/>
          <w:marBottom w:val="0"/>
          <w:divBdr>
            <w:top w:val="none" w:sz="0" w:space="0" w:color="auto"/>
            <w:left w:val="none" w:sz="0" w:space="0" w:color="auto"/>
            <w:bottom w:val="none" w:sz="0" w:space="0" w:color="auto"/>
            <w:right w:val="none" w:sz="0" w:space="0" w:color="auto"/>
          </w:divBdr>
        </w:div>
        <w:div w:id="2080900012">
          <w:marLeft w:val="0"/>
          <w:marRight w:val="0"/>
          <w:marTop w:val="0"/>
          <w:marBottom w:val="0"/>
          <w:divBdr>
            <w:top w:val="none" w:sz="0" w:space="0" w:color="auto"/>
            <w:left w:val="none" w:sz="0" w:space="0" w:color="auto"/>
            <w:bottom w:val="none" w:sz="0" w:space="0" w:color="auto"/>
            <w:right w:val="none" w:sz="0" w:space="0" w:color="auto"/>
          </w:divBdr>
        </w:div>
        <w:div w:id="1571305758">
          <w:marLeft w:val="0"/>
          <w:marRight w:val="0"/>
          <w:marTop w:val="0"/>
          <w:marBottom w:val="0"/>
          <w:divBdr>
            <w:top w:val="none" w:sz="0" w:space="0" w:color="auto"/>
            <w:left w:val="none" w:sz="0" w:space="0" w:color="auto"/>
            <w:bottom w:val="none" w:sz="0" w:space="0" w:color="auto"/>
            <w:right w:val="none" w:sz="0" w:space="0" w:color="auto"/>
          </w:divBdr>
        </w:div>
        <w:div w:id="1572539000">
          <w:marLeft w:val="0"/>
          <w:marRight w:val="0"/>
          <w:marTop w:val="0"/>
          <w:marBottom w:val="0"/>
          <w:divBdr>
            <w:top w:val="none" w:sz="0" w:space="0" w:color="auto"/>
            <w:left w:val="none" w:sz="0" w:space="0" w:color="auto"/>
            <w:bottom w:val="none" w:sz="0" w:space="0" w:color="auto"/>
            <w:right w:val="none" w:sz="0" w:space="0" w:color="auto"/>
          </w:divBdr>
        </w:div>
        <w:div w:id="779839668">
          <w:marLeft w:val="0"/>
          <w:marRight w:val="0"/>
          <w:marTop w:val="0"/>
          <w:marBottom w:val="0"/>
          <w:divBdr>
            <w:top w:val="none" w:sz="0" w:space="0" w:color="auto"/>
            <w:left w:val="none" w:sz="0" w:space="0" w:color="auto"/>
            <w:bottom w:val="none" w:sz="0" w:space="0" w:color="auto"/>
            <w:right w:val="none" w:sz="0" w:space="0" w:color="auto"/>
          </w:divBdr>
        </w:div>
        <w:div w:id="1750032068">
          <w:marLeft w:val="0"/>
          <w:marRight w:val="0"/>
          <w:marTop w:val="0"/>
          <w:marBottom w:val="0"/>
          <w:divBdr>
            <w:top w:val="none" w:sz="0" w:space="0" w:color="auto"/>
            <w:left w:val="none" w:sz="0" w:space="0" w:color="auto"/>
            <w:bottom w:val="none" w:sz="0" w:space="0" w:color="auto"/>
            <w:right w:val="none" w:sz="0" w:space="0" w:color="auto"/>
          </w:divBdr>
        </w:div>
        <w:div w:id="942494503">
          <w:marLeft w:val="0"/>
          <w:marRight w:val="0"/>
          <w:marTop w:val="0"/>
          <w:marBottom w:val="0"/>
          <w:divBdr>
            <w:top w:val="none" w:sz="0" w:space="0" w:color="auto"/>
            <w:left w:val="none" w:sz="0" w:space="0" w:color="auto"/>
            <w:bottom w:val="none" w:sz="0" w:space="0" w:color="auto"/>
            <w:right w:val="none" w:sz="0" w:space="0" w:color="auto"/>
          </w:divBdr>
        </w:div>
        <w:div w:id="503517336">
          <w:marLeft w:val="0"/>
          <w:marRight w:val="0"/>
          <w:marTop w:val="0"/>
          <w:marBottom w:val="0"/>
          <w:divBdr>
            <w:top w:val="none" w:sz="0" w:space="0" w:color="auto"/>
            <w:left w:val="none" w:sz="0" w:space="0" w:color="auto"/>
            <w:bottom w:val="none" w:sz="0" w:space="0" w:color="auto"/>
            <w:right w:val="none" w:sz="0" w:space="0" w:color="auto"/>
          </w:divBdr>
        </w:div>
        <w:div w:id="290787636">
          <w:marLeft w:val="0"/>
          <w:marRight w:val="0"/>
          <w:marTop w:val="0"/>
          <w:marBottom w:val="0"/>
          <w:divBdr>
            <w:top w:val="none" w:sz="0" w:space="0" w:color="auto"/>
            <w:left w:val="none" w:sz="0" w:space="0" w:color="auto"/>
            <w:bottom w:val="none" w:sz="0" w:space="0" w:color="auto"/>
            <w:right w:val="none" w:sz="0" w:space="0" w:color="auto"/>
          </w:divBdr>
        </w:div>
        <w:div w:id="1920284824">
          <w:marLeft w:val="0"/>
          <w:marRight w:val="0"/>
          <w:marTop w:val="0"/>
          <w:marBottom w:val="0"/>
          <w:divBdr>
            <w:top w:val="none" w:sz="0" w:space="0" w:color="auto"/>
            <w:left w:val="none" w:sz="0" w:space="0" w:color="auto"/>
            <w:bottom w:val="none" w:sz="0" w:space="0" w:color="auto"/>
            <w:right w:val="none" w:sz="0" w:space="0" w:color="auto"/>
          </w:divBdr>
        </w:div>
      </w:divsChild>
    </w:div>
    <w:div w:id="1213076885">
      <w:bodyDiv w:val="1"/>
      <w:marLeft w:val="0"/>
      <w:marRight w:val="0"/>
      <w:marTop w:val="0"/>
      <w:marBottom w:val="0"/>
      <w:divBdr>
        <w:top w:val="none" w:sz="0" w:space="0" w:color="auto"/>
        <w:left w:val="none" w:sz="0" w:space="0" w:color="auto"/>
        <w:bottom w:val="none" w:sz="0" w:space="0" w:color="auto"/>
        <w:right w:val="none" w:sz="0" w:space="0" w:color="auto"/>
      </w:divBdr>
    </w:div>
    <w:div w:id="1227178794">
      <w:bodyDiv w:val="1"/>
      <w:marLeft w:val="0"/>
      <w:marRight w:val="0"/>
      <w:marTop w:val="0"/>
      <w:marBottom w:val="0"/>
      <w:divBdr>
        <w:top w:val="none" w:sz="0" w:space="0" w:color="auto"/>
        <w:left w:val="none" w:sz="0" w:space="0" w:color="auto"/>
        <w:bottom w:val="none" w:sz="0" w:space="0" w:color="auto"/>
        <w:right w:val="none" w:sz="0" w:space="0" w:color="auto"/>
      </w:divBdr>
    </w:div>
    <w:div w:id="1241014769">
      <w:bodyDiv w:val="1"/>
      <w:marLeft w:val="0"/>
      <w:marRight w:val="0"/>
      <w:marTop w:val="0"/>
      <w:marBottom w:val="0"/>
      <w:divBdr>
        <w:top w:val="none" w:sz="0" w:space="0" w:color="auto"/>
        <w:left w:val="none" w:sz="0" w:space="0" w:color="auto"/>
        <w:bottom w:val="none" w:sz="0" w:space="0" w:color="auto"/>
        <w:right w:val="none" w:sz="0" w:space="0" w:color="auto"/>
      </w:divBdr>
    </w:div>
    <w:div w:id="1241522200">
      <w:bodyDiv w:val="1"/>
      <w:marLeft w:val="0"/>
      <w:marRight w:val="0"/>
      <w:marTop w:val="0"/>
      <w:marBottom w:val="0"/>
      <w:divBdr>
        <w:top w:val="none" w:sz="0" w:space="0" w:color="auto"/>
        <w:left w:val="none" w:sz="0" w:space="0" w:color="auto"/>
        <w:bottom w:val="none" w:sz="0" w:space="0" w:color="auto"/>
        <w:right w:val="none" w:sz="0" w:space="0" w:color="auto"/>
      </w:divBdr>
      <w:divsChild>
        <w:div w:id="1805728481">
          <w:marLeft w:val="0"/>
          <w:marRight w:val="0"/>
          <w:marTop w:val="0"/>
          <w:marBottom w:val="0"/>
          <w:divBdr>
            <w:top w:val="none" w:sz="0" w:space="0" w:color="auto"/>
            <w:left w:val="none" w:sz="0" w:space="0" w:color="auto"/>
            <w:bottom w:val="none" w:sz="0" w:space="0" w:color="auto"/>
            <w:right w:val="none" w:sz="0" w:space="0" w:color="auto"/>
          </w:divBdr>
        </w:div>
        <w:div w:id="1745251779">
          <w:marLeft w:val="0"/>
          <w:marRight w:val="0"/>
          <w:marTop w:val="0"/>
          <w:marBottom w:val="0"/>
          <w:divBdr>
            <w:top w:val="none" w:sz="0" w:space="0" w:color="auto"/>
            <w:left w:val="none" w:sz="0" w:space="0" w:color="auto"/>
            <w:bottom w:val="none" w:sz="0" w:space="0" w:color="auto"/>
            <w:right w:val="none" w:sz="0" w:space="0" w:color="auto"/>
          </w:divBdr>
        </w:div>
        <w:div w:id="2048948060">
          <w:marLeft w:val="0"/>
          <w:marRight w:val="0"/>
          <w:marTop w:val="0"/>
          <w:marBottom w:val="0"/>
          <w:divBdr>
            <w:top w:val="none" w:sz="0" w:space="0" w:color="auto"/>
            <w:left w:val="none" w:sz="0" w:space="0" w:color="auto"/>
            <w:bottom w:val="none" w:sz="0" w:space="0" w:color="auto"/>
            <w:right w:val="none" w:sz="0" w:space="0" w:color="auto"/>
          </w:divBdr>
        </w:div>
        <w:div w:id="766655145">
          <w:marLeft w:val="0"/>
          <w:marRight w:val="0"/>
          <w:marTop w:val="0"/>
          <w:marBottom w:val="0"/>
          <w:divBdr>
            <w:top w:val="none" w:sz="0" w:space="0" w:color="auto"/>
            <w:left w:val="none" w:sz="0" w:space="0" w:color="auto"/>
            <w:bottom w:val="none" w:sz="0" w:space="0" w:color="auto"/>
            <w:right w:val="none" w:sz="0" w:space="0" w:color="auto"/>
          </w:divBdr>
        </w:div>
        <w:div w:id="230700232">
          <w:marLeft w:val="0"/>
          <w:marRight w:val="0"/>
          <w:marTop w:val="0"/>
          <w:marBottom w:val="0"/>
          <w:divBdr>
            <w:top w:val="none" w:sz="0" w:space="0" w:color="auto"/>
            <w:left w:val="none" w:sz="0" w:space="0" w:color="auto"/>
            <w:bottom w:val="none" w:sz="0" w:space="0" w:color="auto"/>
            <w:right w:val="none" w:sz="0" w:space="0" w:color="auto"/>
          </w:divBdr>
        </w:div>
        <w:div w:id="2030138361">
          <w:marLeft w:val="0"/>
          <w:marRight w:val="0"/>
          <w:marTop w:val="0"/>
          <w:marBottom w:val="0"/>
          <w:divBdr>
            <w:top w:val="none" w:sz="0" w:space="0" w:color="auto"/>
            <w:left w:val="none" w:sz="0" w:space="0" w:color="auto"/>
            <w:bottom w:val="none" w:sz="0" w:space="0" w:color="auto"/>
            <w:right w:val="none" w:sz="0" w:space="0" w:color="auto"/>
          </w:divBdr>
        </w:div>
        <w:div w:id="807360273">
          <w:marLeft w:val="0"/>
          <w:marRight w:val="0"/>
          <w:marTop w:val="0"/>
          <w:marBottom w:val="0"/>
          <w:divBdr>
            <w:top w:val="none" w:sz="0" w:space="0" w:color="auto"/>
            <w:left w:val="none" w:sz="0" w:space="0" w:color="auto"/>
            <w:bottom w:val="none" w:sz="0" w:space="0" w:color="auto"/>
            <w:right w:val="none" w:sz="0" w:space="0" w:color="auto"/>
          </w:divBdr>
        </w:div>
      </w:divsChild>
    </w:div>
    <w:div w:id="1241989968">
      <w:bodyDiv w:val="1"/>
      <w:marLeft w:val="0"/>
      <w:marRight w:val="0"/>
      <w:marTop w:val="0"/>
      <w:marBottom w:val="0"/>
      <w:divBdr>
        <w:top w:val="none" w:sz="0" w:space="0" w:color="auto"/>
        <w:left w:val="none" w:sz="0" w:space="0" w:color="auto"/>
        <w:bottom w:val="none" w:sz="0" w:space="0" w:color="auto"/>
        <w:right w:val="none" w:sz="0" w:space="0" w:color="auto"/>
      </w:divBdr>
      <w:divsChild>
        <w:div w:id="694037794">
          <w:marLeft w:val="0"/>
          <w:marRight w:val="0"/>
          <w:marTop w:val="0"/>
          <w:marBottom w:val="0"/>
          <w:divBdr>
            <w:top w:val="none" w:sz="0" w:space="0" w:color="auto"/>
            <w:left w:val="none" w:sz="0" w:space="0" w:color="auto"/>
            <w:bottom w:val="none" w:sz="0" w:space="0" w:color="auto"/>
            <w:right w:val="none" w:sz="0" w:space="0" w:color="auto"/>
          </w:divBdr>
        </w:div>
        <w:div w:id="62994529">
          <w:marLeft w:val="0"/>
          <w:marRight w:val="0"/>
          <w:marTop w:val="0"/>
          <w:marBottom w:val="0"/>
          <w:divBdr>
            <w:top w:val="none" w:sz="0" w:space="0" w:color="auto"/>
            <w:left w:val="none" w:sz="0" w:space="0" w:color="auto"/>
            <w:bottom w:val="none" w:sz="0" w:space="0" w:color="auto"/>
            <w:right w:val="none" w:sz="0" w:space="0" w:color="auto"/>
          </w:divBdr>
        </w:div>
        <w:div w:id="202908376">
          <w:marLeft w:val="0"/>
          <w:marRight w:val="0"/>
          <w:marTop w:val="0"/>
          <w:marBottom w:val="0"/>
          <w:divBdr>
            <w:top w:val="none" w:sz="0" w:space="0" w:color="auto"/>
            <w:left w:val="none" w:sz="0" w:space="0" w:color="auto"/>
            <w:bottom w:val="none" w:sz="0" w:space="0" w:color="auto"/>
            <w:right w:val="none" w:sz="0" w:space="0" w:color="auto"/>
          </w:divBdr>
        </w:div>
      </w:divsChild>
    </w:div>
    <w:div w:id="1262760210">
      <w:bodyDiv w:val="1"/>
      <w:marLeft w:val="0"/>
      <w:marRight w:val="0"/>
      <w:marTop w:val="0"/>
      <w:marBottom w:val="0"/>
      <w:divBdr>
        <w:top w:val="none" w:sz="0" w:space="0" w:color="auto"/>
        <w:left w:val="none" w:sz="0" w:space="0" w:color="auto"/>
        <w:bottom w:val="none" w:sz="0" w:space="0" w:color="auto"/>
        <w:right w:val="none" w:sz="0" w:space="0" w:color="auto"/>
      </w:divBdr>
      <w:divsChild>
        <w:div w:id="1015111534">
          <w:marLeft w:val="0"/>
          <w:marRight w:val="0"/>
          <w:marTop w:val="0"/>
          <w:marBottom w:val="0"/>
          <w:divBdr>
            <w:top w:val="none" w:sz="0" w:space="0" w:color="auto"/>
            <w:left w:val="none" w:sz="0" w:space="0" w:color="auto"/>
            <w:bottom w:val="none" w:sz="0" w:space="0" w:color="auto"/>
            <w:right w:val="none" w:sz="0" w:space="0" w:color="auto"/>
          </w:divBdr>
        </w:div>
        <w:div w:id="490488371">
          <w:marLeft w:val="0"/>
          <w:marRight w:val="0"/>
          <w:marTop w:val="0"/>
          <w:marBottom w:val="0"/>
          <w:divBdr>
            <w:top w:val="none" w:sz="0" w:space="0" w:color="auto"/>
            <w:left w:val="none" w:sz="0" w:space="0" w:color="auto"/>
            <w:bottom w:val="none" w:sz="0" w:space="0" w:color="auto"/>
            <w:right w:val="none" w:sz="0" w:space="0" w:color="auto"/>
          </w:divBdr>
        </w:div>
      </w:divsChild>
    </w:div>
    <w:div w:id="1264457599">
      <w:bodyDiv w:val="1"/>
      <w:marLeft w:val="0"/>
      <w:marRight w:val="0"/>
      <w:marTop w:val="0"/>
      <w:marBottom w:val="0"/>
      <w:divBdr>
        <w:top w:val="none" w:sz="0" w:space="0" w:color="auto"/>
        <w:left w:val="none" w:sz="0" w:space="0" w:color="auto"/>
        <w:bottom w:val="none" w:sz="0" w:space="0" w:color="auto"/>
        <w:right w:val="none" w:sz="0" w:space="0" w:color="auto"/>
      </w:divBdr>
    </w:div>
    <w:div w:id="1274706045">
      <w:bodyDiv w:val="1"/>
      <w:marLeft w:val="0"/>
      <w:marRight w:val="0"/>
      <w:marTop w:val="0"/>
      <w:marBottom w:val="0"/>
      <w:divBdr>
        <w:top w:val="none" w:sz="0" w:space="0" w:color="auto"/>
        <w:left w:val="none" w:sz="0" w:space="0" w:color="auto"/>
        <w:bottom w:val="none" w:sz="0" w:space="0" w:color="auto"/>
        <w:right w:val="none" w:sz="0" w:space="0" w:color="auto"/>
      </w:divBdr>
    </w:div>
    <w:div w:id="1276407969">
      <w:bodyDiv w:val="1"/>
      <w:marLeft w:val="0"/>
      <w:marRight w:val="0"/>
      <w:marTop w:val="0"/>
      <w:marBottom w:val="0"/>
      <w:divBdr>
        <w:top w:val="none" w:sz="0" w:space="0" w:color="auto"/>
        <w:left w:val="none" w:sz="0" w:space="0" w:color="auto"/>
        <w:bottom w:val="none" w:sz="0" w:space="0" w:color="auto"/>
        <w:right w:val="none" w:sz="0" w:space="0" w:color="auto"/>
      </w:divBdr>
    </w:div>
    <w:div w:id="1285578672">
      <w:bodyDiv w:val="1"/>
      <w:marLeft w:val="0"/>
      <w:marRight w:val="0"/>
      <w:marTop w:val="0"/>
      <w:marBottom w:val="0"/>
      <w:divBdr>
        <w:top w:val="none" w:sz="0" w:space="0" w:color="auto"/>
        <w:left w:val="none" w:sz="0" w:space="0" w:color="auto"/>
        <w:bottom w:val="none" w:sz="0" w:space="0" w:color="auto"/>
        <w:right w:val="none" w:sz="0" w:space="0" w:color="auto"/>
      </w:divBdr>
    </w:div>
    <w:div w:id="1287392730">
      <w:bodyDiv w:val="1"/>
      <w:marLeft w:val="0"/>
      <w:marRight w:val="0"/>
      <w:marTop w:val="0"/>
      <w:marBottom w:val="0"/>
      <w:divBdr>
        <w:top w:val="none" w:sz="0" w:space="0" w:color="auto"/>
        <w:left w:val="none" w:sz="0" w:space="0" w:color="auto"/>
        <w:bottom w:val="none" w:sz="0" w:space="0" w:color="auto"/>
        <w:right w:val="none" w:sz="0" w:space="0" w:color="auto"/>
      </w:divBdr>
    </w:div>
    <w:div w:id="1290168552">
      <w:bodyDiv w:val="1"/>
      <w:marLeft w:val="0"/>
      <w:marRight w:val="0"/>
      <w:marTop w:val="0"/>
      <w:marBottom w:val="0"/>
      <w:divBdr>
        <w:top w:val="none" w:sz="0" w:space="0" w:color="auto"/>
        <w:left w:val="none" w:sz="0" w:space="0" w:color="auto"/>
        <w:bottom w:val="none" w:sz="0" w:space="0" w:color="auto"/>
        <w:right w:val="none" w:sz="0" w:space="0" w:color="auto"/>
      </w:divBdr>
    </w:div>
    <w:div w:id="1303267019">
      <w:bodyDiv w:val="1"/>
      <w:marLeft w:val="0"/>
      <w:marRight w:val="0"/>
      <w:marTop w:val="0"/>
      <w:marBottom w:val="0"/>
      <w:divBdr>
        <w:top w:val="none" w:sz="0" w:space="0" w:color="auto"/>
        <w:left w:val="none" w:sz="0" w:space="0" w:color="auto"/>
        <w:bottom w:val="none" w:sz="0" w:space="0" w:color="auto"/>
        <w:right w:val="none" w:sz="0" w:space="0" w:color="auto"/>
      </w:divBdr>
      <w:divsChild>
        <w:div w:id="1163205347">
          <w:marLeft w:val="0"/>
          <w:marRight w:val="0"/>
          <w:marTop w:val="0"/>
          <w:marBottom w:val="0"/>
          <w:divBdr>
            <w:top w:val="none" w:sz="0" w:space="0" w:color="auto"/>
            <w:left w:val="none" w:sz="0" w:space="0" w:color="auto"/>
            <w:bottom w:val="none" w:sz="0" w:space="0" w:color="auto"/>
            <w:right w:val="none" w:sz="0" w:space="0" w:color="auto"/>
          </w:divBdr>
        </w:div>
        <w:div w:id="9917363">
          <w:marLeft w:val="0"/>
          <w:marRight w:val="0"/>
          <w:marTop w:val="0"/>
          <w:marBottom w:val="0"/>
          <w:divBdr>
            <w:top w:val="none" w:sz="0" w:space="0" w:color="auto"/>
            <w:left w:val="none" w:sz="0" w:space="0" w:color="auto"/>
            <w:bottom w:val="none" w:sz="0" w:space="0" w:color="auto"/>
            <w:right w:val="none" w:sz="0" w:space="0" w:color="auto"/>
          </w:divBdr>
        </w:div>
        <w:div w:id="292561793">
          <w:marLeft w:val="0"/>
          <w:marRight w:val="0"/>
          <w:marTop w:val="0"/>
          <w:marBottom w:val="0"/>
          <w:divBdr>
            <w:top w:val="none" w:sz="0" w:space="0" w:color="auto"/>
            <w:left w:val="none" w:sz="0" w:space="0" w:color="auto"/>
            <w:bottom w:val="none" w:sz="0" w:space="0" w:color="auto"/>
            <w:right w:val="none" w:sz="0" w:space="0" w:color="auto"/>
          </w:divBdr>
        </w:div>
        <w:div w:id="534464395">
          <w:marLeft w:val="0"/>
          <w:marRight w:val="0"/>
          <w:marTop w:val="0"/>
          <w:marBottom w:val="0"/>
          <w:divBdr>
            <w:top w:val="none" w:sz="0" w:space="0" w:color="auto"/>
            <w:left w:val="none" w:sz="0" w:space="0" w:color="auto"/>
            <w:bottom w:val="none" w:sz="0" w:space="0" w:color="auto"/>
            <w:right w:val="none" w:sz="0" w:space="0" w:color="auto"/>
          </w:divBdr>
        </w:div>
        <w:div w:id="924070133">
          <w:marLeft w:val="0"/>
          <w:marRight w:val="0"/>
          <w:marTop w:val="0"/>
          <w:marBottom w:val="0"/>
          <w:divBdr>
            <w:top w:val="none" w:sz="0" w:space="0" w:color="auto"/>
            <w:left w:val="none" w:sz="0" w:space="0" w:color="auto"/>
            <w:bottom w:val="none" w:sz="0" w:space="0" w:color="auto"/>
            <w:right w:val="none" w:sz="0" w:space="0" w:color="auto"/>
          </w:divBdr>
        </w:div>
      </w:divsChild>
    </w:div>
    <w:div w:id="1330599971">
      <w:bodyDiv w:val="1"/>
      <w:marLeft w:val="0"/>
      <w:marRight w:val="0"/>
      <w:marTop w:val="0"/>
      <w:marBottom w:val="0"/>
      <w:divBdr>
        <w:top w:val="none" w:sz="0" w:space="0" w:color="auto"/>
        <w:left w:val="none" w:sz="0" w:space="0" w:color="auto"/>
        <w:bottom w:val="none" w:sz="0" w:space="0" w:color="auto"/>
        <w:right w:val="none" w:sz="0" w:space="0" w:color="auto"/>
      </w:divBdr>
    </w:div>
    <w:div w:id="1333752844">
      <w:bodyDiv w:val="1"/>
      <w:marLeft w:val="0"/>
      <w:marRight w:val="0"/>
      <w:marTop w:val="0"/>
      <w:marBottom w:val="0"/>
      <w:divBdr>
        <w:top w:val="none" w:sz="0" w:space="0" w:color="auto"/>
        <w:left w:val="none" w:sz="0" w:space="0" w:color="auto"/>
        <w:bottom w:val="none" w:sz="0" w:space="0" w:color="auto"/>
        <w:right w:val="none" w:sz="0" w:space="0" w:color="auto"/>
      </w:divBdr>
      <w:divsChild>
        <w:div w:id="1835341723">
          <w:marLeft w:val="0"/>
          <w:marRight w:val="0"/>
          <w:marTop w:val="0"/>
          <w:marBottom w:val="0"/>
          <w:divBdr>
            <w:top w:val="none" w:sz="0" w:space="0" w:color="auto"/>
            <w:left w:val="none" w:sz="0" w:space="0" w:color="auto"/>
            <w:bottom w:val="none" w:sz="0" w:space="0" w:color="auto"/>
            <w:right w:val="none" w:sz="0" w:space="0" w:color="auto"/>
          </w:divBdr>
        </w:div>
        <w:div w:id="606698157">
          <w:marLeft w:val="0"/>
          <w:marRight w:val="0"/>
          <w:marTop w:val="0"/>
          <w:marBottom w:val="0"/>
          <w:divBdr>
            <w:top w:val="none" w:sz="0" w:space="0" w:color="auto"/>
            <w:left w:val="none" w:sz="0" w:space="0" w:color="auto"/>
            <w:bottom w:val="none" w:sz="0" w:space="0" w:color="auto"/>
            <w:right w:val="none" w:sz="0" w:space="0" w:color="auto"/>
          </w:divBdr>
        </w:div>
        <w:div w:id="1928881038">
          <w:marLeft w:val="0"/>
          <w:marRight w:val="0"/>
          <w:marTop w:val="0"/>
          <w:marBottom w:val="0"/>
          <w:divBdr>
            <w:top w:val="none" w:sz="0" w:space="0" w:color="auto"/>
            <w:left w:val="none" w:sz="0" w:space="0" w:color="auto"/>
            <w:bottom w:val="none" w:sz="0" w:space="0" w:color="auto"/>
            <w:right w:val="none" w:sz="0" w:space="0" w:color="auto"/>
          </w:divBdr>
        </w:div>
        <w:div w:id="1547066066">
          <w:marLeft w:val="0"/>
          <w:marRight w:val="0"/>
          <w:marTop w:val="0"/>
          <w:marBottom w:val="0"/>
          <w:divBdr>
            <w:top w:val="none" w:sz="0" w:space="0" w:color="auto"/>
            <w:left w:val="none" w:sz="0" w:space="0" w:color="auto"/>
            <w:bottom w:val="none" w:sz="0" w:space="0" w:color="auto"/>
            <w:right w:val="none" w:sz="0" w:space="0" w:color="auto"/>
          </w:divBdr>
        </w:div>
        <w:div w:id="986713284">
          <w:marLeft w:val="0"/>
          <w:marRight w:val="0"/>
          <w:marTop w:val="0"/>
          <w:marBottom w:val="0"/>
          <w:divBdr>
            <w:top w:val="none" w:sz="0" w:space="0" w:color="auto"/>
            <w:left w:val="none" w:sz="0" w:space="0" w:color="auto"/>
            <w:bottom w:val="none" w:sz="0" w:space="0" w:color="auto"/>
            <w:right w:val="none" w:sz="0" w:space="0" w:color="auto"/>
          </w:divBdr>
        </w:div>
      </w:divsChild>
    </w:div>
    <w:div w:id="1334601394">
      <w:bodyDiv w:val="1"/>
      <w:marLeft w:val="0"/>
      <w:marRight w:val="0"/>
      <w:marTop w:val="0"/>
      <w:marBottom w:val="0"/>
      <w:divBdr>
        <w:top w:val="none" w:sz="0" w:space="0" w:color="auto"/>
        <w:left w:val="none" w:sz="0" w:space="0" w:color="auto"/>
        <w:bottom w:val="none" w:sz="0" w:space="0" w:color="auto"/>
        <w:right w:val="none" w:sz="0" w:space="0" w:color="auto"/>
      </w:divBdr>
      <w:divsChild>
        <w:div w:id="1159157034">
          <w:marLeft w:val="0"/>
          <w:marRight w:val="0"/>
          <w:marTop w:val="0"/>
          <w:marBottom w:val="0"/>
          <w:divBdr>
            <w:top w:val="none" w:sz="0" w:space="0" w:color="auto"/>
            <w:left w:val="none" w:sz="0" w:space="0" w:color="auto"/>
            <w:bottom w:val="none" w:sz="0" w:space="0" w:color="auto"/>
            <w:right w:val="none" w:sz="0" w:space="0" w:color="auto"/>
          </w:divBdr>
        </w:div>
        <w:div w:id="1508442614">
          <w:marLeft w:val="0"/>
          <w:marRight w:val="0"/>
          <w:marTop w:val="0"/>
          <w:marBottom w:val="0"/>
          <w:divBdr>
            <w:top w:val="none" w:sz="0" w:space="0" w:color="auto"/>
            <w:left w:val="none" w:sz="0" w:space="0" w:color="auto"/>
            <w:bottom w:val="none" w:sz="0" w:space="0" w:color="auto"/>
            <w:right w:val="none" w:sz="0" w:space="0" w:color="auto"/>
          </w:divBdr>
        </w:div>
        <w:div w:id="1131628879">
          <w:marLeft w:val="0"/>
          <w:marRight w:val="0"/>
          <w:marTop w:val="0"/>
          <w:marBottom w:val="0"/>
          <w:divBdr>
            <w:top w:val="none" w:sz="0" w:space="0" w:color="auto"/>
            <w:left w:val="none" w:sz="0" w:space="0" w:color="auto"/>
            <w:bottom w:val="none" w:sz="0" w:space="0" w:color="auto"/>
            <w:right w:val="none" w:sz="0" w:space="0" w:color="auto"/>
          </w:divBdr>
        </w:div>
        <w:div w:id="1721906426">
          <w:marLeft w:val="0"/>
          <w:marRight w:val="0"/>
          <w:marTop w:val="0"/>
          <w:marBottom w:val="0"/>
          <w:divBdr>
            <w:top w:val="none" w:sz="0" w:space="0" w:color="auto"/>
            <w:left w:val="none" w:sz="0" w:space="0" w:color="auto"/>
            <w:bottom w:val="none" w:sz="0" w:space="0" w:color="auto"/>
            <w:right w:val="none" w:sz="0" w:space="0" w:color="auto"/>
          </w:divBdr>
        </w:div>
        <w:div w:id="1952934171">
          <w:marLeft w:val="0"/>
          <w:marRight w:val="0"/>
          <w:marTop w:val="0"/>
          <w:marBottom w:val="0"/>
          <w:divBdr>
            <w:top w:val="none" w:sz="0" w:space="0" w:color="auto"/>
            <w:left w:val="none" w:sz="0" w:space="0" w:color="auto"/>
            <w:bottom w:val="none" w:sz="0" w:space="0" w:color="auto"/>
            <w:right w:val="none" w:sz="0" w:space="0" w:color="auto"/>
          </w:divBdr>
        </w:div>
        <w:div w:id="1722509924">
          <w:marLeft w:val="0"/>
          <w:marRight w:val="0"/>
          <w:marTop w:val="0"/>
          <w:marBottom w:val="0"/>
          <w:divBdr>
            <w:top w:val="none" w:sz="0" w:space="0" w:color="auto"/>
            <w:left w:val="none" w:sz="0" w:space="0" w:color="auto"/>
            <w:bottom w:val="none" w:sz="0" w:space="0" w:color="auto"/>
            <w:right w:val="none" w:sz="0" w:space="0" w:color="auto"/>
          </w:divBdr>
        </w:div>
        <w:div w:id="498156652">
          <w:marLeft w:val="0"/>
          <w:marRight w:val="0"/>
          <w:marTop w:val="0"/>
          <w:marBottom w:val="0"/>
          <w:divBdr>
            <w:top w:val="none" w:sz="0" w:space="0" w:color="auto"/>
            <w:left w:val="none" w:sz="0" w:space="0" w:color="auto"/>
            <w:bottom w:val="none" w:sz="0" w:space="0" w:color="auto"/>
            <w:right w:val="none" w:sz="0" w:space="0" w:color="auto"/>
          </w:divBdr>
        </w:div>
        <w:div w:id="94180424">
          <w:marLeft w:val="0"/>
          <w:marRight w:val="0"/>
          <w:marTop w:val="0"/>
          <w:marBottom w:val="0"/>
          <w:divBdr>
            <w:top w:val="none" w:sz="0" w:space="0" w:color="auto"/>
            <w:left w:val="none" w:sz="0" w:space="0" w:color="auto"/>
            <w:bottom w:val="none" w:sz="0" w:space="0" w:color="auto"/>
            <w:right w:val="none" w:sz="0" w:space="0" w:color="auto"/>
          </w:divBdr>
        </w:div>
        <w:div w:id="789276151">
          <w:marLeft w:val="0"/>
          <w:marRight w:val="0"/>
          <w:marTop w:val="0"/>
          <w:marBottom w:val="0"/>
          <w:divBdr>
            <w:top w:val="none" w:sz="0" w:space="0" w:color="auto"/>
            <w:left w:val="none" w:sz="0" w:space="0" w:color="auto"/>
            <w:bottom w:val="none" w:sz="0" w:space="0" w:color="auto"/>
            <w:right w:val="none" w:sz="0" w:space="0" w:color="auto"/>
          </w:divBdr>
        </w:div>
        <w:div w:id="1286811622">
          <w:marLeft w:val="0"/>
          <w:marRight w:val="0"/>
          <w:marTop w:val="0"/>
          <w:marBottom w:val="0"/>
          <w:divBdr>
            <w:top w:val="none" w:sz="0" w:space="0" w:color="auto"/>
            <w:left w:val="none" w:sz="0" w:space="0" w:color="auto"/>
            <w:bottom w:val="none" w:sz="0" w:space="0" w:color="auto"/>
            <w:right w:val="none" w:sz="0" w:space="0" w:color="auto"/>
          </w:divBdr>
        </w:div>
        <w:div w:id="773482283">
          <w:marLeft w:val="0"/>
          <w:marRight w:val="0"/>
          <w:marTop w:val="0"/>
          <w:marBottom w:val="0"/>
          <w:divBdr>
            <w:top w:val="none" w:sz="0" w:space="0" w:color="auto"/>
            <w:left w:val="none" w:sz="0" w:space="0" w:color="auto"/>
            <w:bottom w:val="none" w:sz="0" w:space="0" w:color="auto"/>
            <w:right w:val="none" w:sz="0" w:space="0" w:color="auto"/>
          </w:divBdr>
        </w:div>
        <w:div w:id="267812440">
          <w:marLeft w:val="0"/>
          <w:marRight w:val="0"/>
          <w:marTop w:val="0"/>
          <w:marBottom w:val="0"/>
          <w:divBdr>
            <w:top w:val="none" w:sz="0" w:space="0" w:color="auto"/>
            <w:left w:val="none" w:sz="0" w:space="0" w:color="auto"/>
            <w:bottom w:val="none" w:sz="0" w:space="0" w:color="auto"/>
            <w:right w:val="none" w:sz="0" w:space="0" w:color="auto"/>
          </w:divBdr>
        </w:div>
        <w:div w:id="621768089">
          <w:marLeft w:val="0"/>
          <w:marRight w:val="0"/>
          <w:marTop w:val="0"/>
          <w:marBottom w:val="0"/>
          <w:divBdr>
            <w:top w:val="none" w:sz="0" w:space="0" w:color="auto"/>
            <w:left w:val="none" w:sz="0" w:space="0" w:color="auto"/>
            <w:bottom w:val="none" w:sz="0" w:space="0" w:color="auto"/>
            <w:right w:val="none" w:sz="0" w:space="0" w:color="auto"/>
          </w:divBdr>
        </w:div>
        <w:div w:id="868684880">
          <w:marLeft w:val="0"/>
          <w:marRight w:val="0"/>
          <w:marTop w:val="0"/>
          <w:marBottom w:val="0"/>
          <w:divBdr>
            <w:top w:val="none" w:sz="0" w:space="0" w:color="auto"/>
            <w:left w:val="none" w:sz="0" w:space="0" w:color="auto"/>
            <w:bottom w:val="none" w:sz="0" w:space="0" w:color="auto"/>
            <w:right w:val="none" w:sz="0" w:space="0" w:color="auto"/>
          </w:divBdr>
        </w:div>
        <w:div w:id="1417482382">
          <w:marLeft w:val="0"/>
          <w:marRight w:val="0"/>
          <w:marTop w:val="0"/>
          <w:marBottom w:val="0"/>
          <w:divBdr>
            <w:top w:val="none" w:sz="0" w:space="0" w:color="auto"/>
            <w:left w:val="none" w:sz="0" w:space="0" w:color="auto"/>
            <w:bottom w:val="none" w:sz="0" w:space="0" w:color="auto"/>
            <w:right w:val="none" w:sz="0" w:space="0" w:color="auto"/>
          </w:divBdr>
        </w:div>
        <w:div w:id="815415403">
          <w:marLeft w:val="0"/>
          <w:marRight w:val="0"/>
          <w:marTop w:val="0"/>
          <w:marBottom w:val="0"/>
          <w:divBdr>
            <w:top w:val="none" w:sz="0" w:space="0" w:color="auto"/>
            <w:left w:val="none" w:sz="0" w:space="0" w:color="auto"/>
            <w:bottom w:val="none" w:sz="0" w:space="0" w:color="auto"/>
            <w:right w:val="none" w:sz="0" w:space="0" w:color="auto"/>
          </w:divBdr>
        </w:div>
        <w:div w:id="1501191541">
          <w:marLeft w:val="0"/>
          <w:marRight w:val="0"/>
          <w:marTop w:val="0"/>
          <w:marBottom w:val="0"/>
          <w:divBdr>
            <w:top w:val="none" w:sz="0" w:space="0" w:color="auto"/>
            <w:left w:val="none" w:sz="0" w:space="0" w:color="auto"/>
            <w:bottom w:val="none" w:sz="0" w:space="0" w:color="auto"/>
            <w:right w:val="none" w:sz="0" w:space="0" w:color="auto"/>
          </w:divBdr>
        </w:div>
        <w:div w:id="2066220595">
          <w:marLeft w:val="0"/>
          <w:marRight w:val="0"/>
          <w:marTop w:val="0"/>
          <w:marBottom w:val="0"/>
          <w:divBdr>
            <w:top w:val="none" w:sz="0" w:space="0" w:color="auto"/>
            <w:left w:val="none" w:sz="0" w:space="0" w:color="auto"/>
            <w:bottom w:val="none" w:sz="0" w:space="0" w:color="auto"/>
            <w:right w:val="none" w:sz="0" w:space="0" w:color="auto"/>
          </w:divBdr>
        </w:div>
        <w:div w:id="1803107561">
          <w:marLeft w:val="0"/>
          <w:marRight w:val="0"/>
          <w:marTop w:val="0"/>
          <w:marBottom w:val="0"/>
          <w:divBdr>
            <w:top w:val="none" w:sz="0" w:space="0" w:color="auto"/>
            <w:left w:val="none" w:sz="0" w:space="0" w:color="auto"/>
            <w:bottom w:val="none" w:sz="0" w:space="0" w:color="auto"/>
            <w:right w:val="none" w:sz="0" w:space="0" w:color="auto"/>
          </w:divBdr>
        </w:div>
      </w:divsChild>
    </w:div>
    <w:div w:id="1336375012">
      <w:bodyDiv w:val="1"/>
      <w:marLeft w:val="0"/>
      <w:marRight w:val="0"/>
      <w:marTop w:val="0"/>
      <w:marBottom w:val="0"/>
      <w:divBdr>
        <w:top w:val="none" w:sz="0" w:space="0" w:color="auto"/>
        <w:left w:val="none" w:sz="0" w:space="0" w:color="auto"/>
        <w:bottom w:val="none" w:sz="0" w:space="0" w:color="auto"/>
        <w:right w:val="none" w:sz="0" w:space="0" w:color="auto"/>
      </w:divBdr>
      <w:divsChild>
        <w:div w:id="711197543">
          <w:marLeft w:val="0"/>
          <w:marRight w:val="0"/>
          <w:marTop w:val="0"/>
          <w:marBottom w:val="0"/>
          <w:divBdr>
            <w:top w:val="none" w:sz="0" w:space="0" w:color="auto"/>
            <w:left w:val="none" w:sz="0" w:space="0" w:color="auto"/>
            <w:bottom w:val="none" w:sz="0" w:space="0" w:color="auto"/>
            <w:right w:val="none" w:sz="0" w:space="0" w:color="auto"/>
          </w:divBdr>
        </w:div>
        <w:div w:id="241259950">
          <w:marLeft w:val="0"/>
          <w:marRight w:val="0"/>
          <w:marTop w:val="0"/>
          <w:marBottom w:val="0"/>
          <w:divBdr>
            <w:top w:val="none" w:sz="0" w:space="0" w:color="auto"/>
            <w:left w:val="none" w:sz="0" w:space="0" w:color="auto"/>
            <w:bottom w:val="none" w:sz="0" w:space="0" w:color="auto"/>
            <w:right w:val="none" w:sz="0" w:space="0" w:color="auto"/>
          </w:divBdr>
        </w:div>
        <w:div w:id="542207603">
          <w:marLeft w:val="0"/>
          <w:marRight w:val="0"/>
          <w:marTop w:val="0"/>
          <w:marBottom w:val="0"/>
          <w:divBdr>
            <w:top w:val="none" w:sz="0" w:space="0" w:color="auto"/>
            <w:left w:val="none" w:sz="0" w:space="0" w:color="auto"/>
            <w:bottom w:val="none" w:sz="0" w:space="0" w:color="auto"/>
            <w:right w:val="none" w:sz="0" w:space="0" w:color="auto"/>
          </w:divBdr>
        </w:div>
      </w:divsChild>
    </w:div>
    <w:div w:id="1348021006">
      <w:bodyDiv w:val="1"/>
      <w:marLeft w:val="0"/>
      <w:marRight w:val="0"/>
      <w:marTop w:val="0"/>
      <w:marBottom w:val="0"/>
      <w:divBdr>
        <w:top w:val="none" w:sz="0" w:space="0" w:color="auto"/>
        <w:left w:val="none" w:sz="0" w:space="0" w:color="auto"/>
        <w:bottom w:val="none" w:sz="0" w:space="0" w:color="auto"/>
        <w:right w:val="none" w:sz="0" w:space="0" w:color="auto"/>
      </w:divBdr>
    </w:div>
    <w:div w:id="1348367759">
      <w:bodyDiv w:val="1"/>
      <w:marLeft w:val="0"/>
      <w:marRight w:val="0"/>
      <w:marTop w:val="0"/>
      <w:marBottom w:val="0"/>
      <w:divBdr>
        <w:top w:val="none" w:sz="0" w:space="0" w:color="auto"/>
        <w:left w:val="none" w:sz="0" w:space="0" w:color="auto"/>
        <w:bottom w:val="none" w:sz="0" w:space="0" w:color="auto"/>
        <w:right w:val="none" w:sz="0" w:space="0" w:color="auto"/>
      </w:divBdr>
      <w:divsChild>
        <w:div w:id="1721663157">
          <w:marLeft w:val="0"/>
          <w:marRight w:val="0"/>
          <w:marTop w:val="0"/>
          <w:marBottom w:val="0"/>
          <w:divBdr>
            <w:top w:val="none" w:sz="0" w:space="0" w:color="auto"/>
            <w:left w:val="none" w:sz="0" w:space="0" w:color="auto"/>
            <w:bottom w:val="none" w:sz="0" w:space="0" w:color="auto"/>
            <w:right w:val="none" w:sz="0" w:space="0" w:color="auto"/>
          </w:divBdr>
        </w:div>
        <w:div w:id="29960385">
          <w:marLeft w:val="0"/>
          <w:marRight w:val="0"/>
          <w:marTop w:val="0"/>
          <w:marBottom w:val="0"/>
          <w:divBdr>
            <w:top w:val="none" w:sz="0" w:space="0" w:color="auto"/>
            <w:left w:val="none" w:sz="0" w:space="0" w:color="auto"/>
            <w:bottom w:val="none" w:sz="0" w:space="0" w:color="auto"/>
            <w:right w:val="none" w:sz="0" w:space="0" w:color="auto"/>
          </w:divBdr>
        </w:div>
        <w:div w:id="394671890">
          <w:marLeft w:val="0"/>
          <w:marRight w:val="0"/>
          <w:marTop w:val="0"/>
          <w:marBottom w:val="0"/>
          <w:divBdr>
            <w:top w:val="none" w:sz="0" w:space="0" w:color="auto"/>
            <w:left w:val="none" w:sz="0" w:space="0" w:color="auto"/>
            <w:bottom w:val="none" w:sz="0" w:space="0" w:color="auto"/>
            <w:right w:val="none" w:sz="0" w:space="0" w:color="auto"/>
          </w:divBdr>
        </w:div>
      </w:divsChild>
    </w:div>
    <w:div w:id="1365253381">
      <w:bodyDiv w:val="1"/>
      <w:marLeft w:val="0"/>
      <w:marRight w:val="0"/>
      <w:marTop w:val="0"/>
      <w:marBottom w:val="0"/>
      <w:divBdr>
        <w:top w:val="none" w:sz="0" w:space="0" w:color="auto"/>
        <w:left w:val="none" w:sz="0" w:space="0" w:color="auto"/>
        <w:bottom w:val="none" w:sz="0" w:space="0" w:color="auto"/>
        <w:right w:val="none" w:sz="0" w:space="0" w:color="auto"/>
      </w:divBdr>
    </w:div>
    <w:div w:id="1374234262">
      <w:bodyDiv w:val="1"/>
      <w:marLeft w:val="0"/>
      <w:marRight w:val="0"/>
      <w:marTop w:val="0"/>
      <w:marBottom w:val="0"/>
      <w:divBdr>
        <w:top w:val="none" w:sz="0" w:space="0" w:color="auto"/>
        <w:left w:val="none" w:sz="0" w:space="0" w:color="auto"/>
        <w:bottom w:val="none" w:sz="0" w:space="0" w:color="auto"/>
        <w:right w:val="none" w:sz="0" w:space="0" w:color="auto"/>
      </w:divBdr>
    </w:div>
    <w:div w:id="1377268989">
      <w:bodyDiv w:val="1"/>
      <w:marLeft w:val="0"/>
      <w:marRight w:val="0"/>
      <w:marTop w:val="0"/>
      <w:marBottom w:val="0"/>
      <w:divBdr>
        <w:top w:val="none" w:sz="0" w:space="0" w:color="auto"/>
        <w:left w:val="none" w:sz="0" w:space="0" w:color="auto"/>
        <w:bottom w:val="none" w:sz="0" w:space="0" w:color="auto"/>
        <w:right w:val="none" w:sz="0" w:space="0" w:color="auto"/>
      </w:divBdr>
    </w:div>
    <w:div w:id="1410467665">
      <w:bodyDiv w:val="1"/>
      <w:marLeft w:val="0"/>
      <w:marRight w:val="0"/>
      <w:marTop w:val="0"/>
      <w:marBottom w:val="0"/>
      <w:divBdr>
        <w:top w:val="none" w:sz="0" w:space="0" w:color="auto"/>
        <w:left w:val="none" w:sz="0" w:space="0" w:color="auto"/>
        <w:bottom w:val="none" w:sz="0" w:space="0" w:color="auto"/>
        <w:right w:val="none" w:sz="0" w:space="0" w:color="auto"/>
      </w:divBdr>
    </w:div>
    <w:div w:id="1426150102">
      <w:bodyDiv w:val="1"/>
      <w:marLeft w:val="0"/>
      <w:marRight w:val="0"/>
      <w:marTop w:val="0"/>
      <w:marBottom w:val="0"/>
      <w:divBdr>
        <w:top w:val="none" w:sz="0" w:space="0" w:color="auto"/>
        <w:left w:val="none" w:sz="0" w:space="0" w:color="auto"/>
        <w:bottom w:val="none" w:sz="0" w:space="0" w:color="auto"/>
        <w:right w:val="none" w:sz="0" w:space="0" w:color="auto"/>
      </w:divBdr>
      <w:divsChild>
        <w:div w:id="45228745">
          <w:marLeft w:val="0"/>
          <w:marRight w:val="0"/>
          <w:marTop w:val="0"/>
          <w:marBottom w:val="0"/>
          <w:divBdr>
            <w:top w:val="none" w:sz="0" w:space="0" w:color="auto"/>
            <w:left w:val="none" w:sz="0" w:space="0" w:color="auto"/>
            <w:bottom w:val="none" w:sz="0" w:space="0" w:color="auto"/>
            <w:right w:val="none" w:sz="0" w:space="0" w:color="auto"/>
          </w:divBdr>
        </w:div>
        <w:div w:id="307133776">
          <w:marLeft w:val="0"/>
          <w:marRight w:val="0"/>
          <w:marTop w:val="0"/>
          <w:marBottom w:val="0"/>
          <w:divBdr>
            <w:top w:val="none" w:sz="0" w:space="0" w:color="auto"/>
            <w:left w:val="none" w:sz="0" w:space="0" w:color="auto"/>
            <w:bottom w:val="none" w:sz="0" w:space="0" w:color="auto"/>
            <w:right w:val="none" w:sz="0" w:space="0" w:color="auto"/>
          </w:divBdr>
        </w:div>
        <w:div w:id="537549380">
          <w:marLeft w:val="0"/>
          <w:marRight w:val="0"/>
          <w:marTop w:val="0"/>
          <w:marBottom w:val="0"/>
          <w:divBdr>
            <w:top w:val="none" w:sz="0" w:space="0" w:color="auto"/>
            <w:left w:val="none" w:sz="0" w:space="0" w:color="auto"/>
            <w:bottom w:val="none" w:sz="0" w:space="0" w:color="auto"/>
            <w:right w:val="none" w:sz="0" w:space="0" w:color="auto"/>
          </w:divBdr>
        </w:div>
        <w:div w:id="34813799">
          <w:marLeft w:val="0"/>
          <w:marRight w:val="0"/>
          <w:marTop w:val="0"/>
          <w:marBottom w:val="0"/>
          <w:divBdr>
            <w:top w:val="none" w:sz="0" w:space="0" w:color="auto"/>
            <w:left w:val="none" w:sz="0" w:space="0" w:color="auto"/>
            <w:bottom w:val="none" w:sz="0" w:space="0" w:color="auto"/>
            <w:right w:val="none" w:sz="0" w:space="0" w:color="auto"/>
          </w:divBdr>
        </w:div>
        <w:div w:id="324600034">
          <w:marLeft w:val="0"/>
          <w:marRight w:val="0"/>
          <w:marTop w:val="0"/>
          <w:marBottom w:val="0"/>
          <w:divBdr>
            <w:top w:val="none" w:sz="0" w:space="0" w:color="auto"/>
            <w:left w:val="none" w:sz="0" w:space="0" w:color="auto"/>
            <w:bottom w:val="none" w:sz="0" w:space="0" w:color="auto"/>
            <w:right w:val="none" w:sz="0" w:space="0" w:color="auto"/>
          </w:divBdr>
        </w:div>
        <w:div w:id="1578398613">
          <w:marLeft w:val="0"/>
          <w:marRight w:val="0"/>
          <w:marTop w:val="0"/>
          <w:marBottom w:val="0"/>
          <w:divBdr>
            <w:top w:val="none" w:sz="0" w:space="0" w:color="auto"/>
            <w:left w:val="none" w:sz="0" w:space="0" w:color="auto"/>
            <w:bottom w:val="none" w:sz="0" w:space="0" w:color="auto"/>
            <w:right w:val="none" w:sz="0" w:space="0" w:color="auto"/>
          </w:divBdr>
        </w:div>
        <w:div w:id="863832872">
          <w:marLeft w:val="0"/>
          <w:marRight w:val="0"/>
          <w:marTop w:val="0"/>
          <w:marBottom w:val="0"/>
          <w:divBdr>
            <w:top w:val="none" w:sz="0" w:space="0" w:color="auto"/>
            <w:left w:val="none" w:sz="0" w:space="0" w:color="auto"/>
            <w:bottom w:val="none" w:sz="0" w:space="0" w:color="auto"/>
            <w:right w:val="none" w:sz="0" w:space="0" w:color="auto"/>
          </w:divBdr>
        </w:div>
        <w:div w:id="2008173457">
          <w:marLeft w:val="0"/>
          <w:marRight w:val="0"/>
          <w:marTop w:val="0"/>
          <w:marBottom w:val="0"/>
          <w:divBdr>
            <w:top w:val="none" w:sz="0" w:space="0" w:color="auto"/>
            <w:left w:val="none" w:sz="0" w:space="0" w:color="auto"/>
            <w:bottom w:val="none" w:sz="0" w:space="0" w:color="auto"/>
            <w:right w:val="none" w:sz="0" w:space="0" w:color="auto"/>
          </w:divBdr>
        </w:div>
        <w:div w:id="99840452">
          <w:marLeft w:val="0"/>
          <w:marRight w:val="0"/>
          <w:marTop w:val="0"/>
          <w:marBottom w:val="0"/>
          <w:divBdr>
            <w:top w:val="none" w:sz="0" w:space="0" w:color="auto"/>
            <w:left w:val="none" w:sz="0" w:space="0" w:color="auto"/>
            <w:bottom w:val="none" w:sz="0" w:space="0" w:color="auto"/>
            <w:right w:val="none" w:sz="0" w:space="0" w:color="auto"/>
          </w:divBdr>
        </w:div>
        <w:div w:id="487671765">
          <w:marLeft w:val="0"/>
          <w:marRight w:val="0"/>
          <w:marTop w:val="0"/>
          <w:marBottom w:val="0"/>
          <w:divBdr>
            <w:top w:val="none" w:sz="0" w:space="0" w:color="auto"/>
            <w:left w:val="none" w:sz="0" w:space="0" w:color="auto"/>
            <w:bottom w:val="none" w:sz="0" w:space="0" w:color="auto"/>
            <w:right w:val="none" w:sz="0" w:space="0" w:color="auto"/>
          </w:divBdr>
        </w:div>
      </w:divsChild>
    </w:div>
    <w:div w:id="1435437638">
      <w:bodyDiv w:val="1"/>
      <w:marLeft w:val="0"/>
      <w:marRight w:val="0"/>
      <w:marTop w:val="0"/>
      <w:marBottom w:val="0"/>
      <w:divBdr>
        <w:top w:val="none" w:sz="0" w:space="0" w:color="auto"/>
        <w:left w:val="none" w:sz="0" w:space="0" w:color="auto"/>
        <w:bottom w:val="none" w:sz="0" w:space="0" w:color="auto"/>
        <w:right w:val="none" w:sz="0" w:space="0" w:color="auto"/>
      </w:divBdr>
    </w:div>
    <w:div w:id="1442216485">
      <w:bodyDiv w:val="1"/>
      <w:marLeft w:val="0"/>
      <w:marRight w:val="0"/>
      <w:marTop w:val="0"/>
      <w:marBottom w:val="0"/>
      <w:divBdr>
        <w:top w:val="none" w:sz="0" w:space="0" w:color="auto"/>
        <w:left w:val="none" w:sz="0" w:space="0" w:color="auto"/>
        <w:bottom w:val="none" w:sz="0" w:space="0" w:color="auto"/>
        <w:right w:val="none" w:sz="0" w:space="0" w:color="auto"/>
      </w:divBdr>
      <w:divsChild>
        <w:div w:id="675500311">
          <w:marLeft w:val="0"/>
          <w:marRight w:val="0"/>
          <w:marTop w:val="0"/>
          <w:marBottom w:val="0"/>
          <w:divBdr>
            <w:top w:val="none" w:sz="0" w:space="0" w:color="auto"/>
            <w:left w:val="none" w:sz="0" w:space="0" w:color="auto"/>
            <w:bottom w:val="none" w:sz="0" w:space="0" w:color="auto"/>
            <w:right w:val="none" w:sz="0" w:space="0" w:color="auto"/>
          </w:divBdr>
        </w:div>
        <w:div w:id="73821414">
          <w:marLeft w:val="0"/>
          <w:marRight w:val="0"/>
          <w:marTop w:val="0"/>
          <w:marBottom w:val="0"/>
          <w:divBdr>
            <w:top w:val="none" w:sz="0" w:space="0" w:color="auto"/>
            <w:left w:val="none" w:sz="0" w:space="0" w:color="auto"/>
            <w:bottom w:val="none" w:sz="0" w:space="0" w:color="auto"/>
            <w:right w:val="none" w:sz="0" w:space="0" w:color="auto"/>
          </w:divBdr>
        </w:div>
        <w:div w:id="1612397244">
          <w:marLeft w:val="0"/>
          <w:marRight w:val="0"/>
          <w:marTop w:val="0"/>
          <w:marBottom w:val="0"/>
          <w:divBdr>
            <w:top w:val="none" w:sz="0" w:space="0" w:color="auto"/>
            <w:left w:val="none" w:sz="0" w:space="0" w:color="auto"/>
            <w:bottom w:val="none" w:sz="0" w:space="0" w:color="auto"/>
            <w:right w:val="none" w:sz="0" w:space="0" w:color="auto"/>
          </w:divBdr>
        </w:div>
        <w:div w:id="1785686676">
          <w:marLeft w:val="0"/>
          <w:marRight w:val="0"/>
          <w:marTop w:val="0"/>
          <w:marBottom w:val="0"/>
          <w:divBdr>
            <w:top w:val="none" w:sz="0" w:space="0" w:color="auto"/>
            <w:left w:val="none" w:sz="0" w:space="0" w:color="auto"/>
            <w:bottom w:val="none" w:sz="0" w:space="0" w:color="auto"/>
            <w:right w:val="none" w:sz="0" w:space="0" w:color="auto"/>
          </w:divBdr>
        </w:div>
      </w:divsChild>
    </w:div>
    <w:div w:id="1462187724">
      <w:bodyDiv w:val="1"/>
      <w:marLeft w:val="0"/>
      <w:marRight w:val="0"/>
      <w:marTop w:val="0"/>
      <w:marBottom w:val="0"/>
      <w:divBdr>
        <w:top w:val="none" w:sz="0" w:space="0" w:color="auto"/>
        <w:left w:val="none" w:sz="0" w:space="0" w:color="auto"/>
        <w:bottom w:val="none" w:sz="0" w:space="0" w:color="auto"/>
        <w:right w:val="none" w:sz="0" w:space="0" w:color="auto"/>
      </w:divBdr>
      <w:divsChild>
        <w:div w:id="1155688156">
          <w:marLeft w:val="0"/>
          <w:marRight w:val="0"/>
          <w:marTop w:val="0"/>
          <w:marBottom w:val="0"/>
          <w:divBdr>
            <w:top w:val="none" w:sz="0" w:space="0" w:color="auto"/>
            <w:left w:val="none" w:sz="0" w:space="0" w:color="auto"/>
            <w:bottom w:val="none" w:sz="0" w:space="0" w:color="auto"/>
            <w:right w:val="none" w:sz="0" w:space="0" w:color="auto"/>
          </w:divBdr>
        </w:div>
        <w:div w:id="607546271">
          <w:marLeft w:val="0"/>
          <w:marRight w:val="0"/>
          <w:marTop w:val="0"/>
          <w:marBottom w:val="0"/>
          <w:divBdr>
            <w:top w:val="none" w:sz="0" w:space="0" w:color="auto"/>
            <w:left w:val="none" w:sz="0" w:space="0" w:color="auto"/>
            <w:bottom w:val="none" w:sz="0" w:space="0" w:color="auto"/>
            <w:right w:val="none" w:sz="0" w:space="0" w:color="auto"/>
          </w:divBdr>
        </w:div>
        <w:div w:id="1209031657">
          <w:marLeft w:val="0"/>
          <w:marRight w:val="0"/>
          <w:marTop w:val="0"/>
          <w:marBottom w:val="0"/>
          <w:divBdr>
            <w:top w:val="none" w:sz="0" w:space="0" w:color="auto"/>
            <w:left w:val="none" w:sz="0" w:space="0" w:color="auto"/>
            <w:bottom w:val="none" w:sz="0" w:space="0" w:color="auto"/>
            <w:right w:val="none" w:sz="0" w:space="0" w:color="auto"/>
          </w:divBdr>
        </w:div>
        <w:div w:id="657148388">
          <w:marLeft w:val="0"/>
          <w:marRight w:val="0"/>
          <w:marTop w:val="0"/>
          <w:marBottom w:val="0"/>
          <w:divBdr>
            <w:top w:val="none" w:sz="0" w:space="0" w:color="auto"/>
            <w:left w:val="none" w:sz="0" w:space="0" w:color="auto"/>
            <w:bottom w:val="none" w:sz="0" w:space="0" w:color="auto"/>
            <w:right w:val="none" w:sz="0" w:space="0" w:color="auto"/>
          </w:divBdr>
        </w:div>
        <w:div w:id="1376153999">
          <w:marLeft w:val="0"/>
          <w:marRight w:val="0"/>
          <w:marTop w:val="0"/>
          <w:marBottom w:val="0"/>
          <w:divBdr>
            <w:top w:val="none" w:sz="0" w:space="0" w:color="auto"/>
            <w:left w:val="none" w:sz="0" w:space="0" w:color="auto"/>
            <w:bottom w:val="none" w:sz="0" w:space="0" w:color="auto"/>
            <w:right w:val="none" w:sz="0" w:space="0" w:color="auto"/>
          </w:divBdr>
        </w:div>
        <w:div w:id="638074742">
          <w:marLeft w:val="0"/>
          <w:marRight w:val="0"/>
          <w:marTop w:val="0"/>
          <w:marBottom w:val="0"/>
          <w:divBdr>
            <w:top w:val="none" w:sz="0" w:space="0" w:color="auto"/>
            <w:left w:val="none" w:sz="0" w:space="0" w:color="auto"/>
            <w:bottom w:val="none" w:sz="0" w:space="0" w:color="auto"/>
            <w:right w:val="none" w:sz="0" w:space="0" w:color="auto"/>
          </w:divBdr>
        </w:div>
        <w:div w:id="532423345">
          <w:marLeft w:val="0"/>
          <w:marRight w:val="0"/>
          <w:marTop w:val="0"/>
          <w:marBottom w:val="0"/>
          <w:divBdr>
            <w:top w:val="none" w:sz="0" w:space="0" w:color="auto"/>
            <w:left w:val="none" w:sz="0" w:space="0" w:color="auto"/>
            <w:bottom w:val="none" w:sz="0" w:space="0" w:color="auto"/>
            <w:right w:val="none" w:sz="0" w:space="0" w:color="auto"/>
          </w:divBdr>
        </w:div>
        <w:div w:id="1668435760">
          <w:marLeft w:val="0"/>
          <w:marRight w:val="0"/>
          <w:marTop w:val="0"/>
          <w:marBottom w:val="0"/>
          <w:divBdr>
            <w:top w:val="none" w:sz="0" w:space="0" w:color="auto"/>
            <w:left w:val="none" w:sz="0" w:space="0" w:color="auto"/>
            <w:bottom w:val="none" w:sz="0" w:space="0" w:color="auto"/>
            <w:right w:val="none" w:sz="0" w:space="0" w:color="auto"/>
          </w:divBdr>
        </w:div>
        <w:div w:id="179323370">
          <w:marLeft w:val="0"/>
          <w:marRight w:val="0"/>
          <w:marTop w:val="0"/>
          <w:marBottom w:val="0"/>
          <w:divBdr>
            <w:top w:val="none" w:sz="0" w:space="0" w:color="auto"/>
            <w:left w:val="none" w:sz="0" w:space="0" w:color="auto"/>
            <w:bottom w:val="none" w:sz="0" w:space="0" w:color="auto"/>
            <w:right w:val="none" w:sz="0" w:space="0" w:color="auto"/>
          </w:divBdr>
        </w:div>
        <w:div w:id="999189007">
          <w:marLeft w:val="0"/>
          <w:marRight w:val="0"/>
          <w:marTop w:val="0"/>
          <w:marBottom w:val="0"/>
          <w:divBdr>
            <w:top w:val="none" w:sz="0" w:space="0" w:color="auto"/>
            <w:left w:val="none" w:sz="0" w:space="0" w:color="auto"/>
            <w:bottom w:val="none" w:sz="0" w:space="0" w:color="auto"/>
            <w:right w:val="none" w:sz="0" w:space="0" w:color="auto"/>
          </w:divBdr>
        </w:div>
        <w:div w:id="1651520594">
          <w:marLeft w:val="0"/>
          <w:marRight w:val="0"/>
          <w:marTop w:val="0"/>
          <w:marBottom w:val="0"/>
          <w:divBdr>
            <w:top w:val="none" w:sz="0" w:space="0" w:color="auto"/>
            <w:left w:val="none" w:sz="0" w:space="0" w:color="auto"/>
            <w:bottom w:val="none" w:sz="0" w:space="0" w:color="auto"/>
            <w:right w:val="none" w:sz="0" w:space="0" w:color="auto"/>
          </w:divBdr>
        </w:div>
        <w:div w:id="1395280222">
          <w:marLeft w:val="0"/>
          <w:marRight w:val="0"/>
          <w:marTop w:val="0"/>
          <w:marBottom w:val="0"/>
          <w:divBdr>
            <w:top w:val="none" w:sz="0" w:space="0" w:color="auto"/>
            <w:left w:val="none" w:sz="0" w:space="0" w:color="auto"/>
            <w:bottom w:val="none" w:sz="0" w:space="0" w:color="auto"/>
            <w:right w:val="none" w:sz="0" w:space="0" w:color="auto"/>
          </w:divBdr>
        </w:div>
        <w:div w:id="1218278534">
          <w:marLeft w:val="0"/>
          <w:marRight w:val="0"/>
          <w:marTop w:val="0"/>
          <w:marBottom w:val="0"/>
          <w:divBdr>
            <w:top w:val="none" w:sz="0" w:space="0" w:color="auto"/>
            <w:left w:val="none" w:sz="0" w:space="0" w:color="auto"/>
            <w:bottom w:val="none" w:sz="0" w:space="0" w:color="auto"/>
            <w:right w:val="none" w:sz="0" w:space="0" w:color="auto"/>
          </w:divBdr>
        </w:div>
        <w:div w:id="1717922512">
          <w:marLeft w:val="0"/>
          <w:marRight w:val="0"/>
          <w:marTop w:val="0"/>
          <w:marBottom w:val="0"/>
          <w:divBdr>
            <w:top w:val="none" w:sz="0" w:space="0" w:color="auto"/>
            <w:left w:val="none" w:sz="0" w:space="0" w:color="auto"/>
            <w:bottom w:val="none" w:sz="0" w:space="0" w:color="auto"/>
            <w:right w:val="none" w:sz="0" w:space="0" w:color="auto"/>
          </w:divBdr>
        </w:div>
        <w:div w:id="1401177516">
          <w:marLeft w:val="0"/>
          <w:marRight w:val="0"/>
          <w:marTop w:val="0"/>
          <w:marBottom w:val="0"/>
          <w:divBdr>
            <w:top w:val="none" w:sz="0" w:space="0" w:color="auto"/>
            <w:left w:val="none" w:sz="0" w:space="0" w:color="auto"/>
            <w:bottom w:val="none" w:sz="0" w:space="0" w:color="auto"/>
            <w:right w:val="none" w:sz="0" w:space="0" w:color="auto"/>
          </w:divBdr>
        </w:div>
        <w:div w:id="2115241793">
          <w:marLeft w:val="0"/>
          <w:marRight w:val="0"/>
          <w:marTop w:val="0"/>
          <w:marBottom w:val="0"/>
          <w:divBdr>
            <w:top w:val="none" w:sz="0" w:space="0" w:color="auto"/>
            <w:left w:val="none" w:sz="0" w:space="0" w:color="auto"/>
            <w:bottom w:val="none" w:sz="0" w:space="0" w:color="auto"/>
            <w:right w:val="none" w:sz="0" w:space="0" w:color="auto"/>
          </w:divBdr>
        </w:div>
        <w:div w:id="1459638617">
          <w:marLeft w:val="0"/>
          <w:marRight w:val="0"/>
          <w:marTop w:val="0"/>
          <w:marBottom w:val="0"/>
          <w:divBdr>
            <w:top w:val="none" w:sz="0" w:space="0" w:color="auto"/>
            <w:left w:val="none" w:sz="0" w:space="0" w:color="auto"/>
            <w:bottom w:val="none" w:sz="0" w:space="0" w:color="auto"/>
            <w:right w:val="none" w:sz="0" w:space="0" w:color="auto"/>
          </w:divBdr>
        </w:div>
      </w:divsChild>
    </w:div>
    <w:div w:id="1471636217">
      <w:bodyDiv w:val="1"/>
      <w:marLeft w:val="0"/>
      <w:marRight w:val="0"/>
      <w:marTop w:val="0"/>
      <w:marBottom w:val="0"/>
      <w:divBdr>
        <w:top w:val="none" w:sz="0" w:space="0" w:color="auto"/>
        <w:left w:val="none" w:sz="0" w:space="0" w:color="auto"/>
        <w:bottom w:val="none" w:sz="0" w:space="0" w:color="auto"/>
        <w:right w:val="none" w:sz="0" w:space="0" w:color="auto"/>
      </w:divBdr>
    </w:div>
    <w:div w:id="1479028171">
      <w:bodyDiv w:val="1"/>
      <w:marLeft w:val="0"/>
      <w:marRight w:val="0"/>
      <w:marTop w:val="0"/>
      <w:marBottom w:val="0"/>
      <w:divBdr>
        <w:top w:val="none" w:sz="0" w:space="0" w:color="auto"/>
        <w:left w:val="none" w:sz="0" w:space="0" w:color="auto"/>
        <w:bottom w:val="none" w:sz="0" w:space="0" w:color="auto"/>
        <w:right w:val="none" w:sz="0" w:space="0" w:color="auto"/>
      </w:divBdr>
      <w:divsChild>
        <w:div w:id="1232039416">
          <w:marLeft w:val="0"/>
          <w:marRight w:val="0"/>
          <w:marTop w:val="0"/>
          <w:marBottom w:val="0"/>
          <w:divBdr>
            <w:top w:val="none" w:sz="0" w:space="0" w:color="auto"/>
            <w:left w:val="none" w:sz="0" w:space="0" w:color="auto"/>
            <w:bottom w:val="none" w:sz="0" w:space="0" w:color="auto"/>
            <w:right w:val="none" w:sz="0" w:space="0" w:color="auto"/>
          </w:divBdr>
        </w:div>
        <w:div w:id="1550343772">
          <w:marLeft w:val="0"/>
          <w:marRight w:val="0"/>
          <w:marTop w:val="0"/>
          <w:marBottom w:val="0"/>
          <w:divBdr>
            <w:top w:val="none" w:sz="0" w:space="0" w:color="auto"/>
            <w:left w:val="none" w:sz="0" w:space="0" w:color="auto"/>
            <w:bottom w:val="none" w:sz="0" w:space="0" w:color="auto"/>
            <w:right w:val="none" w:sz="0" w:space="0" w:color="auto"/>
          </w:divBdr>
        </w:div>
        <w:div w:id="164712823">
          <w:marLeft w:val="0"/>
          <w:marRight w:val="0"/>
          <w:marTop w:val="0"/>
          <w:marBottom w:val="0"/>
          <w:divBdr>
            <w:top w:val="none" w:sz="0" w:space="0" w:color="auto"/>
            <w:left w:val="none" w:sz="0" w:space="0" w:color="auto"/>
            <w:bottom w:val="none" w:sz="0" w:space="0" w:color="auto"/>
            <w:right w:val="none" w:sz="0" w:space="0" w:color="auto"/>
          </w:divBdr>
        </w:div>
        <w:div w:id="1911453286">
          <w:marLeft w:val="0"/>
          <w:marRight w:val="0"/>
          <w:marTop w:val="0"/>
          <w:marBottom w:val="0"/>
          <w:divBdr>
            <w:top w:val="none" w:sz="0" w:space="0" w:color="auto"/>
            <w:left w:val="none" w:sz="0" w:space="0" w:color="auto"/>
            <w:bottom w:val="none" w:sz="0" w:space="0" w:color="auto"/>
            <w:right w:val="none" w:sz="0" w:space="0" w:color="auto"/>
          </w:divBdr>
        </w:div>
        <w:div w:id="1438524783">
          <w:marLeft w:val="0"/>
          <w:marRight w:val="0"/>
          <w:marTop w:val="0"/>
          <w:marBottom w:val="0"/>
          <w:divBdr>
            <w:top w:val="none" w:sz="0" w:space="0" w:color="auto"/>
            <w:left w:val="none" w:sz="0" w:space="0" w:color="auto"/>
            <w:bottom w:val="none" w:sz="0" w:space="0" w:color="auto"/>
            <w:right w:val="none" w:sz="0" w:space="0" w:color="auto"/>
          </w:divBdr>
        </w:div>
        <w:div w:id="526408801">
          <w:marLeft w:val="0"/>
          <w:marRight w:val="0"/>
          <w:marTop w:val="0"/>
          <w:marBottom w:val="0"/>
          <w:divBdr>
            <w:top w:val="none" w:sz="0" w:space="0" w:color="auto"/>
            <w:left w:val="none" w:sz="0" w:space="0" w:color="auto"/>
            <w:bottom w:val="none" w:sz="0" w:space="0" w:color="auto"/>
            <w:right w:val="none" w:sz="0" w:space="0" w:color="auto"/>
          </w:divBdr>
        </w:div>
        <w:div w:id="321390547">
          <w:marLeft w:val="0"/>
          <w:marRight w:val="0"/>
          <w:marTop w:val="0"/>
          <w:marBottom w:val="0"/>
          <w:divBdr>
            <w:top w:val="none" w:sz="0" w:space="0" w:color="auto"/>
            <w:left w:val="none" w:sz="0" w:space="0" w:color="auto"/>
            <w:bottom w:val="none" w:sz="0" w:space="0" w:color="auto"/>
            <w:right w:val="none" w:sz="0" w:space="0" w:color="auto"/>
          </w:divBdr>
        </w:div>
        <w:div w:id="1172841142">
          <w:marLeft w:val="0"/>
          <w:marRight w:val="0"/>
          <w:marTop w:val="0"/>
          <w:marBottom w:val="0"/>
          <w:divBdr>
            <w:top w:val="none" w:sz="0" w:space="0" w:color="auto"/>
            <w:left w:val="none" w:sz="0" w:space="0" w:color="auto"/>
            <w:bottom w:val="none" w:sz="0" w:space="0" w:color="auto"/>
            <w:right w:val="none" w:sz="0" w:space="0" w:color="auto"/>
          </w:divBdr>
        </w:div>
        <w:div w:id="1066489248">
          <w:marLeft w:val="0"/>
          <w:marRight w:val="0"/>
          <w:marTop w:val="0"/>
          <w:marBottom w:val="0"/>
          <w:divBdr>
            <w:top w:val="none" w:sz="0" w:space="0" w:color="auto"/>
            <w:left w:val="none" w:sz="0" w:space="0" w:color="auto"/>
            <w:bottom w:val="none" w:sz="0" w:space="0" w:color="auto"/>
            <w:right w:val="none" w:sz="0" w:space="0" w:color="auto"/>
          </w:divBdr>
        </w:div>
        <w:div w:id="1961372146">
          <w:marLeft w:val="0"/>
          <w:marRight w:val="0"/>
          <w:marTop w:val="0"/>
          <w:marBottom w:val="0"/>
          <w:divBdr>
            <w:top w:val="none" w:sz="0" w:space="0" w:color="auto"/>
            <w:left w:val="none" w:sz="0" w:space="0" w:color="auto"/>
            <w:bottom w:val="none" w:sz="0" w:space="0" w:color="auto"/>
            <w:right w:val="none" w:sz="0" w:space="0" w:color="auto"/>
          </w:divBdr>
        </w:div>
        <w:div w:id="946617328">
          <w:marLeft w:val="0"/>
          <w:marRight w:val="0"/>
          <w:marTop w:val="0"/>
          <w:marBottom w:val="0"/>
          <w:divBdr>
            <w:top w:val="none" w:sz="0" w:space="0" w:color="auto"/>
            <w:left w:val="none" w:sz="0" w:space="0" w:color="auto"/>
            <w:bottom w:val="none" w:sz="0" w:space="0" w:color="auto"/>
            <w:right w:val="none" w:sz="0" w:space="0" w:color="auto"/>
          </w:divBdr>
        </w:div>
        <w:div w:id="197667770">
          <w:marLeft w:val="0"/>
          <w:marRight w:val="0"/>
          <w:marTop w:val="0"/>
          <w:marBottom w:val="0"/>
          <w:divBdr>
            <w:top w:val="none" w:sz="0" w:space="0" w:color="auto"/>
            <w:left w:val="none" w:sz="0" w:space="0" w:color="auto"/>
            <w:bottom w:val="none" w:sz="0" w:space="0" w:color="auto"/>
            <w:right w:val="none" w:sz="0" w:space="0" w:color="auto"/>
          </w:divBdr>
        </w:div>
        <w:div w:id="607353444">
          <w:marLeft w:val="0"/>
          <w:marRight w:val="0"/>
          <w:marTop w:val="0"/>
          <w:marBottom w:val="0"/>
          <w:divBdr>
            <w:top w:val="none" w:sz="0" w:space="0" w:color="auto"/>
            <w:left w:val="none" w:sz="0" w:space="0" w:color="auto"/>
            <w:bottom w:val="none" w:sz="0" w:space="0" w:color="auto"/>
            <w:right w:val="none" w:sz="0" w:space="0" w:color="auto"/>
          </w:divBdr>
        </w:div>
        <w:div w:id="181239529">
          <w:marLeft w:val="0"/>
          <w:marRight w:val="0"/>
          <w:marTop w:val="0"/>
          <w:marBottom w:val="0"/>
          <w:divBdr>
            <w:top w:val="none" w:sz="0" w:space="0" w:color="auto"/>
            <w:left w:val="none" w:sz="0" w:space="0" w:color="auto"/>
            <w:bottom w:val="none" w:sz="0" w:space="0" w:color="auto"/>
            <w:right w:val="none" w:sz="0" w:space="0" w:color="auto"/>
          </w:divBdr>
        </w:div>
      </w:divsChild>
    </w:div>
    <w:div w:id="1485901313">
      <w:bodyDiv w:val="1"/>
      <w:marLeft w:val="0"/>
      <w:marRight w:val="0"/>
      <w:marTop w:val="0"/>
      <w:marBottom w:val="0"/>
      <w:divBdr>
        <w:top w:val="none" w:sz="0" w:space="0" w:color="auto"/>
        <w:left w:val="none" w:sz="0" w:space="0" w:color="auto"/>
        <w:bottom w:val="none" w:sz="0" w:space="0" w:color="auto"/>
        <w:right w:val="none" w:sz="0" w:space="0" w:color="auto"/>
      </w:divBdr>
    </w:div>
    <w:div w:id="1498694831">
      <w:bodyDiv w:val="1"/>
      <w:marLeft w:val="0"/>
      <w:marRight w:val="0"/>
      <w:marTop w:val="0"/>
      <w:marBottom w:val="0"/>
      <w:divBdr>
        <w:top w:val="none" w:sz="0" w:space="0" w:color="auto"/>
        <w:left w:val="none" w:sz="0" w:space="0" w:color="auto"/>
        <w:bottom w:val="none" w:sz="0" w:space="0" w:color="auto"/>
        <w:right w:val="none" w:sz="0" w:space="0" w:color="auto"/>
      </w:divBdr>
    </w:div>
    <w:div w:id="1509713110">
      <w:bodyDiv w:val="1"/>
      <w:marLeft w:val="0"/>
      <w:marRight w:val="0"/>
      <w:marTop w:val="0"/>
      <w:marBottom w:val="0"/>
      <w:divBdr>
        <w:top w:val="none" w:sz="0" w:space="0" w:color="auto"/>
        <w:left w:val="none" w:sz="0" w:space="0" w:color="auto"/>
        <w:bottom w:val="none" w:sz="0" w:space="0" w:color="auto"/>
        <w:right w:val="none" w:sz="0" w:space="0" w:color="auto"/>
      </w:divBdr>
      <w:divsChild>
        <w:div w:id="547374070">
          <w:marLeft w:val="0"/>
          <w:marRight w:val="0"/>
          <w:marTop w:val="0"/>
          <w:marBottom w:val="0"/>
          <w:divBdr>
            <w:top w:val="none" w:sz="0" w:space="0" w:color="auto"/>
            <w:left w:val="none" w:sz="0" w:space="0" w:color="auto"/>
            <w:bottom w:val="none" w:sz="0" w:space="0" w:color="auto"/>
            <w:right w:val="none" w:sz="0" w:space="0" w:color="auto"/>
          </w:divBdr>
        </w:div>
        <w:div w:id="1537353577">
          <w:marLeft w:val="0"/>
          <w:marRight w:val="0"/>
          <w:marTop w:val="0"/>
          <w:marBottom w:val="0"/>
          <w:divBdr>
            <w:top w:val="none" w:sz="0" w:space="0" w:color="auto"/>
            <w:left w:val="none" w:sz="0" w:space="0" w:color="auto"/>
            <w:bottom w:val="none" w:sz="0" w:space="0" w:color="auto"/>
            <w:right w:val="none" w:sz="0" w:space="0" w:color="auto"/>
          </w:divBdr>
        </w:div>
        <w:div w:id="2086563958">
          <w:marLeft w:val="0"/>
          <w:marRight w:val="0"/>
          <w:marTop w:val="0"/>
          <w:marBottom w:val="0"/>
          <w:divBdr>
            <w:top w:val="none" w:sz="0" w:space="0" w:color="auto"/>
            <w:left w:val="none" w:sz="0" w:space="0" w:color="auto"/>
            <w:bottom w:val="none" w:sz="0" w:space="0" w:color="auto"/>
            <w:right w:val="none" w:sz="0" w:space="0" w:color="auto"/>
          </w:divBdr>
        </w:div>
        <w:div w:id="2120374917">
          <w:marLeft w:val="0"/>
          <w:marRight w:val="0"/>
          <w:marTop w:val="0"/>
          <w:marBottom w:val="0"/>
          <w:divBdr>
            <w:top w:val="none" w:sz="0" w:space="0" w:color="auto"/>
            <w:left w:val="none" w:sz="0" w:space="0" w:color="auto"/>
            <w:bottom w:val="none" w:sz="0" w:space="0" w:color="auto"/>
            <w:right w:val="none" w:sz="0" w:space="0" w:color="auto"/>
          </w:divBdr>
        </w:div>
        <w:div w:id="820392714">
          <w:marLeft w:val="0"/>
          <w:marRight w:val="0"/>
          <w:marTop w:val="0"/>
          <w:marBottom w:val="0"/>
          <w:divBdr>
            <w:top w:val="none" w:sz="0" w:space="0" w:color="auto"/>
            <w:left w:val="none" w:sz="0" w:space="0" w:color="auto"/>
            <w:bottom w:val="none" w:sz="0" w:space="0" w:color="auto"/>
            <w:right w:val="none" w:sz="0" w:space="0" w:color="auto"/>
          </w:divBdr>
        </w:div>
        <w:div w:id="791099079">
          <w:marLeft w:val="0"/>
          <w:marRight w:val="0"/>
          <w:marTop w:val="0"/>
          <w:marBottom w:val="0"/>
          <w:divBdr>
            <w:top w:val="none" w:sz="0" w:space="0" w:color="auto"/>
            <w:left w:val="none" w:sz="0" w:space="0" w:color="auto"/>
            <w:bottom w:val="none" w:sz="0" w:space="0" w:color="auto"/>
            <w:right w:val="none" w:sz="0" w:space="0" w:color="auto"/>
          </w:divBdr>
        </w:div>
        <w:div w:id="316618853">
          <w:marLeft w:val="0"/>
          <w:marRight w:val="0"/>
          <w:marTop w:val="0"/>
          <w:marBottom w:val="0"/>
          <w:divBdr>
            <w:top w:val="none" w:sz="0" w:space="0" w:color="auto"/>
            <w:left w:val="none" w:sz="0" w:space="0" w:color="auto"/>
            <w:bottom w:val="none" w:sz="0" w:space="0" w:color="auto"/>
            <w:right w:val="none" w:sz="0" w:space="0" w:color="auto"/>
          </w:divBdr>
        </w:div>
        <w:div w:id="78604639">
          <w:marLeft w:val="0"/>
          <w:marRight w:val="0"/>
          <w:marTop w:val="0"/>
          <w:marBottom w:val="0"/>
          <w:divBdr>
            <w:top w:val="none" w:sz="0" w:space="0" w:color="auto"/>
            <w:left w:val="none" w:sz="0" w:space="0" w:color="auto"/>
            <w:bottom w:val="none" w:sz="0" w:space="0" w:color="auto"/>
            <w:right w:val="none" w:sz="0" w:space="0" w:color="auto"/>
          </w:divBdr>
        </w:div>
        <w:div w:id="2129083615">
          <w:marLeft w:val="0"/>
          <w:marRight w:val="0"/>
          <w:marTop w:val="0"/>
          <w:marBottom w:val="0"/>
          <w:divBdr>
            <w:top w:val="none" w:sz="0" w:space="0" w:color="auto"/>
            <w:left w:val="none" w:sz="0" w:space="0" w:color="auto"/>
            <w:bottom w:val="none" w:sz="0" w:space="0" w:color="auto"/>
            <w:right w:val="none" w:sz="0" w:space="0" w:color="auto"/>
          </w:divBdr>
        </w:div>
      </w:divsChild>
    </w:div>
    <w:div w:id="1531795765">
      <w:bodyDiv w:val="1"/>
      <w:marLeft w:val="0"/>
      <w:marRight w:val="0"/>
      <w:marTop w:val="0"/>
      <w:marBottom w:val="0"/>
      <w:divBdr>
        <w:top w:val="none" w:sz="0" w:space="0" w:color="auto"/>
        <w:left w:val="none" w:sz="0" w:space="0" w:color="auto"/>
        <w:bottom w:val="none" w:sz="0" w:space="0" w:color="auto"/>
        <w:right w:val="none" w:sz="0" w:space="0" w:color="auto"/>
      </w:divBdr>
      <w:divsChild>
        <w:div w:id="1261336191">
          <w:marLeft w:val="0"/>
          <w:marRight w:val="0"/>
          <w:marTop w:val="0"/>
          <w:marBottom w:val="0"/>
          <w:divBdr>
            <w:top w:val="none" w:sz="0" w:space="0" w:color="auto"/>
            <w:left w:val="none" w:sz="0" w:space="0" w:color="auto"/>
            <w:bottom w:val="none" w:sz="0" w:space="0" w:color="auto"/>
            <w:right w:val="none" w:sz="0" w:space="0" w:color="auto"/>
          </w:divBdr>
        </w:div>
        <w:div w:id="138159136">
          <w:marLeft w:val="0"/>
          <w:marRight w:val="0"/>
          <w:marTop w:val="0"/>
          <w:marBottom w:val="0"/>
          <w:divBdr>
            <w:top w:val="none" w:sz="0" w:space="0" w:color="auto"/>
            <w:left w:val="none" w:sz="0" w:space="0" w:color="auto"/>
            <w:bottom w:val="none" w:sz="0" w:space="0" w:color="auto"/>
            <w:right w:val="none" w:sz="0" w:space="0" w:color="auto"/>
          </w:divBdr>
        </w:div>
        <w:div w:id="1788086550">
          <w:marLeft w:val="0"/>
          <w:marRight w:val="0"/>
          <w:marTop w:val="0"/>
          <w:marBottom w:val="0"/>
          <w:divBdr>
            <w:top w:val="none" w:sz="0" w:space="0" w:color="auto"/>
            <w:left w:val="none" w:sz="0" w:space="0" w:color="auto"/>
            <w:bottom w:val="none" w:sz="0" w:space="0" w:color="auto"/>
            <w:right w:val="none" w:sz="0" w:space="0" w:color="auto"/>
          </w:divBdr>
        </w:div>
        <w:div w:id="747268994">
          <w:marLeft w:val="0"/>
          <w:marRight w:val="0"/>
          <w:marTop w:val="0"/>
          <w:marBottom w:val="0"/>
          <w:divBdr>
            <w:top w:val="none" w:sz="0" w:space="0" w:color="auto"/>
            <w:left w:val="none" w:sz="0" w:space="0" w:color="auto"/>
            <w:bottom w:val="none" w:sz="0" w:space="0" w:color="auto"/>
            <w:right w:val="none" w:sz="0" w:space="0" w:color="auto"/>
          </w:divBdr>
        </w:div>
        <w:div w:id="342783661">
          <w:marLeft w:val="0"/>
          <w:marRight w:val="0"/>
          <w:marTop w:val="0"/>
          <w:marBottom w:val="0"/>
          <w:divBdr>
            <w:top w:val="none" w:sz="0" w:space="0" w:color="auto"/>
            <w:left w:val="none" w:sz="0" w:space="0" w:color="auto"/>
            <w:bottom w:val="none" w:sz="0" w:space="0" w:color="auto"/>
            <w:right w:val="none" w:sz="0" w:space="0" w:color="auto"/>
          </w:divBdr>
        </w:div>
        <w:div w:id="1986619850">
          <w:marLeft w:val="0"/>
          <w:marRight w:val="0"/>
          <w:marTop w:val="0"/>
          <w:marBottom w:val="0"/>
          <w:divBdr>
            <w:top w:val="none" w:sz="0" w:space="0" w:color="auto"/>
            <w:left w:val="none" w:sz="0" w:space="0" w:color="auto"/>
            <w:bottom w:val="none" w:sz="0" w:space="0" w:color="auto"/>
            <w:right w:val="none" w:sz="0" w:space="0" w:color="auto"/>
          </w:divBdr>
        </w:div>
        <w:div w:id="149097865">
          <w:marLeft w:val="0"/>
          <w:marRight w:val="0"/>
          <w:marTop w:val="0"/>
          <w:marBottom w:val="0"/>
          <w:divBdr>
            <w:top w:val="none" w:sz="0" w:space="0" w:color="auto"/>
            <w:left w:val="none" w:sz="0" w:space="0" w:color="auto"/>
            <w:bottom w:val="none" w:sz="0" w:space="0" w:color="auto"/>
            <w:right w:val="none" w:sz="0" w:space="0" w:color="auto"/>
          </w:divBdr>
        </w:div>
        <w:div w:id="1258712984">
          <w:marLeft w:val="0"/>
          <w:marRight w:val="0"/>
          <w:marTop w:val="0"/>
          <w:marBottom w:val="0"/>
          <w:divBdr>
            <w:top w:val="none" w:sz="0" w:space="0" w:color="auto"/>
            <w:left w:val="none" w:sz="0" w:space="0" w:color="auto"/>
            <w:bottom w:val="none" w:sz="0" w:space="0" w:color="auto"/>
            <w:right w:val="none" w:sz="0" w:space="0" w:color="auto"/>
          </w:divBdr>
        </w:div>
        <w:div w:id="901259208">
          <w:marLeft w:val="0"/>
          <w:marRight w:val="0"/>
          <w:marTop w:val="0"/>
          <w:marBottom w:val="0"/>
          <w:divBdr>
            <w:top w:val="none" w:sz="0" w:space="0" w:color="auto"/>
            <w:left w:val="none" w:sz="0" w:space="0" w:color="auto"/>
            <w:bottom w:val="none" w:sz="0" w:space="0" w:color="auto"/>
            <w:right w:val="none" w:sz="0" w:space="0" w:color="auto"/>
          </w:divBdr>
        </w:div>
        <w:div w:id="1084181644">
          <w:marLeft w:val="0"/>
          <w:marRight w:val="0"/>
          <w:marTop w:val="0"/>
          <w:marBottom w:val="0"/>
          <w:divBdr>
            <w:top w:val="none" w:sz="0" w:space="0" w:color="auto"/>
            <w:left w:val="none" w:sz="0" w:space="0" w:color="auto"/>
            <w:bottom w:val="none" w:sz="0" w:space="0" w:color="auto"/>
            <w:right w:val="none" w:sz="0" w:space="0" w:color="auto"/>
          </w:divBdr>
        </w:div>
        <w:div w:id="629897525">
          <w:marLeft w:val="0"/>
          <w:marRight w:val="0"/>
          <w:marTop w:val="0"/>
          <w:marBottom w:val="0"/>
          <w:divBdr>
            <w:top w:val="none" w:sz="0" w:space="0" w:color="auto"/>
            <w:left w:val="none" w:sz="0" w:space="0" w:color="auto"/>
            <w:bottom w:val="none" w:sz="0" w:space="0" w:color="auto"/>
            <w:right w:val="none" w:sz="0" w:space="0" w:color="auto"/>
          </w:divBdr>
        </w:div>
        <w:div w:id="266155496">
          <w:marLeft w:val="0"/>
          <w:marRight w:val="0"/>
          <w:marTop w:val="0"/>
          <w:marBottom w:val="0"/>
          <w:divBdr>
            <w:top w:val="none" w:sz="0" w:space="0" w:color="auto"/>
            <w:left w:val="none" w:sz="0" w:space="0" w:color="auto"/>
            <w:bottom w:val="none" w:sz="0" w:space="0" w:color="auto"/>
            <w:right w:val="none" w:sz="0" w:space="0" w:color="auto"/>
          </w:divBdr>
        </w:div>
        <w:div w:id="235674129">
          <w:marLeft w:val="0"/>
          <w:marRight w:val="0"/>
          <w:marTop w:val="0"/>
          <w:marBottom w:val="0"/>
          <w:divBdr>
            <w:top w:val="none" w:sz="0" w:space="0" w:color="auto"/>
            <w:left w:val="none" w:sz="0" w:space="0" w:color="auto"/>
            <w:bottom w:val="none" w:sz="0" w:space="0" w:color="auto"/>
            <w:right w:val="none" w:sz="0" w:space="0" w:color="auto"/>
          </w:divBdr>
        </w:div>
        <w:div w:id="2141222412">
          <w:marLeft w:val="0"/>
          <w:marRight w:val="0"/>
          <w:marTop w:val="0"/>
          <w:marBottom w:val="0"/>
          <w:divBdr>
            <w:top w:val="none" w:sz="0" w:space="0" w:color="auto"/>
            <w:left w:val="none" w:sz="0" w:space="0" w:color="auto"/>
            <w:bottom w:val="none" w:sz="0" w:space="0" w:color="auto"/>
            <w:right w:val="none" w:sz="0" w:space="0" w:color="auto"/>
          </w:divBdr>
        </w:div>
        <w:div w:id="1407417615">
          <w:marLeft w:val="0"/>
          <w:marRight w:val="0"/>
          <w:marTop w:val="0"/>
          <w:marBottom w:val="0"/>
          <w:divBdr>
            <w:top w:val="none" w:sz="0" w:space="0" w:color="auto"/>
            <w:left w:val="none" w:sz="0" w:space="0" w:color="auto"/>
            <w:bottom w:val="none" w:sz="0" w:space="0" w:color="auto"/>
            <w:right w:val="none" w:sz="0" w:space="0" w:color="auto"/>
          </w:divBdr>
        </w:div>
      </w:divsChild>
    </w:div>
    <w:div w:id="1547718121">
      <w:bodyDiv w:val="1"/>
      <w:marLeft w:val="0"/>
      <w:marRight w:val="0"/>
      <w:marTop w:val="0"/>
      <w:marBottom w:val="0"/>
      <w:divBdr>
        <w:top w:val="none" w:sz="0" w:space="0" w:color="auto"/>
        <w:left w:val="none" w:sz="0" w:space="0" w:color="auto"/>
        <w:bottom w:val="none" w:sz="0" w:space="0" w:color="auto"/>
        <w:right w:val="none" w:sz="0" w:space="0" w:color="auto"/>
      </w:divBdr>
    </w:div>
    <w:div w:id="1584948232">
      <w:bodyDiv w:val="1"/>
      <w:marLeft w:val="0"/>
      <w:marRight w:val="0"/>
      <w:marTop w:val="0"/>
      <w:marBottom w:val="0"/>
      <w:divBdr>
        <w:top w:val="none" w:sz="0" w:space="0" w:color="auto"/>
        <w:left w:val="none" w:sz="0" w:space="0" w:color="auto"/>
        <w:bottom w:val="none" w:sz="0" w:space="0" w:color="auto"/>
        <w:right w:val="none" w:sz="0" w:space="0" w:color="auto"/>
      </w:divBdr>
    </w:div>
    <w:div w:id="1618639457">
      <w:bodyDiv w:val="1"/>
      <w:marLeft w:val="0"/>
      <w:marRight w:val="0"/>
      <w:marTop w:val="0"/>
      <w:marBottom w:val="0"/>
      <w:divBdr>
        <w:top w:val="none" w:sz="0" w:space="0" w:color="auto"/>
        <w:left w:val="none" w:sz="0" w:space="0" w:color="auto"/>
        <w:bottom w:val="none" w:sz="0" w:space="0" w:color="auto"/>
        <w:right w:val="none" w:sz="0" w:space="0" w:color="auto"/>
      </w:divBdr>
      <w:divsChild>
        <w:div w:id="5400486">
          <w:marLeft w:val="0"/>
          <w:marRight w:val="0"/>
          <w:marTop w:val="0"/>
          <w:marBottom w:val="0"/>
          <w:divBdr>
            <w:top w:val="none" w:sz="0" w:space="0" w:color="auto"/>
            <w:left w:val="none" w:sz="0" w:space="0" w:color="auto"/>
            <w:bottom w:val="none" w:sz="0" w:space="0" w:color="auto"/>
            <w:right w:val="none" w:sz="0" w:space="0" w:color="auto"/>
          </w:divBdr>
        </w:div>
        <w:div w:id="1914199990">
          <w:marLeft w:val="0"/>
          <w:marRight w:val="0"/>
          <w:marTop w:val="0"/>
          <w:marBottom w:val="0"/>
          <w:divBdr>
            <w:top w:val="none" w:sz="0" w:space="0" w:color="auto"/>
            <w:left w:val="none" w:sz="0" w:space="0" w:color="auto"/>
            <w:bottom w:val="none" w:sz="0" w:space="0" w:color="auto"/>
            <w:right w:val="none" w:sz="0" w:space="0" w:color="auto"/>
          </w:divBdr>
        </w:div>
        <w:div w:id="1575234405">
          <w:marLeft w:val="0"/>
          <w:marRight w:val="0"/>
          <w:marTop w:val="0"/>
          <w:marBottom w:val="0"/>
          <w:divBdr>
            <w:top w:val="none" w:sz="0" w:space="0" w:color="auto"/>
            <w:left w:val="none" w:sz="0" w:space="0" w:color="auto"/>
            <w:bottom w:val="none" w:sz="0" w:space="0" w:color="auto"/>
            <w:right w:val="none" w:sz="0" w:space="0" w:color="auto"/>
          </w:divBdr>
        </w:div>
        <w:div w:id="1237009849">
          <w:marLeft w:val="0"/>
          <w:marRight w:val="0"/>
          <w:marTop w:val="0"/>
          <w:marBottom w:val="0"/>
          <w:divBdr>
            <w:top w:val="none" w:sz="0" w:space="0" w:color="auto"/>
            <w:left w:val="none" w:sz="0" w:space="0" w:color="auto"/>
            <w:bottom w:val="none" w:sz="0" w:space="0" w:color="auto"/>
            <w:right w:val="none" w:sz="0" w:space="0" w:color="auto"/>
          </w:divBdr>
        </w:div>
        <w:div w:id="1604917470">
          <w:marLeft w:val="0"/>
          <w:marRight w:val="0"/>
          <w:marTop w:val="0"/>
          <w:marBottom w:val="0"/>
          <w:divBdr>
            <w:top w:val="none" w:sz="0" w:space="0" w:color="auto"/>
            <w:left w:val="none" w:sz="0" w:space="0" w:color="auto"/>
            <w:bottom w:val="none" w:sz="0" w:space="0" w:color="auto"/>
            <w:right w:val="none" w:sz="0" w:space="0" w:color="auto"/>
          </w:divBdr>
        </w:div>
        <w:div w:id="520171797">
          <w:marLeft w:val="0"/>
          <w:marRight w:val="0"/>
          <w:marTop w:val="0"/>
          <w:marBottom w:val="0"/>
          <w:divBdr>
            <w:top w:val="none" w:sz="0" w:space="0" w:color="auto"/>
            <w:left w:val="none" w:sz="0" w:space="0" w:color="auto"/>
            <w:bottom w:val="none" w:sz="0" w:space="0" w:color="auto"/>
            <w:right w:val="none" w:sz="0" w:space="0" w:color="auto"/>
          </w:divBdr>
        </w:div>
        <w:div w:id="63456427">
          <w:marLeft w:val="0"/>
          <w:marRight w:val="0"/>
          <w:marTop w:val="0"/>
          <w:marBottom w:val="0"/>
          <w:divBdr>
            <w:top w:val="none" w:sz="0" w:space="0" w:color="auto"/>
            <w:left w:val="none" w:sz="0" w:space="0" w:color="auto"/>
            <w:bottom w:val="none" w:sz="0" w:space="0" w:color="auto"/>
            <w:right w:val="none" w:sz="0" w:space="0" w:color="auto"/>
          </w:divBdr>
        </w:div>
      </w:divsChild>
    </w:div>
    <w:div w:id="1626766431">
      <w:bodyDiv w:val="1"/>
      <w:marLeft w:val="0"/>
      <w:marRight w:val="0"/>
      <w:marTop w:val="0"/>
      <w:marBottom w:val="0"/>
      <w:divBdr>
        <w:top w:val="none" w:sz="0" w:space="0" w:color="auto"/>
        <w:left w:val="none" w:sz="0" w:space="0" w:color="auto"/>
        <w:bottom w:val="none" w:sz="0" w:space="0" w:color="auto"/>
        <w:right w:val="none" w:sz="0" w:space="0" w:color="auto"/>
      </w:divBdr>
    </w:div>
    <w:div w:id="1650017457">
      <w:bodyDiv w:val="1"/>
      <w:marLeft w:val="0"/>
      <w:marRight w:val="0"/>
      <w:marTop w:val="0"/>
      <w:marBottom w:val="0"/>
      <w:divBdr>
        <w:top w:val="none" w:sz="0" w:space="0" w:color="auto"/>
        <w:left w:val="none" w:sz="0" w:space="0" w:color="auto"/>
        <w:bottom w:val="none" w:sz="0" w:space="0" w:color="auto"/>
        <w:right w:val="none" w:sz="0" w:space="0" w:color="auto"/>
      </w:divBdr>
    </w:div>
    <w:div w:id="1687057036">
      <w:bodyDiv w:val="1"/>
      <w:marLeft w:val="0"/>
      <w:marRight w:val="0"/>
      <w:marTop w:val="0"/>
      <w:marBottom w:val="0"/>
      <w:divBdr>
        <w:top w:val="none" w:sz="0" w:space="0" w:color="auto"/>
        <w:left w:val="none" w:sz="0" w:space="0" w:color="auto"/>
        <w:bottom w:val="none" w:sz="0" w:space="0" w:color="auto"/>
        <w:right w:val="none" w:sz="0" w:space="0" w:color="auto"/>
      </w:divBdr>
    </w:div>
    <w:div w:id="1706519860">
      <w:bodyDiv w:val="1"/>
      <w:marLeft w:val="0"/>
      <w:marRight w:val="0"/>
      <w:marTop w:val="0"/>
      <w:marBottom w:val="0"/>
      <w:divBdr>
        <w:top w:val="none" w:sz="0" w:space="0" w:color="auto"/>
        <w:left w:val="none" w:sz="0" w:space="0" w:color="auto"/>
        <w:bottom w:val="none" w:sz="0" w:space="0" w:color="auto"/>
        <w:right w:val="none" w:sz="0" w:space="0" w:color="auto"/>
      </w:divBdr>
    </w:div>
    <w:div w:id="1712530215">
      <w:bodyDiv w:val="1"/>
      <w:marLeft w:val="0"/>
      <w:marRight w:val="0"/>
      <w:marTop w:val="0"/>
      <w:marBottom w:val="0"/>
      <w:divBdr>
        <w:top w:val="none" w:sz="0" w:space="0" w:color="auto"/>
        <w:left w:val="none" w:sz="0" w:space="0" w:color="auto"/>
        <w:bottom w:val="none" w:sz="0" w:space="0" w:color="auto"/>
        <w:right w:val="none" w:sz="0" w:space="0" w:color="auto"/>
      </w:divBdr>
      <w:divsChild>
        <w:div w:id="646055846">
          <w:marLeft w:val="0"/>
          <w:marRight w:val="0"/>
          <w:marTop w:val="0"/>
          <w:marBottom w:val="0"/>
          <w:divBdr>
            <w:top w:val="none" w:sz="0" w:space="0" w:color="auto"/>
            <w:left w:val="none" w:sz="0" w:space="0" w:color="auto"/>
            <w:bottom w:val="none" w:sz="0" w:space="0" w:color="auto"/>
            <w:right w:val="none" w:sz="0" w:space="0" w:color="auto"/>
          </w:divBdr>
        </w:div>
        <w:div w:id="1747604244">
          <w:marLeft w:val="0"/>
          <w:marRight w:val="0"/>
          <w:marTop w:val="0"/>
          <w:marBottom w:val="0"/>
          <w:divBdr>
            <w:top w:val="none" w:sz="0" w:space="0" w:color="auto"/>
            <w:left w:val="none" w:sz="0" w:space="0" w:color="auto"/>
            <w:bottom w:val="none" w:sz="0" w:space="0" w:color="auto"/>
            <w:right w:val="none" w:sz="0" w:space="0" w:color="auto"/>
          </w:divBdr>
        </w:div>
        <w:div w:id="1209298440">
          <w:marLeft w:val="0"/>
          <w:marRight w:val="0"/>
          <w:marTop w:val="0"/>
          <w:marBottom w:val="0"/>
          <w:divBdr>
            <w:top w:val="none" w:sz="0" w:space="0" w:color="auto"/>
            <w:left w:val="none" w:sz="0" w:space="0" w:color="auto"/>
            <w:bottom w:val="none" w:sz="0" w:space="0" w:color="auto"/>
            <w:right w:val="none" w:sz="0" w:space="0" w:color="auto"/>
          </w:divBdr>
        </w:div>
        <w:div w:id="1589385782">
          <w:marLeft w:val="0"/>
          <w:marRight w:val="0"/>
          <w:marTop w:val="0"/>
          <w:marBottom w:val="0"/>
          <w:divBdr>
            <w:top w:val="none" w:sz="0" w:space="0" w:color="auto"/>
            <w:left w:val="none" w:sz="0" w:space="0" w:color="auto"/>
            <w:bottom w:val="none" w:sz="0" w:space="0" w:color="auto"/>
            <w:right w:val="none" w:sz="0" w:space="0" w:color="auto"/>
          </w:divBdr>
        </w:div>
        <w:div w:id="227036257">
          <w:marLeft w:val="0"/>
          <w:marRight w:val="0"/>
          <w:marTop w:val="0"/>
          <w:marBottom w:val="0"/>
          <w:divBdr>
            <w:top w:val="none" w:sz="0" w:space="0" w:color="auto"/>
            <w:left w:val="none" w:sz="0" w:space="0" w:color="auto"/>
            <w:bottom w:val="none" w:sz="0" w:space="0" w:color="auto"/>
            <w:right w:val="none" w:sz="0" w:space="0" w:color="auto"/>
          </w:divBdr>
        </w:div>
        <w:div w:id="1256742373">
          <w:marLeft w:val="0"/>
          <w:marRight w:val="0"/>
          <w:marTop w:val="0"/>
          <w:marBottom w:val="0"/>
          <w:divBdr>
            <w:top w:val="none" w:sz="0" w:space="0" w:color="auto"/>
            <w:left w:val="none" w:sz="0" w:space="0" w:color="auto"/>
            <w:bottom w:val="none" w:sz="0" w:space="0" w:color="auto"/>
            <w:right w:val="none" w:sz="0" w:space="0" w:color="auto"/>
          </w:divBdr>
        </w:div>
        <w:div w:id="1181237230">
          <w:marLeft w:val="0"/>
          <w:marRight w:val="0"/>
          <w:marTop w:val="0"/>
          <w:marBottom w:val="0"/>
          <w:divBdr>
            <w:top w:val="none" w:sz="0" w:space="0" w:color="auto"/>
            <w:left w:val="none" w:sz="0" w:space="0" w:color="auto"/>
            <w:bottom w:val="none" w:sz="0" w:space="0" w:color="auto"/>
            <w:right w:val="none" w:sz="0" w:space="0" w:color="auto"/>
          </w:divBdr>
        </w:div>
        <w:div w:id="824666884">
          <w:marLeft w:val="0"/>
          <w:marRight w:val="0"/>
          <w:marTop w:val="0"/>
          <w:marBottom w:val="0"/>
          <w:divBdr>
            <w:top w:val="none" w:sz="0" w:space="0" w:color="auto"/>
            <w:left w:val="none" w:sz="0" w:space="0" w:color="auto"/>
            <w:bottom w:val="none" w:sz="0" w:space="0" w:color="auto"/>
            <w:right w:val="none" w:sz="0" w:space="0" w:color="auto"/>
          </w:divBdr>
        </w:div>
        <w:div w:id="752430549">
          <w:marLeft w:val="0"/>
          <w:marRight w:val="0"/>
          <w:marTop w:val="0"/>
          <w:marBottom w:val="0"/>
          <w:divBdr>
            <w:top w:val="none" w:sz="0" w:space="0" w:color="auto"/>
            <w:left w:val="none" w:sz="0" w:space="0" w:color="auto"/>
            <w:bottom w:val="none" w:sz="0" w:space="0" w:color="auto"/>
            <w:right w:val="none" w:sz="0" w:space="0" w:color="auto"/>
          </w:divBdr>
        </w:div>
      </w:divsChild>
    </w:div>
    <w:div w:id="1713922922">
      <w:bodyDiv w:val="1"/>
      <w:marLeft w:val="0"/>
      <w:marRight w:val="0"/>
      <w:marTop w:val="0"/>
      <w:marBottom w:val="0"/>
      <w:divBdr>
        <w:top w:val="none" w:sz="0" w:space="0" w:color="auto"/>
        <w:left w:val="none" w:sz="0" w:space="0" w:color="auto"/>
        <w:bottom w:val="none" w:sz="0" w:space="0" w:color="auto"/>
        <w:right w:val="none" w:sz="0" w:space="0" w:color="auto"/>
      </w:divBdr>
    </w:div>
    <w:div w:id="1719041718">
      <w:bodyDiv w:val="1"/>
      <w:marLeft w:val="0"/>
      <w:marRight w:val="0"/>
      <w:marTop w:val="0"/>
      <w:marBottom w:val="0"/>
      <w:divBdr>
        <w:top w:val="none" w:sz="0" w:space="0" w:color="auto"/>
        <w:left w:val="none" w:sz="0" w:space="0" w:color="auto"/>
        <w:bottom w:val="none" w:sz="0" w:space="0" w:color="auto"/>
        <w:right w:val="none" w:sz="0" w:space="0" w:color="auto"/>
      </w:divBdr>
    </w:div>
    <w:div w:id="1721322091">
      <w:bodyDiv w:val="1"/>
      <w:marLeft w:val="0"/>
      <w:marRight w:val="0"/>
      <w:marTop w:val="0"/>
      <w:marBottom w:val="0"/>
      <w:divBdr>
        <w:top w:val="none" w:sz="0" w:space="0" w:color="auto"/>
        <w:left w:val="none" w:sz="0" w:space="0" w:color="auto"/>
        <w:bottom w:val="none" w:sz="0" w:space="0" w:color="auto"/>
        <w:right w:val="none" w:sz="0" w:space="0" w:color="auto"/>
      </w:divBdr>
    </w:div>
    <w:div w:id="1728451455">
      <w:bodyDiv w:val="1"/>
      <w:marLeft w:val="0"/>
      <w:marRight w:val="0"/>
      <w:marTop w:val="0"/>
      <w:marBottom w:val="0"/>
      <w:divBdr>
        <w:top w:val="none" w:sz="0" w:space="0" w:color="auto"/>
        <w:left w:val="none" w:sz="0" w:space="0" w:color="auto"/>
        <w:bottom w:val="none" w:sz="0" w:space="0" w:color="auto"/>
        <w:right w:val="none" w:sz="0" w:space="0" w:color="auto"/>
      </w:divBdr>
    </w:div>
    <w:div w:id="1779791442">
      <w:bodyDiv w:val="1"/>
      <w:marLeft w:val="0"/>
      <w:marRight w:val="0"/>
      <w:marTop w:val="0"/>
      <w:marBottom w:val="0"/>
      <w:divBdr>
        <w:top w:val="none" w:sz="0" w:space="0" w:color="auto"/>
        <w:left w:val="none" w:sz="0" w:space="0" w:color="auto"/>
        <w:bottom w:val="none" w:sz="0" w:space="0" w:color="auto"/>
        <w:right w:val="none" w:sz="0" w:space="0" w:color="auto"/>
      </w:divBdr>
      <w:divsChild>
        <w:div w:id="420106510">
          <w:marLeft w:val="0"/>
          <w:marRight w:val="0"/>
          <w:marTop w:val="0"/>
          <w:marBottom w:val="0"/>
          <w:divBdr>
            <w:top w:val="none" w:sz="0" w:space="0" w:color="auto"/>
            <w:left w:val="none" w:sz="0" w:space="0" w:color="auto"/>
            <w:bottom w:val="none" w:sz="0" w:space="0" w:color="auto"/>
            <w:right w:val="none" w:sz="0" w:space="0" w:color="auto"/>
          </w:divBdr>
        </w:div>
        <w:div w:id="405347562">
          <w:marLeft w:val="0"/>
          <w:marRight w:val="0"/>
          <w:marTop w:val="0"/>
          <w:marBottom w:val="0"/>
          <w:divBdr>
            <w:top w:val="none" w:sz="0" w:space="0" w:color="auto"/>
            <w:left w:val="none" w:sz="0" w:space="0" w:color="auto"/>
            <w:bottom w:val="none" w:sz="0" w:space="0" w:color="auto"/>
            <w:right w:val="none" w:sz="0" w:space="0" w:color="auto"/>
          </w:divBdr>
        </w:div>
        <w:div w:id="1179277370">
          <w:marLeft w:val="0"/>
          <w:marRight w:val="0"/>
          <w:marTop w:val="0"/>
          <w:marBottom w:val="0"/>
          <w:divBdr>
            <w:top w:val="none" w:sz="0" w:space="0" w:color="auto"/>
            <w:left w:val="none" w:sz="0" w:space="0" w:color="auto"/>
            <w:bottom w:val="none" w:sz="0" w:space="0" w:color="auto"/>
            <w:right w:val="none" w:sz="0" w:space="0" w:color="auto"/>
          </w:divBdr>
        </w:div>
        <w:div w:id="1550141818">
          <w:marLeft w:val="0"/>
          <w:marRight w:val="0"/>
          <w:marTop w:val="0"/>
          <w:marBottom w:val="0"/>
          <w:divBdr>
            <w:top w:val="none" w:sz="0" w:space="0" w:color="auto"/>
            <w:left w:val="none" w:sz="0" w:space="0" w:color="auto"/>
            <w:bottom w:val="none" w:sz="0" w:space="0" w:color="auto"/>
            <w:right w:val="none" w:sz="0" w:space="0" w:color="auto"/>
          </w:divBdr>
        </w:div>
        <w:div w:id="1493722076">
          <w:marLeft w:val="0"/>
          <w:marRight w:val="0"/>
          <w:marTop w:val="0"/>
          <w:marBottom w:val="0"/>
          <w:divBdr>
            <w:top w:val="none" w:sz="0" w:space="0" w:color="auto"/>
            <w:left w:val="none" w:sz="0" w:space="0" w:color="auto"/>
            <w:bottom w:val="none" w:sz="0" w:space="0" w:color="auto"/>
            <w:right w:val="none" w:sz="0" w:space="0" w:color="auto"/>
          </w:divBdr>
        </w:div>
        <w:div w:id="280847586">
          <w:marLeft w:val="0"/>
          <w:marRight w:val="0"/>
          <w:marTop w:val="0"/>
          <w:marBottom w:val="0"/>
          <w:divBdr>
            <w:top w:val="none" w:sz="0" w:space="0" w:color="auto"/>
            <w:left w:val="none" w:sz="0" w:space="0" w:color="auto"/>
            <w:bottom w:val="none" w:sz="0" w:space="0" w:color="auto"/>
            <w:right w:val="none" w:sz="0" w:space="0" w:color="auto"/>
          </w:divBdr>
        </w:div>
        <w:div w:id="1729762141">
          <w:marLeft w:val="0"/>
          <w:marRight w:val="0"/>
          <w:marTop w:val="0"/>
          <w:marBottom w:val="0"/>
          <w:divBdr>
            <w:top w:val="none" w:sz="0" w:space="0" w:color="auto"/>
            <w:left w:val="none" w:sz="0" w:space="0" w:color="auto"/>
            <w:bottom w:val="none" w:sz="0" w:space="0" w:color="auto"/>
            <w:right w:val="none" w:sz="0" w:space="0" w:color="auto"/>
          </w:divBdr>
        </w:div>
        <w:div w:id="1930581198">
          <w:marLeft w:val="0"/>
          <w:marRight w:val="0"/>
          <w:marTop w:val="0"/>
          <w:marBottom w:val="0"/>
          <w:divBdr>
            <w:top w:val="none" w:sz="0" w:space="0" w:color="auto"/>
            <w:left w:val="none" w:sz="0" w:space="0" w:color="auto"/>
            <w:bottom w:val="none" w:sz="0" w:space="0" w:color="auto"/>
            <w:right w:val="none" w:sz="0" w:space="0" w:color="auto"/>
          </w:divBdr>
        </w:div>
        <w:div w:id="2705787">
          <w:marLeft w:val="0"/>
          <w:marRight w:val="0"/>
          <w:marTop w:val="0"/>
          <w:marBottom w:val="0"/>
          <w:divBdr>
            <w:top w:val="none" w:sz="0" w:space="0" w:color="auto"/>
            <w:left w:val="none" w:sz="0" w:space="0" w:color="auto"/>
            <w:bottom w:val="none" w:sz="0" w:space="0" w:color="auto"/>
            <w:right w:val="none" w:sz="0" w:space="0" w:color="auto"/>
          </w:divBdr>
        </w:div>
        <w:div w:id="346711283">
          <w:marLeft w:val="0"/>
          <w:marRight w:val="0"/>
          <w:marTop w:val="0"/>
          <w:marBottom w:val="0"/>
          <w:divBdr>
            <w:top w:val="none" w:sz="0" w:space="0" w:color="auto"/>
            <w:left w:val="none" w:sz="0" w:space="0" w:color="auto"/>
            <w:bottom w:val="none" w:sz="0" w:space="0" w:color="auto"/>
            <w:right w:val="none" w:sz="0" w:space="0" w:color="auto"/>
          </w:divBdr>
        </w:div>
        <w:div w:id="1699356321">
          <w:marLeft w:val="0"/>
          <w:marRight w:val="0"/>
          <w:marTop w:val="0"/>
          <w:marBottom w:val="0"/>
          <w:divBdr>
            <w:top w:val="none" w:sz="0" w:space="0" w:color="auto"/>
            <w:left w:val="none" w:sz="0" w:space="0" w:color="auto"/>
            <w:bottom w:val="none" w:sz="0" w:space="0" w:color="auto"/>
            <w:right w:val="none" w:sz="0" w:space="0" w:color="auto"/>
          </w:divBdr>
        </w:div>
        <w:div w:id="517277505">
          <w:marLeft w:val="0"/>
          <w:marRight w:val="0"/>
          <w:marTop w:val="0"/>
          <w:marBottom w:val="0"/>
          <w:divBdr>
            <w:top w:val="none" w:sz="0" w:space="0" w:color="auto"/>
            <w:left w:val="none" w:sz="0" w:space="0" w:color="auto"/>
            <w:bottom w:val="none" w:sz="0" w:space="0" w:color="auto"/>
            <w:right w:val="none" w:sz="0" w:space="0" w:color="auto"/>
          </w:divBdr>
        </w:div>
        <w:div w:id="1202785393">
          <w:marLeft w:val="0"/>
          <w:marRight w:val="0"/>
          <w:marTop w:val="0"/>
          <w:marBottom w:val="0"/>
          <w:divBdr>
            <w:top w:val="none" w:sz="0" w:space="0" w:color="auto"/>
            <w:left w:val="none" w:sz="0" w:space="0" w:color="auto"/>
            <w:bottom w:val="none" w:sz="0" w:space="0" w:color="auto"/>
            <w:right w:val="none" w:sz="0" w:space="0" w:color="auto"/>
          </w:divBdr>
        </w:div>
        <w:div w:id="1405033329">
          <w:marLeft w:val="0"/>
          <w:marRight w:val="0"/>
          <w:marTop w:val="0"/>
          <w:marBottom w:val="0"/>
          <w:divBdr>
            <w:top w:val="none" w:sz="0" w:space="0" w:color="auto"/>
            <w:left w:val="none" w:sz="0" w:space="0" w:color="auto"/>
            <w:bottom w:val="none" w:sz="0" w:space="0" w:color="auto"/>
            <w:right w:val="none" w:sz="0" w:space="0" w:color="auto"/>
          </w:divBdr>
        </w:div>
        <w:div w:id="1305156185">
          <w:marLeft w:val="0"/>
          <w:marRight w:val="0"/>
          <w:marTop w:val="0"/>
          <w:marBottom w:val="0"/>
          <w:divBdr>
            <w:top w:val="none" w:sz="0" w:space="0" w:color="auto"/>
            <w:left w:val="none" w:sz="0" w:space="0" w:color="auto"/>
            <w:bottom w:val="none" w:sz="0" w:space="0" w:color="auto"/>
            <w:right w:val="none" w:sz="0" w:space="0" w:color="auto"/>
          </w:divBdr>
        </w:div>
      </w:divsChild>
    </w:div>
    <w:div w:id="1800538580">
      <w:bodyDiv w:val="1"/>
      <w:marLeft w:val="0"/>
      <w:marRight w:val="0"/>
      <w:marTop w:val="0"/>
      <w:marBottom w:val="0"/>
      <w:divBdr>
        <w:top w:val="none" w:sz="0" w:space="0" w:color="auto"/>
        <w:left w:val="none" w:sz="0" w:space="0" w:color="auto"/>
        <w:bottom w:val="none" w:sz="0" w:space="0" w:color="auto"/>
        <w:right w:val="none" w:sz="0" w:space="0" w:color="auto"/>
      </w:divBdr>
    </w:div>
    <w:div w:id="1804541025">
      <w:bodyDiv w:val="1"/>
      <w:marLeft w:val="0"/>
      <w:marRight w:val="0"/>
      <w:marTop w:val="0"/>
      <w:marBottom w:val="0"/>
      <w:divBdr>
        <w:top w:val="none" w:sz="0" w:space="0" w:color="auto"/>
        <w:left w:val="none" w:sz="0" w:space="0" w:color="auto"/>
        <w:bottom w:val="none" w:sz="0" w:space="0" w:color="auto"/>
        <w:right w:val="none" w:sz="0" w:space="0" w:color="auto"/>
      </w:divBdr>
    </w:div>
    <w:div w:id="1831870178">
      <w:bodyDiv w:val="1"/>
      <w:marLeft w:val="0"/>
      <w:marRight w:val="0"/>
      <w:marTop w:val="0"/>
      <w:marBottom w:val="0"/>
      <w:divBdr>
        <w:top w:val="none" w:sz="0" w:space="0" w:color="auto"/>
        <w:left w:val="none" w:sz="0" w:space="0" w:color="auto"/>
        <w:bottom w:val="none" w:sz="0" w:space="0" w:color="auto"/>
        <w:right w:val="none" w:sz="0" w:space="0" w:color="auto"/>
      </w:divBdr>
    </w:div>
    <w:div w:id="1842088025">
      <w:bodyDiv w:val="1"/>
      <w:marLeft w:val="0"/>
      <w:marRight w:val="0"/>
      <w:marTop w:val="0"/>
      <w:marBottom w:val="0"/>
      <w:divBdr>
        <w:top w:val="none" w:sz="0" w:space="0" w:color="auto"/>
        <w:left w:val="none" w:sz="0" w:space="0" w:color="auto"/>
        <w:bottom w:val="none" w:sz="0" w:space="0" w:color="auto"/>
        <w:right w:val="none" w:sz="0" w:space="0" w:color="auto"/>
      </w:divBdr>
      <w:divsChild>
        <w:div w:id="273173422">
          <w:marLeft w:val="0"/>
          <w:marRight w:val="0"/>
          <w:marTop w:val="0"/>
          <w:marBottom w:val="0"/>
          <w:divBdr>
            <w:top w:val="none" w:sz="0" w:space="0" w:color="auto"/>
            <w:left w:val="none" w:sz="0" w:space="0" w:color="auto"/>
            <w:bottom w:val="none" w:sz="0" w:space="0" w:color="auto"/>
            <w:right w:val="none" w:sz="0" w:space="0" w:color="auto"/>
          </w:divBdr>
        </w:div>
        <w:div w:id="1657227243">
          <w:marLeft w:val="0"/>
          <w:marRight w:val="0"/>
          <w:marTop w:val="0"/>
          <w:marBottom w:val="0"/>
          <w:divBdr>
            <w:top w:val="none" w:sz="0" w:space="0" w:color="auto"/>
            <w:left w:val="none" w:sz="0" w:space="0" w:color="auto"/>
            <w:bottom w:val="none" w:sz="0" w:space="0" w:color="auto"/>
            <w:right w:val="none" w:sz="0" w:space="0" w:color="auto"/>
          </w:divBdr>
        </w:div>
        <w:div w:id="592710605">
          <w:marLeft w:val="0"/>
          <w:marRight w:val="0"/>
          <w:marTop w:val="0"/>
          <w:marBottom w:val="0"/>
          <w:divBdr>
            <w:top w:val="none" w:sz="0" w:space="0" w:color="auto"/>
            <w:left w:val="none" w:sz="0" w:space="0" w:color="auto"/>
            <w:bottom w:val="none" w:sz="0" w:space="0" w:color="auto"/>
            <w:right w:val="none" w:sz="0" w:space="0" w:color="auto"/>
          </w:divBdr>
        </w:div>
        <w:div w:id="1350834284">
          <w:marLeft w:val="0"/>
          <w:marRight w:val="0"/>
          <w:marTop w:val="0"/>
          <w:marBottom w:val="0"/>
          <w:divBdr>
            <w:top w:val="none" w:sz="0" w:space="0" w:color="auto"/>
            <w:left w:val="none" w:sz="0" w:space="0" w:color="auto"/>
            <w:bottom w:val="none" w:sz="0" w:space="0" w:color="auto"/>
            <w:right w:val="none" w:sz="0" w:space="0" w:color="auto"/>
          </w:divBdr>
        </w:div>
      </w:divsChild>
    </w:div>
    <w:div w:id="1848666271">
      <w:bodyDiv w:val="1"/>
      <w:marLeft w:val="0"/>
      <w:marRight w:val="0"/>
      <w:marTop w:val="0"/>
      <w:marBottom w:val="0"/>
      <w:divBdr>
        <w:top w:val="none" w:sz="0" w:space="0" w:color="auto"/>
        <w:left w:val="none" w:sz="0" w:space="0" w:color="auto"/>
        <w:bottom w:val="none" w:sz="0" w:space="0" w:color="auto"/>
        <w:right w:val="none" w:sz="0" w:space="0" w:color="auto"/>
      </w:divBdr>
      <w:divsChild>
        <w:div w:id="1839076094">
          <w:marLeft w:val="0"/>
          <w:marRight w:val="0"/>
          <w:marTop w:val="0"/>
          <w:marBottom w:val="0"/>
          <w:divBdr>
            <w:top w:val="none" w:sz="0" w:space="0" w:color="auto"/>
            <w:left w:val="none" w:sz="0" w:space="0" w:color="auto"/>
            <w:bottom w:val="none" w:sz="0" w:space="0" w:color="auto"/>
            <w:right w:val="none" w:sz="0" w:space="0" w:color="auto"/>
          </w:divBdr>
        </w:div>
        <w:div w:id="416050618">
          <w:marLeft w:val="0"/>
          <w:marRight w:val="0"/>
          <w:marTop w:val="0"/>
          <w:marBottom w:val="0"/>
          <w:divBdr>
            <w:top w:val="none" w:sz="0" w:space="0" w:color="auto"/>
            <w:left w:val="none" w:sz="0" w:space="0" w:color="auto"/>
            <w:bottom w:val="none" w:sz="0" w:space="0" w:color="auto"/>
            <w:right w:val="none" w:sz="0" w:space="0" w:color="auto"/>
          </w:divBdr>
        </w:div>
        <w:div w:id="439377537">
          <w:marLeft w:val="0"/>
          <w:marRight w:val="0"/>
          <w:marTop w:val="0"/>
          <w:marBottom w:val="0"/>
          <w:divBdr>
            <w:top w:val="none" w:sz="0" w:space="0" w:color="auto"/>
            <w:left w:val="none" w:sz="0" w:space="0" w:color="auto"/>
            <w:bottom w:val="none" w:sz="0" w:space="0" w:color="auto"/>
            <w:right w:val="none" w:sz="0" w:space="0" w:color="auto"/>
          </w:divBdr>
        </w:div>
        <w:div w:id="705253676">
          <w:marLeft w:val="0"/>
          <w:marRight w:val="0"/>
          <w:marTop w:val="0"/>
          <w:marBottom w:val="0"/>
          <w:divBdr>
            <w:top w:val="none" w:sz="0" w:space="0" w:color="auto"/>
            <w:left w:val="none" w:sz="0" w:space="0" w:color="auto"/>
            <w:bottom w:val="none" w:sz="0" w:space="0" w:color="auto"/>
            <w:right w:val="none" w:sz="0" w:space="0" w:color="auto"/>
          </w:divBdr>
        </w:div>
        <w:div w:id="330182459">
          <w:marLeft w:val="0"/>
          <w:marRight w:val="0"/>
          <w:marTop w:val="0"/>
          <w:marBottom w:val="0"/>
          <w:divBdr>
            <w:top w:val="none" w:sz="0" w:space="0" w:color="auto"/>
            <w:left w:val="none" w:sz="0" w:space="0" w:color="auto"/>
            <w:bottom w:val="none" w:sz="0" w:space="0" w:color="auto"/>
            <w:right w:val="none" w:sz="0" w:space="0" w:color="auto"/>
          </w:divBdr>
        </w:div>
      </w:divsChild>
    </w:div>
    <w:div w:id="1872301062">
      <w:bodyDiv w:val="1"/>
      <w:marLeft w:val="0"/>
      <w:marRight w:val="0"/>
      <w:marTop w:val="0"/>
      <w:marBottom w:val="0"/>
      <w:divBdr>
        <w:top w:val="none" w:sz="0" w:space="0" w:color="auto"/>
        <w:left w:val="none" w:sz="0" w:space="0" w:color="auto"/>
        <w:bottom w:val="none" w:sz="0" w:space="0" w:color="auto"/>
        <w:right w:val="none" w:sz="0" w:space="0" w:color="auto"/>
      </w:divBdr>
    </w:div>
    <w:div w:id="1888177455">
      <w:bodyDiv w:val="1"/>
      <w:marLeft w:val="0"/>
      <w:marRight w:val="0"/>
      <w:marTop w:val="0"/>
      <w:marBottom w:val="0"/>
      <w:divBdr>
        <w:top w:val="none" w:sz="0" w:space="0" w:color="auto"/>
        <w:left w:val="none" w:sz="0" w:space="0" w:color="auto"/>
        <w:bottom w:val="none" w:sz="0" w:space="0" w:color="auto"/>
        <w:right w:val="none" w:sz="0" w:space="0" w:color="auto"/>
      </w:divBdr>
      <w:divsChild>
        <w:div w:id="557670831">
          <w:marLeft w:val="0"/>
          <w:marRight w:val="0"/>
          <w:marTop w:val="0"/>
          <w:marBottom w:val="0"/>
          <w:divBdr>
            <w:top w:val="none" w:sz="0" w:space="0" w:color="auto"/>
            <w:left w:val="none" w:sz="0" w:space="0" w:color="auto"/>
            <w:bottom w:val="none" w:sz="0" w:space="0" w:color="auto"/>
            <w:right w:val="none" w:sz="0" w:space="0" w:color="auto"/>
          </w:divBdr>
        </w:div>
        <w:div w:id="704016977">
          <w:marLeft w:val="0"/>
          <w:marRight w:val="0"/>
          <w:marTop w:val="0"/>
          <w:marBottom w:val="0"/>
          <w:divBdr>
            <w:top w:val="none" w:sz="0" w:space="0" w:color="auto"/>
            <w:left w:val="none" w:sz="0" w:space="0" w:color="auto"/>
            <w:bottom w:val="none" w:sz="0" w:space="0" w:color="auto"/>
            <w:right w:val="none" w:sz="0" w:space="0" w:color="auto"/>
          </w:divBdr>
        </w:div>
        <w:div w:id="1223952022">
          <w:marLeft w:val="0"/>
          <w:marRight w:val="0"/>
          <w:marTop w:val="0"/>
          <w:marBottom w:val="0"/>
          <w:divBdr>
            <w:top w:val="none" w:sz="0" w:space="0" w:color="auto"/>
            <w:left w:val="none" w:sz="0" w:space="0" w:color="auto"/>
            <w:bottom w:val="none" w:sz="0" w:space="0" w:color="auto"/>
            <w:right w:val="none" w:sz="0" w:space="0" w:color="auto"/>
          </w:divBdr>
        </w:div>
        <w:div w:id="665326753">
          <w:marLeft w:val="0"/>
          <w:marRight w:val="0"/>
          <w:marTop w:val="0"/>
          <w:marBottom w:val="0"/>
          <w:divBdr>
            <w:top w:val="none" w:sz="0" w:space="0" w:color="auto"/>
            <w:left w:val="none" w:sz="0" w:space="0" w:color="auto"/>
            <w:bottom w:val="none" w:sz="0" w:space="0" w:color="auto"/>
            <w:right w:val="none" w:sz="0" w:space="0" w:color="auto"/>
          </w:divBdr>
        </w:div>
      </w:divsChild>
    </w:div>
    <w:div w:id="1893618055">
      <w:bodyDiv w:val="1"/>
      <w:marLeft w:val="0"/>
      <w:marRight w:val="0"/>
      <w:marTop w:val="0"/>
      <w:marBottom w:val="0"/>
      <w:divBdr>
        <w:top w:val="none" w:sz="0" w:space="0" w:color="auto"/>
        <w:left w:val="none" w:sz="0" w:space="0" w:color="auto"/>
        <w:bottom w:val="none" w:sz="0" w:space="0" w:color="auto"/>
        <w:right w:val="none" w:sz="0" w:space="0" w:color="auto"/>
      </w:divBdr>
    </w:div>
    <w:div w:id="1911884778">
      <w:bodyDiv w:val="1"/>
      <w:marLeft w:val="0"/>
      <w:marRight w:val="0"/>
      <w:marTop w:val="0"/>
      <w:marBottom w:val="0"/>
      <w:divBdr>
        <w:top w:val="none" w:sz="0" w:space="0" w:color="auto"/>
        <w:left w:val="none" w:sz="0" w:space="0" w:color="auto"/>
        <w:bottom w:val="none" w:sz="0" w:space="0" w:color="auto"/>
        <w:right w:val="none" w:sz="0" w:space="0" w:color="auto"/>
      </w:divBdr>
      <w:divsChild>
        <w:div w:id="1773281143">
          <w:marLeft w:val="0"/>
          <w:marRight w:val="0"/>
          <w:marTop w:val="0"/>
          <w:marBottom w:val="0"/>
          <w:divBdr>
            <w:top w:val="none" w:sz="0" w:space="0" w:color="auto"/>
            <w:left w:val="none" w:sz="0" w:space="0" w:color="auto"/>
            <w:bottom w:val="none" w:sz="0" w:space="0" w:color="auto"/>
            <w:right w:val="none" w:sz="0" w:space="0" w:color="auto"/>
          </w:divBdr>
        </w:div>
        <w:div w:id="919799202">
          <w:marLeft w:val="0"/>
          <w:marRight w:val="0"/>
          <w:marTop w:val="0"/>
          <w:marBottom w:val="0"/>
          <w:divBdr>
            <w:top w:val="none" w:sz="0" w:space="0" w:color="auto"/>
            <w:left w:val="none" w:sz="0" w:space="0" w:color="auto"/>
            <w:bottom w:val="none" w:sz="0" w:space="0" w:color="auto"/>
            <w:right w:val="none" w:sz="0" w:space="0" w:color="auto"/>
          </w:divBdr>
        </w:div>
        <w:div w:id="254675322">
          <w:marLeft w:val="0"/>
          <w:marRight w:val="0"/>
          <w:marTop w:val="0"/>
          <w:marBottom w:val="0"/>
          <w:divBdr>
            <w:top w:val="none" w:sz="0" w:space="0" w:color="auto"/>
            <w:left w:val="none" w:sz="0" w:space="0" w:color="auto"/>
            <w:bottom w:val="none" w:sz="0" w:space="0" w:color="auto"/>
            <w:right w:val="none" w:sz="0" w:space="0" w:color="auto"/>
          </w:divBdr>
        </w:div>
        <w:div w:id="399333271">
          <w:marLeft w:val="0"/>
          <w:marRight w:val="0"/>
          <w:marTop w:val="0"/>
          <w:marBottom w:val="0"/>
          <w:divBdr>
            <w:top w:val="none" w:sz="0" w:space="0" w:color="auto"/>
            <w:left w:val="none" w:sz="0" w:space="0" w:color="auto"/>
            <w:bottom w:val="none" w:sz="0" w:space="0" w:color="auto"/>
            <w:right w:val="none" w:sz="0" w:space="0" w:color="auto"/>
          </w:divBdr>
        </w:div>
        <w:div w:id="1417676148">
          <w:marLeft w:val="0"/>
          <w:marRight w:val="0"/>
          <w:marTop w:val="0"/>
          <w:marBottom w:val="0"/>
          <w:divBdr>
            <w:top w:val="none" w:sz="0" w:space="0" w:color="auto"/>
            <w:left w:val="none" w:sz="0" w:space="0" w:color="auto"/>
            <w:bottom w:val="none" w:sz="0" w:space="0" w:color="auto"/>
            <w:right w:val="none" w:sz="0" w:space="0" w:color="auto"/>
          </w:divBdr>
        </w:div>
        <w:div w:id="1029254806">
          <w:marLeft w:val="0"/>
          <w:marRight w:val="0"/>
          <w:marTop w:val="0"/>
          <w:marBottom w:val="0"/>
          <w:divBdr>
            <w:top w:val="none" w:sz="0" w:space="0" w:color="auto"/>
            <w:left w:val="none" w:sz="0" w:space="0" w:color="auto"/>
            <w:bottom w:val="none" w:sz="0" w:space="0" w:color="auto"/>
            <w:right w:val="none" w:sz="0" w:space="0" w:color="auto"/>
          </w:divBdr>
        </w:div>
        <w:div w:id="1393309384">
          <w:marLeft w:val="0"/>
          <w:marRight w:val="0"/>
          <w:marTop w:val="0"/>
          <w:marBottom w:val="0"/>
          <w:divBdr>
            <w:top w:val="none" w:sz="0" w:space="0" w:color="auto"/>
            <w:left w:val="none" w:sz="0" w:space="0" w:color="auto"/>
            <w:bottom w:val="none" w:sz="0" w:space="0" w:color="auto"/>
            <w:right w:val="none" w:sz="0" w:space="0" w:color="auto"/>
          </w:divBdr>
        </w:div>
        <w:div w:id="775713928">
          <w:marLeft w:val="0"/>
          <w:marRight w:val="0"/>
          <w:marTop w:val="0"/>
          <w:marBottom w:val="0"/>
          <w:divBdr>
            <w:top w:val="none" w:sz="0" w:space="0" w:color="auto"/>
            <w:left w:val="none" w:sz="0" w:space="0" w:color="auto"/>
            <w:bottom w:val="none" w:sz="0" w:space="0" w:color="auto"/>
            <w:right w:val="none" w:sz="0" w:space="0" w:color="auto"/>
          </w:divBdr>
        </w:div>
        <w:div w:id="1076896970">
          <w:marLeft w:val="0"/>
          <w:marRight w:val="0"/>
          <w:marTop w:val="0"/>
          <w:marBottom w:val="0"/>
          <w:divBdr>
            <w:top w:val="none" w:sz="0" w:space="0" w:color="auto"/>
            <w:left w:val="none" w:sz="0" w:space="0" w:color="auto"/>
            <w:bottom w:val="none" w:sz="0" w:space="0" w:color="auto"/>
            <w:right w:val="none" w:sz="0" w:space="0" w:color="auto"/>
          </w:divBdr>
        </w:div>
        <w:div w:id="1638022471">
          <w:marLeft w:val="0"/>
          <w:marRight w:val="0"/>
          <w:marTop w:val="0"/>
          <w:marBottom w:val="0"/>
          <w:divBdr>
            <w:top w:val="none" w:sz="0" w:space="0" w:color="auto"/>
            <w:left w:val="none" w:sz="0" w:space="0" w:color="auto"/>
            <w:bottom w:val="none" w:sz="0" w:space="0" w:color="auto"/>
            <w:right w:val="none" w:sz="0" w:space="0" w:color="auto"/>
          </w:divBdr>
        </w:div>
        <w:div w:id="1637101131">
          <w:marLeft w:val="0"/>
          <w:marRight w:val="0"/>
          <w:marTop w:val="0"/>
          <w:marBottom w:val="0"/>
          <w:divBdr>
            <w:top w:val="none" w:sz="0" w:space="0" w:color="auto"/>
            <w:left w:val="none" w:sz="0" w:space="0" w:color="auto"/>
            <w:bottom w:val="none" w:sz="0" w:space="0" w:color="auto"/>
            <w:right w:val="none" w:sz="0" w:space="0" w:color="auto"/>
          </w:divBdr>
        </w:div>
        <w:div w:id="2009744919">
          <w:marLeft w:val="0"/>
          <w:marRight w:val="0"/>
          <w:marTop w:val="0"/>
          <w:marBottom w:val="0"/>
          <w:divBdr>
            <w:top w:val="none" w:sz="0" w:space="0" w:color="auto"/>
            <w:left w:val="none" w:sz="0" w:space="0" w:color="auto"/>
            <w:bottom w:val="none" w:sz="0" w:space="0" w:color="auto"/>
            <w:right w:val="none" w:sz="0" w:space="0" w:color="auto"/>
          </w:divBdr>
        </w:div>
      </w:divsChild>
    </w:div>
    <w:div w:id="1913349725">
      <w:bodyDiv w:val="1"/>
      <w:marLeft w:val="0"/>
      <w:marRight w:val="0"/>
      <w:marTop w:val="0"/>
      <w:marBottom w:val="0"/>
      <w:divBdr>
        <w:top w:val="none" w:sz="0" w:space="0" w:color="auto"/>
        <w:left w:val="none" w:sz="0" w:space="0" w:color="auto"/>
        <w:bottom w:val="none" w:sz="0" w:space="0" w:color="auto"/>
        <w:right w:val="none" w:sz="0" w:space="0" w:color="auto"/>
      </w:divBdr>
      <w:divsChild>
        <w:div w:id="1944876396">
          <w:marLeft w:val="0"/>
          <w:marRight w:val="0"/>
          <w:marTop w:val="0"/>
          <w:marBottom w:val="0"/>
          <w:divBdr>
            <w:top w:val="none" w:sz="0" w:space="0" w:color="auto"/>
            <w:left w:val="none" w:sz="0" w:space="0" w:color="auto"/>
            <w:bottom w:val="none" w:sz="0" w:space="0" w:color="auto"/>
            <w:right w:val="none" w:sz="0" w:space="0" w:color="auto"/>
          </w:divBdr>
        </w:div>
        <w:div w:id="1786928630">
          <w:marLeft w:val="0"/>
          <w:marRight w:val="0"/>
          <w:marTop w:val="0"/>
          <w:marBottom w:val="0"/>
          <w:divBdr>
            <w:top w:val="none" w:sz="0" w:space="0" w:color="auto"/>
            <w:left w:val="none" w:sz="0" w:space="0" w:color="auto"/>
            <w:bottom w:val="none" w:sz="0" w:space="0" w:color="auto"/>
            <w:right w:val="none" w:sz="0" w:space="0" w:color="auto"/>
          </w:divBdr>
        </w:div>
        <w:div w:id="1321081182">
          <w:marLeft w:val="0"/>
          <w:marRight w:val="0"/>
          <w:marTop w:val="0"/>
          <w:marBottom w:val="0"/>
          <w:divBdr>
            <w:top w:val="none" w:sz="0" w:space="0" w:color="auto"/>
            <w:left w:val="none" w:sz="0" w:space="0" w:color="auto"/>
            <w:bottom w:val="none" w:sz="0" w:space="0" w:color="auto"/>
            <w:right w:val="none" w:sz="0" w:space="0" w:color="auto"/>
          </w:divBdr>
        </w:div>
        <w:div w:id="1171334277">
          <w:marLeft w:val="0"/>
          <w:marRight w:val="0"/>
          <w:marTop w:val="0"/>
          <w:marBottom w:val="0"/>
          <w:divBdr>
            <w:top w:val="none" w:sz="0" w:space="0" w:color="auto"/>
            <w:left w:val="none" w:sz="0" w:space="0" w:color="auto"/>
            <w:bottom w:val="none" w:sz="0" w:space="0" w:color="auto"/>
            <w:right w:val="none" w:sz="0" w:space="0" w:color="auto"/>
          </w:divBdr>
        </w:div>
        <w:div w:id="268317733">
          <w:marLeft w:val="0"/>
          <w:marRight w:val="0"/>
          <w:marTop w:val="0"/>
          <w:marBottom w:val="0"/>
          <w:divBdr>
            <w:top w:val="none" w:sz="0" w:space="0" w:color="auto"/>
            <w:left w:val="none" w:sz="0" w:space="0" w:color="auto"/>
            <w:bottom w:val="none" w:sz="0" w:space="0" w:color="auto"/>
            <w:right w:val="none" w:sz="0" w:space="0" w:color="auto"/>
          </w:divBdr>
        </w:div>
        <w:div w:id="56369856">
          <w:marLeft w:val="0"/>
          <w:marRight w:val="0"/>
          <w:marTop w:val="0"/>
          <w:marBottom w:val="0"/>
          <w:divBdr>
            <w:top w:val="none" w:sz="0" w:space="0" w:color="auto"/>
            <w:left w:val="none" w:sz="0" w:space="0" w:color="auto"/>
            <w:bottom w:val="none" w:sz="0" w:space="0" w:color="auto"/>
            <w:right w:val="none" w:sz="0" w:space="0" w:color="auto"/>
          </w:divBdr>
        </w:div>
        <w:div w:id="753667064">
          <w:marLeft w:val="0"/>
          <w:marRight w:val="0"/>
          <w:marTop w:val="0"/>
          <w:marBottom w:val="0"/>
          <w:divBdr>
            <w:top w:val="none" w:sz="0" w:space="0" w:color="auto"/>
            <w:left w:val="none" w:sz="0" w:space="0" w:color="auto"/>
            <w:bottom w:val="none" w:sz="0" w:space="0" w:color="auto"/>
            <w:right w:val="none" w:sz="0" w:space="0" w:color="auto"/>
          </w:divBdr>
        </w:div>
        <w:div w:id="1082873248">
          <w:marLeft w:val="0"/>
          <w:marRight w:val="0"/>
          <w:marTop w:val="0"/>
          <w:marBottom w:val="0"/>
          <w:divBdr>
            <w:top w:val="none" w:sz="0" w:space="0" w:color="auto"/>
            <w:left w:val="none" w:sz="0" w:space="0" w:color="auto"/>
            <w:bottom w:val="none" w:sz="0" w:space="0" w:color="auto"/>
            <w:right w:val="none" w:sz="0" w:space="0" w:color="auto"/>
          </w:divBdr>
        </w:div>
      </w:divsChild>
    </w:div>
    <w:div w:id="1940677451">
      <w:bodyDiv w:val="1"/>
      <w:marLeft w:val="0"/>
      <w:marRight w:val="0"/>
      <w:marTop w:val="0"/>
      <w:marBottom w:val="0"/>
      <w:divBdr>
        <w:top w:val="none" w:sz="0" w:space="0" w:color="auto"/>
        <w:left w:val="none" w:sz="0" w:space="0" w:color="auto"/>
        <w:bottom w:val="none" w:sz="0" w:space="0" w:color="auto"/>
        <w:right w:val="none" w:sz="0" w:space="0" w:color="auto"/>
      </w:divBdr>
    </w:div>
    <w:div w:id="1940866936">
      <w:bodyDiv w:val="1"/>
      <w:marLeft w:val="0"/>
      <w:marRight w:val="0"/>
      <w:marTop w:val="0"/>
      <w:marBottom w:val="0"/>
      <w:divBdr>
        <w:top w:val="none" w:sz="0" w:space="0" w:color="auto"/>
        <w:left w:val="none" w:sz="0" w:space="0" w:color="auto"/>
        <w:bottom w:val="none" w:sz="0" w:space="0" w:color="auto"/>
        <w:right w:val="none" w:sz="0" w:space="0" w:color="auto"/>
      </w:divBdr>
      <w:divsChild>
        <w:div w:id="932543339">
          <w:marLeft w:val="0"/>
          <w:marRight w:val="0"/>
          <w:marTop w:val="0"/>
          <w:marBottom w:val="0"/>
          <w:divBdr>
            <w:top w:val="none" w:sz="0" w:space="0" w:color="auto"/>
            <w:left w:val="none" w:sz="0" w:space="0" w:color="auto"/>
            <w:bottom w:val="none" w:sz="0" w:space="0" w:color="auto"/>
            <w:right w:val="none" w:sz="0" w:space="0" w:color="auto"/>
          </w:divBdr>
        </w:div>
        <w:div w:id="1842352857">
          <w:marLeft w:val="0"/>
          <w:marRight w:val="0"/>
          <w:marTop w:val="0"/>
          <w:marBottom w:val="0"/>
          <w:divBdr>
            <w:top w:val="none" w:sz="0" w:space="0" w:color="auto"/>
            <w:left w:val="none" w:sz="0" w:space="0" w:color="auto"/>
            <w:bottom w:val="none" w:sz="0" w:space="0" w:color="auto"/>
            <w:right w:val="none" w:sz="0" w:space="0" w:color="auto"/>
          </w:divBdr>
        </w:div>
        <w:div w:id="658271536">
          <w:marLeft w:val="0"/>
          <w:marRight w:val="0"/>
          <w:marTop w:val="0"/>
          <w:marBottom w:val="0"/>
          <w:divBdr>
            <w:top w:val="none" w:sz="0" w:space="0" w:color="auto"/>
            <w:left w:val="none" w:sz="0" w:space="0" w:color="auto"/>
            <w:bottom w:val="none" w:sz="0" w:space="0" w:color="auto"/>
            <w:right w:val="none" w:sz="0" w:space="0" w:color="auto"/>
          </w:divBdr>
        </w:div>
        <w:div w:id="1688362717">
          <w:marLeft w:val="0"/>
          <w:marRight w:val="0"/>
          <w:marTop w:val="0"/>
          <w:marBottom w:val="0"/>
          <w:divBdr>
            <w:top w:val="none" w:sz="0" w:space="0" w:color="auto"/>
            <w:left w:val="none" w:sz="0" w:space="0" w:color="auto"/>
            <w:bottom w:val="none" w:sz="0" w:space="0" w:color="auto"/>
            <w:right w:val="none" w:sz="0" w:space="0" w:color="auto"/>
          </w:divBdr>
        </w:div>
        <w:div w:id="1929727879">
          <w:marLeft w:val="0"/>
          <w:marRight w:val="0"/>
          <w:marTop w:val="0"/>
          <w:marBottom w:val="0"/>
          <w:divBdr>
            <w:top w:val="none" w:sz="0" w:space="0" w:color="auto"/>
            <w:left w:val="none" w:sz="0" w:space="0" w:color="auto"/>
            <w:bottom w:val="none" w:sz="0" w:space="0" w:color="auto"/>
            <w:right w:val="none" w:sz="0" w:space="0" w:color="auto"/>
          </w:divBdr>
        </w:div>
        <w:div w:id="244724602">
          <w:marLeft w:val="0"/>
          <w:marRight w:val="0"/>
          <w:marTop w:val="0"/>
          <w:marBottom w:val="0"/>
          <w:divBdr>
            <w:top w:val="none" w:sz="0" w:space="0" w:color="auto"/>
            <w:left w:val="none" w:sz="0" w:space="0" w:color="auto"/>
            <w:bottom w:val="none" w:sz="0" w:space="0" w:color="auto"/>
            <w:right w:val="none" w:sz="0" w:space="0" w:color="auto"/>
          </w:divBdr>
        </w:div>
        <w:div w:id="1788770724">
          <w:marLeft w:val="0"/>
          <w:marRight w:val="0"/>
          <w:marTop w:val="0"/>
          <w:marBottom w:val="0"/>
          <w:divBdr>
            <w:top w:val="none" w:sz="0" w:space="0" w:color="auto"/>
            <w:left w:val="none" w:sz="0" w:space="0" w:color="auto"/>
            <w:bottom w:val="none" w:sz="0" w:space="0" w:color="auto"/>
            <w:right w:val="none" w:sz="0" w:space="0" w:color="auto"/>
          </w:divBdr>
        </w:div>
        <w:div w:id="599025571">
          <w:marLeft w:val="0"/>
          <w:marRight w:val="0"/>
          <w:marTop w:val="0"/>
          <w:marBottom w:val="0"/>
          <w:divBdr>
            <w:top w:val="none" w:sz="0" w:space="0" w:color="auto"/>
            <w:left w:val="none" w:sz="0" w:space="0" w:color="auto"/>
            <w:bottom w:val="none" w:sz="0" w:space="0" w:color="auto"/>
            <w:right w:val="none" w:sz="0" w:space="0" w:color="auto"/>
          </w:divBdr>
        </w:div>
        <w:div w:id="140737696">
          <w:marLeft w:val="0"/>
          <w:marRight w:val="0"/>
          <w:marTop w:val="0"/>
          <w:marBottom w:val="0"/>
          <w:divBdr>
            <w:top w:val="none" w:sz="0" w:space="0" w:color="auto"/>
            <w:left w:val="none" w:sz="0" w:space="0" w:color="auto"/>
            <w:bottom w:val="none" w:sz="0" w:space="0" w:color="auto"/>
            <w:right w:val="none" w:sz="0" w:space="0" w:color="auto"/>
          </w:divBdr>
        </w:div>
        <w:div w:id="993601694">
          <w:marLeft w:val="0"/>
          <w:marRight w:val="0"/>
          <w:marTop w:val="0"/>
          <w:marBottom w:val="0"/>
          <w:divBdr>
            <w:top w:val="none" w:sz="0" w:space="0" w:color="auto"/>
            <w:left w:val="none" w:sz="0" w:space="0" w:color="auto"/>
            <w:bottom w:val="none" w:sz="0" w:space="0" w:color="auto"/>
            <w:right w:val="none" w:sz="0" w:space="0" w:color="auto"/>
          </w:divBdr>
        </w:div>
        <w:div w:id="1129324242">
          <w:marLeft w:val="0"/>
          <w:marRight w:val="0"/>
          <w:marTop w:val="0"/>
          <w:marBottom w:val="0"/>
          <w:divBdr>
            <w:top w:val="none" w:sz="0" w:space="0" w:color="auto"/>
            <w:left w:val="none" w:sz="0" w:space="0" w:color="auto"/>
            <w:bottom w:val="none" w:sz="0" w:space="0" w:color="auto"/>
            <w:right w:val="none" w:sz="0" w:space="0" w:color="auto"/>
          </w:divBdr>
        </w:div>
        <w:div w:id="1787118321">
          <w:marLeft w:val="0"/>
          <w:marRight w:val="0"/>
          <w:marTop w:val="0"/>
          <w:marBottom w:val="0"/>
          <w:divBdr>
            <w:top w:val="none" w:sz="0" w:space="0" w:color="auto"/>
            <w:left w:val="none" w:sz="0" w:space="0" w:color="auto"/>
            <w:bottom w:val="none" w:sz="0" w:space="0" w:color="auto"/>
            <w:right w:val="none" w:sz="0" w:space="0" w:color="auto"/>
          </w:divBdr>
        </w:div>
        <w:div w:id="793476988">
          <w:marLeft w:val="0"/>
          <w:marRight w:val="0"/>
          <w:marTop w:val="0"/>
          <w:marBottom w:val="0"/>
          <w:divBdr>
            <w:top w:val="none" w:sz="0" w:space="0" w:color="auto"/>
            <w:left w:val="none" w:sz="0" w:space="0" w:color="auto"/>
            <w:bottom w:val="none" w:sz="0" w:space="0" w:color="auto"/>
            <w:right w:val="none" w:sz="0" w:space="0" w:color="auto"/>
          </w:divBdr>
        </w:div>
        <w:div w:id="1875194395">
          <w:marLeft w:val="0"/>
          <w:marRight w:val="0"/>
          <w:marTop w:val="0"/>
          <w:marBottom w:val="0"/>
          <w:divBdr>
            <w:top w:val="none" w:sz="0" w:space="0" w:color="auto"/>
            <w:left w:val="none" w:sz="0" w:space="0" w:color="auto"/>
            <w:bottom w:val="none" w:sz="0" w:space="0" w:color="auto"/>
            <w:right w:val="none" w:sz="0" w:space="0" w:color="auto"/>
          </w:divBdr>
        </w:div>
        <w:div w:id="1273438655">
          <w:marLeft w:val="0"/>
          <w:marRight w:val="0"/>
          <w:marTop w:val="0"/>
          <w:marBottom w:val="0"/>
          <w:divBdr>
            <w:top w:val="none" w:sz="0" w:space="0" w:color="auto"/>
            <w:left w:val="none" w:sz="0" w:space="0" w:color="auto"/>
            <w:bottom w:val="none" w:sz="0" w:space="0" w:color="auto"/>
            <w:right w:val="none" w:sz="0" w:space="0" w:color="auto"/>
          </w:divBdr>
        </w:div>
        <w:div w:id="622005505">
          <w:marLeft w:val="0"/>
          <w:marRight w:val="0"/>
          <w:marTop w:val="0"/>
          <w:marBottom w:val="0"/>
          <w:divBdr>
            <w:top w:val="none" w:sz="0" w:space="0" w:color="auto"/>
            <w:left w:val="none" w:sz="0" w:space="0" w:color="auto"/>
            <w:bottom w:val="none" w:sz="0" w:space="0" w:color="auto"/>
            <w:right w:val="none" w:sz="0" w:space="0" w:color="auto"/>
          </w:divBdr>
        </w:div>
        <w:div w:id="2031107958">
          <w:marLeft w:val="0"/>
          <w:marRight w:val="0"/>
          <w:marTop w:val="0"/>
          <w:marBottom w:val="0"/>
          <w:divBdr>
            <w:top w:val="none" w:sz="0" w:space="0" w:color="auto"/>
            <w:left w:val="none" w:sz="0" w:space="0" w:color="auto"/>
            <w:bottom w:val="none" w:sz="0" w:space="0" w:color="auto"/>
            <w:right w:val="none" w:sz="0" w:space="0" w:color="auto"/>
          </w:divBdr>
        </w:div>
        <w:div w:id="429277882">
          <w:marLeft w:val="0"/>
          <w:marRight w:val="0"/>
          <w:marTop w:val="0"/>
          <w:marBottom w:val="0"/>
          <w:divBdr>
            <w:top w:val="none" w:sz="0" w:space="0" w:color="auto"/>
            <w:left w:val="none" w:sz="0" w:space="0" w:color="auto"/>
            <w:bottom w:val="none" w:sz="0" w:space="0" w:color="auto"/>
            <w:right w:val="none" w:sz="0" w:space="0" w:color="auto"/>
          </w:divBdr>
        </w:div>
      </w:divsChild>
    </w:div>
    <w:div w:id="1962373930">
      <w:bodyDiv w:val="1"/>
      <w:marLeft w:val="0"/>
      <w:marRight w:val="0"/>
      <w:marTop w:val="0"/>
      <w:marBottom w:val="0"/>
      <w:divBdr>
        <w:top w:val="none" w:sz="0" w:space="0" w:color="auto"/>
        <w:left w:val="none" w:sz="0" w:space="0" w:color="auto"/>
        <w:bottom w:val="none" w:sz="0" w:space="0" w:color="auto"/>
        <w:right w:val="none" w:sz="0" w:space="0" w:color="auto"/>
      </w:divBdr>
    </w:div>
    <w:div w:id="2023971216">
      <w:bodyDiv w:val="1"/>
      <w:marLeft w:val="0"/>
      <w:marRight w:val="0"/>
      <w:marTop w:val="0"/>
      <w:marBottom w:val="0"/>
      <w:divBdr>
        <w:top w:val="none" w:sz="0" w:space="0" w:color="auto"/>
        <w:left w:val="none" w:sz="0" w:space="0" w:color="auto"/>
        <w:bottom w:val="none" w:sz="0" w:space="0" w:color="auto"/>
        <w:right w:val="none" w:sz="0" w:space="0" w:color="auto"/>
      </w:divBdr>
      <w:divsChild>
        <w:div w:id="1445613928">
          <w:marLeft w:val="0"/>
          <w:marRight w:val="0"/>
          <w:marTop w:val="0"/>
          <w:marBottom w:val="0"/>
          <w:divBdr>
            <w:top w:val="none" w:sz="0" w:space="0" w:color="auto"/>
            <w:left w:val="none" w:sz="0" w:space="0" w:color="auto"/>
            <w:bottom w:val="none" w:sz="0" w:space="0" w:color="auto"/>
            <w:right w:val="none" w:sz="0" w:space="0" w:color="auto"/>
          </w:divBdr>
        </w:div>
        <w:div w:id="449007582">
          <w:marLeft w:val="0"/>
          <w:marRight w:val="0"/>
          <w:marTop w:val="0"/>
          <w:marBottom w:val="0"/>
          <w:divBdr>
            <w:top w:val="none" w:sz="0" w:space="0" w:color="auto"/>
            <w:left w:val="none" w:sz="0" w:space="0" w:color="auto"/>
            <w:bottom w:val="none" w:sz="0" w:space="0" w:color="auto"/>
            <w:right w:val="none" w:sz="0" w:space="0" w:color="auto"/>
          </w:divBdr>
        </w:div>
        <w:div w:id="343551911">
          <w:marLeft w:val="0"/>
          <w:marRight w:val="0"/>
          <w:marTop w:val="0"/>
          <w:marBottom w:val="0"/>
          <w:divBdr>
            <w:top w:val="none" w:sz="0" w:space="0" w:color="auto"/>
            <w:left w:val="none" w:sz="0" w:space="0" w:color="auto"/>
            <w:bottom w:val="none" w:sz="0" w:space="0" w:color="auto"/>
            <w:right w:val="none" w:sz="0" w:space="0" w:color="auto"/>
          </w:divBdr>
        </w:div>
        <w:div w:id="828062764">
          <w:marLeft w:val="0"/>
          <w:marRight w:val="0"/>
          <w:marTop w:val="0"/>
          <w:marBottom w:val="0"/>
          <w:divBdr>
            <w:top w:val="none" w:sz="0" w:space="0" w:color="auto"/>
            <w:left w:val="none" w:sz="0" w:space="0" w:color="auto"/>
            <w:bottom w:val="none" w:sz="0" w:space="0" w:color="auto"/>
            <w:right w:val="none" w:sz="0" w:space="0" w:color="auto"/>
          </w:divBdr>
        </w:div>
        <w:div w:id="136647025">
          <w:marLeft w:val="0"/>
          <w:marRight w:val="0"/>
          <w:marTop w:val="0"/>
          <w:marBottom w:val="0"/>
          <w:divBdr>
            <w:top w:val="none" w:sz="0" w:space="0" w:color="auto"/>
            <w:left w:val="none" w:sz="0" w:space="0" w:color="auto"/>
            <w:bottom w:val="none" w:sz="0" w:space="0" w:color="auto"/>
            <w:right w:val="none" w:sz="0" w:space="0" w:color="auto"/>
          </w:divBdr>
        </w:div>
        <w:div w:id="898127774">
          <w:marLeft w:val="0"/>
          <w:marRight w:val="0"/>
          <w:marTop w:val="0"/>
          <w:marBottom w:val="0"/>
          <w:divBdr>
            <w:top w:val="none" w:sz="0" w:space="0" w:color="auto"/>
            <w:left w:val="none" w:sz="0" w:space="0" w:color="auto"/>
            <w:bottom w:val="none" w:sz="0" w:space="0" w:color="auto"/>
            <w:right w:val="none" w:sz="0" w:space="0" w:color="auto"/>
          </w:divBdr>
        </w:div>
        <w:div w:id="2013337019">
          <w:marLeft w:val="0"/>
          <w:marRight w:val="0"/>
          <w:marTop w:val="0"/>
          <w:marBottom w:val="0"/>
          <w:divBdr>
            <w:top w:val="none" w:sz="0" w:space="0" w:color="auto"/>
            <w:left w:val="none" w:sz="0" w:space="0" w:color="auto"/>
            <w:bottom w:val="none" w:sz="0" w:space="0" w:color="auto"/>
            <w:right w:val="none" w:sz="0" w:space="0" w:color="auto"/>
          </w:divBdr>
        </w:div>
        <w:div w:id="921599012">
          <w:marLeft w:val="0"/>
          <w:marRight w:val="0"/>
          <w:marTop w:val="0"/>
          <w:marBottom w:val="0"/>
          <w:divBdr>
            <w:top w:val="none" w:sz="0" w:space="0" w:color="auto"/>
            <w:left w:val="none" w:sz="0" w:space="0" w:color="auto"/>
            <w:bottom w:val="none" w:sz="0" w:space="0" w:color="auto"/>
            <w:right w:val="none" w:sz="0" w:space="0" w:color="auto"/>
          </w:divBdr>
        </w:div>
        <w:div w:id="571307326">
          <w:marLeft w:val="0"/>
          <w:marRight w:val="0"/>
          <w:marTop w:val="0"/>
          <w:marBottom w:val="0"/>
          <w:divBdr>
            <w:top w:val="none" w:sz="0" w:space="0" w:color="auto"/>
            <w:left w:val="none" w:sz="0" w:space="0" w:color="auto"/>
            <w:bottom w:val="none" w:sz="0" w:space="0" w:color="auto"/>
            <w:right w:val="none" w:sz="0" w:space="0" w:color="auto"/>
          </w:divBdr>
        </w:div>
        <w:div w:id="1702511014">
          <w:marLeft w:val="0"/>
          <w:marRight w:val="0"/>
          <w:marTop w:val="0"/>
          <w:marBottom w:val="0"/>
          <w:divBdr>
            <w:top w:val="none" w:sz="0" w:space="0" w:color="auto"/>
            <w:left w:val="none" w:sz="0" w:space="0" w:color="auto"/>
            <w:bottom w:val="none" w:sz="0" w:space="0" w:color="auto"/>
            <w:right w:val="none" w:sz="0" w:space="0" w:color="auto"/>
          </w:divBdr>
        </w:div>
        <w:div w:id="379977775">
          <w:marLeft w:val="0"/>
          <w:marRight w:val="0"/>
          <w:marTop w:val="0"/>
          <w:marBottom w:val="0"/>
          <w:divBdr>
            <w:top w:val="none" w:sz="0" w:space="0" w:color="auto"/>
            <w:left w:val="none" w:sz="0" w:space="0" w:color="auto"/>
            <w:bottom w:val="none" w:sz="0" w:space="0" w:color="auto"/>
            <w:right w:val="none" w:sz="0" w:space="0" w:color="auto"/>
          </w:divBdr>
        </w:div>
        <w:div w:id="440565432">
          <w:marLeft w:val="0"/>
          <w:marRight w:val="0"/>
          <w:marTop w:val="0"/>
          <w:marBottom w:val="0"/>
          <w:divBdr>
            <w:top w:val="none" w:sz="0" w:space="0" w:color="auto"/>
            <w:left w:val="none" w:sz="0" w:space="0" w:color="auto"/>
            <w:bottom w:val="none" w:sz="0" w:space="0" w:color="auto"/>
            <w:right w:val="none" w:sz="0" w:space="0" w:color="auto"/>
          </w:divBdr>
        </w:div>
        <w:div w:id="83690483">
          <w:marLeft w:val="0"/>
          <w:marRight w:val="0"/>
          <w:marTop w:val="0"/>
          <w:marBottom w:val="0"/>
          <w:divBdr>
            <w:top w:val="none" w:sz="0" w:space="0" w:color="auto"/>
            <w:left w:val="none" w:sz="0" w:space="0" w:color="auto"/>
            <w:bottom w:val="none" w:sz="0" w:space="0" w:color="auto"/>
            <w:right w:val="none" w:sz="0" w:space="0" w:color="auto"/>
          </w:divBdr>
        </w:div>
      </w:divsChild>
    </w:div>
    <w:div w:id="2043051954">
      <w:bodyDiv w:val="1"/>
      <w:marLeft w:val="0"/>
      <w:marRight w:val="0"/>
      <w:marTop w:val="0"/>
      <w:marBottom w:val="0"/>
      <w:divBdr>
        <w:top w:val="none" w:sz="0" w:space="0" w:color="auto"/>
        <w:left w:val="none" w:sz="0" w:space="0" w:color="auto"/>
        <w:bottom w:val="none" w:sz="0" w:space="0" w:color="auto"/>
        <w:right w:val="none" w:sz="0" w:space="0" w:color="auto"/>
      </w:divBdr>
    </w:div>
    <w:div w:id="2047756960">
      <w:bodyDiv w:val="1"/>
      <w:marLeft w:val="0"/>
      <w:marRight w:val="0"/>
      <w:marTop w:val="0"/>
      <w:marBottom w:val="0"/>
      <w:divBdr>
        <w:top w:val="none" w:sz="0" w:space="0" w:color="auto"/>
        <w:left w:val="none" w:sz="0" w:space="0" w:color="auto"/>
        <w:bottom w:val="none" w:sz="0" w:space="0" w:color="auto"/>
        <w:right w:val="none" w:sz="0" w:space="0" w:color="auto"/>
      </w:divBdr>
      <w:divsChild>
        <w:div w:id="2086998994">
          <w:marLeft w:val="0"/>
          <w:marRight w:val="0"/>
          <w:marTop w:val="0"/>
          <w:marBottom w:val="0"/>
          <w:divBdr>
            <w:top w:val="none" w:sz="0" w:space="0" w:color="auto"/>
            <w:left w:val="none" w:sz="0" w:space="0" w:color="auto"/>
            <w:bottom w:val="none" w:sz="0" w:space="0" w:color="auto"/>
            <w:right w:val="none" w:sz="0" w:space="0" w:color="auto"/>
          </w:divBdr>
        </w:div>
        <w:div w:id="1849901569">
          <w:marLeft w:val="0"/>
          <w:marRight w:val="0"/>
          <w:marTop w:val="0"/>
          <w:marBottom w:val="0"/>
          <w:divBdr>
            <w:top w:val="none" w:sz="0" w:space="0" w:color="auto"/>
            <w:left w:val="none" w:sz="0" w:space="0" w:color="auto"/>
            <w:bottom w:val="none" w:sz="0" w:space="0" w:color="auto"/>
            <w:right w:val="none" w:sz="0" w:space="0" w:color="auto"/>
          </w:divBdr>
        </w:div>
        <w:div w:id="1095323478">
          <w:marLeft w:val="0"/>
          <w:marRight w:val="0"/>
          <w:marTop w:val="0"/>
          <w:marBottom w:val="0"/>
          <w:divBdr>
            <w:top w:val="none" w:sz="0" w:space="0" w:color="auto"/>
            <w:left w:val="none" w:sz="0" w:space="0" w:color="auto"/>
            <w:bottom w:val="none" w:sz="0" w:space="0" w:color="auto"/>
            <w:right w:val="none" w:sz="0" w:space="0" w:color="auto"/>
          </w:divBdr>
        </w:div>
        <w:div w:id="632489151">
          <w:marLeft w:val="0"/>
          <w:marRight w:val="0"/>
          <w:marTop w:val="0"/>
          <w:marBottom w:val="0"/>
          <w:divBdr>
            <w:top w:val="none" w:sz="0" w:space="0" w:color="auto"/>
            <w:left w:val="none" w:sz="0" w:space="0" w:color="auto"/>
            <w:bottom w:val="none" w:sz="0" w:space="0" w:color="auto"/>
            <w:right w:val="none" w:sz="0" w:space="0" w:color="auto"/>
          </w:divBdr>
        </w:div>
        <w:div w:id="407338746">
          <w:marLeft w:val="0"/>
          <w:marRight w:val="0"/>
          <w:marTop w:val="0"/>
          <w:marBottom w:val="0"/>
          <w:divBdr>
            <w:top w:val="none" w:sz="0" w:space="0" w:color="auto"/>
            <w:left w:val="none" w:sz="0" w:space="0" w:color="auto"/>
            <w:bottom w:val="none" w:sz="0" w:space="0" w:color="auto"/>
            <w:right w:val="none" w:sz="0" w:space="0" w:color="auto"/>
          </w:divBdr>
        </w:div>
        <w:div w:id="1679044156">
          <w:marLeft w:val="0"/>
          <w:marRight w:val="0"/>
          <w:marTop w:val="0"/>
          <w:marBottom w:val="0"/>
          <w:divBdr>
            <w:top w:val="none" w:sz="0" w:space="0" w:color="auto"/>
            <w:left w:val="none" w:sz="0" w:space="0" w:color="auto"/>
            <w:bottom w:val="none" w:sz="0" w:space="0" w:color="auto"/>
            <w:right w:val="none" w:sz="0" w:space="0" w:color="auto"/>
          </w:divBdr>
        </w:div>
        <w:div w:id="1485008102">
          <w:marLeft w:val="0"/>
          <w:marRight w:val="0"/>
          <w:marTop w:val="0"/>
          <w:marBottom w:val="0"/>
          <w:divBdr>
            <w:top w:val="none" w:sz="0" w:space="0" w:color="auto"/>
            <w:left w:val="none" w:sz="0" w:space="0" w:color="auto"/>
            <w:bottom w:val="none" w:sz="0" w:space="0" w:color="auto"/>
            <w:right w:val="none" w:sz="0" w:space="0" w:color="auto"/>
          </w:divBdr>
        </w:div>
        <w:div w:id="1540387269">
          <w:marLeft w:val="0"/>
          <w:marRight w:val="0"/>
          <w:marTop w:val="0"/>
          <w:marBottom w:val="0"/>
          <w:divBdr>
            <w:top w:val="none" w:sz="0" w:space="0" w:color="auto"/>
            <w:left w:val="none" w:sz="0" w:space="0" w:color="auto"/>
            <w:bottom w:val="none" w:sz="0" w:space="0" w:color="auto"/>
            <w:right w:val="none" w:sz="0" w:space="0" w:color="auto"/>
          </w:divBdr>
        </w:div>
        <w:div w:id="1332563588">
          <w:marLeft w:val="0"/>
          <w:marRight w:val="0"/>
          <w:marTop w:val="0"/>
          <w:marBottom w:val="0"/>
          <w:divBdr>
            <w:top w:val="none" w:sz="0" w:space="0" w:color="auto"/>
            <w:left w:val="none" w:sz="0" w:space="0" w:color="auto"/>
            <w:bottom w:val="none" w:sz="0" w:space="0" w:color="auto"/>
            <w:right w:val="none" w:sz="0" w:space="0" w:color="auto"/>
          </w:divBdr>
        </w:div>
        <w:div w:id="840706822">
          <w:marLeft w:val="0"/>
          <w:marRight w:val="0"/>
          <w:marTop w:val="0"/>
          <w:marBottom w:val="0"/>
          <w:divBdr>
            <w:top w:val="none" w:sz="0" w:space="0" w:color="auto"/>
            <w:left w:val="none" w:sz="0" w:space="0" w:color="auto"/>
            <w:bottom w:val="none" w:sz="0" w:space="0" w:color="auto"/>
            <w:right w:val="none" w:sz="0" w:space="0" w:color="auto"/>
          </w:divBdr>
        </w:div>
        <w:div w:id="404959378">
          <w:marLeft w:val="0"/>
          <w:marRight w:val="0"/>
          <w:marTop w:val="0"/>
          <w:marBottom w:val="0"/>
          <w:divBdr>
            <w:top w:val="none" w:sz="0" w:space="0" w:color="auto"/>
            <w:left w:val="none" w:sz="0" w:space="0" w:color="auto"/>
            <w:bottom w:val="none" w:sz="0" w:space="0" w:color="auto"/>
            <w:right w:val="none" w:sz="0" w:space="0" w:color="auto"/>
          </w:divBdr>
        </w:div>
      </w:divsChild>
    </w:div>
    <w:div w:id="2051302646">
      <w:bodyDiv w:val="1"/>
      <w:marLeft w:val="0"/>
      <w:marRight w:val="0"/>
      <w:marTop w:val="0"/>
      <w:marBottom w:val="0"/>
      <w:divBdr>
        <w:top w:val="none" w:sz="0" w:space="0" w:color="auto"/>
        <w:left w:val="none" w:sz="0" w:space="0" w:color="auto"/>
        <w:bottom w:val="none" w:sz="0" w:space="0" w:color="auto"/>
        <w:right w:val="none" w:sz="0" w:space="0" w:color="auto"/>
      </w:divBdr>
    </w:div>
    <w:div w:id="2057309642">
      <w:bodyDiv w:val="1"/>
      <w:marLeft w:val="0"/>
      <w:marRight w:val="0"/>
      <w:marTop w:val="0"/>
      <w:marBottom w:val="0"/>
      <w:divBdr>
        <w:top w:val="none" w:sz="0" w:space="0" w:color="auto"/>
        <w:left w:val="none" w:sz="0" w:space="0" w:color="auto"/>
        <w:bottom w:val="none" w:sz="0" w:space="0" w:color="auto"/>
        <w:right w:val="none" w:sz="0" w:space="0" w:color="auto"/>
      </w:divBdr>
    </w:div>
    <w:div w:id="2064406604">
      <w:bodyDiv w:val="1"/>
      <w:marLeft w:val="0"/>
      <w:marRight w:val="0"/>
      <w:marTop w:val="0"/>
      <w:marBottom w:val="0"/>
      <w:divBdr>
        <w:top w:val="none" w:sz="0" w:space="0" w:color="auto"/>
        <w:left w:val="none" w:sz="0" w:space="0" w:color="auto"/>
        <w:bottom w:val="none" w:sz="0" w:space="0" w:color="auto"/>
        <w:right w:val="none" w:sz="0" w:space="0" w:color="auto"/>
      </w:divBdr>
    </w:div>
    <w:div w:id="2077819537">
      <w:bodyDiv w:val="1"/>
      <w:marLeft w:val="0"/>
      <w:marRight w:val="0"/>
      <w:marTop w:val="0"/>
      <w:marBottom w:val="0"/>
      <w:divBdr>
        <w:top w:val="none" w:sz="0" w:space="0" w:color="auto"/>
        <w:left w:val="none" w:sz="0" w:space="0" w:color="auto"/>
        <w:bottom w:val="none" w:sz="0" w:space="0" w:color="auto"/>
        <w:right w:val="none" w:sz="0" w:space="0" w:color="auto"/>
      </w:divBdr>
      <w:divsChild>
        <w:div w:id="1965190060">
          <w:marLeft w:val="0"/>
          <w:marRight w:val="0"/>
          <w:marTop w:val="0"/>
          <w:marBottom w:val="0"/>
          <w:divBdr>
            <w:top w:val="none" w:sz="0" w:space="0" w:color="auto"/>
            <w:left w:val="none" w:sz="0" w:space="0" w:color="auto"/>
            <w:bottom w:val="none" w:sz="0" w:space="0" w:color="auto"/>
            <w:right w:val="none" w:sz="0" w:space="0" w:color="auto"/>
          </w:divBdr>
        </w:div>
        <w:div w:id="1077508527">
          <w:marLeft w:val="0"/>
          <w:marRight w:val="0"/>
          <w:marTop w:val="0"/>
          <w:marBottom w:val="0"/>
          <w:divBdr>
            <w:top w:val="none" w:sz="0" w:space="0" w:color="auto"/>
            <w:left w:val="none" w:sz="0" w:space="0" w:color="auto"/>
            <w:bottom w:val="none" w:sz="0" w:space="0" w:color="auto"/>
            <w:right w:val="none" w:sz="0" w:space="0" w:color="auto"/>
          </w:divBdr>
        </w:div>
        <w:div w:id="1425876897">
          <w:marLeft w:val="0"/>
          <w:marRight w:val="0"/>
          <w:marTop w:val="0"/>
          <w:marBottom w:val="0"/>
          <w:divBdr>
            <w:top w:val="none" w:sz="0" w:space="0" w:color="auto"/>
            <w:left w:val="none" w:sz="0" w:space="0" w:color="auto"/>
            <w:bottom w:val="none" w:sz="0" w:space="0" w:color="auto"/>
            <w:right w:val="none" w:sz="0" w:space="0" w:color="auto"/>
          </w:divBdr>
        </w:div>
        <w:div w:id="1680545673">
          <w:marLeft w:val="0"/>
          <w:marRight w:val="0"/>
          <w:marTop w:val="0"/>
          <w:marBottom w:val="0"/>
          <w:divBdr>
            <w:top w:val="none" w:sz="0" w:space="0" w:color="auto"/>
            <w:left w:val="none" w:sz="0" w:space="0" w:color="auto"/>
            <w:bottom w:val="none" w:sz="0" w:space="0" w:color="auto"/>
            <w:right w:val="none" w:sz="0" w:space="0" w:color="auto"/>
          </w:divBdr>
        </w:div>
      </w:divsChild>
    </w:div>
    <w:div w:id="2084257633">
      <w:bodyDiv w:val="1"/>
      <w:marLeft w:val="0"/>
      <w:marRight w:val="0"/>
      <w:marTop w:val="0"/>
      <w:marBottom w:val="0"/>
      <w:divBdr>
        <w:top w:val="none" w:sz="0" w:space="0" w:color="auto"/>
        <w:left w:val="none" w:sz="0" w:space="0" w:color="auto"/>
        <w:bottom w:val="none" w:sz="0" w:space="0" w:color="auto"/>
        <w:right w:val="none" w:sz="0" w:space="0" w:color="auto"/>
      </w:divBdr>
    </w:div>
    <w:div w:id="2098478104">
      <w:bodyDiv w:val="1"/>
      <w:marLeft w:val="0"/>
      <w:marRight w:val="0"/>
      <w:marTop w:val="0"/>
      <w:marBottom w:val="0"/>
      <w:divBdr>
        <w:top w:val="none" w:sz="0" w:space="0" w:color="auto"/>
        <w:left w:val="none" w:sz="0" w:space="0" w:color="auto"/>
        <w:bottom w:val="none" w:sz="0" w:space="0" w:color="auto"/>
        <w:right w:val="none" w:sz="0" w:space="0" w:color="auto"/>
      </w:divBdr>
      <w:divsChild>
        <w:div w:id="561216136">
          <w:marLeft w:val="0"/>
          <w:marRight w:val="0"/>
          <w:marTop w:val="0"/>
          <w:marBottom w:val="0"/>
          <w:divBdr>
            <w:top w:val="none" w:sz="0" w:space="0" w:color="auto"/>
            <w:left w:val="none" w:sz="0" w:space="0" w:color="auto"/>
            <w:bottom w:val="none" w:sz="0" w:space="0" w:color="auto"/>
            <w:right w:val="none" w:sz="0" w:space="0" w:color="auto"/>
          </w:divBdr>
        </w:div>
        <w:div w:id="1583446440">
          <w:marLeft w:val="0"/>
          <w:marRight w:val="0"/>
          <w:marTop w:val="0"/>
          <w:marBottom w:val="0"/>
          <w:divBdr>
            <w:top w:val="none" w:sz="0" w:space="0" w:color="auto"/>
            <w:left w:val="none" w:sz="0" w:space="0" w:color="auto"/>
            <w:bottom w:val="none" w:sz="0" w:space="0" w:color="auto"/>
            <w:right w:val="none" w:sz="0" w:space="0" w:color="auto"/>
          </w:divBdr>
        </w:div>
        <w:div w:id="1314605681">
          <w:marLeft w:val="0"/>
          <w:marRight w:val="0"/>
          <w:marTop w:val="0"/>
          <w:marBottom w:val="0"/>
          <w:divBdr>
            <w:top w:val="none" w:sz="0" w:space="0" w:color="auto"/>
            <w:left w:val="none" w:sz="0" w:space="0" w:color="auto"/>
            <w:bottom w:val="none" w:sz="0" w:space="0" w:color="auto"/>
            <w:right w:val="none" w:sz="0" w:space="0" w:color="auto"/>
          </w:divBdr>
        </w:div>
      </w:divsChild>
    </w:div>
    <w:div w:id="2102095090">
      <w:bodyDiv w:val="1"/>
      <w:marLeft w:val="0"/>
      <w:marRight w:val="0"/>
      <w:marTop w:val="0"/>
      <w:marBottom w:val="0"/>
      <w:divBdr>
        <w:top w:val="none" w:sz="0" w:space="0" w:color="auto"/>
        <w:left w:val="none" w:sz="0" w:space="0" w:color="auto"/>
        <w:bottom w:val="none" w:sz="0" w:space="0" w:color="auto"/>
        <w:right w:val="none" w:sz="0" w:space="0" w:color="auto"/>
      </w:divBdr>
      <w:divsChild>
        <w:div w:id="1528526040">
          <w:marLeft w:val="0"/>
          <w:marRight w:val="0"/>
          <w:marTop w:val="0"/>
          <w:marBottom w:val="0"/>
          <w:divBdr>
            <w:top w:val="none" w:sz="0" w:space="0" w:color="auto"/>
            <w:left w:val="none" w:sz="0" w:space="0" w:color="auto"/>
            <w:bottom w:val="none" w:sz="0" w:space="0" w:color="auto"/>
            <w:right w:val="none" w:sz="0" w:space="0" w:color="auto"/>
          </w:divBdr>
        </w:div>
        <w:div w:id="725757488">
          <w:marLeft w:val="0"/>
          <w:marRight w:val="0"/>
          <w:marTop w:val="0"/>
          <w:marBottom w:val="0"/>
          <w:divBdr>
            <w:top w:val="none" w:sz="0" w:space="0" w:color="auto"/>
            <w:left w:val="none" w:sz="0" w:space="0" w:color="auto"/>
            <w:bottom w:val="none" w:sz="0" w:space="0" w:color="auto"/>
            <w:right w:val="none" w:sz="0" w:space="0" w:color="auto"/>
          </w:divBdr>
        </w:div>
        <w:div w:id="80756002">
          <w:marLeft w:val="0"/>
          <w:marRight w:val="0"/>
          <w:marTop w:val="0"/>
          <w:marBottom w:val="0"/>
          <w:divBdr>
            <w:top w:val="none" w:sz="0" w:space="0" w:color="auto"/>
            <w:left w:val="none" w:sz="0" w:space="0" w:color="auto"/>
            <w:bottom w:val="none" w:sz="0" w:space="0" w:color="auto"/>
            <w:right w:val="none" w:sz="0" w:space="0" w:color="auto"/>
          </w:divBdr>
        </w:div>
        <w:div w:id="1651472128">
          <w:marLeft w:val="0"/>
          <w:marRight w:val="0"/>
          <w:marTop w:val="0"/>
          <w:marBottom w:val="0"/>
          <w:divBdr>
            <w:top w:val="none" w:sz="0" w:space="0" w:color="auto"/>
            <w:left w:val="none" w:sz="0" w:space="0" w:color="auto"/>
            <w:bottom w:val="none" w:sz="0" w:space="0" w:color="auto"/>
            <w:right w:val="none" w:sz="0" w:space="0" w:color="auto"/>
          </w:divBdr>
        </w:div>
        <w:div w:id="1847939346">
          <w:marLeft w:val="0"/>
          <w:marRight w:val="0"/>
          <w:marTop w:val="0"/>
          <w:marBottom w:val="0"/>
          <w:divBdr>
            <w:top w:val="none" w:sz="0" w:space="0" w:color="auto"/>
            <w:left w:val="none" w:sz="0" w:space="0" w:color="auto"/>
            <w:bottom w:val="none" w:sz="0" w:space="0" w:color="auto"/>
            <w:right w:val="none" w:sz="0" w:space="0" w:color="auto"/>
          </w:divBdr>
        </w:div>
        <w:div w:id="1262104638">
          <w:marLeft w:val="0"/>
          <w:marRight w:val="0"/>
          <w:marTop w:val="0"/>
          <w:marBottom w:val="0"/>
          <w:divBdr>
            <w:top w:val="none" w:sz="0" w:space="0" w:color="auto"/>
            <w:left w:val="none" w:sz="0" w:space="0" w:color="auto"/>
            <w:bottom w:val="none" w:sz="0" w:space="0" w:color="auto"/>
            <w:right w:val="none" w:sz="0" w:space="0" w:color="auto"/>
          </w:divBdr>
        </w:div>
        <w:div w:id="1068066838">
          <w:marLeft w:val="0"/>
          <w:marRight w:val="0"/>
          <w:marTop w:val="0"/>
          <w:marBottom w:val="0"/>
          <w:divBdr>
            <w:top w:val="none" w:sz="0" w:space="0" w:color="auto"/>
            <w:left w:val="none" w:sz="0" w:space="0" w:color="auto"/>
            <w:bottom w:val="none" w:sz="0" w:space="0" w:color="auto"/>
            <w:right w:val="none" w:sz="0" w:space="0" w:color="auto"/>
          </w:divBdr>
        </w:div>
        <w:div w:id="1225489826">
          <w:marLeft w:val="0"/>
          <w:marRight w:val="0"/>
          <w:marTop w:val="0"/>
          <w:marBottom w:val="0"/>
          <w:divBdr>
            <w:top w:val="none" w:sz="0" w:space="0" w:color="auto"/>
            <w:left w:val="none" w:sz="0" w:space="0" w:color="auto"/>
            <w:bottom w:val="none" w:sz="0" w:space="0" w:color="auto"/>
            <w:right w:val="none" w:sz="0" w:space="0" w:color="auto"/>
          </w:divBdr>
        </w:div>
        <w:div w:id="1827479540">
          <w:marLeft w:val="0"/>
          <w:marRight w:val="0"/>
          <w:marTop w:val="0"/>
          <w:marBottom w:val="0"/>
          <w:divBdr>
            <w:top w:val="none" w:sz="0" w:space="0" w:color="auto"/>
            <w:left w:val="none" w:sz="0" w:space="0" w:color="auto"/>
            <w:bottom w:val="none" w:sz="0" w:space="0" w:color="auto"/>
            <w:right w:val="none" w:sz="0" w:space="0" w:color="auto"/>
          </w:divBdr>
        </w:div>
        <w:div w:id="1759446383">
          <w:marLeft w:val="0"/>
          <w:marRight w:val="0"/>
          <w:marTop w:val="0"/>
          <w:marBottom w:val="0"/>
          <w:divBdr>
            <w:top w:val="none" w:sz="0" w:space="0" w:color="auto"/>
            <w:left w:val="none" w:sz="0" w:space="0" w:color="auto"/>
            <w:bottom w:val="none" w:sz="0" w:space="0" w:color="auto"/>
            <w:right w:val="none" w:sz="0" w:space="0" w:color="auto"/>
          </w:divBdr>
        </w:div>
        <w:div w:id="2134208512">
          <w:marLeft w:val="0"/>
          <w:marRight w:val="0"/>
          <w:marTop w:val="0"/>
          <w:marBottom w:val="0"/>
          <w:divBdr>
            <w:top w:val="none" w:sz="0" w:space="0" w:color="auto"/>
            <w:left w:val="none" w:sz="0" w:space="0" w:color="auto"/>
            <w:bottom w:val="none" w:sz="0" w:space="0" w:color="auto"/>
            <w:right w:val="none" w:sz="0" w:space="0" w:color="auto"/>
          </w:divBdr>
        </w:div>
        <w:div w:id="1414818497">
          <w:marLeft w:val="0"/>
          <w:marRight w:val="0"/>
          <w:marTop w:val="0"/>
          <w:marBottom w:val="0"/>
          <w:divBdr>
            <w:top w:val="none" w:sz="0" w:space="0" w:color="auto"/>
            <w:left w:val="none" w:sz="0" w:space="0" w:color="auto"/>
            <w:bottom w:val="none" w:sz="0" w:space="0" w:color="auto"/>
            <w:right w:val="none" w:sz="0" w:space="0" w:color="auto"/>
          </w:divBdr>
        </w:div>
        <w:div w:id="141704846">
          <w:marLeft w:val="0"/>
          <w:marRight w:val="0"/>
          <w:marTop w:val="0"/>
          <w:marBottom w:val="0"/>
          <w:divBdr>
            <w:top w:val="none" w:sz="0" w:space="0" w:color="auto"/>
            <w:left w:val="none" w:sz="0" w:space="0" w:color="auto"/>
            <w:bottom w:val="none" w:sz="0" w:space="0" w:color="auto"/>
            <w:right w:val="none" w:sz="0" w:space="0" w:color="auto"/>
          </w:divBdr>
        </w:div>
        <w:div w:id="1502741830">
          <w:marLeft w:val="0"/>
          <w:marRight w:val="0"/>
          <w:marTop w:val="0"/>
          <w:marBottom w:val="0"/>
          <w:divBdr>
            <w:top w:val="none" w:sz="0" w:space="0" w:color="auto"/>
            <w:left w:val="none" w:sz="0" w:space="0" w:color="auto"/>
            <w:bottom w:val="none" w:sz="0" w:space="0" w:color="auto"/>
            <w:right w:val="none" w:sz="0" w:space="0" w:color="auto"/>
          </w:divBdr>
        </w:div>
        <w:div w:id="1321736544">
          <w:marLeft w:val="0"/>
          <w:marRight w:val="0"/>
          <w:marTop w:val="0"/>
          <w:marBottom w:val="0"/>
          <w:divBdr>
            <w:top w:val="none" w:sz="0" w:space="0" w:color="auto"/>
            <w:left w:val="none" w:sz="0" w:space="0" w:color="auto"/>
            <w:bottom w:val="none" w:sz="0" w:space="0" w:color="auto"/>
            <w:right w:val="none" w:sz="0" w:space="0" w:color="auto"/>
          </w:divBdr>
        </w:div>
        <w:div w:id="1995986177">
          <w:marLeft w:val="0"/>
          <w:marRight w:val="0"/>
          <w:marTop w:val="0"/>
          <w:marBottom w:val="0"/>
          <w:divBdr>
            <w:top w:val="none" w:sz="0" w:space="0" w:color="auto"/>
            <w:left w:val="none" w:sz="0" w:space="0" w:color="auto"/>
            <w:bottom w:val="none" w:sz="0" w:space="0" w:color="auto"/>
            <w:right w:val="none" w:sz="0" w:space="0" w:color="auto"/>
          </w:divBdr>
        </w:div>
        <w:div w:id="379868280">
          <w:marLeft w:val="0"/>
          <w:marRight w:val="0"/>
          <w:marTop w:val="0"/>
          <w:marBottom w:val="0"/>
          <w:divBdr>
            <w:top w:val="none" w:sz="0" w:space="0" w:color="auto"/>
            <w:left w:val="none" w:sz="0" w:space="0" w:color="auto"/>
            <w:bottom w:val="none" w:sz="0" w:space="0" w:color="auto"/>
            <w:right w:val="none" w:sz="0" w:space="0" w:color="auto"/>
          </w:divBdr>
        </w:div>
        <w:div w:id="427894276">
          <w:marLeft w:val="0"/>
          <w:marRight w:val="0"/>
          <w:marTop w:val="0"/>
          <w:marBottom w:val="0"/>
          <w:divBdr>
            <w:top w:val="none" w:sz="0" w:space="0" w:color="auto"/>
            <w:left w:val="none" w:sz="0" w:space="0" w:color="auto"/>
            <w:bottom w:val="none" w:sz="0" w:space="0" w:color="auto"/>
            <w:right w:val="none" w:sz="0" w:space="0" w:color="auto"/>
          </w:divBdr>
        </w:div>
      </w:divsChild>
    </w:div>
    <w:div w:id="2120106157">
      <w:bodyDiv w:val="1"/>
      <w:marLeft w:val="0"/>
      <w:marRight w:val="0"/>
      <w:marTop w:val="0"/>
      <w:marBottom w:val="0"/>
      <w:divBdr>
        <w:top w:val="none" w:sz="0" w:space="0" w:color="auto"/>
        <w:left w:val="none" w:sz="0" w:space="0" w:color="auto"/>
        <w:bottom w:val="none" w:sz="0" w:space="0" w:color="auto"/>
        <w:right w:val="none" w:sz="0" w:space="0" w:color="auto"/>
      </w:divBdr>
    </w:div>
    <w:div w:id="21278928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DefaultPlaceholder_-1854013440"/>
        <w:category>
          <w:name w:val="General"/>
          <w:gallery w:val="placeholder"/>
        </w:category>
        <w:types>
          <w:type w:val="bbPlcHdr"/>
        </w:types>
        <w:behaviors>
          <w:behavior w:val="content"/>
        </w:behaviors>
        <w:guid w:val="{A87C00F0-2A39-4BF0-865E-1ED7CC184438}"/>
      </w:docPartPr>
      <w:docPartBody>
        <w:p w:rsidR="000B70DA" w:rsidRDefault="00F838B8">
          <w:r w:rsidRPr="00462188">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838B8"/>
    <w:rsid w:val="000740BD"/>
    <w:rsid w:val="00085C48"/>
    <w:rsid w:val="000B70DA"/>
    <w:rsid w:val="0044060F"/>
    <w:rsid w:val="00861943"/>
    <w:rsid w:val="00862CF4"/>
    <w:rsid w:val="009F3979"/>
    <w:rsid w:val="00CC1387"/>
    <w:rsid w:val="00D465E0"/>
    <w:rsid w:val="00F838B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0B70DA"/>
    <w:rPr>
      <w:color w:val="808080"/>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7">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AF980E0D-A7F1-4090-A2CB-12137D713982}">
  <we:reference id="f78a3046-9e99-4300-aa2b-5814002b01a2" version="1.21.0.0" store="EXCatalog" storeType="EXCatalog"/>
  <we:alternateReferences>
    <we:reference id="WA104382081" version="1.21.0.0" store="en-GB" storeType="OMEX"/>
  </we:alternateReferences>
  <we:properties>
    <we:property name="MENDELEY_CITATIONS" value="[{&quot;citationID&quot;:&quot;MENDELEY_CITATION_2194da26-f8c7-4c10-bc11-ded47a1ada30&quot;,&quot;citationItems&quot;:[{&quot;id&quot;:&quot;74b81839-7dca-30d3-8279-0d7fe4058e76&quot;,&quot;itemData&quot;:{&quot;type&quot;:&quot;article&quot;,&quot;id&quot;:&quot;74b81839-7dca-30d3-8279-0d7fe4058e76&quot;,&quot;title&quot;:&quot;The epidemiology and pathogenesis of coronavirus disease (COVID-19) outbreak&quot;,&quot;author&quot;:[{&quot;family&quot;:&quot;Rothan&quot;,&quot;given&quot;:&quot;Hussin A.&quot;,&quot;parse-names&quot;:false,&quot;dropping-particle&quot;:&quot;&quot;,&quot;non-dropping-particle&quot;:&quot;&quot;},{&quot;family&quot;:&quot;Byrareddy&quot;,&quot;given&quot;:&quot;Siddappa N.&quot;,&quot;parse-names&quot;:false,&quot;dropping-particle&quot;:&quot;&quot;,&quot;non-dropping-particle&quot;:&quot;&quot;}],&quot;container-title&quot;:&quot;Journal of Autoimmunity&quot;,&quot;accessed&quot;:{&quot;date-parts&quot;:[[2021,3,10]]},&quot;DOI&quot;:&quot;10.1016/j.jaut.2020.102433&quot;,&quot;ISSN&quot;:&quot;10959157&quot;,&quot;PMID&quot;:&quot;32113704&quot;,&quot;URL&quot;:&quot;www.elsevier.com/locate/jautimm&quot;,&quot;issued&quot;:{&quot;date-parts&quot;:[[2020,5,1]]},&quot;page&quot;:&quot;102433&quot;,&quot;abstract&quot;:&quot;Coronavirus disease (COVID-19) is caused by SARS-COV2 and represents the causative agent of a potentially fatal disease that is of great global public health concern. Based on the large number of infected people that were exposed to the wet animal market in Wuhan City, China, it is suggested that this is likely the zoonotic origin of COVID-19. Person-to-person transmission of COVID-19 infection led to the isolation of patients that were subsequently administered a variety of treatments. Extensive measures to reduce person-to-person transmission of COVID-19 have been implemented to control the current outbreak. Special attention and efforts to protect or reduce transmission should be applied in susceptible populations including children, health care providers, and elderly people. In this review, we highlights the symptoms, epidemiology, transmission, pathogenesis, phylogenetic analysis and future directions to control the spread of this fatal disease.&quot;,&quot;publisher&quot;:&quot;Academic Press&quot;,&quot;volume&quot;:&quot;109&quot;},&quot;isTemporary&quot;:false}],&quot;properties&quot;:{&quot;noteIndex&quot;:0},&quot;isEdited&quot;:false,&quot;manualOverride&quot;:{&quot;isManuallyOverriden&quot;:false,&quot;citeprocText&quot;:&quot;(Rothan and Byrareddy, 2020)&quot;,&quot;manualOverrideText&quot;:&quot;&quot;},&quot;citationTag&quot;:&quot;MENDELEY_CITATION_{\&quot;citationID\&quot;:\&quot;MENDELEY_CITATION_2194da26-f8c7-4c10-bc11-ded47a1ada30\&quot;,\&quot;citationItems\&quot;:[{\&quot;id\&quot;:\&quot;74b81839-7dca-30d3-8279-0d7fe4058e76\&quot;,\&quot;itemData\&quot;:{\&quot;type\&quot;:\&quot;article\&quot;,\&quot;id\&quot;:\&quot;74b81839-7dca-30d3-8279-0d7fe4058e76\&quot;,\&quot;title\&quot;:\&quot;The epidemiology and pathogenesis of coronavirus disease (COVID-19) outbreak\&quot;,\&quot;author\&quot;:[{\&quot;family\&quot;:\&quot;Rothan\&quot;,\&quot;given\&quot;:\&quot;Hussin A.\&quot;,\&quot;parse-names\&quot;:false,\&quot;dropping-particle\&quot;:\&quot;\&quot;,\&quot;non-dropping-particle\&quot;:\&quot;\&quot;},{\&quot;family\&quot;:\&quot;Byrareddy\&quot;,\&quot;given\&quot;:\&quot;Siddappa N.\&quot;,\&quot;parse-names\&quot;:false,\&quot;dropping-particle\&quot;:\&quot;\&quot;,\&quot;non-dropping-particle\&quot;:\&quot;\&quot;}],\&quot;container-title\&quot;:\&quot;Journal of Autoimmunity\&quot;,\&quot;accessed\&quot;:{\&quot;date-parts\&quot;:[[2021,3,10]]},\&quot;DOI\&quot;:\&quot;10.1016/j.jaut.2020.102433\&quot;,\&quot;ISSN\&quot;:\&quot;10959157\&quot;,\&quot;PMID\&quot;:\&quot;32113704\&quot;,\&quot;URL\&quot;:\&quot;www.elsevier.com/locate/jautimm\&quot;,\&quot;issued\&quot;:{\&quot;date-parts\&quot;:[[2020,5,1]]},\&quot;page\&quot;:\&quot;102433\&quot;,\&quot;abstract\&quot;:\&quot;Coronavirus disease (COVID-19) is caused by SARS-COV2 and represents the causative agent of a potentially fatal disease that is of great global public health concern. Based on the large number of infected people that were exposed to the wet animal market in Wuhan City, China, it is suggested that this is likely the zoonotic origin of COVID-19. Person-to-person transmission of COVID-19 infection led to the isolation of patients that were subsequently administered a variety of treatments. Extensive measures to reduce person-to-person transmission of COVID-19 have been implemented to control the current outbreak. Special attention and efforts to protect or reduce transmission should be applied in susceptible populations including children, health care providers, and elderly people. In this review, we highlights the symptoms, epidemiology, transmission, pathogenesis, phylogenetic analysis and future directions to control the spread of this fatal disease.\&quot;,\&quot;publisher\&quot;:\&quot;Academic Press\&quot;,\&quot;volume\&quot;:\&quot;109\&quot;},\&quot;isTemporary\&quot;:false}],\&quot;properties\&quot;:{\&quot;noteIndex\&quot;:0},\&quot;isEdited\&quot;:false,\&quot;manualOverride\&quot;:{\&quot;isManuallyOverriden\&quot;:false,\&quot;citeprocText\&quot;:\&quot;(Rothan and Byrareddy, 2020)\&quot;,\&quot;manualOverrideText\&quot;:\&quot;\&quot;}}&quot;},{&quot;citationID&quot;:&quot;MENDELEY_CITATION_06d8bcda-8c89-4719-b125-4b8e0e47a509&quot;,&quot;citationItems&quot;:[{&quot;id&quot;:&quot;74b81839-7dca-30d3-8279-0d7fe4058e76&quot;,&quot;itemData&quot;:{&quot;type&quot;:&quot;article&quot;,&quot;id&quot;:&quot;74b81839-7dca-30d3-8279-0d7fe4058e76&quot;,&quot;title&quot;:&quot;The epidemiology and pathogenesis of coronavirus disease (COVID-19) outbreak&quot;,&quot;author&quot;:[{&quot;family&quot;:&quot;Rothan&quot;,&quot;given&quot;:&quot;Hussin A.&quot;,&quot;parse-names&quot;:false,&quot;dropping-particle&quot;:&quot;&quot;,&quot;non-dropping-particle&quot;:&quot;&quot;},{&quot;family&quot;:&quot;Byrareddy&quot;,&quot;given&quot;:&quot;Siddappa N.&quot;,&quot;parse-names&quot;:false,&quot;dropping-particle&quot;:&quot;&quot;,&quot;non-dropping-particle&quot;:&quot;&quot;}],&quot;container-title&quot;:&quot;Journal of Autoimmunity&quot;,&quot;accessed&quot;:{&quot;date-parts&quot;:[[2021,3,10]]},&quot;DOI&quot;:&quot;10.1016/j.jaut.2020.102433&quot;,&quot;ISSN&quot;:&quot;10959157&quot;,&quot;PMID&quot;:&quot;32113704&quot;,&quot;URL&quot;:&quot;www.elsevier.com/locate/jautimm&quot;,&quot;issued&quot;:{&quot;date-parts&quot;:[[2020,5,1]]},&quot;page&quot;:&quot;102433&quot;,&quot;abstract&quot;:&quot;Coronavirus disease (COVID-19) is caused by SARS-COV2 and represents the causative agent of a potentially fatal disease that is of great global public health concern. Based on the large number of infected people that were exposed to the wet animal market in Wuhan City, China, it is suggested that this is likely the zoonotic origin of COVID-19. Person-to-person transmission of COVID-19 infection led to the isolation of patients that were subsequently administered a variety of treatments. Extensive measures to reduce person-to-person transmission of COVID-19 have been implemented to control the current outbreak. Special attention and efforts to protect or reduce transmission should be applied in susceptible populations including children, health care providers, and elderly people. In this review, we highlights the symptoms, epidemiology, transmission, pathogenesis, phylogenetic analysis and future directions to control the spread of this fatal disease.&quot;,&quot;publisher&quot;:&quot;Academic Press&quot;,&quot;volume&quot;:&quot;109&quot;},&quot;isTemporary&quot;:false}],&quot;properties&quot;:{&quot;noteIndex&quot;:0},&quot;isEdited&quot;:false,&quot;manualOverride&quot;:{&quot;isManuallyOverriden&quot;:false,&quot;citeprocText&quot;:&quot;(Rothan and Byrareddy, 2020)&quot;,&quot;manualOverrideText&quot;:&quot;&quot;},&quot;citationTag&quot;:&quot;MENDELEY_CITATION_{\&quot;citationID\&quot;:\&quot;MENDELEY_CITATION_06d8bcda-8c89-4719-b125-4b8e0e47a509\&quot;,\&quot;citationItems\&quot;:[{\&quot;id\&quot;:\&quot;74b81839-7dca-30d3-8279-0d7fe4058e76\&quot;,\&quot;itemData\&quot;:{\&quot;type\&quot;:\&quot;article\&quot;,\&quot;id\&quot;:\&quot;74b81839-7dca-30d3-8279-0d7fe4058e76\&quot;,\&quot;title\&quot;:\&quot;The epidemiology and pathogenesis of coronavirus disease (COVID-19) outbreak\&quot;,\&quot;author\&quot;:[{\&quot;family\&quot;:\&quot;Rothan\&quot;,\&quot;given\&quot;:\&quot;Hussin A.\&quot;,\&quot;parse-names\&quot;:false,\&quot;dropping-particle\&quot;:\&quot;\&quot;,\&quot;non-dropping-particle\&quot;:\&quot;\&quot;},{\&quot;family\&quot;:\&quot;Byrareddy\&quot;,\&quot;given\&quot;:\&quot;Siddappa N.\&quot;,\&quot;parse-names\&quot;:false,\&quot;dropping-particle\&quot;:\&quot;\&quot;,\&quot;non-dropping-particle\&quot;:\&quot;\&quot;}],\&quot;container-title\&quot;:\&quot;Journal of Autoimmunity\&quot;,\&quot;accessed\&quot;:{\&quot;date-parts\&quot;:[[2021,3,10]]},\&quot;DOI\&quot;:\&quot;10.1016/j.jaut.2020.102433\&quot;,\&quot;ISSN\&quot;:\&quot;10959157\&quot;,\&quot;PMID\&quot;:\&quot;32113704\&quot;,\&quot;URL\&quot;:\&quot;www.elsevier.com/locate/jautimm\&quot;,\&quot;issued\&quot;:{\&quot;date-parts\&quot;:[[2020,5,1]]},\&quot;page\&quot;:\&quot;102433\&quot;,\&quot;abstract\&quot;:\&quot;Coronavirus disease (COVID-19) is caused by SARS-COV2 and represents the causative agent of a potentially fatal disease that is of great global public health concern. Based on the large number of infected people that were exposed to the wet animal market in Wuhan City, China, it is suggested that this is likely the zoonotic origin of COVID-19. Person-to-person transmission of COVID-19 infection led to the isolation of patients that were subsequently administered a variety of treatments. Extensive measures to reduce person-to-person transmission of COVID-19 have been implemented to control the current outbreak. Special attention and efforts to protect or reduce transmission should be applied in susceptible populations including children, health care providers, and elderly people. In this review, we highlights the symptoms, epidemiology, transmission, pathogenesis, phylogenetic analysis and future directions to control the spread of this fatal disease.\&quot;,\&quot;publisher\&quot;:\&quot;Academic Press\&quot;,\&quot;volume\&quot;:\&quot;109\&quot;},\&quot;isTemporary\&quot;:false}],\&quot;properties\&quot;:{\&quot;noteIndex\&quot;:0},\&quot;isEdited\&quot;:false,\&quot;manualOverride\&quot;:{\&quot;isManuallyOverriden\&quot;:false,\&quot;citeprocText\&quot;:\&quot;(Rothan and Byrareddy, 2020)\&quot;,\&quot;manualOverrideText\&quot;:\&quot;\&quot;}}&quot;},{&quot;citationID&quot;:&quot;MENDELEY_CITATION_6d451ec4-d002-489f-b282-22c1f8f6fa00&quot;,&quot;citationItems&quot;:[{&quot;id&quot;:&quot;74b81839-7dca-30d3-8279-0d7fe4058e76&quot;,&quot;itemData&quot;:{&quot;type&quot;:&quot;article&quot;,&quot;id&quot;:&quot;74b81839-7dca-30d3-8279-0d7fe4058e76&quot;,&quot;title&quot;:&quot;The epidemiology and pathogenesis of coronavirus disease (COVID-19) outbreak&quot;,&quot;author&quot;:[{&quot;family&quot;:&quot;Rothan&quot;,&quot;given&quot;:&quot;Hussin A.&quot;,&quot;parse-names&quot;:false,&quot;dropping-particle&quot;:&quot;&quot;,&quot;non-dropping-particle&quot;:&quot;&quot;},{&quot;family&quot;:&quot;Byrareddy&quot;,&quot;given&quot;:&quot;Siddappa N.&quot;,&quot;parse-names&quot;:false,&quot;dropping-particle&quot;:&quot;&quot;,&quot;non-dropping-particle&quot;:&quot;&quot;}],&quot;container-title&quot;:&quot;Journal of Autoimmunity&quot;,&quot;accessed&quot;:{&quot;date-parts&quot;:[[2021,3,10]]},&quot;DOI&quot;:&quot;10.1016/j.jaut.2020.102433&quot;,&quot;ISSN&quot;:&quot;10959157&quot;,&quot;PMID&quot;:&quot;32113704&quot;,&quot;URL&quot;:&quot;www.elsevier.com/locate/jautimm&quot;,&quot;issued&quot;:{&quot;date-parts&quot;:[[2020,5,1]]},&quot;page&quot;:&quot;102433&quot;,&quot;abstract&quot;:&quot;Coronavirus disease (COVID-19) is caused by SARS-COV2 and represents the causative agent of a potentially fatal disease that is of great global public health concern. Based on the large number of infected people that were exposed to the wet animal market in Wuhan City, China, it is suggested that this is likely the zoonotic origin of COVID-19. Person-to-person transmission of COVID-19 infection led to the isolation of patients that were subsequently administered a variety of treatments. Extensive measures to reduce person-to-person transmission of COVID-19 have been implemented to control the current outbreak. Special attention and efforts to protect or reduce transmission should be applied in susceptible populations including children, health care providers, and elderly people. In this review, we highlights the symptoms, epidemiology, transmission, pathogenesis, phylogenetic analysis and future directions to control the spread of this fatal disease.&quot;,&quot;publisher&quot;:&quot;Academic Press&quot;,&quot;volume&quot;:&quot;109&quot;},&quot;isTemporary&quot;:false}],&quot;properties&quot;:{&quot;noteIndex&quot;:0},&quot;isEdited&quot;:false,&quot;manualOverride&quot;:{&quot;isManuallyOverriden&quot;:false,&quot;citeprocText&quot;:&quot;(Rothan and Byrareddy, 2020)&quot;,&quot;manualOverrideText&quot;:&quot;&quot;},&quot;citationTag&quot;:&quot;MENDELEY_CITATION_{\&quot;citationID\&quot;:\&quot;MENDELEY_CITATION_6d451ec4-d002-489f-b282-22c1f8f6fa00\&quot;,\&quot;citationItems\&quot;:[{\&quot;id\&quot;:\&quot;74b81839-7dca-30d3-8279-0d7fe4058e76\&quot;,\&quot;itemData\&quot;:{\&quot;type\&quot;:\&quot;article\&quot;,\&quot;id\&quot;:\&quot;74b81839-7dca-30d3-8279-0d7fe4058e76\&quot;,\&quot;title\&quot;:\&quot;The epidemiology and pathogenesis of coronavirus disease (COVID-19) outbreak\&quot;,\&quot;author\&quot;:[{\&quot;family\&quot;:\&quot;Rothan\&quot;,\&quot;given\&quot;:\&quot;Hussin A.\&quot;,\&quot;parse-names\&quot;:false,\&quot;dropping-particle\&quot;:\&quot;\&quot;,\&quot;non-dropping-particle\&quot;:\&quot;\&quot;},{\&quot;family\&quot;:\&quot;Byrareddy\&quot;,\&quot;given\&quot;:\&quot;Siddappa N.\&quot;,\&quot;parse-names\&quot;:false,\&quot;dropping-particle\&quot;:\&quot;\&quot;,\&quot;non-dropping-particle\&quot;:\&quot;\&quot;}],\&quot;container-title\&quot;:\&quot;Journal of Autoimmunity\&quot;,\&quot;accessed\&quot;:{\&quot;date-parts\&quot;:[[2021,3,10]]},\&quot;DOI\&quot;:\&quot;10.1016/j.jaut.2020.102433\&quot;,\&quot;ISSN\&quot;:\&quot;10959157\&quot;,\&quot;PMID\&quot;:\&quot;32113704\&quot;,\&quot;URL\&quot;:\&quot;www.elsevier.com/locate/jautimm\&quot;,\&quot;issued\&quot;:{\&quot;date-parts\&quot;:[[2020,5,1]]},\&quot;page\&quot;:\&quot;102433\&quot;,\&quot;abstract\&quot;:\&quot;Coronavirus disease (COVID-19) is caused by SARS-COV2 and represents the causative agent of a potentially fatal disease that is of great global public health concern. Based on the large number of infected people that were exposed to the wet animal market in Wuhan City, China, it is suggested that this is likely the zoonotic origin of COVID-19. Person-to-person transmission of COVID-19 infection led to the isolation of patients that were subsequently administered a variety of treatments. Extensive measures to reduce person-to-person transmission of COVID-19 have been implemented to control the current outbreak. Special attention and efforts to protect or reduce transmission should be applied in susceptible populations including children, health care providers, and elderly people. In this review, we highlights the symptoms, epidemiology, transmission, pathogenesis, phylogenetic analysis and future directions to control the spread of this fatal disease.\&quot;,\&quot;publisher\&quot;:\&quot;Academic Press\&quot;,\&quot;volume\&quot;:\&quot;109\&quot;},\&quot;isTemporary\&quot;:false}],\&quot;properties\&quot;:{\&quot;noteIndex\&quot;:0},\&quot;isEdited\&quot;:false,\&quot;manualOverride\&quot;:{\&quot;isManuallyOverriden\&quot;:false,\&quot;citeprocText\&quot;:\&quot;(Rothan and Byrareddy, 2020)\&quot;,\&quot;manualOverrideText\&quot;:\&quot;\&quot;}}&quot;},{&quot;citationID&quot;:&quot;MENDELEY_CITATION_5627d7f9-b670-42ca-bcf7-0a103f787d98&quot;,&quot;citationItems&quot;:[{&quot;id&quot;:&quot;d4943e7e-5136-30ab-b73c-a517365e6579&quot;,&quot;itemData&quot;:{&quot;type&quot;:&quot;report&quot;,&quot;id&quot;:&quot;d4943e7e-5136-30ab-b73c-a517365e6579&quot;,&quot;title&quot;:&quot;Disparities in the risk and outcomes from COVID-19&quot;,&quot;author&quot;:[{&quot;family&quot;:&quot;Phe&quot;,&quot;given&quot;:&quot;&quot;,&quot;parse-names&quot;:false,&quot;dropping-particle&quot;:&quot;&quot;,&quot;non-dropping-particle&quot;:&quot;&quot;}],&quot;accessed&quot;:{&quot;date-parts&quot;:[[2021,3,10]]},&quot;URL&quot;:&quot;www.facebook.com/PublicHealthEngland&quot;,&quot;issued&quot;:{&quot;date-parts&quot;:[[2020]]}},&quot;isTemporary&quot;:false}],&quot;properties&quot;:{&quot;noteIndex&quot;:0},&quot;isEdited&quot;:false,&quot;manualOverride&quot;:{&quot;isManuallyOverriden&quot;:false,&quot;citeprocText&quot;:&quot;(Phe, 2020b)&quot;,&quot;manualOverrideText&quot;:&quot;&quot;},&quot;citationTag&quot;:&quot;MENDELEY_CITATION_{\&quot;citationID\&quot;:\&quot;MENDELEY_CITATION_5627d7f9-b670-42ca-bcf7-0a103f787d98\&quot;,\&quot;citationItems\&quot;:[{\&quot;id\&quot;:\&quot;d4943e7e-5136-30ab-b73c-a517365e6579\&quot;,\&quot;itemData\&quot;:{\&quot;type\&quot;:\&quot;report\&quot;,\&quot;id\&quot;:\&quot;d4943e7e-5136-30ab-b73c-a517365e6579\&quot;,\&quot;title\&quot;:\&quot;Disparities in the risk and outcomes from COVID-19\&quot;,\&quot;author\&quot;:[{\&quot;family\&quot;:\&quot;Phe\&quot;,\&quot;given\&quot;:\&quot;\&quot;,\&quot;parse-names\&quot;:false,\&quot;dropping-particle\&quot;:\&quot;\&quot;,\&quot;non-dropping-particle\&quot;:\&quot;\&quot;}],\&quot;accessed\&quot;:{\&quot;date-parts\&quot;:[[2021,3,10]]},\&quot;URL\&quot;:\&quot;www.facebook.com/PublicHealthEngland\&quot;,\&quot;issued\&quot;:{\&quot;date-parts\&quot;:[[2020]]}},\&quot;isTemporary\&quot;:false}],\&quot;properties\&quot;:{\&quot;noteIndex\&quot;:0},\&quot;isEdited\&quot;:false,\&quot;manualOverride\&quot;:{\&quot;isManuallyOverriden\&quot;:false,\&quot;citeprocText\&quot;:\&quot;(Phe, 2020)\&quot;,\&quot;manualOverrideText\&quot;:\&quot;\&quot;}}&quot;},{&quot;citationID&quot;:&quot;MENDELEY_CITATION_cc793f39-d530-416a-9d0b-83d1e50dcf76&quot;,&quot;citationItems&quot;:[{&quot;id&quot;:&quot;26e9c899-ff10-3e6b-be15-612c4771d05a&quot;,&quot;itemData&quot;:{&quot;type&quot;:&quot;article-journal&quot;,&quot;id&quot;:&quot;26e9c899-ff10-3e6b-be15-612c4771d05a&quot;,&quot;title&quot;:&quot;The COVID-19 pandemic and health inequalities&quot;,&quot;author&quot;:[{&quot;family&quot;:&quot;Bambra&quot;,&quot;given&quot;:&quot;C&quot;,&quot;parse-names&quot;:false,&quot;dropping-particle&quot;:&quot;&quot;,&quot;non-dropping-particle&quot;:&quot;&quot;},{&quot;family&quot;:&quot;Riordan&quot;,&quot;given&quot;:&quot;R&quot;,&quot;parse-names&quot;:false,&quot;dropping-particle&quot;:&quot;&quot;,&quot;non-dropping-particle&quot;:&quot;&quot;},{&quot;family&quot;:&quot;Ford&quot;,&quot;given&quot;:&quot;J&quot;,&quot;parse-names&quot;:false,&quot;dropping-particle&quot;:&quot;&quot;,&quot;non-dropping-particle&quot;:&quot;&quot;}],&quot;container-title&quot;:&quot;J Epidemiol Community Health&quot;,&quot;accessed&quot;:{&quot;date-parts&quot;:[[2021,3,12]]},&quot;DOI&quot;:&quot;10.1136/jech-2020-214401&quot;,&quot;URL&quot;:&quot;http://jech.bmj.com/&quot;,&quot;issued&quot;:{&quot;date-parts&quot;:[[2020]]},&quot;page&quot;:&quot;964-968&quot;,&quot;abstract&quot;:&quot;This essay examines the implications of the COVID-19 pandemic for health inequalities. It outlines historical and contemporary evidence of inequalities in pandemics-drawing on international research into the Spanish influenza pandemic of 1918, the H1N1 outbreak of 2009 and the emerging international estimates of socioeconomic , ethnic and geographical inequalities in COVID-19 infection and mortality rates. It then examines how these inequalities in COVID-19 are related to existing inequalities in chronic diseases and the social determinants of health, arguing that we are experiencing a syndemic pandemic. It then explores the potential consequences for health inequalities of the lockdown measures implemented internationally as a response to the COVID-19 pandemic, focusing on the likely unequal impacts of the economic crisis. The essay concludes by reflecting on the longer-term public health policy responses needed to ensure that the COVID-19 pandemic does not increase health inequalities for future generations.&quot;,&quot;volume&quot;:&quot;74&quot;},&quot;isTemporary&quot;:false}],&quot;properties&quot;:{&quot;noteIndex&quot;:0},&quot;isEdited&quot;:false,&quot;manualOverride&quot;:{&quot;isManuallyOverriden&quot;:false,&quot;citeprocText&quot;:&quot;(Bambra, Riordan and Ford, 2020)&quot;,&quot;manualOverrideText&quot;:&quot;&quot;},&quot;citationTag&quot;:&quot;MENDELEY_CITATION_{\&quot;citationID\&quot;:\&quot;MENDELEY_CITATION_cc793f39-d530-416a-9d0b-83d1e50dcf76\&quot;,\&quot;citationItems\&quot;:[{\&quot;id\&quot;:\&quot;26e9c899-ff10-3e6b-be15-612c4771d05a\&quot;,\&quot;itemData\&quot;:{\&quot;type\&quot;:\&quot;article-journal\&quot;,\&quot;id\&quot;:\&quot;26e9c899-ff10-3e6b-be15-612c4771d05a\&quot;,\&quot;title\&quot;:\&quot;The COVID-19 pandemic and health inequalities\&quot;,\&quot;author\&quot;:[{\&quot;family\&quot;:\&quot;Bambra\&quot;,\&quot;given\&quot;:\&quot;C\&quot;,\&quot;parse-names\&quot;:false,\&quot;dropping-particle\&quot;:\&quot;\&quot;,\&quot;non-dropping-particle\&quot;:\&quot;\&quot;},{\&quot;family\&quot;:\&quot;Riordan\&quot;,\&quot;given\&quot;:\&quot;R\&quot;,\&quot;parse-names\&quot;:false,\&quot;dropping-particle\&quot;:\&quot;\&quot;,\&quot;non-dropping-particle\&quot;:\&quot;\&quot;},{\&quot;family\&quot;:\&quot;Ford\&quot;,\&quot;given\&quot;:\&quot;J\&quot;,\&quot;parse-names\&quot;:false,\&quot;dropping-particle\&quot;:\&quot;\&quot;,\&quot;non-dropping-particle\&quot;:\&quot;\&quot;}],\&quot;container-title\&quot;:\&quot;J Epidemiol Community Health\&quot;,\&quot;accessed\&quot;:{\&quot;date-parts\&quot;:[[2021,3,12]]},\&quot;DOI\&quot;:\&quot;10.1136/jech-2020-214401\&quot;,\&quot;URL\&quot;:\&quot;http://jech.bmj.com/\&quot;,\&quot;issued\&quot;:{\&quot;date-parts\&quot;:[[2020]]},\&quot;page\&quot;:\&quot;964-968\&quot;,\&quot;abstract\&quot;:\&quot;This essay examines the implications of the COVID-19 pandemic for health inequalities. It outlines historical and contemporary evidence of inequalities in pandemics-drawing on international research into the Spanish influenza pandemic of 1918, the H1N1 outbreak of 2009 and the emerging international estimates of socioeconomic , ethnic and geographical inequalities in COVID-19 infection and mortality rates. It then examines how these inequalities in COVID-19 are related to existing inequalities in chronic diseases and the social determinants of health, arguing that we are experiencing a syndemic pandemic. It then explores the potential consequences for health inequalities of the lockdown measures implemented internationally as a response to the COVID-19 pandemic, focusing on the likely unequal impacts of the economic crisis. The essay concludes by reflecting on the longer-term public health policy responses needed to ensure that the COVID-19 pandemic does not increase health inequalities for future generations.\&quot;,\&quot;volume\&quot;:\&quot;74\&quot;},\&quot;isTemporary\&quot;:false}],\&quot;properties\&quot;:{\&quot;noteIndex\&quot;:0},\&quot;isEdited\&quot;:false,\&quot;manualOverride\&quot;:{\&quot;isManuallyOverriden\&quot;:false,\&quot;citeprocText\&quot;:\&quot;(Bambra, Riordan and Ford, 2020)\&quot;,\&quot;manualOverrideText\&quot;:\&quot;\&quot;}}&quot;},{&quot;citationID&quot;:&quot;MENDELEY_CITATION_53cf1fbf-4c6b-44dd-bff5-b8d441155f6c&quot;,&quot;citationItems&quot;:[{&quot;id&quot;:&quot;5b459e19-d1ad-3a2b-b33a-d5799d71aee9&quot;,&quot;itemData&quot;:{&quot;type&quot;:&quot;article&quot;,&quot;id&quot;:&quot;5b459e19-d1ad-3a2b-b33a-d5799d71aee9&quot;,&quot;title&quot;:&quot;Why inequality could spread COVID-19&quot;,&quot;author&quot;:[{&quot;family&quot;:&quot;Ahmed&quot;,&quot;given&quot;:&quot;Faheem&quot;,&quot;parse-names&quot;:false,&quot;dropping-particle&quot;:&quot;&quot;,&quot;non-dropping-particle&quot;:&quot;&quot;},{&quot;family&quot;:&quot;Ahmed&quot;,&quot;given&quot;:&quot;Na'eem&quot;,&quot;parse-names&quot;:false,&quot;dropping-particle&quot;:&quot;&quot;,&quot;non-dropping-particle&quot;:&quot;&quot;},{&quot;family&quot;:&quot;Pissarides&quot;,&quot;given&quot;:&quot;Christopher&quot;,&quot;parse-names&quot;:false,&quot;dropping-particle&quot;:&quot;&quot;,&quot;non-dropping-particle&quot;:&quot;&quot;},{&quot;family&quot;:&quot;Stiglitz&quot;,&quot;given&quot;:&quot;Joseph&quot;,&quot;parse-names&quot;:false,&quot;dropping-particle&quot;:&quot;&quot;,&quot;non-dropping-particle&quot;:&quot;&quot;}],&quot;container-title&quot;:&quot;The Lancet Public Health&quot;,&quot;accessed&quot;:{&quot;date-parts&quot;:[[2021,3,11]]},&quot;DOI&quot;:&quot;10.1016/S2468-2667(20)30085-2&quot;,&quot;ISSN&quot;:&quot;24682667&quot;,&quot;PMID&quot;:&quot;32247329&quot;,&quot;URL&quot;:&quot;https://doi.org/10.1016/S0140-6736&quot;,&quot;issued&quot;:{&quot;date-parts&quot;:[[2020,5,1]]},&quot;page&quot;:&quot;e240&quot;,&quot;publisher&quot;:&quot;Elsevier Ltd&quot;,&quot;issue&quot;:&quot;5&quot;,&quot;volume&quot;:&quot;5&quot;},&quot;isTemporary&quot;:false}],&quot;properties&quot;:{&quot;noteIndex&quot;:0},&quot;isEdited&quot;:false,&quot;manualOverride&quot;:{&quot;isManuallyOverriden&quot;:false,&quot;citeprocText&quot;:&quot;(Ahmed &lt;i&gt;et al.&lt;/i&gt;, 2020)&quot;,&quot;manualOverrideText&quot;:&quot;&quot;},&quot;citationTag&quot;:&quot;MENDELEY_CITATION_{\&quot;citationID\&quot;:\&quot;MENDELEY_CITATION_53cf1fbf-4c6b-44dd-bff5-b8d441155f6c\&quot;,\&quot;citationItems\&quot;:[{\&quot;id\&quot;:\&quot;5b459e19-d1ad-3a2b-b33a-d5799d71aee9\&quot;,\&quot;itemData\&quot;:{\&quot;type\&quot;:\&quot;article\&quot;,\&quot;id\&quot;:\&quot;5b459e19-d1ad-3a2b-b33a-d5799d71aee9\&quot;,\&quot;title\&quot;:\&quot;Why inequality could spread COVID-19\&quot;,\&quot;author\&quot;:[{\&quot;family\&quot;:\&quot;Ahmed\&quot;,\&quot;given\&quot;:\&quot;Faheem\&quot;,\&quot;parse-names\&quot;:false,\&quot;dropping-particle\&quot;:\&quot;\&quot;,\&quot;non-dropping-particle\&quot;:\&quot;\&quot;},{\&quot;family\&quot;:\&quot;Ahmed\&quot;,\&quot;given\&quot;:\&quot;Na'eem\&quot;,\&quot;parse-names\&quot;:false,\&quot;dropping-particle\&quot;:\&quot;\&quot;,\&quot;non-dropping-particle\&quot;:\&quot;\&quot;},{\&quot;family\&quot;:\&quot;Pissarides\&quot;,\&quot;given\&quot;:\&quot;Christopher\&quot;,\&quot;parse-names\&quot;:false,\&quot;dropping-particle\&quot;:\&quot;\&quot;,\&quot;non-dropping-particle\&quot;:\&quot;\&quot;},{\&quot;family\&quot;:\&quot;Stiglitz\&quot;,\&quot;given\&quot;:\&quot;Joseph\&quot;,\&quot;parse-names\&quot;:false,\&quot;dropping-particle\&quot;:\&quot;\&quot;,\&quot;non-dropping-particle\&quot;:\&quot;\&quot;}],\&quot;container-title\&quot;:\&quot;The Lancet Public Health\&quot;,\&quot;accessed\&quot;:{\&quot;date-parts\&quot;:[[2021,3,11]]},\&quot;DOI\&quot;:\&quot;10.1016/S2468-2667(20)30085-2\&quot;,\&quot;ISSN\&quot;:\&quot;24682667\&quot;,\&quot;PMID\&quot;:\&quot;32247329\&quot;,\&quot;URL\&quot;:\&quot;https://doi.org/10.1016/S0140-6736\&quot;,\&quot;issued\&quot;:{\&quot;date-parts\&quot;:[[2020,5,1]]},\&quot;page\&quot;:\&quot;e240\&quot;,\&quot;publisher\&quot;:\&quot;Elsevier Ltd\&quot;,\&quot;issue\&quot;:\&quot;5\&quot;,\&quot;volume\&quot;:\&quot;5\&quot;},\&quot;isTemporary\&quot;:false}],\&quot;properties\&quot;:{\&quot;noteIndex\&quot;:0},\&quot;isEdited\&quot;:false,\&quot;manualOverride\&quot;:{\&quot;isManuallyOverriden\&quot;:false,\&quot;citeprocText\&quot;:\&quot;(Bambra, Riordan and Ford, 2020)\&quot;,\&quot;manualOverrideText\&quot;:\&quot;\&quot;}}&quot;},{&quot;citationID&quot;:&quot;MENDELEY_CITATION_5c8728bd-378a-46e0-be94-518b607147c3&quot;,&quot;citationItems&quot;:[{&quot;id&quot;:&quot;d4943e7e-5136-30ab-b73c-a517365e6579&quot;,&quot;itemData&quot;:{&quot;type&quot;:&quot;report&quot;,&quot;id&quot;:&quot;d4943e7e-5136-30ab-b73c-a517365e6579&quot;,&quot;title&quot;:&quot;Disparities in the risk and outcomes from COVID-19&quot;,&quot;author&quot;:[{&quot;family&quot;:&quot;Phe&quot;,&quot;given&quot;:&quot;&quot;,&quot;parse-names&quot;:false,&quot;dropping-particle&quot;:&quot;&quot;,&quot;non-dropping-particle&quot;:&quot;&quot;}],&quot;accessed&quot;:{&quot;date-parts&quot;:[[2021,3,10]]},&quot;URL&quot;:&quot;www.facebook.com/PublicHealthEngland&quot;,&quot;issued&quot;:{&quot;date-parts&quot;:[[2020]]}},&quot;isTemporary&quot;:false}],&quot;properties&quot;:{&quot;noteIndex&quot;:0},&quot;isEdited&quot;:false,&quot;manualOverride&quot;:{&quot;isManuallyOverriden&quot;:false,&quot;citeprocText&quot;:&quot;(Phe, 2020b)&quot;,&quot;manualOverrideText&quot;:&quot;&quot;},&quot;citationTag&quot;:&quot;MENDELEY_CITATION_{\&quot;citationID\&quot;:\&quot;MENDELEY_CITATION_5c8728bd-378a-46e0-be94-518b607147c3\&quot;,\&quot;citationItems\&quot;:[{\&quot;id\&quot;:\&quot;d4943e7e-5136-30ab-b73c-a517365e6579\&quot;,\&quot;itemData\&quot;:{\&quot;type\&quot;:\&quot;report\&quot;,\&quot;id\&quot;:\&quot;d4943e7e-5136-30ab-b73c-a517365e6579\&quot;,\&quot;title\&quot;:\&quot;Disparities in the risk and outcomes from COVID-19\&quot;,\&quot;author\&quot;:[{\&quot;family\&quot;:\&quot;Phe\&quot;,\&quot;given\&quot;:\&quot;\&quot;,\&quot;parse-names\&quot;:false,\&quot;dropping-particle\&quot;:\&quot;\&quot;,\&quot;non-dropping-particle\&quot;:\&quot;\&quot;}],\&quot;accessed\&quot;:{\&quot;date-parts\&quot;:[[2021,3,10]]},\&quot;URL\&quot;:\&quot;www.facebook.com/PublicHealthEngland\&quot;,\&quot;issued\&quot;:{\&quot;date-parts\&quot;:[[2020]]}},\&quot;isTemporary\&quot;:false}],\&quot;properties\&quot;:{\&quot;noteIndex\&quot;:0},\&quot;isEdited\&quot;:false,\&quot;manualOverride\&quot;:{\&quot;isManuallyOverriden\&quot;:false,\&quot;citeprocText\&quot;:\&quot;(Phe, 2020)\&quot;,\&quot;manualOverrideText\&quot;:\&quot;\&quot;}}&quot;},{&quot;citationID&quot;:&quot;MENDELEY_CITATION_e6599519-04e2-4d2d-b686-923abf759ca3&quot;,&quot;citationItems&quot;:[{&quot;id&quot;:&quot;cf42b6a6-0b35-3721-a78b-1238da9618cc&quot;,&quot;itemData&quot;:{&quot;type&quot;:&quot;book&quot;,&quot;id&quot;:&quot;cf42b6a6-0b35-3721-a78b-1238da9618cc&quot;,&quot;title&quot;:&quot;The Health Gap&quot;,&quot;author&quot;:[{&quot;family&quot;:&quot;Michael&quot;,&quot;given&quot;:&quot;Marmot&quot;,&quot;parse-names&quot;:false,&quot;dropping-particle&quot;:&quot;&quot;,&quot;non-dropping-particle&quot;:&quot;&quot;}],&quot;issued&quot;:{&quot;date-parts&quot;:[[2015]]},&quot;publisher-place&quot;:&quot;London&quot;,&quot;number-of-pages&quot;:&quot;387&quot;,&quot;publisher&quot;:&quot;Bloomsbury paperbacks plc&quot;},&quot;isTemporary&quot;:false}],&quot;properties&quot;:{&quot;noteIndex&quot;:0},&quot;isEdited&quot;:false,&quot;manualOverride&quot;:{&quot;isManuallyOverriden&quot;:true,&quot;citeprocText&quot;:&quot;(Michael, 2015)&quot;,&quot;manualOverrideText&quot;:&quot;(Marmot,2015)&quot;},&quot;citationTag&quot;:&quot;MENDELEY_CITATION_{\&quot;citationID\&quot;:\&quot;MENDELEY_CITATION_e6599519-04e2-4d2d-b686-923abf759ca3\&quot;,\&quot;citationItems\&quot;:[{\&quot;id\&quot;:\&quot;cf42b6a6-0b35-3721-a78b-1238da9618cc\&quot;,\&quot;itemData\&quot;:{\&quot;type\&quot;:\&quot;book\&quot;,\&quot;id\&quot;:\&quot;cf42b6a6-0b35-3721-a78b-1238da9618cc\&quot;,\&quot;title\&quot;:\&quot;The Health Gap\&quot;,\&quot;author\&quot;:[{\&quot;family\&quot;:\&quot;Michael\&quot;,\&quot;given\&quot;:\&quot;Marmot\&quot;,\&quot;parse-names\&quot;:false,\&quot;dropping-particle\&quot;:\&quot;\&quot;,\&quot;non-dropping-particle\&quot;:\&quot;\&quot;}],\&quot;issued\&quot;:{\&quot;date-parts\&quot;:[[2015]]},\&quot;publisher-place\&quot;:\&quot;London\&quot;,\&quot;number-of-pages\&quot;:\&quot;387\&quot;,\&quot;publisher\&quot;:\&quot;Bloomsbury paperbacks plc\&quot;},\&quot;isTemporary\&quot;:false}],\&quot;properties\&quot;:{\&quot;noteIndex\&quot;:0},\&quot;isEdited\&quot;:false,\&quot;manualOverride\&quot;:{\&quot;isManuallyOverriden\&quot;:true,\&quot;citeprocText\&quot;:\&quot;(Michael, 2015)\&quot;,\&quot;manualOverrideText\&quot;:\&quot;(Marmot,2015)\&quot;}}&quot;},{&quot;citationID&quot;:&quot;MENDELEY_CITATION_b2474822-3fba-4fe1-a616-438473e747b7&quot;,&quot;citationItems&quot;:[{&quot;id&quot;:&quot;ca7be7f7-ac8b-37a9-a5e6-fe2283074d86&quot;,&quot;itemData&quot;:{&quot;type&quot;:&quot;article-journal&quot;,&quot;id&quot;:&quot;ca7be7f7-ac8b-37a9-a5e6-fe2283074d86&quot;,&quot;title&quot;:&quot;Social Inequalities of Post-secondary Educational Aspirations: Influence of social background, school composition and institutional context&quot;,&quot;author&quot;:[{&quot;family&quot;:&quot;Dupriez&quot;,&quot;given&quot;:&quot;Vincent&quot;,&quot;parse-names&quot;:false,&quot;dropping-particle&quot;:&quot;&quot;,&quot;non-dropping-particle&quot;:&quot;&quot;},{&quot;family&quot;:&quot;Monseur&quot;,&quot;given&quot;:&quot;Christian&quot;,&quot;parse-names&quot;:false,&quot;dropping-particle&quot;:&quot;&quot;,&quot;non-dropping-particle&quot;:&quot;&quot;},{&quot;family&quot;:&quot;Campenhoudt&quot;,&quot;given&quot;:&quot;Maud&quot;,&quot;parse-names&quot;:false,&quot;dropping-particle&quot;:&quot;&quot;,&quot;non-dropping-particle&quot;:&quot;van&quot;},{&quot;family&quot;:&quot;Lafontaine&quot;,&quot;given&quot;:&quot;Dominique&quot;,&quot;parse-names&quot;:false,&quot;dropping-particle&quot;:&quot;&quot;,&quot;non-dropping-particle&quot;:&quot;&quot;}],&quot;container-title&quot;:&quot;European Educational Research Journal&quot;,&quot;accessed&quot;:{&quot;date-parts&quot;:[[2021,3,12]]},&quot;DOI&quot;:&quot;10.2304/eerj.2012.11.4.504&quot;,&quot;ISSN&quot;:&quot;14749041&quot;,&quot;issued&quot;:{&quot;date-parts&quot;:[[2012]]},&quot;page&quot;:&quot;504-519&quot;,&quot;abstract&quot;:&quot;The first goal of this article is to assess, for each country belonging to the Organisation for Economic Co-operation and Development (OECD), the influence of pupils' sociocultural background on educational aspirations. The second goal is to explore whether, after controlling for educational achievement, the residual influence of sociocultural background is still significant. In addition, the author estimates whether the sociocultural and academic characteristics of school composition have an additional impact on educational aspirations in this group of countries. Finally, he shows that the structural characteristics of school systems moderate the influence of individual characteristics and school composition on educational aspirations.&quot;,&quot;issue&quot;:&quot;4&quot;,&quot;volume&quot;:&quot;11&quot;},&quot;isTemporary&quot;:false}],&quot;properties&quot;:{&quot;noteIndex&quot;:0},&quot;isEdited&quot;:false,&quot;manualOverride&quot;:{&quot;isManuallyOverriden&quot;:false,&quot;citeprocText&quot;:&quot;(Dupriez &lt;i&gt;et al.&lt;/i&gt;, 2012)&quot;,&quot;manualOverrideText&quot;:&quot;&quot;},&quot;citationTag&quot;:&quot;MENDELEY_CITATION_{\&quot;citationID\&quot;:\&quot;MENDELEY_CITATION_b2474822-3fba-4fe1-a616-438473e747b7\&quot;,\&quot;citationItems\&quot;:[{\&quot;id\&quot;:\&quot;ca7be7f7-ac8b-37a9-a5e6-fe2283074d86\&quot;,\&quot;itemData\&quot;:{\&quot;type\&quot;:\&quot;article-journal\&quot;,\&quot;id\&quot;:\&quot;ca7be7f7-ac8b-37a9-a5e6-fe2283074d86\&quot;,\&quot;title\&quot;:\&quot;Social Inequalities of Post-secondary Educational Aspirations: Influence of social background, school composition and institutional context\&quot;,\&quot;author\&quot;:[{\&quot;family\&quot;:\&quot;Dupriez\&quot;,\&quot;given\&quot;:\&quot;Vincent\&quot;,\&quot;parse-names\&quot;:false,\&quot;dropping-particle\&quot;:\&quot;\&quot;,\&quot;non-dropping-particle\&quot;:\&quot;\&quot;},{\&quot;family\&quot;:\&quot;Monseur\&quot;,\&quot;given\&quot;:\&quot;Christian\&quot;,\&quot;parse-names\&quot;:false,\&quot;dropping-particle\&quot;:\&quot;\&quot;,\&quot;non-dropping-particle\&quot;:\&quot;\&quot;},{\&quot;family\&quot;:\&quot;Campenhoudt\&quot;,\&quot;given\&quot;:\&quot;Maud\&quot;,\&quot;parse-names\&quot;:false,\&quot;dropping-particle\&quot;:\&quot;\&quot;,\&quot;non-dropping-particle\&quot;:\&quot;van\&quot;},{\&quot;family\&quot;:\&quot;Lafontaine\&quot;,\&quot;given\&quot;:\&quot;Dominique\&quot;,\&quot;parse-names\&quot;:false,\&quot;dropping-particle\&quot;:\&quot;\&quot;,\&quot;non-dropping-particle\&quot;:\&quot;\&quot;}],\&quot;container-title\&quot;:\&quot;European Educational Research Journal\&quot;,\&quot;accessed\&quot;:{\&quot;date-parts\&quot;:[[2021,3,12]]},\&quot;DOI\&quot;:\&quot;10.2304/eerj.2012.11.4.504\&quot;,\&quot;ISSN\&quot;:\&quot;14749041\&quot;,\&quot;issued\&quot;:{\&quot;date-parts\&quot;:[[2012]]},\&quot;page\&quot;:\&quot;504-519\&quot;,\&quot;abstract\&quot;:\&quot;The first goal of this article is to assess, for each country belonging to the Organisation for Economic Co-operation and Development (OECD), the influence of pupils' sociocultural background on educational aspirations. The second goal is to explore whether, after controlling for educational achievement, the residual influence of sociocultural background is still significant. In addition, the author estimates whether the sociocultural and academic characteristics of school composition have an additional impact on educational aspirations in this group of countries. Finally, he shows that the structural characteristics of school systems moderate the influence of individual characteristics and school composition on educational aspirations.\&quot;,\&quot;issue\&quot;:\&quot;4\&quot;,\&quot;volume\&quot;:\&quot;11\&quot;},\&quot;isTemporary\&quot;:false}],\&quot;properties\&quot;:{\&quot;noteIndex\&quot;:0},\&quot;isEdited\&quot;:false,\&quot;manualOverride\&quot;:{\&quot;isManuallyOverriden\&quot;:false,\&quot;citeprocText\&quot;:\&quot;(Dupriez &lt;i&gt;et al.&lt;/i&gt;, 2012)\&quot;,\&quot;manualOverrideText\&quot;:\&quot;\&quot;}}&quot;},{&quot;citationID&quot;:&quot;MENDELEY_CITATION_53649535-3a08-4ec2-8e3b-8964a4c793e6&quot;,&quot;citationItems&quot;:[{&quot;id&quot;:&quot;ff8e6f89-4081-3f94-9249-d98d35c0edb3&quot;,&quot;itemData&quot;:{&quot;type&quot;:&quot;webpage&quot;,&quot;id&quot;:&quot;ff8e6f89-4081-3f94-9249-d98d35c0edb3&quot;,&quot;title&quot;:&quot;Wider Determinants of Health - PHE&quot;,&quot;accessed&quot;:{&quot;date-parts&quot;:[[2021,3,17]]},&quot;URL&quot;:&quot;https://fingertips.phe.org.uk/profile/wider-determinants&quot;},&quot;isTemporary&quot;:false}],&quot;properties&quot;:{&quot;noteIndex&quot;:0},&quot;isEdited&quot;:false,&quot;manualOverride&quot;:{&quot;isManuallyOverriden&quot;:false,&quot;citeprocText&quot;:&quot;(&lt;i&gt;Wider Determinants of Health - PHE&lt;/i&gt;, no date)&quot;,&quot;manualOverrideText&quot;:&quot;&quot;},&quot;citationTag&quot;:&quot;MENDELEY_CITATION_{\&quot;citationID\&quot;:\&quot;MENDELEY_CITATION_53649535-3a08-4ec2-8e3b-8964a4c793e6\&quot;,\&quot;citationItems\&quot;:[{\&quot;id\&quot;:\&quot;ff8e6f89-4081-3f94-9249-d98d35c0edb3\&quot;,\&quot;itemData\&quot;:{\&quot;type\&quot;:\&quot;webpage\&quot;,\&quot;id\&quot;:\&quot;ff8e6f89-4081-3f94-9249-d98d35c0edb3\&quot;,\&quot;title\&quot;:\&quot;Wider Determinants of Health - PHE\&quot;,\&quot;accessed\&quot;:{\&quot;date-parts\&quot;:[[2021,3,17]]},\&quot;URL\&quot;:\&quot;https://fingertips.phe.org.uk/profile/wider-determinants\&quot;},\&quot;isTemporary\&quot;:false}],\&quot;properties\&quot;:{\&quot;noteIndex\&quot;:0},\&quot;isEdited\&quot;:false,\&quot;manualOverride\&quot;:{\&quot;isManuallyOverriden\&quot;:false,\&quot;citeprocText\&quot;:\&quot;(&lt;i&gt;Wider Determinants of Health - PHE&lt;/i&gt;, no date)\&quot;,\&quot;manualOverrideText\&quot;:\&quot;\&quot;}}&quot;},{&quot;citationID&quot;:&quot;MENDELEY_CITATION_90094355-f536-4ac1-be1f-bdff5c969370&quot;,&quot;citationItems&quot;:[{&quot;id&quot;:&quot;64c89b4e-3904-3e50-99fa-24656d8a9daf&quot;,&quot;itemData&quot;:{&quot;type&quot;:&quot;report&quot;,&quot;id&quot;:&quot;64c89b4e-3904-3e50-99fa-24656d8a9daf&quot;,&quot;title&quot;:&quot;THE BLACK REPORT AND BEYOND WHAT ARE THE ISSUES?&quot;,&quot;author&quot;:[{&quot;family&quot;:&quot;Macintyre&quot;,&quot;given&quot;:&quot;Sally&quot;,&quot;parse-names&quot;:false,&quot;dropping-particle&quot;:&quot;&quot;,&quot;non-dropping-particle&quot;:&quot;&quot;}],&quot;container-title&quot;:&quot;Soc. Sci. Med&quot;,&quot;accessed&quot;:{&quot;date-parts&quot;:[[2021,3,17]]},&quot;issued&quot;:{&quot;date-parts&quot;:[[1997]]},&quot;number-of-pages&quot;:&quot;723-745&quot;,&quot;abstract&quot;:&quot;A~traet-This paper provides an overview of the Black Report, published in Britain in 1980. It outlines its place in the history of British concern about socioeconomic differentials in death rates since the mid-19th century, and suggests continuities in suggested explanations for these, a particularly persistent thread being debates between environmentalists, hereditarians, and those emphasising personal ignorance or irresponsibility. It introduces a distinction between \&quot;hard\&quot; and \&quot;soft\&quot; versions of the Black Report's four explanatory models for inequalities in health (artefact, selection, behavioural and materialist), points out that the working group rejected the \&quot;hard\&quot; rather than the \&quot;soft\&quot; versions of the first three and espoused the \&quot;soft\&quot; version of the last, and suggests that the rather polarised debate about these explanations that followed can be understood in the light of the contemporary political context and a tendency to confuse the \&quot;hard\&quot; and \&quot;soft\&quot; versions. Methodological and empirical developments since the report are summarised, attention being drawn to seven themes which raise important issues for future research: the ubiquity of socioeconomic differentials across industrialised countries, continuing or increasing differentials, stepwise gradients, interest in psychosocial mechanisms, the hypothesis of biological programming in utero or infancy, controls for behaviour, and evaluations of interventions. The overall conclusion is that we need more detailed studies of the mechanisms which generate and maintain social inequalities in health, and of interventions to reduce such inequalities.&quot;,&quot;issue&quot;:&quot;6&quot;,&quot;volume&quot;:&quot;44&quot;},&quot;isTemporary&quot;:false}],&quot;properties&quot;:{&quot;noteIndex&quot;:0},&quot;isEdited&quot;:false,&quot;manualOverride&quot;:{&quot;isManuallyOverriden&quot;:false,&quot;citeprocText&quot;:&quot;(Macintyre, 1997)&quot;,&quot;manualOverrideText&quot;:&quot;&quot;},&quot;citationTag&quot;:&quot;MENDELEY_CITATION_{\&quot;citationID\&quot;:\&quot;MENDELEY_CITATION_90094355-f536-4ac1-be1f-bdff5c969370\&quot;,\&quot;citationItems\&quot;:[{\&quot;id\&quot;:\&quot;64c89b4e-3904-3e50-99fa-24656d8a9daf\&quot;,\&quot;itemData\&quot;:{\&quot;type\&quot;:\&quot;report\&quot;,\&quot;id\&quot;:\&quot;64c89b4e-3904-3e50-99fa-24656d8a9daf\&quot;,\&quot;title\&quot;:\&quot;THE BLACK REPORT AND BEYOND WHAT ARE THE ISSUES?\&quot;,\&quot;author\&quot;:[{\&quot;family\&quot;:\&quot;Macintyre\&quot;,\&quot;given\&quot;:\&quot;Sally\&quot;,\&quot;parse-names\&quot;:false,\&quot;dropping-particle\&quot;:\&quot;\&quot;,\&quot;non-dropping-particle\&quot;:\&quot;\&quot;}],\&quot;container-title\&quot;:\&quot;Soc. Sci. Med\&quot;,\&quot;accessed\&quot;:{\&quot;date-parts\&quot;:[[2021,3,17]]},\&quot;issued\&quot;:{\&quot;date-parts\&quot;:[[1997]]},\&quot;number-of-pages\&quot;:\&quot;723-745\&quot;,\&quot;abstract\&quot;:\&quot;A~traet-This paper provides an overview of the Black Report, published in Britain in 1980. It outlines its place in the history of British concern about socioeconomic differentials in death rates since the mid-19th century, and suggests continuities in suggested explanations for these, a particularly persistent thread being debates between environmentalists, hereditarians, and those emphasising personal ignorance or irresponsibility. It introduces a distinction between \\\&quot;hard\\\&quot; and \\\&quot;soft\\\&quot; versions of the Black Report's four explanatory models for inequalities in health (artefact, selection, behavioural and materialist), points out that the working group rejected the \\\&quot;hard\\\&quot; rather than the \\\&quot;soft\\\&quot; versions of the first three and espoused the \\\&quot;soft\\\&quot; version of the last, and suggests that the rather polarised debate about these explanations that followed can be understood in the light of the contemporary political context and a tendency to confuse the \\\&quot;hard\\\&quot; and \\\&quot;soft\\\&quot; versions. Methodological and empirical developments since the report are summarised, attention being drawn to seven themes which raise important issues for future research: the ubiquity of socioeconomic differentials across industrialised countries, continuing or increasing differentials, stepwise gradients, interest in psychosocial mechanisms, the hypothesis of biological programming in utero or infancy, controls for behaviour, and evaluations of interventions. The overall conclusion is that we need more detailed studies of the mechanisms which generate and maintain social inequalities in health, and of interventions to reduce such inequalities.\&quot;,\&quot;issue\&quot;:\&quot;6\&quot;,\&quot;volume\&quot;:\&quot;44\&quot;},\&quot;isTemporary\&quot;:false}],\&quot;properties\&quot;:{\&quot;noteIndex\&quot;:0},\&quot;isEdited\&quot;:false,\&quot;manualOverride\&quot;:{\&quot;isManuallyOverriden\&quot;:false,\&quot;citeprocText\&quot;:\&quot;(Macintyre, 1997)\&quot;,\&quot;manualOverrideText\&quot;:\&quot;\&quot;}}&quot;},{&quot;citationID&quot;:&quot;MENDELEY_CITATION_9f2b18f0-f8de-4310-9c41-148d38c05ec5&quot;,&quot;citationItems&quot;:[{&quot;id&quot;:&quot;df355760-6985-3e1a-87fa-3cfa36ed76dd&quot;,&quot;itemData&quot;:{&quot;type&quot;:&quot;article-journal&quot;,&quot;id&quot;:&quot;df355760-6985-3e1a-87fa-3cfa36ed76dd&quot;,&quot;title&quot;:&quot;Against the organization of misery? The Marmot Review of health inequalities&quot;,&quot;author&quot;:[{&quot;family&quot;:&quot;Pickett&quot;,&quot;given&quot;:&quot;Kate E&quot;,&quot;parse-names&quot;:false,&quot;dropping-particle&quot;:&quot;&quot;,&quot;non-dropping-particle&quot;:&quot;&quot;},{&quot;family&quot;:&quot;Dorling&quot;,&quot;given&quot;:&quot;Danny&quot;,&quot;parse-names&quot;:false,&quot;dropping-particle&quot;:&quot;&quot;,&quot;non-dropping-particle&quot;:&quot;&quot;}],&quot;accessed&quot;:{&quot;date-parts&quot;:[[2021,3,17]]},&quot;DOI&quot;:&quot;10.1016/j.socscimed.2010.07.013&quot;,&quot;URL&quot;:&quot;www.dh.gov.uk/assetRoot/04/12/15/83/04121583.pdf.&quot;,&quot;issued&quot;:{&quot;date-parts&quot;:[[2010]]}},&quot;isTemporary&quot;:false}],&quot;properties&quot;:{&quot;noteIndex&quot;:0},&quot;isEdited&quot;:false,&quot;manualOverride&quot;:{&quot;isManuallyOverriden&quot;:false,&quot;citeprocText&quot;:&quot;(Pickett and Dorling, 2010)&quot;,&quot;manualOverrideText&quot;:&quot;&quot;},&quot;citationTag&quot;:&quot;MENDELEY_CITATION_{\&quot;citationID\&quot;:\&quot;MENDELEY_CITATION_9f2b18f0-f8de-4310-9c41-148d38c05ec5\&quot;,\&quot;citationItems\&quot;:[{\&quot;id\&quot;:\&quot;df355760-6985-3e1a-87fa-3cfa36ed76dd\&quot;,\&quot;itemData\&quot;:{\&quot;type\&quot;:\&quot;article-journal\&quot;,\&quot;id\&quot;:\&quot;df355760-6985-3e1a-87fa-3cfa36ed76dd\&quot;,\&quot;title\&quot;:\&quot;Against the organization of misery? The Marmot Review of health inequalities\&quot;,\&quot;author\&quot;:[{\&quot;family\&quot;:\&quot;Pickett\&quot;,\&quot;given\&quot;:\&quot;Kate E\&quot;,\&quot;parse-names\&quot;:false,\&quot;dropping-particle\&quot;:\&quot;\&quot;,\&quot;non-dropping-particle\&quot;:\&quot;\&quot;},{\&quot;family\&quot;:\&quot;Dorling\&quot;,\&quot;given\&quot;:\&quot;Danny\&quot;,\&quot;parse-names\&quot;:false,\&quot;dropping-particle\&quot;:\&quot;\&quot;,\&quot;non-dropping-particle\&quot;:\&quot;\&quot;}],\&quot;accessed\&quot;:{\&quot;date-parts\&quot;:[[2021,3,17]]},\&quot;DOI\&quot;:\&quot;10.1016/j.socscimed.2010.07.013\&quot;,\&quot;URL\&quot;:\&quot;www.dh.gov.uk/assetRoot/04/12/15/83/04121583.pdf.\&quot;,\&quot;issued\&quot;:{\&quot;date-parts\&quot;:[[2010]]}},\&quot;isTemporary\&quot;:false}],\&quot;properties\&quot;:{\&quot;noteIndex\&quot;:0},\&quot;isEdited\&quot;:false,\&quot;manualOverride\&quot;:{\&quot;isManuallyOverriden\&quot;:false,\&quot;citeprocText\&quot;:\&quot;(Pickett and Dorling, 2010)\&quot;,\&quot;manualOverrideText\&quot;:\&quot;\&quot;}}&quot;},{&quot;citationID&quot;:&quot;MENDELEY_CITATION_0771a75e-ec8f-4a8f-b177-4547c0f9d823&quot;,&quot;citationItems&quot;:[{&quot;id&quot;:&quot;3194033a-18c6-3875-a5c8-83859dd94edc&quot;,&quot;itemData&quot;:{&quot;type&quot;:&quot;report&quot;,&quot;id&quot;:&quot;3194033a-18c6-3875-a5c8-83859dd94edc&quot;,&quot;title&quot;:&quot;Will COVID-19 be a watershed moment for health inequalities?&quot;,&quot;author&quot;:[{&quot;family&quot;:&quot;Bibby&quot;,&quot;given&quot;:&quot;Jo&quot;,&quot;parse-names&quot;:false,&quot;dropping-particle&quot;:&quot;&quot;,&quot;non-dropping-particle&quot;:&quot;&quot;},{&quot;family&quot;:&quot;Everest&quot;,&quot;given&quot;:&quot;Grace&quot;,&quot;parse-names&quot;:false,&quot;dropping-particle&quot;:&quot;&quot;,&quot;non-dropping-particle&quot;:&quot;&quot;},{&quot;family&quot;:&quot;Abbs&quot;,&quot;given&quot;:&quot;Isabel&quot;,&quot;parse-names&quot;:false,&quot;dropping-particle&quot;:&quot;&quot;,&quot;non-dropping-particle&quot;:&quot;&quot;}],&quot;accessed&quot;:{&quot;date-parts&quot;:[[2021,3,17]]},&quot;issued&quot;:{&quot;date-parts&quot;:[[2020]]}},&quot;isTemporary&quot;:false}],&quot;properties&quot;:{&quot;noteIndex&quot;:0},&quot;isEdited&quot;:false,&quot;manualOverride&quot;:{&quot;isManuallyOverriden&quot;:false,&quot;citeprocText&quot;:&quot;(Bibby, Everest and Abbs, 2020)&quot;,&quot;manualOverrideText&quot;:&quot;&quot;},&quot;citationTag&quot;:&quot;MENDELEY_CITATION_{\&quot;citationID\&quot;:\&quot;MENDELEY_CITATION_0771a75e-ec8f-4a8f-b177-4547c0f9d823\&quot;,\&quot;citationItems\&quot;:[{\&quot;id\&quot;:\&quot;3194033a-18c6-3875-a5c8-83859dd94edc\&quot;,\&quot;itemData\&quot;:{\&quot;type\&quot;:\&quot;report\&quot;,\&quot;id\&quot;:\&quot;3194033a-18c6-3875-a5c8-83859dd94edc\&quot;,\&quot;title\&quot;:\&quot;Will COVID-19 be a watershed moment for health inequalities?\&quot;,\&quot;author\&quot;:[{\&quot;family\&quot;:\&quot;Bibby\&quot;,\&quot;given\&quot;:\&quot;Jo\&quot;,\&quot;parse-names\&quot;:false,\&quot;dropping-particle\&quot;:\&quot;\&quot;,\&quot;non-dropping-particle\&quot;:\&quot;\&quot;},{\&quot;family\&quot;:\&quot;Everest\&quot;,\&quot;given\&quot;:\&quot;Grace\&quot;,\&quot;parse-names\&quot;:false,\&quot;dropping-particle\&quot;:\&quot;\&quot;,\&quot;non-dropping-particle\&quot;:\&quot;\&quot;},{\&quot;family\&quot;:\&quot;Abbs\&quot;,\&quot;given\&quot;:\&quot;Isabel\&quot;,\&quot;parse-names\&quot;:false,\&quot;dropping-particle\&quot;:\&quot;\&quot;,\&quot;non-dropping-particle\&quot;:\&quot;\&quot;}],\&quot;accessed\&quot;:{\&quot;date-parts\&quot;:[[2021,3,17]]},\&quot;issued\&quot;:{\&quot;date-parts\&quot;:[[2020]]}},\&quot;isTemporary\&quot;:false}],\&quot;properties\&quot;:{\&quot;noteIndex\&quot;:0},\&quot;isEdited\&quot;:false,\&quot;manualOverride\&quot;:{\&quot;isManuallyOverriden\&quot;:false,\&quot;citeprocText\&quot;:\&quot;(Bibby, Everest and Abbs, 2020)\&quot;,\&quot;manualOverrideText\&quot;:\&quot;\&quot;}}&quot;},{&quot;citationID&quot;:&quot;MENDELEY_CITATION_d24742f6-c416-46a1-a5f2-e147449d3a7e&quot;,&quot;citationItems&quot;:[{&quot;id&quot;:&quot;de530b54-3040-38fc-aa80-2023f64d0c8c&quot;,&quot;itemData&quot;:{&quot;type&quot;:&quot;article-journal&quot;,&quot;id&quot;:&quot;de530b54-3040-38fc-aa80-2023f64d0c8c&quot;,&quot;title&quot;:&quot;To cite this article: Sylvia Cheater (2020) Health inequalities-Covid-19 will widen the gap&quot;,&quot;author&quot;:[{&quot;family&quot;:&quot;Cheater&quot;,&quot;given&quot;:&quot;Sylvia&quot;,&quot;parse-names&quot;:false,&quot;dropping-particle&quot;:&quot;&quot;,&quot;non-dropping-particle&quot;:&quot;&quot;}],&quot;container-title&quot;:&quot;International Journal of Health Promotion and Education&quot;,&quot;accessed&quot;:{&quot;date-parts&quot;:[[2021,3,11]]},&quot;DOI&quot;:&quot;10.1080/14635240.2020.1771035&quot;,&quot;URL&quot;:&quot;https://www.tandfonline.com/action/journalInformation?journalCode=rhpe20&quot;,&quot;issued&quot;:{&quot;date-parts&quot;:[[2020]]},&quot;page&quot;:&quot;223-225&quot;,&quot;issue&quot;:&quot;4&quot;,&quot;volume&quot;:&quot;58&quot;},&quot;isTemporary&quot;:false}],&quot;properties&quot;:{&quot;noteIndex&quot;:0},&quot;isEdited&quot;:false,&quot;manualOverride&quot;:{&quot;isManuallyOverriden&quot;:false,&quot;citeprocText&quot;:&quot;(Cheater, 2020)&quot;,&quot;manualOverrideText&quot;:&quot;&quot;},&quot;citationTag&quot;:&quot;MENDELEY_CITATION_{\&quot;citationID\&quot;:\&quot;MENDELEY_CITATION_d24742f6-c416-46a1-a5f2-e147449d3a7e\&quot;,\&quot;citationItems\&quot;:[{\&quot;id\&quot;:\&quot;de530b54-3040-38fc-aa80-2023f64d0c8c\&quot;,\&quot;itemData\&quot;:{\&quot;type\&quot;:\&quot;article-journal\&quot;,\&quot;id\&quot;:\&quot;de530b54-3040-38fc-aa80-2023f64d0c8c\&quot;,\&quot;title\&quot;:\&quot;To cite this article: Sylvia Cheater (2020) Health inequalities-Covid-19 will widen the gap\&quot;,\&quot;author\&quot;:[{\&quot;family\&quot;:\&quot;Cheater\&quot;,\&quot;given\&quot;:\&quot;Sylvia\&quot;,\&quot;parse-names\&quot;:false,\&quot;dropping-particle\&quot;:\&quot;\&quot;,\&quot;non-dropping-particle\&quot;:\&quot;\&quot;}],\&quot;container-title\&quot;:\&quot;International Journal of Health Promotion and Education\&quot;,\&quot;accessed\&quot;:{\&quot;date-parts\&quot;:[[2021,3,11]]},\&quot;DOI\&quot;:\&quot;10.1080/14635240.2020.1771035\&quot;,\&quot;URL\&quot;:\&quot;https://www.tandfonline.com/action/journalInformation?journalCode=rhpe20\&quot;,\&quot;issued\&quot;:{\&quot;date-parts\&quot;:[[2020]]},\&quot;page\&quot;:\&quot;223-225\&quot;,\&quot;issue\&quot;:\&quot;4\&quot;,\&quot;volume\&quot;:\&quot;58\&quot;},\&quot;isTemporary\&quot;:false}],\&quot;properties\&quot;:{\&quot;noteIndex\&quot;:0},\&quot;isEdited\&quot;:false,\&quot;manualOverride\&quot;:{\&quot;isManuallyOverriden\&quot;:false,\&quot;citeprocText\&quot;:\&quot;(Cheater, 2020)\&quot;,\&quot;manualOverrideText\&quot;:\&quot;\&quot;}}&quot;},{&quot;citationID&quot;:&quot;MENDELEY_CITATION_a220e177-027f-46bd-a274-74593f1481a0&quot;,&quot;citationItems&quot;:[{&quot;id&quot;:&quot;74bd4ec3-8391-32c7-99fd-69dbddf7fe86&quot;,&quot;itemData&quot;:{&quot;type&quot;:&quot;article-journal&quot;,&quot;id&quot;:&quot;74bd4ec3-8391-32c7-99fd-69dbddf7fe86&quot;,&quot;title&quot;:&quot;Black, Asian and Minority Ethnic groups in England are at increased risk of death from COVID-19: indirect standardisation of NHS mortality data&quot;,&quot;author&quot;:[{&quot;family&quot;:&quot;Aldridge&quot;,&quot;given&quot;:&quot;Robert W.&quot;,&quot;parse-names&quot;:false,&quot;dropping-particle&quot;:&quot;&quot;,&quot;non-dropping-particle&quot;:&quot;&quot;},{&quot;family&quot;:&quot;Lewer&quot;,&quot;given&quot;:&quot;Dan&quot;,&quot;parse-names&quot;:false,&quot;dropping-particle&quot;:&quot;&quot;,&quot;non-dropping-particle&quot;:&quot;&quot;},{&quot;family&quot;:&quot;Katikireddi&quot;,&quot;given&quot;:&quot;Srinivasa Vittal&quot;,&quot;parse-names&quot;:false,&quot;dropping-particle&quot;:&quot;&quot;,&quot;non-dropping-particle&quot;:&quot;&quot;},{&quot;family&quot;:&quot;Mathur&quot;,&quot;given&quot;:&quot;Rohini&quot;,&quot;parse-names&quot;:false,&quot;dropping-particle&quot;:&quot;&quot;,&quot;non-dropping-particle&quot;:&quot;&quot;},{&quot;family&quot;:&quot;Pathak&quot;,&quot;given&quot;:&quot;Neha&quot;,&quot;parse-names&quot;:false,&quot;dropping-particle&quot;:&quot;&quot;,&quot;non-dropping-particle&quot;:&quot;&quot;},{&quot;family&quot;:&quot;Burns&quot;,&quot;given&quot;:&quot;Rachel&quot;,&quot;parse-names&quot;:false,&quot;dropping-particle&quot;:&quot;&quot;,&quot;non-dropping-particle&quot;:&quot;&quot;},{&quot;family&quot;:&quot;Fragaszy&quot;,&quot;given&quot;:&quot;Ellen B.&quot;,&quot;parse-names&quot;:false,&quot;dropping-particle&quot;:&quot;&quot;,&quot;non-dropping-particle&quot;:&quot;&quot;},{&quot;family&quot;:&quot;Johnson&quot;,&quot;given&quot;:&quot;Anne M.&quot;,&quot;parse-names&quot;:false,&quot;dropping-particle&quot;:&quot;&quot;,&quot;non-dropping-particle&quot;:&quot;&quot;},{&quot;family&quot;:&quot;Devakumar&quot;,&quot;given&quot;:&quot;Delan&quot;,&quot;parse-names&quot;:false,&quot;dropping-particle&quot;:&quot;&quot;,&quot;non-dropping-particle&quot;:&quot;&quot;},{&quot;family&quot;:&quot;Abubakar&quot;,&quot;given&quot;:&quot;Ibrahim&quot;,&quot;parse-names&quot;:false,&quot;dropping-particle&quot;:&quot;&quot;,&quot;non-dropping-particle&quot;:&quot;&quot;},{&quot;family&quot;:&quot;Hayward&quot;,&quot;given&quot;:&quot;Andrew&quot;,&quot;parse-names&quot;:false,&quot;dropping-particle&quot;:&quot;&quot;,&quot;non-dropping-particle&quot;:&quot;&quot;}],&quot;container-title&quot;:&quot;Wellcome Open Research&quot;,&quot;accessed&quot;:{&quot;date-parts&quot;:[[2021,3,17]]},&quot;DOI&quot;:&quot;10.12688/wellcomeopenres.15922.2&quot;,&quot;URL&quot;:&quot;https://doi.org/10.12688/wellcomeopenres.15922.1&quot;,&quot;issued&quot;:{&quot;date-parts&quot;:[[2020,6,24]]},&quot;page&quot;:&quot;88&quot;,&quot;abstract&quot;:&quot; Background : International and UK data suggest that Black, Asian and Minority Ethnic (BAME) groups are at increased risk of infection and death from COVID-19. We aimed to explore the risk of death in minority ethnic groups in England using data reported by NHS England.  Methods : We used NHS data on patients with a positive COVID-19 test who died in hospitals in England published on 28th April, with deaths by ethnicity available from 1st March 2020 up to 5pm on 21 April 2020. We undertook indirect standardisation of these data (using the whole population of England as the reference) to produce ethnic specific standardised mortality ratios (SMRs) adjusted for age and geographical region.  Results : The largest total number of deaths in minority ethnic groups were Indian (492 deaths) and Black Caribbean (460 deaths) groups. Adjusting for region we found a lower risk of death for White Irish (SMR 0.52; 95%CIs 0.45-0.60) and White British ethnic groups (0.88; 95%CIs 0.86-0.0.89), but increased risk of death for Black African (3.24; 95%CIs 2.90-3.62), Black Caribbean (2.21; 95%CIs 2.02-2.41), Pakistani (3.29; 95%CIs 2.96-3.64), Bangladeshi (2.41; 95%CIs 1.98-2.91) and Indian (1.70; 95%CIs 1.56-1.85) minority ethnic groups.  Conclusion: Our analysis adds to the evidence that BAME people are at increased risk of death from COVID-19 even after adjusting for geographical region, but was limited by the lack of data on deaths outside of NHS settings and ethnicity denominator data being based on the 2011 census. Despite these limitations, we believe there is an urgent need to take action to reduce the risk of death for BAME groups and better understand why some ethnic groups experience greater risk. Actions that are likely to reduce these inequities include ensuring adequate income protection, reducing occupational risks, reducing barriers in accessing healthcare and providing culturally and linguistically appropriate public health communications. &quot;,&quot;publisher&quot;:&quot;F1000 Research Ltd&quot;,&quot;volume&quot;:&quot;5&quot;},&quot;isTemporary&quot;:false}],&quot;properties&quot;:{&quot;noteIndex&quot;:0},&quot;isEdited&quot;:false,&quot;manualOverride&quot;:{&quot;isManuallyOverriden&quot;:false,&quot;citeprocText&quot;:&quot;(Aldridge &lt;i&gt;et al.&lt;/i&gt;, 2020)&quot;,&quot;manualOverrideText&quot;:&quot;&quot;},&quot;citationTag&quot;:&quot;MENDELEY_CITATION_{\&quot;citationID\&quot;:\&quot;MENDELEY_CITATION_a220e177-027f-46bd-a274-74593f1481a0\&quot;,\&quot;citationItems\&quot;:[{\&quot;id\&quot;:\&quot;74bd4ec3-8391-32c7-99fd-69dbddf7fe86\&quot;,\&quot;itemData\&quot;:{\&quot;type\&quot;:\&quot;article-journal\&quot;,\&quot;id\&quot;:\&quot;74bd4ec3-8391-32c7-99fd-69dbddf7fe86\&quot;,\&quot;title\&quot;:\&quot;Black, Asian and Minority Ethnic groups in England are at increased risk of death from COVID-19: indirect standardisation of NHS mortality data\&quot;,\&quot;author\&quot;:[{\&quot;family\&quot;:\&quot;Aldridge\&quot;,\&quot;given\&quot;:\&quot;Robert W.\&quot;,\&quot;parse-names\&quot;:false,\&quot;dropping-particle\&quot;:\&quot;\&quot;,\&quot;non-dropping-particle\&quot;:\&quot;\&quot;},{\&quot;family\&quot;:\&quot;Lewer\&quot;,\&quot;given\&quot;:\&quot;Dan\&quot;,\&quot;parse-names\&quot;:false,\&quot;dropping-particle\&quot;:\&quot;\&quot;,\&quot;non-dropping-particle\&quot;:\&quot;\&quot;},{\&quot;family\&quot;:\&quot;Katikireddi\&quot;,\&quot;given\&quot;:\&quot;Srinivasa Vittal\&quot;,\&quot;parse-names\&quot;:false,\&quot;dropping-particle\&quot;:\&quot;\&quot;,\&quot;non-dropping-particle\&quot;:\&quot;\&quot;},{\&quot;family\&quot;:\&quot;Mathur\&quot;,\&quot;given\&quot;:\&quot;Rohini\&quot;,\&quot;parse-names\&quot;:false,\&quot;dropping-particle\&quot;:\&quot;\&quot;,\&quot;non-dropping-particle\&quot;:\&quot;\&quot;},{\&quot;family\&quot;:\&quot;Pathak\&quot;,\&quot;given\&quot;:\&quot;Neha\&quot;,\&quot;parse-names\&quot;:false,\&quot;dropping-particle\&quot;:\&quot;\&quot;,\&quot;non-dropping-particle\&quot;:\&quot;\&quot;},{\&quot;family\&quot;:\&quot;Burns\&quot;,\&quot;given\&quot;:\&quot;Rachel\&quot;,\&quot;parse-names\&quot;:false,\&quot;dropping-particle\&quot;:\&quot;\&quot;,\&quot;non-dropping-particle\&quot;:\&quot;\&quot;},{\&quot;family\&quot;:\&quot;Fragaszy\&quot;,\&quot;given\&quot;:\&quot;Ellen B.\&quot;,\&quot;parse-names\&quot;:false,\&quot;dropping-particle\&quot;:\&quot;\&quot;,\&quot;non-dropping-particle\&quot;:\&quot;\&quot;},{\&quot;family\&quot;:\&quot;Johnson\&quot;,\&quot;given\&quot;:\&quot;Anne M.\&quot;,\&quot;parse-names\&quot;:false,\&quot;dropping-particle\&quot;:\&quot;\&quot;,\&quot;non-dropping-particle\&quot;:\&quot;\&quot;},{\&quot;family\&quot;:\&quot;Devakumar\&quot;,\&quot;given\&quot;:\&quot;Delan\&quot;,\&quot;parse-names\&quot;:false,\&quot;dropping-particle\&quot;:\&quot;\&quot;,\&quot;non-dropping-particle\&quot;:\&quot;\&quot;},{\&quot;family\&quot;:\&quot;Abubakar\&quot;,\&quot;given\&quot;:\&quot;Ibrahim\&quot;,\&quot;parse-names\&quot;:false,\&quot;dropping-particle\&quot;:\&quot;\&quot;,\&quot;non-dropping-particle\&quot;:\&quot;\&quot;},{\&quot;family\&quot;:\&quot;Hayward\&quot;,\&quot;given\&quot;:\&quot;Andrew\&quot;,\&quot;parse-names\&quot;:false,\&quot;dropping-particle\&quot;:\&quot;\&quot;,\&quot;non-dropping-particle\&quot;:\&quot;\&quot;}],\&quot;container-title\&quot;:\&quot;Wellcome Open Research\&quot;,\&quot;accessed\&quot;:{\&quot;date-parts\&quot;:[[2021,3,17]]},\&quot;DOI\&quot;:\&quot;10.12688/wellcomeopenres.15922.2\&quot;,\&quot;URL\&quot;:\&quot;https://doi.org/10.12688/wellcomeopenres.15922.1\&quot;,\&quot;issued\&quot;:{\&quot;date-parts\&quot;:[[2020,6,24]]},\&quot;page\&quot;:\&quot;88\&quot;,\&quot;abstract\&quot;:\&quot; Background : International and UK data suggest that Black, Asian and Minority Ethnic (BAME) groups are at increased risk of infection and death from COVID-19. We aimed to explore the risk of death in minority ethnic groups in England using data reported by NHS England.  Methods : We used NHS data on patients with a positive COVID-19 test who died in hospitals in England published on 28th April, with deaths by ethnicity available from 1st March 2020 up to 5pm on 21 April 2020. We undertook indirect standardisation of these data (using the whole population of England as the reference) to produce ethnic specific standardised mortality ratios (SMRs) adjusted for age and geographical region.  Results : The largest total number of deaths in minority ethnic groups were Indian (492 deaths) and Black Caribbean (460 deaths) groups. Adjusting for region we found a lower risk of death for White Irish (SMR 0.52; 95%CIs 0.45-0.60) and White British ethnic groups (0.88; 95%CIs 0.86-0.0.89), but increased risk of death for Black African (3.24; 95%CIs 2.90-3.62), Black Caribbean (2.21; 95%CIs 2.02-2.41), Pakistani (3.29; 95%CIs 2.96-3.64), Bangladeshi (2.41; 95%CIs 1.98-2.91) and Indian (1.70; 95%CIs 1.56-1.85) minority ethnic groups.  Conclusion: Our analysis adds to the evidence that BAME people are at increased risk of death from COVID-19 even after adjusting for geographical region, but was limited by the lack of data on deaths outside of NHS settings and ethnicity denominator data being based on the 2011 census. Despite these limitations, we believe there is an urgent need to take action to reduce the risk of death for BAME groups and better understand why some ethnic groups experience greater risk. Actions that are likely to reduce these inequities include ensuring adequate income protection, reducing occupational risks, reducing barriers in accessing healthcare and providing culturally and linguistically appropriate public health communications. \&quot;,\&quot;publisher\&quot;:\&quot;F1000 Research Ltd\&quot;,\&quot;volume\&quot;:\&quot;5\&quot;},\&quot;isTemporary\&quot;:false}],\&quot;properties\&quot;:{\&quot;noteIndex\&quot;:0},\&quot;isEdited\&quot;:false,\&quot;manualOverride\&quot;:{\&quot;isManuallyOverriden\&quot;:false,\&quot;citeprocText\&quot;:\&quot;(Aldridge &lt;i&gt;et al.&lt;/i&gt;, 2020)\&quot;,\&quot;manualOverrideText\&quot;:\&quot;\&quot;}}&quot;},{&quot;citationID&quot;:&quot;MENDELEY_CITATION_f6a79911-df2c-478e-a316-ba3cd324b57a&quot;,&quot;citationItems&quot;:[{&quot;id&quot;:&quot;d19a5cbb-bc8d-3b0d-8619-01854f4b1f80&quot;,&quot;itemData&quot;:{&quot;type&quot;:&quot;article-journal&quot;,&quot;id&quot;:&quot;d19a5cbb-bc8d-3b0d-8619-01854f4b1f80&quot;,&quot;title&quot;:&quot;COVID‐19 and Ethnic Inequalities in England and Wales &lt;sup&gt;*&lt;/sup&gt;&quot;,&quot;author&quot;:[{&quot;family&quot;:&quot;Platt&quot;,&quot;given&quot;:&quot;Lucinda&quot;,&quot;parse-names&quot;:false,&quot;dropping-particle&quot;:&quot;&quot;,&quot;non-dropping-particle&quot;:&quot;&quot;},{&quot;family&quot;:&quot;Warwick&quot;,&quot;given&quot;:&quot;Ross&quot;,&quot;parse-names&quot;:false,&quot;dropping-particle&quot;:&quot;&quot;,&quot;non-dropping-particle&quot;:&quot;&quot;}],&quot;container-title&quot;:&quot;Fiscal Studies&quot;,&quot;accessed&quot;:{&quot;date-parts&quot;:[[2021,3,17]]},&quot;DOI&quot;:&quot;10.1111/1475-5890.12228&quot;,&quot;ISSN&quot;:&quot;0143-5671&quot;,&quot;URL&quot;:&quot;https://onlinelibrary.wiley.com/doi/abs/10.1111/1475-5890.12228&quot;,&quot;issued&quot;:{&quot;date-parts&quot;:[[2020,6,26]]},&quot;page&quot;:&quot;259-289&quot;,&quot;abstract&quot;:&quot;The economic and public health crisis created by the COVID-19 pandemic has exposed existing inequalities between ethnic groups in England and Wales, as well as creating new ones. We draw on current mortality and case data, alongside pre-crisis labour force data, to investigate the relative vulnerability of different ethnic groups to adverse health and economic impacts. After accounting for differences in population structure and regional concentration, we show that most minority groups suffered excess mortality compared with the white British majority group. Differences in underlying health conditions such as diabetes may play a role; so too may occupational exposure to the virus, given the very different labour market profiles of ethnic groups. Distinctive patterns of occupational concentration also highlight the vulnerability of some groups to the economic consequences of social distancing measures, with Bangladeshi and Pakistani men particularly likely to be employed in occupations directly affected by the UK's ‘lockdown’. We show that differences in household structures and inequalities in access to savings mean that a number of minority groups are also less able to weather short-term shocks to their income. Documenting these immediate consequences of the crisis reveals the potential for inequalities to become entrenched in the longer term.&quot;,&quot;publisher&quot;:&quot;Blackwell Publishing Ltd&quot;,&quot;issue&quot;:&quot;2&quot;,&quot;volume&quot;:&quot;41&quot;},&quot;isTemporary&quot;:false}],&quot;properties&quot;:{&quot;noteIndex&quot;:0},&quot;isEdited&quot;:false,&quot;manualOverride&quot;:{&quot;isManuallyOverriden&quot;:false,&quot;citeprocText&quot;:&quot;(Platt and Warwick, 2020)&quot;,&quot;manualOverrideText&quot;:&quot;&quot;},&quot;citationTag&quot;:&quot;MENDELEY_CITATION_{\&quot;citationID\&quot;:\&quot;MENDELEY_CITATION_f6a79911-df2c-478e-a316-ba3cd324b57a\&quot;,\&quot;citationItems\&quot;:[{\&quot;id\&quot;:\&quot;d19a5cbb-bc8d-3b0d-8619-01854f4b1f80\&quot;,\&quot;itemData\&quot;:{\&quot;type\&quot;:\&quot;article-journal\&quot;,\&quot;id\&quot;:\&quot;d19a5cbb-bc8d-3b0d-8619-01854f4b1f80\&quot;,\&quot;title\&quot;:\&quot;COVID‐19 and Ethnic Inequalities in England and Wales &lt;sup&gt;*&lt;/sup&gt;\&quot;,\&quot;author\&quot;:[{\&quot;family\&quot;:\&quot;Platt\&quot;,\&quot;given\&quot;:\&quot;Lucinda\&quot;,\&quot;parse-names\&quot;:false,\&quot;dropping-particle\&quot;:\&quot;\&quot;,\&quot;non-dropping-particle\&quot;:\&quot;\&quot;},{\&quot;family\&quot;:\&quot;Warwick\&quot;,\&quot;given\&quot;:\&quot;Ross\&quot;,\&quot;parse-names\&quot;:false,\&quot;dropping-particle\&quot;:\&quot;\&quot;,\&quot;non-dropping-particle\&quot;:\&quot;\&quot;}],\&quot;container-title\&quot;:\&quot;Fiscal Studies\&quot;,\&quot;accessed\&quot;:{\&quot;date-parts\&quot;:[[2021,3,17]]},\&quot;DOI\&quot;:\&quot;10.1111/1475-5890.12228\&quot;,\&quot;ISSN\&quot;:\&quot;0143-5671\&quot;,\&quot;URL\&quot;:\&quot;https://onlinelibrary.wiley.com/doi/abs/10.1111/1475-5890.12228\&quot;,\&quot;issued\&quot;:{\&quot;date-parts\&quot;:[[2020,6,26]]},\&quot;page\&quot;:\&quot;259-289\&quot;,\&quot;abstract\&quot;:\&quot;The economic and public health crisis created by the COVID-19 pandemic has exposed existing inequalities between ethnic groups in England and Wales, as well as creating new ones. We draw on current mortality and case data, alongside pre-crisis labour force data, to investigate the relative vulnerability of different ethnic groups to adverse health and economic impacts. After accounting for differences in population structure and regional concentration, we show that most minority groups suffered excess mortality compared with the white British majority group. Differences in underlying health conditions such as diabetes may play a role; so too may occupational exposure to the virus, given the very different labour market profiles of ethnic groups. Distinctive patterns of occupational concentration also highlight the vulnerability of some groups to the economic consequences of social distancing measures, with Bangladeshi and Pakistani men particularly likely to be employed in occupations directly affected by the UK's ‘lockdown’. We show that differences in household structures and inequalities in access to savings mean that a number of minority groups are also less able to weather short-term shocks to their income. Documenting these immediate consequences of the crisis reveals the potential for inequalities to become entrenched in the longer term.\&quot;,\&quot;publisher\&quot;:\&quot;Blackwell Publishing Ltd\&quot;,\&quot;issue\&quot;:\&quot;2\&quot;,\&quot;volume\&quot;:\&quot;41\&quot;},\&quot;isTemporary\&quot;:false}],\&quot;properties\&quot;:{\&quot;noteIndex\&quot;:0},\&quot;isEdited\&quot;:false,\&quot;manualOverride\&quot;:{\&quot;isManuallyOverriden\&quot;:false,\&quot;citeprocText\&quot;:\&quot;(Platt and Warwick, 2020)\&quot;,\&quot;manualOverrideText\&quot;:\&quot;\&quot;}}&quot;},{&quot;citationID&quot;:&quot;MENDELEY_CITATION_6a8fd13d-b9fe-43f8-9e84-04532b54bad6&quot;,&quot;citationItems&quot;:[{&quot;id&quot;:&quot;266d4d62-cce7-367a-b0cc-208ea4e7aec9&quot;,&quot;itemData&quot;:{&quot;type&quot;:&quot;report&quot;,&quot;id&quot;:&quot;266d4d62-cce7-367a-b0cc-208ea4e7aec9&quot;,&quot;title&quot;:&quot;Beyond the Data: Understanding the Impact of COVID-19 on BAME Communities&quot;,&quot;author&quot;:[{&quot;family&quot;:&quot;Phe&quot;,&quot;given&quot;:&quot;&quot;,&quot;parse-names&quot;:false,&quot;dropping-particle&quot;:&quot;&quot;,&quot;non-dropping-particle&quot;:&quot;&quot;}],&quot;accessed&quot;:{&quot;date-parts&quot;:[[2021,3,18]]},&quot;URL&quot;:&quot;www.facebook.com/PublicHealthEngland&quot;,&quot;issued&quot;:{&quot;date-parts&quot;:[[2020]]},&quot;abstract&quot;:&quot;Public Health England exists to protect and improve the nation's health and wellbeing, and reduce health inequalities. We do this through world-leading science, research, knowledge and intelligence, advocacy, partnerships and the delivery of specialist public health services. We are an executive agency of the Department of Health and Social Care, and a distinct delivery organisation with operational autonomy. We provide government, local government, the NHS, Parliament, industry and the public with evidence-based professional, scientific and delivery expertise and support.&quot;},&quot;isTemporary&quot;:false}],&quot;properties&quot;:{&quot;noteIndex&quot;:0},&quot;isEdited&quot;:false,&quot;manualOverride&quot;:{&quot;isManuallyOverriden&quot;:false,&quot;citeprocText&quot;:&quot;(Phe, 2020a)&quot;,&quot;manualOverrideText&quot;:&quot;&quot;},&quot;citationTag&quot;:&quot;MENDELEY_CITATION_{\&quot;citationID\&quot;:\&quot;MENDELEY_CITATION_6a8fd13d-b9fe-43f8-9e84-04532b54bad6\&quot;,\&quot;citationItems\&quot;:[{\&quot;id\&quot;:\&quot;266d4d62-cce7-367a-b0cc-208ea4e7aec9\&quot;,\&quot;itemData\&quot;:{\&quot;type\&quot;:\&quot;report\&quot;,\&quot;id\&quot;:\&quot;266d4d62-cce7-367a-b0cc-208ea4e7aec9\&quot;,\&quot;title\&quot;:\&quot;Beyond the Data: Understanding the Impact of COVID-19 on BAME Communities\&quot;,\&quot;author\&quot;:[{\&quot;family\&quot;:\&quot;Phe\&quot;,\&quot;given\&quot;:\&quot;\&quot;,\&quot;parse-names\&quot;:false,\&quot;dropping-particle\&quot;:\&quot;\&quot;,\&quot;non-dropping-particle\&quot;:\&quot;\&quot;}],\&quot;accessed\&quot;:{\&quot;date-parts\&quot;:[[2021,3,18]]},\&quot;URL\&quot;:\&quot;www.facebook.com/PublicHealthEngland\&quot;,\&quot;issued\&quot;:{\&quot;date-parts\&quot;:[[2020]]},\&quot;abstract\&quot;:\&quot;Public Health England exists to protect and improve the nation's health and wellbeing, and reduce health inequalities. We do this through world-leading science, research, knowledge and intelligence, advocacy, partnerships and the delivery of specialist public health services. We are an executive agency of the Department of Health and Social Care, and a distinct delivery organisation with operational autonomy. We provide government, local government, the NHS, Parliament, industry and the public with evidence-based professional, scientific and delivery expertise and support.\&quot;},\&quot;isTemporary\&quot;:false}],\&quot;properties\&quot;:{\&quot;noteIndex\&quot;:0},\&quot;isEdited\&quot;:false,\&quot;manualOverride\&quot;:{\&quot;isManuallyOverriden\&quot;:false,\&quot;citeprocText\&quot;:\&quot;(Phe, 2020b)\&quot;,\&quot;manualOverrideText\&quot;:\&quot;\&quot;}}&quot;},{&quot;citationID&quot;:&quot;MENDELEY_CITATION_dc963b0c-3baa-44ab-a541-d40b5f27568f&quot;,&quot;citationItems&quot;:[{&quot;id&quot;:&quot;266d4d62-cce7-367a-b0cc-208ea4e7aec9&quot;,&quot;itemData&quot;:{&quot;type&quot;:&quot;report&quot;,&quot;id&quot;:&quot;266d4d62-cce7-367a-b0cc-208ea4e7aec9&quot;,&quot;title&quot;:&quot;Beyond the Data: Understanding the Impact of COVID-19 on BAME Communities&quot;,&quot;author&quot;:[{&quot;family&quot;:&quot;Phe&quot;,&quot;given&quot;:&quot;&quot;,&quot;parse-names&quot;:false,&quot;dropping-particle&quot;:&quot;&quot;,&quot;non-dropping-particle&quot;:&quot;&quot;}],&quot;accessed&quot;:{&quot;date-parts&quot;:[[2021,3,18]]},&quot;URL&quot;:&quot;www.facebook.com/PublicHealthEngland&quot;,&quot;issued&quot;:{&quot;date-parts&quot;:[[2020]]},&quot;abstract&quot;:&quot;Public Health England exists to protect and improve the nation's health and wellbeing, and reduce health inequalities. We do this through world-leading science, research, knowledge and intelligence, advocacy, partnerships and the delivery of specialist public health services. We are an executive agency of the Department of Health and Social Care, and a distinct delivery organisation with operational autonomy. We provide government, local government, the NHS, Parliament, industry and the public with evidence-based professional, scientific and delivery expertise and support.&quot;},&quot;isTemporary&quot;:false}],&quot;properties&quot;:{&quot;noteIndex&quot;:0},&quot;isEdited&quot;:false,&quot;manualOverride&quot;:{&quot;isManuallyOverriden&quot;:false,&quot;citeprocText&quot;:&quot;(Phe, 2020a)&quot;,&quot;manualOverrideText&quot;:&quot;&quot;},&quot;citationTag&quot;:&quot;MENDELEY_CITATION_{\&quot;citationID\&quot;:\&quot;MENDELEY_CITATION_dc963b0c-3baa-44ab-a541-d40b5f27568f\&quot;,\&quot;citationItems\&quot;:[{\&quot;id\&quot;:\&quot;266d4d62-cce7-367a-b0cc-208ea4e7aec9\&quot;,\&quot;itemData\&quot;:{\&quot;type\&quot;:\&quot;report\&quot;,\&quot;id\&quot;:\&quot;266d4d62-cce7-367a-b0cc-208ea4e7aec9\&quot;,\&quot;title\&quot;:\&quot;Beyond the Data: Understanding the Impact of COVID-19 on BAME Communities\&quot;,\&quot;author\&quot;:[{\&quot;family\&quot;:\&quot;Phe\&quot;,\&quot;given\&quot;:\&quot;\&quot;,\&quot;parse-names\&quot;:false,\&quot;dropping-particle\&quot;:\&quot;\&quot;,\&quot;non-dropping-particle\&quot;:\&quot;\&quot;}],\&quot;accessed\&quot;:{\&quot;date-parts\&quot;:[[2021,3,18]]},\&quot;URL\&quot;:\&quot;www.facebook.com/PublicHealthEngland\&quot;,\&quot;issued\&quot;:{\&quot;date-parts\&quot;:[[2020]]},\&quot;abstract\&quot;:\&quot;Public Health England exists to protect and improve the nation's health and wellbeing, and reduce health inequalities. We do this through world-leading science, research, knowledge and intelligence, advocacy, partnerships and the delivery of specialist public health services. We are an executive agency of the Department of Health and Social Care, and a distinct delivery organisation with operational autonomy. We provide government, local government, the NHS, Parliament, industry and the public with evidence-based professional, scientific and delivery expertise and support.\&quot;},\&quot;isTemporary\&quot;:false}],\&quot;properties\&quot;:{\&quot;noteIndex\&quot;:0},\&quot;isEdited\&quot;:false,\&quot;manualOverride\&quot;:{\&quot;isManuallyOverriden\&quot;:false,\&quot;citeprocText\&quot;:\&quot;(Phe, 2020a)\&quot;,\&quot;manualOverrideText\&quot;:\&quot;\&quot;}}&quot;},{&quot;citationID&quot;:&quot;MENDELEY_CITATION_a3792749-0ef6-4b32-9bb9-1c57b155ab35&quot;,&quot;citationItems&quot;:[{&quot;id&quot;:&quot;d990261b-5ef9-3756-9d17-27e95fcd6915&quot;,&quot;itemData&quot;:{&quot;type&quot;:&quot;article-journal&quot;,&quot;id&quot;:&quot;d990261b-5ef9-3756-9d17-27e95fcd6915&quot;,&quot;title&quot;:&quot;Health equity and COVID-19: global perspectives&quot;,&quot;author&quot;:[{&quot;family&quot;:&quot;Shadmi&quot;,&quot;given&quot;:&quot;Efrat&quot;,&quot;parse-names&quot;:false,&quot;dropping-particle&quot;:&quot;&quot;,&quot;non-dropping-particle&quot;:&quot;&quot;},{&quot;family&quot;:&quot;Chen&quot;,&quot;given&quot;:&quot;Yingyao&quot;,&quot;parse-names&quot;:false,&quot;dropping-particle&quot;:&quot;&quot;,&quot;non-dropping-particle&quot;:&quot;&quot;},{&quot;family&quot;:&quot;Dourado&quot;,&quot;given&quot;:&quot;Inês&quot;,&quot;parse-names&quot;:false,&quot;dropping-particle&quot;:&quot;&quot;,&quot;non-dropping-particle&quot;:&quot;&quot;},{&quot;family&quot;:&quot;Faran-Perach&quot;,&quot;given&quot;:&quot;Inbal&quot;,&quot;parse-names&quot;:false,&quot;dropping-particle&quot;:&quot;&quot;,&quot;non-dropping-particle&quot;:&quot;&quot;},{&quot;family&quot;:&quot;Furler&quot;,&quot;given&quot;:&quot;John&quot;,&quot;parse-names&quot;:false,&quot;dropping-particle&quot;:&quot;&quot;,&quot;non-dropping-particle&quot;:&quot;&quot;},{&quot;family&quot;:&quot;Hangoma&quot;,&quot;given&quot;:&quot;Peter&quot;,&quot;parse-names&quot;:false,&quot;dropping-particle&quot;:&quot;&quot;,&quot;non-dropping-particle&quot;:&quot;&quot;},{&quot;family&quot;:&quot;Hanvoravongchai&quot;,&quot;given&quot;:&quot;Piya&quot;,&quot;parse-names&quot;:false,&quot;dropping-particle&quot;:&quot;&quot;,&quot;non-dropping-particle&quot;:&quot;&quot;},{&quot;family&quot;:&quot;Obando&quot;,&quot;given&quot;:&quot;Claudia&quot;,&quot;parse-names&quot;:false,&quot;dropping-particle&quot;:&quot;&quot;,&quot;non-dropping-particle&quot;:&quot;&quot;},{&quot;family&quot;:&quot;Petrosyan&quot;,&quot;given&quot;:&quot;Varduhi&quot;,&quot;parse-names&quot;:false,&quot;dropping-particle&quot;:&quot;&quot;,&quot;non-dropping-particle&quot;:&quot;&quot;},{&quot;family&quot;:&quot;Rao&quot;,&quot;given&quot;:&quot;Krishna D&quot;,&quot;parse-names&quot;:false,&quot;dropping-particle&quot;:&quot;&quot;,&quot;non-dropping-particle&quot;:&quot;&quot;},{&quot;family&quot;:&quot;Ruano&quot;,&quot;given&quot;:&quot;Ana Lorena&quot;,&quot;parse-names&quot;:false,&quot;dropping-particle&quot;:&quot;&quot;,&quot;non-dropping-particle&quot;:&quot;&quot;},{&quot;family&quot;:&quot;Shi&quot;,&quot;given&quot;:&quot;Leiyu&quot;,&quot;parse-names&quot;:false,&quot;dropping-particle&quot;:&quot;&quot;,&quot;non-dropping-particle&quot;:&quot;&quot;},{&quot;family&quot;:&quot;Eugenio De Souza&quot;,&quot;given&quot;:&quot;Luis&quot;,&quot;parse-names&quot;:false,&quot;dropping-particle&quot;:&quot;&quot;,&quot;non-dropping-particle&quot;:&quot;&quot;},{&quot;family&quot;:&quot;Spitzer-Shohat&quot;,&quot;given&quot;:&quot;Sivan&quot;,&quot;parse-names&quot;:false,&quot;dropping-particle&quot;:&quot;&quot;,&quot;non-dropping-particle&quot;:&quot;&quot;},{&quot;family&quot;:&quot;Sturgiss&quot;,&quot;given&quot;:&quot;Elizabeth&quot;,&quot;parse-names&quot;:false,&quot;dropping-particle&quot;:&quot;&quot;,&quot;non-dropping-particle&quot;:&quot;&quot;},{&quot;family&quot;:&quot;Suphanchaimat&quot;,&quot;given&quot;:&quot;Rapeepong&quot;,&quot;parse-names&quot;:false,&quot;dropping-particle&quot;:&quot;&quot;,&quot;non-dropping-particle&quot;:&quot;&quot;},{&quot;family&quot;:&quot;Uribe&quot;,&quot;given&quot;:&quot;Manuela Villar&quot;,&quot;parse-names&quot;:false,&quot;dropping-particle&quot;:&quot;&quot;,&quot;non-dropping-particle&quot;:&quot;&quot;},{&quot;family&quot;:&quot;Willems&quot;,&quot;given&quot;:&quot;Sara&quot;,&quot;parse-names&quot;:false,&quot;dropping-particle&quot;:&quot;&quot;,&quot;non-dropping-particle&quot;:&quot;&quot;}],&quot;accessed&quot;:{&quot;date-parts&quot;:[[2021,3,18]]},&quot;DOI&quot;:&quot;10.1186/s12939-020-01218-z&quot;,&quot;URL&quot;:&quot;https://doi.org/10.1186/s12939-020-01218-z&quot;,&quot;abstract&quot;:&quot;The COVID-19 is disproportionally affecting the poor, minorities and a broad range of vulnerable populations, due to its inequitable spread in areas of dense population and limited mitigation capacity due to high prevalence of chronic conditions or poor access to high quality public health and medical care. Moreover, the collateral effects of the pandemic due to the global economic downturn, and social isolation and movement restriction measures, are unequally affecting those in the lowest power strata of societies. To address the challenges to health equity and describe some of the approaches taken by governments and local organizations, we have compiled 13 country case studies from various regions around the world&quot;},&quot;isTemporary&quot;:false}],&quot;properties&quot;:{&quot;noteIndex&quot;:0},&quot;isEdited&quot;:false,&quot;manualOverride&quot;:{&quot;isManuallyOverriden&quot;:false,&quot;citeprocText&quot;:&quot;(Shadmi &lt;i&gt;et al.&lt;/i&gt;, no date)&quot;,&quot;manualOverrideText&quot;:&quot;&quot;},&quot;citationTag&quot;:&quot;MENDELEY_CITATION_{\&quot;citationID\&quot;:\&quot;MENDELEY_CITATION_a3792749-0ef6-4b32-9bb9-1c57b155ab35\&quot;,\&quot;citationItems\&quot;:[{\&quot;id\&quot;:\&quot;d990261b-5ef9-3756-9d17-27e95fcd6915\&quot;,\&quot;itemData\&quot;:{\&quot;type\&quot;:\&quot;article-journal\&quot;,\&quot;id\&quot;:\&quot;d990261b-5ef9-3756-9d17-27e95fcd6915\&quot;,\&quot;title\&quot;:\&quot;Health equity and COVID-19: global perspectives\&quot;,\&quot;author\&quot;:[{\&quot;family\&quot;:\&quot;Shadmi\&quot;,\&quot;given\&quot;:\&quot;Efrat\&quot;,\&quot;parse-names\&quot;:false,\&quot;dropping-particle\&quot;:\&quot;\&quot;,\&quot;non-dropping-particle\&quot;:\&quot;\&quot;},{\&quot;family\&quot;:\&quot;Chen\&quot;,\&quot;given\&quot;:\&quot;Yingyao\&quot;,\&quot;parse-names\&quot;:false,\&quot;dropping-particle\&quot;:\&quot;\&quot;,\&quot;non-dropping-particle\&quot;:\&quot;\&quot;},{\&quot;family\&quot;:\&quot;Dourado\&quot;,\&quot;given\&quot;:\&quot;Inês\&quot;,\&quot;parse-names\&quot;:false,\&quot;dropping-particle\&quot;:\&quot;\&quot;,\&quot;non-dropping-particle\&quot;:\&quot;\&quot;},{\&quot;family\&quot;:\&quot;Faran-Perach\&quot;,\&quot;given\&quot;:\&quot;Inbal\&quot;,\&quot;parse-names\&quot;:false,\&quot;dropping-particle\&quot;:\&quot;\&quot;,\&quot;non-dropping-particle\&quot;:\&quot;\&quot;},{\&quot;family\&quot;:\&quot;Furler\&quot;,\&quot;given\&quot;:\&quot;John\&quot;,\&quot;parse-names\&quot;:false,\&quot;dropping-particle\&quot;:\&quot;\&quot;,\&quot;non-dropping-particle\&quot;:\&quot;\&quot;},{\&quot;family\&quot;:\&quot;Hangoma\&quot;,\&quot;given\&quot;:\&quot;Peter\&quot;,\&quot;parse-names\&quot;:false,\&quot;dropping-particle\&quot;:\&quot;\&quot;,\&quot;non-dropping-particle\&quot;:\&quot;\&quot;},{\&quot;family\&quot;:\&quot;Hanvoravongchai\&quot;,\&quot;given\&quot;:\&quot;Piya\&quot;,\&quot;parse-names\&quot;:false,\&quot;dropping-particle\&quot;:\&quot;\&quot;,\&quot;non-dropping-particle\&quot;:\&quot;\&quot;},{\&quot;family\&quot;:\&quot;Obando\&quot;,\&quot;given\&quot;:\&quot;Claudia\&quot;,\&quot;parse-names\&quot;:false,\&quot;dropping-particle\&quot;:\&quot;\&quot;,\&quot;non-dropping-particle\&quot;:\&quot;\&quot;},{\&quot;family\&quot;:\&quot;Petrosyan\&quot;,\&quot;given\&quot;:\&quot;Varduhi\&quot;,\&quot;parse-names\&quot;:false,\&quot;dropping-particle\&quot;:\&quot;\&quot;,\&quot;non-dropping-particle\&quot;:\&quot;\&quot;},{\&quot;family\&quot;:\&quot;Rao\&quot;,\&quot;given\&quot;:\&quot;Krishna D\&quot;,\&quot;parse-names\&quot;:false,\&quot;dropping-particle\&quot;:\&quot;\&quot;,\&quot;non-dropping-particle\&quot;:\&quot;\&quot;},{\&quot;family\&quot;:\&quot;Ruano\&quot;,\&quot;given\&quot;:\&quot;Ana Lorena\&quot;,\&quot;parse-names\&quot;:false,\&quot;dropping-particle\&quot;:\&quot;\&quot;,\&quot;non-dropping-particle\&quot;:\&quot;\&quot;},{\&quot;family\&quot;:\&quot;Shi\&quot;,\&quot;given\&quot;:\&quot;Leiyu\&quot;,\&quot;parse-names\&quot;:false,\&quot;dropping-particle\&quot;:\&quot;\&quot;,\&quot;non-dropping-particle\&quot;:\&quot;\&quot;},{\&quot;family\&quot;:\&quot;Eugenio De Souza\&quot;,\&quot;given\&quot;:\&quot;Luis\&quot;,\&quot;parse-names\&quot;:false,\&quot;dropping-particle\&quot;:\&quot;\&quot;,\&quot;non-dropping-particle\&quot;:\&quot;\&quot;},{\&quot;family\&quot;:\&quot;Spitzer-Shohat\&quot;,\&quot;given\&quot;:\&quot;Sivan\&quot;,\&quot;parse-names\&quot;:false,\&quot;dropping-particle\&quot;:\&quot;\&quot;,\&quot;non-dropping-particle\&quot;:\&quot;\&quot;},{\&quot;family\&quot;:\&quot;Sturgiss\&quot;,\&quot;given\&quot;:\&quot;Elizabeth\&quot;,\&quot;parse-names\&quot;:false,\&quot;dropping-particle\&quot;:\&quot;\&quot;,\&quot;non-dropping-particle\&quot;:\&quot;\&quot;},{\&quot;family\&quot;:\&quot;Suphanchaimat\&quot;,\&quot;given\&quot;:\&quot;Rapeepong\&quot;,\&quot;parse-names\&quot;:false,\&quot;dropping-particle\&quot;:\&quot;\&quot;,\&quot;non-dropping-particle\&quot;:\&quot;\&quot;},{\&quot;family\&quot;:\&quot;Uribe\&quot;,\&quot;given\&quot;:\&quot;Manuela Villar\&quot;,\&quot;parse-names\&quot;:false,\&quot;dropping-particle\&quot;:\&quot;\&quot;,\&quot;non-dropping-particle\&quot;:\&quot;\&quot;},{\&quot;family\&quot;:\&quot;Willems\&quot;,\&quot;given\&quot;:\&quot;Sara\&quot;,\&quot;parse-names\&quot;:false,\&quot;dropping-particle\&quot;:\&quot;\&quot;,\&quot;non-dropping-particle\&quot;:\&quot;\&quot;}],\&quot;accessed\&quot;:{\&quot;date-parts\&quot;:[[2021,3,18]]},\&quot;DOI\&quot;:\&quot;10.1186/s12939-020-01218-z\&quot;,\&quot;URL\&quot;:\&quot;https://doi.org/10.1186/s12939-020-01218-z\&quot;,\&quot;abstract\&quot;:\&quot;The COVID-19 is disproportionally affecting the poor, minorities and a broad range of vulnerable populations, due to its inequitable spread in areas of dense population and limited mitigation capacity due to high prevalence of chronic conditions or poor access to high quality public health and medical care. Moreover, the collateral effects of the pandemic due to the global economic downturn, and social isolation and movement restriction measures, are unequally affecting those in the lowest power strata of societies. To address the challenges to health equity and describe some of the approaches taken by governments and local organizations, we have compiled 13 country case studies from various regions around the world\&quot;},\&quot;isTemporary\&quot;:false}],\&quot;properties\&quot;:{\&quot;noteIndex\&quot;:0},\&quot;isEdited\&quot;:false,\&quot;manualOverride\&quot;:{\&quot;isManuallyOverriden\&quot;:false,\&quot;citeprocText\&quot;:\&quot;(Shadmi &lt;i&gt;et al.&lt;/i&gt;, no date)\&quot;,\&quot;manualOverrideText\&quot;:\&quot;\&quot;}}&quot;},{&quot;citationID&quot;:&quot;MENDELEY_CITATION_4505f436-9cf0-4641-9048-8518b087832e&quot;,&quot;citationItems&quot;:[{&quot;id&quot;:&quot;5de3c88c-4152-3717-9a1c-de52b8d268b7&quot;,&quot;itemData&quot;:{&quot;type&quot;:&quot;report&quot;,&quot;id&quot;:&quot;5de3c88c-4152-3717-9a1c-de52b8d268b7&quot;,&quot;title&quot;:&quot;Disparities in the risk and outcomes of COVID-19&quot;,&quot;accessed&quot;:{&quot;date-parts&quot;:[[2021,3,18]]},&quot;URL&quot;:&quot;www.facebook.com/PublicHealthEngland&quot;,&quot;issued&quot;:{&quot;date-parts&quot;:[[2020]]}},&quot;isTemporary&quot;:false}],&quot;properties&quot;:{&quot;noteIndex&quot;:0},&quot;isEdited&quot;:false,&quot;manualOverride&quot;:{&quot;isManuallyOverriden&quot;:false,&quot;citeprocText&quot;:&quot;(&lt;i&gt;Disparities in the risk and outcomes of COVID-19&lt;/i&gt;, 2020)&quot;,&quot;manualOverrideText&quot;:&quot;&quot;},&quot;citationTag&quot;:&quot;MENDELEY_CITATION_{\&quot;citationID\&quot;:\&quot;MENDELEY_CITATION_4505f436-9cf0-4641-9048-8518b087832e\&quot;,\&quot;citationItems\&quot;:[{\&quot;id\&quot;:\&quot;5de3c88c-4152-3717-9a1c-de52b8d268b7\&quot;,\&quot;itemData\&quot;:{\&quot;type\&quot;:\&quot;report\&quot;,\&quot;id\&quot;:\&quot;5de3c88c-4152-3717-9a1c-de52b8d268b7\&quot;,\&quot;title\&quot;:\&quot;Disparities in the risk and outcomes of COVID-19\&quot;,\&quot;accessed\&quot;:{\&quot;date-parts\&quot;:[[2021,3,18]]},\&quot;URL\&quot;:\&quot;www.facebook.com/PublicHealthEngland\&quot;,\&quot;issued\&quot;:{\&quot;date-parts\&quot;:[[2020]]}},\&quot;isTemporary\&quot;:false}],\&quot;properties\&quot;:{\&quot;noteIndex\&quot;:0},\&quot;isEdited\&quot;:false,\&quot;manualOverride\&quot;:{\&quot;isManuallyOverriden\&quot;:false,\&quot;citeprocText\&quot;:\&quot;(&lt;i&gt;Disparities in the risk and outcomes of COVID-19&lt;/i&gt;, 2020)\&quot;,\&quot;manualOverrideText\&quot;:\&quot;\&quot;}}&quot;},{&quot;citationID&quot;:&quot;MENDELEY_CITATION_44f10098-b330-4b3b-868e-585235134983&quot;,&quot;citationItems&quot;:[{&quot;id&quot;:&quot;d990261b-5ef9-3756-9d17-27e95fcd6915&quot;,&quot;itemData&quot;:{&quot;type&quot;:&quot;article-journal&quot;,&quot;id&quot;:&quot;d990261b-5ef9-3756-9d17-27e95fcd6915&quot;,&quot;title&quot;:&quot;Health equity and COVID-19: global perspectives&quot;,&quot;author&quot;:[{&quot;family&quot;:&quot;Shadmi&quot;,&quot;given&quot;:&quot;Efrat&quot;,&quot;parse-names&quot;:false,&quot;dropping-particle&quot;:&quot;&quot;,&quot;non-dropping-particle&quot;:&quot;&quot;},{&quot;family&quot;:&quot;Chen&quot;,&quot;given&quot;:&quot;Yingyao&quot;,&quot;parse-names&quot;:false,&quot;dropping-particle&quot;:&quot;&quot;,&quot;non-dropping-particle&quot;:&quot;&quot;},{&quot;family&quot;:&quot;Dourado&quot;,&quot;given&quot;:&quot;Inês&quot;,&quot;parse-names&quot;:false,&quot;dropping-particle&quot;:&quot;&quot;,&quot;non-dropping-particle&quot;:&quot;&quot;},{&quot;family&quot;:&quot;Faran-Perach&quot;,&quot;given&quot;:&quot;Inbal&quot;,&quot;parse-names&quot;:false,&quot;dropping-particle&quot;:&quot;&quot;,&quot;non-dropping-particle&quot;:&quot;&quot;},{&quot;family&quot;:&quot;Furler&quot;,&quot;given&quot;:&quot;John&quot;,&quot;parse-names&quot;:false,&quot;dropping-particle&quot;:&quot;&quot;,&quot;non-dropping-particle&quot;:&quot;&quot;},{&quot;family&quot;:&quot;Hangoma&quot;,&quot;given&quot;:&quot;Peter&quot;,&quot;parse-names&quot;:false,&quot;dropping-particle&quot;:&quot;&quot;,&quot;non-dropping-particle&quot;:&quot;&quot;},{&quot;family&quot;:&quot;Hanvoravongchai&quot;,&quot;given&quot;:&quot;Piya&quot;,&quot;parse-names&quot;:false,&quot;dropping-particle&quot;:&quot;&quot;,&quot;non-dropping-particle&quot;:&quot;&quot;},{&quot;family&quot;:&quot;Obando&quot;,&quot;given&quot;:&quot;Claudia&quot;,&quot;parse-names&quot;:false,&quot;dropping-particle&quot;:&quot;&quot;,&quot;non-dropping-particle&quot;:&quot;&quot;},{&quot;family&quot;:&quot;Petrosyan&quot;,&quot;given&quot;:&quot;Varduhi&quot;,&quot;parse-names&quot;:false,&quot;dropping-particle&quot;:&quot;&quot;,&quot;non-dropping-particle&quot;:&quot;&quot;},{&quot;family&quot;:&quot;Rao&quot;,&quot;given&quot;:&quot;Krishna D&quot;,&quot;parse-names&quot;:false,&quot;dropping-particle&quot;:&quot;&quot;,&quot;non-dropping-particle&quot;:&quot;&quot;},{&quot;family&quot;:&quot;Ruano&quot;,&quot;given&quot;:&quot;Ana Lorena&quot;,&quot;parse-names&quot;:false,&quot;dropping-particle&quot;:&quot;&quot;,&quot;non-dropping-particle&quot;:&quot;&quot;},{&quot;family&quot;:&quot;Shi&quot;,&quot;given&quot;:&quot;Leiyu&quot;,&quot;parse-names&quot;:false,&quot;dropping-particle&quot;:&quot;&quot;,&quot;non-dropping-particle&quot;:&quot;&quot;},{&quot;family&quot;:&quot;Eugenio De Souza&quot;,&quot;given&quot;:&quot;Luis&quot;,&quot;parse-names&quot;:false,&quot;dropping-particle&quot;:&quot;&quot;,&quot;non-dropping-particle&quot;:&quot;&quot;},{&quot;family&quot;:&quot;Spitzer-Shohat&quot;,&quot;given&quot;:&quot;Sivan&quot;,&quot;parse-names&quot;:false,&quot;dropping-particle&quot;:&quot;&quot;,&quot;non-dropping-particle&quot;:&quot;&quot;},{&quot;family&quot;:&quot;Sturgiss&quot;,&quot;given&quot;:&quot;Elizabeth&quot;,&quot;parse-names&quot;:false,&quot;dropping-particle&quot;:&quot;&quot;,&quot;non-dropping-particle&quot;:&quot;&quot;},{&quot;family&quot;:&quot;Suphanchaimat&quot;,&quot;given&quot;:&quot;Rapeepong&quot;,&quot;parse-names&quot;:false,&quot;dropping-particle&quot;:&quot;&quot;,&quot;non-dropping-particle&quot;:&quot;&quot;},{&quot;family&quot;:&quot;Uribe&quot;,&quot;given&quot;:&quot;Manuela Villar&quot;,&quot;parse-names&quot;:false,&quot;dropping-particle&quot;:&quot;&quot;,&quot;non-dropping-particle&quot;:&quot;&quot;},{&quot;family&quot;:&quot;Willems&quot;,&quot;given&quot;:&quot;Sara&quot;,&quot;parse-names&quot;:false,&quot;dropping-particle&quot;:&quot;&quot;,&quot;non-dropping-particle&quot;:&quot;&quot;}],&quot;accessed&quot;:{&quot;date-parts&quot;:[[2021,3,18]]},&quot;DOI&quot;:&quot;10.1186/s12939-020-01218-z&quot;,&quot;URL&quot;:&quot;https://doi.org/10.1186/s12939-020-01218-z&quot;,&quot;abstract&quot;:&quot;The COVID-19 is disproportionally affecting the poor, minorities and a broad range of vulnerable populations, due to its inequitable spread in areas of dense population and limited mitigation capacity due to high prevalence of chronic conditions or poor access to high quality public health and medical care. Moreover, the collateral effects of the pandemic due to the global economic downturn, and social isolation and movement restriction measures, are unequally affecting those in the lowest power strata of societies. To address the challenges to health equity and describe some of the approaches taken by governments and local organizations, we have compiled 13 country case studies from various regions around the world&quot;},&quot;isTemporary&quot;:false}],&quot;properties&quot;:{&quot;noteIndex&quot;:0},&quot;isEdited&quot;:false,&quot;manualOverride&quot;:{&quot;isManuallyOverriden&quot;:false,&quot;citeprocText&quot;:&quot;(Shadmi &lt;i&gt;et al.&lt;/i&gt;, no date)&quot;,&quot;manualOverrideText&quot;:&quot;&quot;},&quot;citationTag&quot;:&quot;MENDELEY_CITATION_{\&quot;citationID\&quot;:\&quot;MENDELEY_CITATION_44f10098-b330-4b3b-868e-585235134983\&quot;,\&quot;citationItems\&quot;:[{\&quot;id\&quot;:\&quot;d990261b-5ef9-3756-9d17-27e95fcd6915\&quot;,\&quot;itemData\&quot;:{\&quot;type\&quot;:\&quot;article-journal\&quot;,\&quot;id\&quot;:\&quot;d990261b-5ef9-3756-9d17-27e95fcd6915\&quot;,\&quot;title\&quot;:\&quot;Health equity and COVID-19: global perspectives\&quot;,\&quot;author\&quot;:[{\&quot;family\&quot;:\&quot;Shadmi\&quot;,\&quot;given\&quot;:\&quot;Efrat\&quot;,\&quot;parse-names\&quot;:false,\&quot;dropping-particle\&quot;:\&quot;\&quot;,\&quot;non-dropping-particle\&quot;:\&quot;\&quot;},{\&quot;family\&quot;:\&quot;Chen\&quot;,\&quot;given\&quot;:\&quot;Yingyao\&quot;,\&quot;parse-names\&quot;:false,\&quot;dropping-particle\&quot;:\&quot;\&quot;,\&quot;non-dropping-particle\&quot;:\&quot;\&quot;},{\&quot;family\&quot;:\&quot;Dourado\&quot;,\&quot;given\&quot;:\&quot;Inês\&quot;,\&quot;parse-names\&quot;:false,\&quot;dropping-particle\&quot;:\&quot;\&quot;,\&quot;non-dropping-particle\&quot;:\&quot;\&quot;},{\&quot;family\&quot;:\&quot;Faran-Perach\&quot;,\&quot;given\&quot;:\&quot;Inbal\&quot;,\&quot;parse-names\&quot;:false,\&quot;dropping-particle\&quot;:\&quot;\&quot;,\&quot;non-dropping-particle\&quot;:\&quot;\&quot;},{\&quot;family\&quot;:\&quot;Furler\&quot;,\&quot;given\&quot;:\&quot;John\&quot;,\&quot;parse-names\&quot;:false,\&quot;dropping-particle\&quot;:\&quot;\&quot;,\&quot;non-dropping-particle\&quot;:\&quot;\&quot;},{\&quot;family\&quot;:\&quot;Hangoma\&quot;,\&quot;given\&quot;:\&quot;Peter\&quot;,\&quot;parse-names\&quot;:false,\&quot;dropping-particle\&quot;:\&quot;\&quot;,\&quot;non-dropping-particle\&quot;:\&quot;\&quot;},{\&quot;family\&quot;:\&quot;Hanvoravongchai\&quot;,\&quot;given\&quot;:\&quot;Piya\&quot;,\&quot;parse-names\&quot;:false,\&quot;dropping-particle\&quot;:\&quot;\&quot;,\&quot;non-dropping-particle\&quot;:\&quot;\&quot;},{\&quot;family\&quot;:\&quot;Obando\&quot;,\&quot;given\&quot;:\&quot;Claudia\&quot;,\&quot;parse-names\&quot;:false,\&quot;dropping-particle\&quot;:\&quot;\&quot;,\&quot;non-dropping-particle\&quot;:\&quot;\&quot;},{\&quot;family\&quot;:\&quot;Petrosyan\&quot;,\&quot;given\&quot;:\&quot;Varduhi\&quot;,\&quot;parse-names\&quot;:false,\&quot;dropping-particle\&quot;:\&quot;\&quot;,\&quot;non-dropping-particle\&quot;:\&quot;\&quot;},{\&quot;family\&quot;:\&quot;Rao\&quot;,\&quot;given\&quot;:\&quot;Krishna D\&quot;,\&quot;parse-names\&quot;:false,\&quot;dropping-particle\&quot;:\&quot;\&quot;,\&quot;non-dropping-particle\&quot;:\&quot;\&quot;},{\&quot;family\&quot;:\&quot;Ruano\&quot;,\&quot;given\&quot;:\&quot;Ana Lorena\&quot;,\&quot;parse-names\&quot;:false,\&quot;dropping-particle\&quot;:\&quot;\&quot;,\&quot;non-dropping-particle\&quot;:\&quot;\&quot;},{\&quot;family\&quot;:\&quot;Shi\&quot;,\&quot;given\&quot;:\&quot;Leiyu\&quot;,\&quot;parse-names\&quot;:false,\&quot;dropping-particle\&quot;:\&quot;\&quot;,\&quot;non-dropping-particle\&quot;:\&quot;\&quot;},{\&quot;family\&quot;:\&quot;Eugenio De Souza\&quot;,\&quot;given\&quot;:\&quot;Luis\&quot;,\&quot;parse-names\&quot;:false,\&quot;dropping-particle\&quot;:\&quot;\&quot;,\&quot;non-dropping-particle\&quot;:\&quot;\&quot;},{\&quot;family\&quot;:\&quot;Spitzer-Shohat\&quot;,\&quot;given\&quot;:\&quot;Sivan\&quot;,\&quot;parse-names\&quot;:false,\&quot;dropping-particle\&quot;:\&quot;\&quot;,\&quot;non-dropping-particle\&quot;:\&quot;\&quot;},{\&quot;family\&quot;:\&quot;Sturgiss\&quot;,\&quot;given\&quot;:\&quot;Elizabeth\&quot;,\&quot;parse-names\&quot;:false,\&quot;dropping-particle\&quot;:\&quot;\&quot;,\&quot;non-dropping-particle\&quot;:\&quot;\&quot;},{\&quot;family\&quot;:\&quot;Suphanchaimat\&quot;,\&quot;given\&quot;:\&quot;Rapeepong\&quot;,\&quot;parse-names\&quot;:false,\&quot;dropping-particle\&quot;:\&quot;\&quot;,\&quot;non-dropping-particle\&quot;:\&quot;\&quot;},{\&quot;family\&quot;:\&quot;Uribe\&quot;,\&quot;given\&quot;:\&quot;Manuela Villar\&quot;,\&quot;parse-names\&quot;:false,\&quot;dropping-particle\&quot;:\&quot;\&quot;,\&quot;non-dropping-particle\&quot;:\&quot;\&quot;},{\&quot;family\&quot;:\&quot;Willems\&quot;,\&quot;given\&quot;:\&quot;Sara\&quot;,\&quot;parse-names\&quot;:false,\&quot;dropping-particle\&quot;:\&quot;\&quot;,\&quot;non-dropping-particle\&quot;:\&quot;\&quot;}],\&quot;accessed\&quot;:{\&quot;date-parts\&quot;:[[2021,3,18]]},\&quot;DOI\&quot;:\&quot;10.1186/s12939-020-01218-z\&quot;,\&quot;URL\&quot;:\&quot;https://doi.org/10.1186/s12939-020-01218-z\&quot;,\&quot;abstract\&quot;:\&quot;The COVID-19 is disproportionally affecting the poor, minorities and a broad range of vulnerable populations, due to its inequitable spread in areas of dense population and limited mitigation capacity due to high prevalence of chronic conditions or poor access to high quality public health and medical care. Moreover, the collateral effects of the pandemic due to the global economic downturn, and social isolation and movement restriction measures, are unequally affecting those in the lowest power strata of societies. To address the challenges to health equity and describe some of the approaches taken by governments and local organizations, we have compiled 13 country case studies from various regions around the world\&quot;},\&quot;isTemporary\&quot;:false}],\&quot;properties\&quot;:{\&quot;noteIndex\&quot;:0},\&quot;isEdited\&quot;:false,\&quot;manualOverride\&quot;:{\&quot;isManuallyOverriden\&quot;:false,\&quot;citeprocText\&quot;:\&quot;(Shadmi &lt;i&gt;et al.&lt;/i&gt;, no date)\&quot;,\&quot;manualOverrideText\&quot;:\&quot;\&quot;}}&quot;},{&quot;citationID&quot;:&quot;MENDELEY_CITATION_26cbc148-6cc9-4e81-9da7-867297cbdabc&quot;,&quot;citationItems&quot;:[{&quot;id&quot;:&quot;d990261b-5ef9-3756-9d17-27e95fcd6915&quot;,&quot;itemData&quot;:{&quot;type&quot;:&quot;article-journal&quot;,&quot;id&quot;:&quot;d990261b-5ef9-3756-9d17-27e95fcd6915&quot;,&quot;title&quot;:&quot;Health equity and COVID-19: global perspectives&quot;,&quot;author&quot;:[{&quot;family&quot;:&quot;Shadmi&quot;,&quot;given&quot;:&quot;Efrat&quot;,&quot;parse-names&quot;:false,&quot;dropping-particle&quot;:&quot;&quot;,&quot;non-dropping-particle&quot;:&quot;&quot;},{&quot;family&quot;:&quot;Chen&quot;,&quot;given&quot;:&quot;Yingyao&quot;,&quot;parse-names&quot;:false,&quot;dropping-particle&quot;:&quot;&quot;,&quot;non-dropping-particle&quot;:&quot;&quot;},{&quot;family&quot;:&quot;Dourado&quot;,&quot;given&quot;:&quot;Inês&quot;,&quot;parse-names&quot;:false,&quot;dropping-particle&quot;:&quot;&quot;,&quot;non-dropping-particle&quot;:&quot;&quot;},{&quot;family&quot;:&quot;Faran-Perach&quot;,&quot;given&quot;:&quot;Inbal&quot;,&quot;parse-names&quot;:false,&quot;dropping-particle&quot;:&quot;&quot;,&quot;non-dropping-particle&quot;:&quot;&quot;},{&quot;family&quot;:&quot;Furler&quot;,&quot;given&quot;:&quot;John&quot;,&quot;parse-names&quot;:false,&quot;dropping-particle&quot;:&quot;&quot;,&quot;non-dropping-particle&quot;:&quot;&quot;},{&quot;family&quot;:&quot;Hangoma&quot;,&quot;given&quot;:&quot;Peter&quot;,&quot;parse-names&quot;:false,&quot;dropping-particle&quot;:&quot;&quot;,&quot;non-dropping-particle&quot;:&quot;&quot;},{&quot;family&quot;:&quot;Hanvoravongchai&quot;,&quot;given&quot;:&quot;Piya&quot;,&quot;parse-names&quot;:false,&quot;dropping-particle&quot;:&quot;&quot;,&quot;non-dropping-particle&quot;:&quot;&quot;},{&quot;family&quot;:&quot;Obando&quot;,&quot;given&quot;:&quot;Claudia&quot;,&quot;parse-names&quot;:false,&quot;dropping-particle&quot;:&quot;&quot;,&quot;non-dropping-particle&quot;:&quot;&quot;},{&quot;family&quot;:&quot;Petrosyan&quot;,&quot;given&quot;:&quot;Varduhi&quot;,&quot;parse-names&quot;:false,&quot;dropping-particle&quot;:&quot;&quot;,&quot;non-dropping-particle&quot;:&quot;&quot;},{&quot;family&quot;:&quot;Rao&quot;,&quot;given&quot;:&quot;Krishna D&quot;,&quot;parse-names&quot;:false,&quot;dropping-particle&quot;:&quot;&quot;,&quot;non-dropping-particle&quot;:&quot;&quot;},{&quot;family&quot;:&quot;Ruano&quot;,&quot;given&quot;:&quot;Ana Lorena&quot;,&quot;parse-names&quot;:false,&quot;dropping-particle&quot;:&quot;&quot;,&quot;non-dropping-particle&quot;:&quot;&quot;},{&quot;family&quot;:&quot;Shi&quot;,&quot;given&quot;:&quot;Leiyu&quot;,&quot;parse-names&quot;:false,&quot;dropping-particle&quot;:&quot;&quot;,&quot;non-dropping-particle&quot;:&quot;&quot;},{&quot;family&quot;:&quot;Eugenio De Souza&quot;,&quot;given&quot;:&quot;Luis&quot;,&quot;parse-names&quot;:false,&quot;dropping-particle&quot;:&quot;&quot;,&quot;non-dropping-particle&quot;:&quot;&quot;},{&quot;family&quot;:&quot;Spitzer-Shohat&quot;,&quot;given&quot;:&quot;Sivan&quot;,&quot;parse-names&quot;:false,&quot;dropping-particle&quot;:&quot;&quot;,&quot;non-dropping-particle&quot;:&quot;&quot;},{&quot;family&quot;:&quot;Sturgiss&quot;,&quot;given&quot;:&quot;Elizabeth&quot;,&quot;parse-names&quot;:false,&quot;dropping-particle&quot;:&quot;&quot;,&quot;non-dropping-particle&quot;:&quot;&quot;},{&quot;family&quot;:&quot;Suphanchaimat&quot;,&quot;given&quot;:&quot;Rapeepong&quot;,&quot;parse-names&quot;:false,&quot;dropping-particle&quot;:&quot;&quot;,&quot;non-dropping-particle&quot;:&quot;&quot;},{&quot;family&quot;:&quot;Uribe&quot;,&quot;given&quot;:&quot;Manuela Villar&quot;,&quot;parse-names&quot;:false,&quot;dropping-particle&quot;:&quot;&quot;,&quot;non-dropping-particle&quot;:&quot;&quot;},{&quot;family&quot;:&quot;Willems&quot;,&quot;given&quot;:&quot;Sara&quot;,&quot;parse-names&quot;:false,&quot;dropping-particle&quot;:&quot;&quot;,&quot;non-dropping-particle&quot;:&quot;&quot;}],&quot;accessed&quot;:{&quot;date-parts&quot;:[[2021,3,18]]},&quot;DOI&quot;:&quot;10.1186/s12939-020-01218-z&quot;,&quot;URL&quot;:&quot;https://doi.org/10.1186/s12939-020-01218-z&quot;,&quot;abstract&quot;:&quot;The COVID-19 is disproportionally affecting the poor, minorities and a broad range of vulnerable populations, due to its inequitable spread in areas of dense population and limited mitigation capacity due to high prevalence of chronic conditions or poor access to high quality public health and medical care. Moreover, the collateral effects of the pandemic due to the global economic downturn, and social isolation and movement restriction measures, are unequally affecting those in the lowest power strata of societies. To address the challenges to health equity and describe some of the approaches taken by governments and local organizations, we have compiled 13 country case studies from various regions around the world&quot;},&quot;isTemporary&quot;:false}],&quot;properties&quot;:{&quot;noteIndex&quot;:0},&quot;isEdited&quot;:false,&quot;manualOverride&quot;:{&quot;isManuallyOverriden&quot;:false,&quot;citeprocText&quot;:&quot;(Shadmi &lt;i&gt;et al.&lt;/i&gt;, no date)&quot;,&quot;manualOverrideText&quot;:&quot;&quot;},&quot;citationTag&quot;:&quot;MENDELEY_CITATION_{\&quot;citationID\&quot;:\&quot;MENDELEY_CITATION_26cbc148-6cc9-4e81-9da7-867297cbdabc\&quot;,\&quot;citationItems\&quot;:[{\&quot;id\&quot;:\&quot;d990261b-5ef9-3756-9d17-27e95fcd6915\&quot;,\&quot;itemData\&quot;:{\&quot;type\&quot;:\&quot;article-journal\&quot;,\&quot;id\&quot;:\&quot;d990261b-5ef9-3756-9d17-27e95fcd6915\&quot;,\&quot;title\&quot;:\&quot;Health equity and COVID-19: global perspectives\&quot;,\&quot;author\&quot;:[{\&quot;family\&quot;:\&quot;Shadmi\&quot;,\&quot;given\&quot;:\&quot;Efrat\&quot;,\&quot;parse-names\&quot;:false,\&quot;dropping-particle\&quot;:\&quot;\&quot;,\&quot;non-dropping-particle\&quot;:\&quot;\&quot;},{\&quot;family\&quot;:\&quot;Chen\&quot;,\&quot;given\&quot;:\&quot;Yingyao\&quot;,\&quot;parse-names\&quot;:false,\&quot;dropping-particle\&quot;:\&quot;\&quot;,\&quot;non-dropping-particle\&quot;:\&quot;\&quot;},{\&quot;family\&quot;:\&quot;Dourado\&quot;,\&quot;given\&quot;:\&quot;Inês\&quot;,\&quot;parse-names\&quot;:false,\&quot;dropping-particle\&quot;:\&quot;\&quot;,\&quot;non-dropping-particle\&quot;:\&quot;\&quot;},{\&quot;family\&quot;:\&quot;Faran-Perach\&quot;,\&quot;given\&quot;:\&quot;Inbal\&quot;,\&quot;parse-names\&quot;:false,\&quot;dropping-particle\&quot;:\&quot;\&quot;,\&quot;non-dropping-particle\&quot;:\&quot;\&quot;},{\&quot;family\&quot;:\&quot;Furler\&quot;,\&quot;given\&quot;:\&quot;John\&quot;,\&quot;parse-names\&quot;:false,\&quot;dropping-particle\&quot;:\&quot;\&quot;,\&quot;non-dropping-particle\&quot;:\&quot;\&quot;},{\&quot;family\&quot;:\&quot;Hangoma\&quot;,\&quot;given\&quot;:\&quot;Peter\&quot;,\&quot;parse-names\&quot;:false,\&quot;dropping-particle\&quot;:\&quot;\&quot;,\&quot;non-dropping-particle\&quot;:\&quot;\&quot;},{\&quot;family\&quot;:\&quot;Hanvoravongchai\&quot;,\&quot;given\&quot;:\&quot;Piya\&quot;,\&quot;parse-names\&quot;:false,\&quot;dropping-particle\&quot;:\&quot;\&quot;,\&quot;non-dropping-particle\&quot;:\&quot;\&quot;},{\&quot;family\&quot;:\&quot;Obando\&quot;,\&quot;given\&quot;:\&quot;Claudia\&quot;,\&quot;parse-names\&quot;:false,\&quot;dropping-particle\&quot;:\&quot;\&quot;,\&quot;non-dropping-particle\&quot;:\&quot;\&quot;},{\&quot;family\&quot;:\&quot;Petrosyan\&quot;,\&quot;given\&quot;:\&quot;Varduhi\&quot;,\&quot;parse-names\&quot;:false,\&quot;dropping-particle\&quot;:\&quot;\&quot;,\&quot;non-dropping-particle\&quot;:\&quot;\&quot;},{\&quot;family\&quot;:\&quot;Rao\&quot;,\&quot;given\&quot;:\&quot;Krishna D\&quot;,\&quot;parse-names\&quot;:false,\&quot;dropping-particle\&quot;:\&quot;\&quot;,\&quot;non-dropping-particle\&quot;:\&quot;\&quot;},{\&quot;family\&quot;:\&quot;Ruano\&quot;,\&quot;given\&quot;:\&quot;Ana Lorena\&quot;,\&quot;parse-names\&quot;:false,\&quot;dropping-particle\&quot;:\&quot;\&quot;,\&quot;non-dropping-particle\&quot;:\&quot;\&quot;},{\&quot;family\&quot;:\&quot;Shi\&quot;,\&quot;given\&quot;:\&quot;Leiyu\&quot;,\&quot;parse-names\&quot;:false,\&quot;dropping-particle\&quot;:\&quot;\&quot;,\&quot;non-dropping-particle\&quot;:\&quot;\&quot;},{\&quot;family\&quot;:\&quot;Eugenio De Souza\&quot;,\&quot;given\&quot;:\&quot;Luis\&quot;,\&quot;parse-names\&quot;:false,\&quot;dropping-particle\&quot;:\&quot;\&quot;,\&quot;non-dropping-particle\&quot;:\&quot;\&quot;},{\&quot;family\&quot;:\&quot;Spitzer-Shohat\&quot;,\&quot;given\&quot;:\&quot;Sivan\&quot;,\&quot;parse-names\&quot;:false,\&quot;dropping-particle\&quot;:\&quot;\&quot;,\&quot;non-dropping-particle\&quot;:\&quot;\&quot;},{\&quot;family\&quot;:\&quot;Sturgiss\&quot;,\&quot;given\&quot;:\&quot;Elizabeth\&quot;,\&quot;parse-names\&quot;:false,\&quot;dropping-particle\&quot;:\&quot;\&quot;,\&quot;non-dropping-particle\&quot;:\&quot;\&quot;},{\&quot;family\&quot;:\&quot;Suphanchaimat\&quot;,\&quot;given\&quot;:\&quot;Rapeepong\&quot;,\&quot;parse-names\&quot;:false,\&quot;dropping-particle\&quot;:\&quot;\&quot;,\&quot;non-dropping-particle\&quot;:\&quot;\&quot;},{\&quot;family\&quot;:\&quot;Uribe\&quot;,\&quot;given\&quot;:\&quot;Manuela Villar\&quot;,\&quot;parse-names\&quot;:false,\&quot;dropping-particle\&quot;:\&quot;\&quot;,\&quot;non-dropping-particle\&quot;:\&quot;\&quot;},{\&quot;family\&quot;:\&quot;Willems\&quot;,\&quot;given\&quot;:\&quot;Sara\&quot;,\&quot;parse-names\&quot;:false,\&quot;dropping-particle\&quot;:\&quot;\&quot;,\&quot;non-dropping-particle\&quot;:\&quot;\&quot;}],\&quot;accessed\&quot;:{\&quot;date-parts\&quot;:[[2021,3,18]]},\&quot;DOI\&quot;:\&quot;10.1186/s12939-020-01218-z\&quot;,\&quot;URL\&quot;:\&quot;https://doi.org/10.1186/s12939-020-01218-z\&quot;,\&quot;abstract\&quot;:\&quot;The COVID-19 is disproportionally affecting the poor, minorities and a broad range of vulnerable populations, due to its inequitable spread in areas of dense population and limited mitigation capacity due to high prevalence of chronic conditions or poor access to high quality public health and medical care. Moreover, the collateral effects of the pandemic due to the global economic downturn, and social isolation and movement restriction measures, are unequally affecting those in the lowest power strata of societies. To address the challenges to health equity and describe some of the approaches taken by governments and local organizations, we have compiled 13 country case studies from various regions around the world\&quot;},\&quot;isTemporary\&quot;:false}],\&quot;properties\&quot;:{\&quot;noteIndex\&quot;:0},\&quot;isEdited\&quot;:false,\&quot;manualOverride\&quot;:{\&quot;isManuallyOverriden\&quot;:false,\&quot;citeprocText\&quot;:\&quot;(Shadmi &lt;i&gt;et al.&lt;/i&gt;, no date)\&quot;,\&quot;manualOverrideText\&quot;:\&quot;\&quot;}}&quot;},{&quot;citationID&quot;:&quot;MENDELEY_CITATION_aa22a034-e33b-4af2-8340-deeb16ad18b4&quot;,&quot;citationItems&quot;:[{&quot;id&quot;:&quot;6f0fa12f-5c14-33a4-b8cf-3d4b52a0f17b&quot;,&quot;itemData&quot;:{&quot;type&quot;:&quot;article-journal&quot;,&quot;id&quot;:&quot;6f0fa12f-5c14-33a4-b8cf-3d4b52a0f17b&quot;,&quot;title&quot;:&quot;Black-White Risk Differentials in COVID-19 (SARS-COV2) Transmission, Mortality and Case Fatality in the United States: Translational Epidemiologic Perspective and Challenges&quot;,&quot;author&quot;:[{&quot;family&quot;:&quot;Holmes&quot;,&quot;given&quot;:&quot;Laurens&quot;,&quot;parse-names&quot;:false,&quot;dropping-particle&quot;:&quot;&quot;,&quot;non-dropping-particle&quot;:&quot;&quot;},{&quot;family&quot;:&quot;Enwere&quot;,&quot;given&quot;:&quot;Michael&quot;,&quot;parse-names&quot;:false,&quot;dropping-particle&quot;:&quot;&quot;,&quot;non-dropping-particle&quot;:&quot;&quot;},{&quot;family&quot;:&quot;Williams&quot;,&quot;given&quot;:&quot;Janille&quot;,&quot;parse-names&quot;:false,&quot;dropping-particle&quot;:&quot;&quot;,&quot;non-dropping-particle&quot;:&quot;&quot;},{&quot;family&quot;:&quot;Ogundele&quot;,&quot;given&quot;:&quot;Benjamin&quot;,&quot;parse-names&quot;:false,&quot;dropping-particle&quot;:&quot;&quot;,&quot;non-dropping-particle&quot;:&quot;&quot;},{&quot;family&quot;:&quot;Chavan&quot;,&quot;given&quot;:&quot;Prachi&quot;,&quot;parse-names&quot;:false,&quot;dropping-particle&quot;:&quot;&quot;,&quot;non-dropping-particle&quot;:&quot;&quot;},{&quot;family&quot;:&quot;Piccoli&quot;,&quot;given&quot;:&quot;Tatiana&quot;,&quot;parse-names&quot;:false,&quot;dropping-particle&quot;:&quot;&quot;,&quot;non-dropping-particle&quot;:&quot;&quot;},{&quot;family&quot;:&quot;Chinaka&quot;,&quot;given&quot;:&quot;Chinacherem&quot;,&quot;parse-names&quot;:false,&quot;dropping-particle&quot;:&quot;&quot;,&quot;non-dropping-particle&quot;:&quot;&quot;},{&quot;family&quot;:&quot;Comeaux&quot;,&quot;given&quot;:&quot;Camillia&quot;,&quot;parse-names&quot;:false,&quot;dropping-particle&quot;:&quot;&quot;,&quot;non-dropping-particle&quot;:&quot;&quot;},{&quot;family&quot;:&quot;Pelaez&quot;,&quot;given&quot;:&quot;Lavisha&quot;,&quot;parse-names&quot;:false,&quot;dropping-particle&quot;:&quot;&quot;,&quot;non-dropping-particle&quot;:&quot;&quot;},{&quot;family&quot;:&quot;Okundaye&quot;,&quot;given&quot;:&quot;Osatohamwen&quot;,&quot;parse-names&quot;:false,&quot;dropping-particle&quot;:&quot;&quot;,&quot;non-dropping-particle&quot;:&quot;&quot;},{&quot;family&quot;:&quot;Stalnaker&quot;,&quot;given&quot;:&quot;Leslie&quot;,&quot;parse-names&quot;:false,&quot;dropping-particle&quot;:&quot;&quot;,&quot;non-dropping-particle&quot;:&quot;&quot;},{&quot;family&quot;:&quot;Kalle&quot;,&quot;given&quot;:&quot;Fanta&quot;,&quot;parse-names&quot;:false,&quot;dropping-particle&quot;:&quot;&quot;,&quot;non-dropping-particle&quot;:&quot;&quot;},{&quot;family&quot;:&quot;Deepika&quot;,&quot;given&quot;:&quot;Keeti&quot;,&quot;parse-names&quot;:false,&quot;dropping-particle&quot;:&quot;&quot;,&quot;non-dropping-particle&quot;:&quot;&quot;},{&quot;family&quot;:&quot;Philipcien&quot;,&quot;given&quot;:&quot;Glen&quot;,&quot;parse-names&quot;:false,&quot;dropping-particle&quot;:&quot;&quot;,&quot;non-dropping-particle&quot;:&quot;&quot;},{&quot;family&quot;:&quot;Poleon&quot;,&quot;given&quot;:&quot;Maura&quot;,&quot;parse-names&quot;:false,&quot;dropping-particle&quot;:&quot;&quot;,&quot;non-dropping-particle&quot;:&quot;&quot;},{&quot;family&quot;:&quot;Ogungbade&quot;,&quot;given&quot;:&quot;Gbadebo&quot;,&quot;parse-names&quot;:false,&quot;dropping-particle&quot;:&quot;&quot;,&quot;non-dropping-particle&quot;:&quot;&quot;},{&quot;family&quot;:&quot;Elmi&quot;,&quot;given&quot;:&quot;Hikma&quot;,&quot;parse-names&quot;:false,&quot;dropping-particle&quot;:&quot;&quot;,&quot;non-dropping-particle&quot;:&quot;&quot;},{&quot;family&quot;:&quot;John&quot;,&quot;given&quot;:&quot;Valescia&quot;,&quot;parse-names&quot;:false,&quot;dropping-particle&quot;:&quot;&quot;,&quot;non-dropping-particle&quot;:&quot;&quot;},{&quot;family&quot;:&quot;Dabney&quot;,&quot;given&quot;:&quot;Kirk W&quot;,&quot;parse-names&quot;:false,&quot;dropping-particle&quot;:&quot;&quot;,&quot;non-dropping-particle&quot;:&quot;&quot;}],&quot;container-title&quot;:&quot;Int. J. Environ. Res. Public Health&quot;,&quot;accessed&quot;:{&quot;date-parts&quot;:[[2021,3,18]]},&quot;DOI&quot;:&quot;10.3390/ijerph17124322&quot;,&quot;URL&quot;:&quot;www.mdpi.com/journal/ijerph&quot;,&quot;issued&quot;:{&quot;date-parts&quot;:[[2020]]},&quot;page&quot;:&quot;4322&quot;,&quot;abstract&quot;:&quot;Background: Social and health inequities predispose vulnerable populations to adverse morbidity and mortality outcomes of epidemics and pandemics. While racial disparities in cumulative incidence (CmI) and mortality from the influenza pandemics of 1918 and 2009 implicated Blacks with survival disadvantage relative to Whites in the United States, COVID-19 currently indicates comparable disparities. We aimed to: (a) assess COVID-19 CmI by race, (b) determine the Black-White case fatality (CF) and risk differentials, and (c) apply explanatory model for mortality risk differentials. Methods: COVID-19 data on confirmed cases and deaths by selective states health departments were assessed using a cross-sectional ecologic design. Chi-square was used for CF independence, while binomial regression model for the Black-White risk differentials. Results: The COVID-19 mortality CmI indicated Blacks/AA with 34% of the total mortality in the United States, albeit their 13% population size. The COVID-19 CF was higher among Blacks/AA relative to Whites; Maryland, (2.7% vs. 2.5%), Wisconsin (7.4% vs. 4.8%), Illinois (4.8% vs. 4.2%), Chicago (5.9% vs. 3.2%), Detroit (Michigan), 7.2% and St. John the Baptist Parish (Louisiana), 7.9%. Blacks/AA compared to Whites in Michigan were 15% more likely to die, CmI risk ratio (CmIRR) = 1.15, 95% CI, 1.01-1.32. Blacks/AA relative to Whites in Illinois were 13% more likely to die, CmIRR = 1.13, 95% CI, 0.93-1.39, while Blacks/AA compared to Whites in Wisconsin were 51% more likely to die, CmIRR = 1.51, 95% CI, 1.10-2.10. In Chicago, Blacks/AA were more than twice as likely to die, CmIRR = 2.24, 95% CI, 1.36-3.88. Conclusion: Substantial racial/ethnic disparities are observed in COVID-19 CF and mortality with Blacks/AA disproportionately affected across the United States.&quot;,&quot;volume&quot;:&quot;17&quot;},&quot;isTemporary&quot;:false}],&quot;properties&quot;:{&quot;noteIndex&quot;:0},&quot;isEdited&quot;:false,&quot;manualOverride&quot;:{&quot;isManuallyOverriden&quot;:false,&quot;citeprocText&quot;:&quot;(Holmes &lt;i&gt;et al.&lt;/i&gt;, 2020)&quot;,&quot;manualOverrideText&quot;:&quot;&quot;},&quot;citationTag&quot;:&quot;MENDELEY_CITATION_{\&quot;citationID\&quot;:\&quot;MENDELEY_CITATION_aa22a034-e33b-4af2-8340-deeb16ad18b4\&quot;,\&quot;citationItems\&quot;:[{\&quot;id\&quot;:\&quot;6f0fa12f-5c14-33a4-b8cf-3d4b52a0f17b\&quot;,\&quot;itemData\&quot;:{\&quot;type\&quot;:\&quot;article-journal\&quot;,\&quot;id\&quot;:\&quot;6f0fa12f-5c14-33a4-b8cf-3d4b52a0f17b\&quot;,\&quot;title\&quot;:\&quot;Black-White Risk Differentials in COVID-19 (SARS-COV2) Transmission, Mortality and Case Fatality in the United States: Translational Epidemiologic Perspective and Challenges\&quot;,\&quot;author\&quot;:[{\&quot;family\&quot;:\&quot;Holmes\&quot;,\&quot;given\&quot;:\&quot;Laurens\&quot;,\&quot;parse-names\&quot;:false,\&quot;dropping-particle\&quot;:\&quot;\&quot;,\&quot;non-dropping-particle\&quot;:\&quot;\&quot;},{\&quot;family\&quot;:\&quot;Enwere\&quot;,\&quot;given\&quot;:\&quot;Michael\&quot;,\&quot;parse-names\&quot;:false,\&quot;dropping-particle\&quot;:\&quot;\&quot;,\&quot;non-dropping-particle\&quot;:\&quot;\&quot;},{\&quot;family\&quot;:\&quot;Williams\&quot;,\&quot;given\&quot;:\&quot;Janille\&quot;,\&quot;parse-names\&quot;:false,\&quot;dropping-particle\&quot;:\&quot;\&quot;,\&quot;non-dropping-particle\&quot;:\&quot;\&quot;},{\&quot;family\&quot;:\&quot;Ogundele\&quot;,\&quot;given\&quot;:\&quot;Benjamin\&quot;,\&quot;parse-names\&quot;:false,\&quot;dropping-particle\&quot;:\&quot;\&quot;,\&quot;non-dropping-particle\&quot;:\&quot;\&quot;},{\&quot;family\&quot;:\&quot;Chavan\&quot;,\&quot;given\&quot;:\&quot;Prachi\&quot;,\&quot;parse-names\&quot;:false,\&quot;dropping-particle\&quot;:\&quot;\&quot;,\&quot;non-dropping-particle\&quot;:\&quot;\&quot;},{\&quot;family\&quot;:\&quot;Piccoli\&quot;,\&quot;given\&quot;:\&quot;Tatiana\&quot;,\&quot;parse-names\&quot;:false,\&quot;dropping-particle\&quot;:\&quot;\&quot;,\&quot;non-dropping-particle\&quot;:\&quot;\&quot;},{\&quot;family\&quot;:\&quot;Chinaka\&quot;,\&quot;given\&quot;:\&quot;Chinacherem\&quot;,\&quot;parse-names\&quot;:false,\&quot;dropping-particle\&quot;:\&quot;\&quot;,\&quot;non-dropping-particle\&quot;:\&quot;\&quot;},{\&quot;family\&quot;:\&quot;Comeaux\&quot;,\&quot;given\&quot;:\&quot;Camillia\&quot;,\&quot;parse-names\&quot;:false,\&quot;dropping-particle\&quot;:\&quot;\&quot;,\&quot;non-dropping-particle\&quot;:\&quot;\&quot;},{\&quot;family\&quot;:\&quot;Pelaez\&quot;,\&quot;given\&quot;:\&quot;Lavisha\&quot;,\&quot;parse-names\&quot;:false,\&quot;dropping-particle\&quot;:\&quot;\&quot;,\&quot;non-dropping-particle\&quot;:\&quot;\&quot;},{\&quot;family\&quot;:\&quot;Okundaye\&quot;,\&quot;given\&quot;:\&quot;Osatohamwen\&quot;,\&quot;parse-names\&quot;:false,\&quot;dropping-particle\&quot;:\&quot;\&quot;,\&quot;non-dropping-particle\&quot;:\&quot;\&quot;},{\&quot;family\&quot;:\&quot;Stalnaker\&quot;,\&quot;given\&quot;:\&quot;Leslie\&quot;,\&quot;parse-names\&quot;:false,\&quot;dropping-particle\&quot;:\&quot;\&quot;,\&quot;non-dropping-particle\&quot;:\&quot;\&quot;},{\&quot;family\&quot;:\&quot;Kalle\&quot;,\&quot;given\&quot;:\&quot;Fanta\&quot;,\&quot;parse-names\&quot;:false,\&quot;dropping-particle\&quot;:\&quot;\&quot;,\&quot;non-dropping-particle\&quot;:\&quot;\&quot;},{\&quot;family\&quot;:\&quot;Deepika\&quot;,\&quot;given\&quot;:\&quot;Keeti\&quot;,\&quot;parse-names\&quot;:false,\&quot;dropping-particle\&quot;:\&quot;\&quot;,\&quot;non-dropping-particle\&quot;:\&quot;\&quot;},{\&quot;family\&quot;:\&quot;Philipcien\&quot;,\&quot;given\&quot;:\&quot;Glen\&quot;,\&quot;parse-names\&quot;:false,\&quot;dropping-particle\&quot;:\&quot;\&quot;,\&quot;non-dropping-particle\&quot;:\&quot;\&quot;},{\&quot;family\&quot;:\&quot;Poleon\&quot;,\&quot;given\&quot;:\&quot;Maura\&quot;,\&quot;parse-names\&quot;:false,\&quot;dropping-particle\&quot;:\&quot;\&quot;,\&quot;non-dropping-particle\&quot;:\&quot;\&quot;},{\&quot;family\&quot;:\&quot;Ogungbade\&quot;,\&quot;given\&quot;:\&quot;Gbadebo\&quot;,\&quot;parse-names\&quot;:false,\&quot;dropping-particle\&quot;:\&quot;\&quot;,\&quot;non-dropping-particle\&quot;:\&quot;\&quot;},{\&quot;family\&quot;:\&quot;Elmi\&quot;,\&quot;given\&quot;:\&quot;Hikma\&quot;,\&quot;parse-names\&quot;:false,\&quot;dropping-particle\&quot;:\&quot;\&quot;,\&quot;non-dropping-particle\&quot;:\&quot;\&quot;},{\&quot;family\&quot;:\&quot;John\&quot;,\&quot;given\&quot;:\&quot;Valescia\&quot;,\&quot;parse-names\&quot;:false,\&quot;dropping-particle\&quot;:\&quot;\&quot;,\&quot;non-dropping-particle\&quot;:\&quot;\&quot;},{\&quot;family\&quot;:\&quot;Dabney\&quot;,\&quot;given\&quot;:\&quot;Kirk W\&quot;,\&quot;parse-names\&quot;:false,\&quot;dropping-particle\&quot;:\&quot;\&quot;,\&quot;non-dropping-particle\&quot;:\&quot;\&quot;}],\&quot;container-title\&quot;:\&quot;Int. J. Environ. Res. Public Health\&quot;,\&quot;accessed\&quot;:{\&quot;date-parts\&quot;:[[2021,3,18]]},\&quot;DOI\&quot;:\&quot;10.3390/ijerph17124322\&quot;,\&quot;URL\&quot;:\&quot;www.mdpi.com/journal/ijerph\&quot;,\&quot;issued\&quot;:{\&quot;date-parts\&quot;:[[2020]]},\&quot;page\&quot;:\&quot;4322\&quot;,\&quot;abstract\&quot;:\&quot;Background: Social and health inequities predispose vulnerable populations to adverse morbidity and mortality outcomes of epidemics and pandemics. While racial disparities in cumulative incidence (CmI) and mortality from the influenza pandemics of 1918 and 2009 implicated Blacks with survival disadvantage relative to Whites in the United States, COVID-19 currently indicates comparable disparities. We aimed to: (a) assess COVID-19 CmI by race, (b) determine the Black-White case fatality (CF) and risk differentials, and (c) apply explanatory model for mortality risk differentials. Methods: COVID-19 data on confirmed cases and deaths by selective states health departments were assessed using a cross-sectional ecologic design. Chi-square was used for CF independence, while binomial regression model for the Black-White risk differentials. Results: The COVID-19 mortality CmI indicated Blacks/AA with 34% of the total mortality in the United States, albeit their 13% population size. The COVID-19 CF was higher among Blacks/AA relative to Whites; Maryland, (2.7% vs. 2.5%), Wisconsin (7.4% vs. 4.8%), Illinois (4.8% vs. 4.2%), Chicago (5.9% vs. 3.2%), Detroit (Michigan), 7.2% and St. John the Baptist Parish (Louisiana), 7.9%. Blacks/AA compared to Whites in Michigan were 15% more likely to die, CmI risk ratio (CmIRR) = 1.15, 95% CI, 1.01-1.32. Blacks/AA relative to Whites in Illinois were 13% more likely to die, CmIRR = 1.13, 95% CI, 0.93-1.39, while Blacks/AA compared to Whites in Wisconsin were 51% more likely to die, CmIRR = 1.51, 95% CI, 1.10-2.10. In Chicago, Blacks/AA were more than twice as likely to die, CmIRR = 2.24, 95% CI, 1.36-3.88. Conclusion: Substantial racial/ethnic disparities are observed in COVID-19 CF and mortality with Blacks/AA disproportionately affected across the United States.\&quot;,\&quot;volume\&quot;:\&quot;17\&quot;},\&quot;isTemporary\&quot;:false}],\&quot;properties\&quot;:{\&quot;noteIndex\&quot;:0},\&quot;isEdited\&quot;:false,\&quot;manualOverride\&quot;:{\&quot;isManuallyOverriden\&quot;:false,\&quot;citeprocText\&quot;:\&quot;(Holmes &lt;i&gt;et al.&lt;/i&gt;, 2020)\&quot;,\&quot;manualOverrideText\&quot;:\&quot;\&quot;}}&quot;},{&quot;citationID&quot;:&quot;MENDELEY_CITATION_d47d9d39-2216-4e72-9b12-0da1f6e300b5&quot;,&quot;citationItems&quot;:[{&quot;id&quot;:&quot;ccfc8f05-f814-320b-a68a-e31ec60af5ee&quot;,&quot;itemData&quot;:{&quot;type&quot;:&quot;webpage&quot;,&quot;id&quot;:&quot;ccfc8f05-f814-320b-a68a-e31ec60af5ee&quot;,&quot;title&quot;:&quot;UK poverty: Causes, costs and solutions | JRF&quot;,&quot;accessed&quot;:{&quot;date-parts&quot;:[[2021,3,17]]},&quot;URL&quot;:&quot;https://www.jrf.org.uk/report/uk-poverty-causes-costs-and-solutions&quot;},&quot;isTemporary&quot;:false}],&quot;properties&quot;:{&quot;noteIndex&quot;:0},&quot;isEdited&quot;:false,&quot;manualOverride&quot;:{&quot;isManuallyOverriden&quot;:false,&quot;citeprocText&quot;:&quot;(&lt;i&gt;UK poverty: Causes, costs and solutions | JRF&lt;/i&gt;, no date)&quot;,&quot;manualOverrideText&quot;:&quot;&quot;},&quot;citationTag&quot;:&quot;MENDELEY_CITATION_{\&quot;citationID\&quot;:\&quot;MENDELEY_CITATION_d47d9d39-2216-4e72-9b12-0da1f6e300b5\&quot;,\&quot;citationItems\&quot;:[{\&quot;id\&quot;:\&quot;ccfc8f05-f814-320b-a68a-e31ec60af5ee\&quot;,\&quot;itemData\&quot;:{\&quot;type\&quot;:\&quot;webpage\&quot;,\&quot;id\&quot;:\&quot;ccfc8f05-f814-320b-a68a-e31ec60af5ee\&quot;,\&quot;title\&quot;:\&quot;UK poverty: Causes, costs and solutions | JRF\&quot;,\&quot;accessed\&quot;:{\&quot;date-parts\&quot;:[[2021,3,17]]},\&quot;URL\&quot;:\&quot;https://www.jrf.org.uk/report/uk-poverty-causes-costs-and-solutions\&quot;},\&quot;isTemporary\&quot;:false}],\&quot;properties\&quot;:{\&quot;noteIndex\&quot;:0},\&quot;isEdited\&quot;:false,\&quot;manualOverride\&quot;:{\&quot;isManuallyOverriden\&quot;:false,\&quot;citeprocText\&quot;:\&quot;(&lt;i&gt;UK poverty: Causes, costs and solutions | JRF&lt;/i&gt;, no date)\&quot;,\&quot;manualOverrideText\&quot;:\&quot;\&quot;}}&quot;},{&quot;citationID&quot;:&quot;MENDELEY_CITATION_304b36d2-5154-4ef9-a41f-e0033f21387c&quot;,&quot;citationItems&quot;:[{&quot;id&quot;:&quot;8ca09fcc-3ad0-35da-a7fc-2f02f61cee21&quot;,&quot;itemData&quot;:{&quot;type&quot;:&quot;webpage&quot;,&quot;id&quot;:&quot;8ca09fcc-3ad0-35da-a7fc-2f02f61cee21&quot;,&quot;title&quot;:&quot;WHO Director-Generals remarks for G20 trade ministers&quot;,&quot;accessed&quot;:{&quot;date-parts&quot;:[[2021,3,18]]},&quot;URL&quot;:&quot;https://www.who.int/director-general/speeches/detail/who-director-generals-remarks-for-g20-trade-ministers&quot;},&quot;isTemporary&quot;:false}],&quot;properties&quot;:{&quot;noteIndex&quot;:0},&quot;isEdited&quot;:false,&quot;manualOverride&quot;:{&quot;isManuallyOverriden&quot;:false,&quot;citeprocText&quot;:&quot;(&lt;i&gt;WHO Director-Generals remarks for G20 trade ministers&lt;/i&gt;, no date)&quot;,&quot;manualOverrideText&quot;:&quot;&quot;},&quot;citationTag&quot;:&quot;MENDELEY_CITATION_{\&quot;citationID\&quot;:\&quot;MENDELEY_CITATION_304b36d2-5154-4ef9-a41f-e0033f21387c\&quot;,\&quot;citationItems\&quot;:[{\&quot;id\&quot;:\&quot;8ca09fcc-3ad0-35da-a7fc-2f02f61cee21\&quot;,\&quot;itemData\&quot;:{\&quot;type\&quot;:\&quot;webpage\&quot;,\&quot;id\&quot;:\&quot;8ca09fcc-3ad0-35da-a7fc-2f02f61cee21\&quot;,\&quot;title\&quot;:\&quot;WHO Director-Generals remarks for G20 trade ministers\&quot;,\&quot;accessed\&quot;:{\&quot;date-parts\&quot;:[[2021,3,18]]},\&quot;URL\&quot;:\&quot;https://www.who.int/director-general/speeches/detail/who-director-generals-remarks-for-g20-trade-ministers\&quot;},\&quot;isTemporary\&quot;:false}],\&quot;properties\&quot;:{\&quot;noteIndex\&quot;:0},\&quot;isEdited\&quot;:false,\&quot;manualOverride\&quot;:{\&quot;isManuallyOverriden\&quot;:false,\&quot;citeprocText\&quot;:\&quot;(&lt;i&gt;WHO Director-Generals remarks for G20 trade ministers&lt;/i&gt;, no date)\&quot;,\&quot;manualOverrideText\&quot;:\&quot;\&quot;}}&quot;}]"/>
    <we:property name="MENDELEY_CITATIONS_STYLE" value="&quot;https://www.zotero.org/styles/harvard-cite-them-right&quot;"/>
    <we:property name="MENDELEY_PROFILE_ID" value="&quot;b362170cab95c6b727750617c3e15e0dfb9155df&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6D532DC-5D1B-48D2-9CA0-6EB07020341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2146</TotalTime>
  <Pages>6</Pages>
  <Words>1958</Words>
  <Characters>11162</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13094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Louise Craig (2012641)</dc:creator>
  <cp:keywords/>
  <dc:description/>
  <cp:lastModifiedBy>Louise Craig (2012641)</cp:lastModifiedBy>
  <cp:revision>865</cp:revision>
  <dcterms:created xsi:type="dcterms:W3CDTF">2021-03-10T10:53:00Z</dcterms:created>
  <dcterms:modified xsi:type="dcterms:W3CDTF">2021-03-18T14:23:00Z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American Medical Association 11th edition</vt:lpwstr>
  </property>
  <property fmtid="{D5CDD505-2E9C-101B-9397-08002B2CF9AE}" pid="4" name="Mendeley Recent Style Id 1_1">
    <vt:lpwstr>http://www.zotero.org/styles/american-political-science-association</vt:lpwstr>
  </property>
  <property fmtid="{D5CDD505-2E9C-101B-9397-08002B2CF9AE}" pid="5" name="Mendeley Recent Style Name 1_1">
    <vt:lpwstr>American Political Science Association</vt:lpwstr>
  </property>
  <property fmtid="{D5CDD505-2E9C-101B-9397-08002B2CF9AE}" pid="6" name="Mendeley Recent Style Id 2_1">
    <vt:lpwstr>http://www.zotero.org/styles/apa</vt:lpwstr>
  </property>
  <property fmtid="{D5CDD505-2E9C-101B-9397-08002B2CF9AE}" pid="7" name="Mendeley Recent Style Name 2_1">
    <vt:lpwstr>American Psychological Association 7th edition</vt:lpwstr>
  </property>
  <property fmtid="{D5CDD505-2E9C-101B-9397-08002B2CF9AE}" pid="8" name="Mendeley Recent Style Id 3_1">
    <vt:lpwstr>http://www.zotero.org/styles/american-sociological-association</vt:lpwstr>
  </property>
  <property fmtid="{D5CDD505-2E9C-101B-9397-08002B2CF9AE}" pid="9" name="Mendeley Recent Style Name 3_1">
    <vt:lpwstr>American Sociological Association 6th edition</vt:lpwstr>
  </property>
  <property fmtid="{D5CDD505-2E9C-101B-9397-08002B2CF9AE}" pid="10" name="Mendeley Recent Style Id 4_1">
    <vt:lpwstr>http://www.zotero.org/styles/chicago-author-date</vt:lpwstr>
  </property>
  <property fmtid="{D5CDD505-2E9C-101B-9397-08002B2CF9AE}" pid="11" name="Mendeley Recent Style Name 4_1">
    <vt:lpwstr>Chicago Manual of Style 17th edition (author-date)</vt:lpwstr>
  </property>
  <property fmtid="{D5CDD505-2E9C-101B-9397-08002B2CF9AE}" pid="12" name="Mendeley Recent Style Id 5_1">
    <vt:lpwstr>http://www.zotero.org/styles/harvard-cite-them-right</vt:lpwstr>
  </property>
  <property fmtid="{D5CDD505-2E9C-101B-9397-08002B2CF9AE}" pid="13" name="Mendeley Recent Style Name 5_1">
    <vt:lpwstr>Cite Them Right 10th edition - Harvard</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8th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Mendeley Document_1">
    <vt:lpwstr>True</vt:lpwstr>
  </property>
  <property fmtid="{D5CDD505-2E9C-101B-9397-08002B2CF9AE}" pid="23" name="Mendeley Unique User Id_1">
    <vt:lpwstr>ff931df6-617f-3fc2-930c-9f1dc081e90b</vt:lpwstr>
  </property>
  <property fmtid="{D5CDD505-2E9C-101B-9397-08002B2CF9AE}" pid="24" name="Mendeley Citation Style_1">
    <vt:lpwstr>http://www.zotero.org/styles/harvard-cite-them-right</vt:lpwstr>
  </property>
</Properties>
</file>